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C943" w14:textId="0CD19078"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 </w:t>
      </w:r>
      <w:r>
        <w:rPr>
          <w:rFonts w:ascii="Times New Roman" w:eastAsia="宋体" w:hAnsi="Times New Roman" w:cs="Times New Roman"/>
          <w:b/>
          <w:bCs/>
          <w:color w:val="000000"/>
          <w:kern w:val="0"/>
          <w:sz w:val="20"/>
          <w:szCs w:val="20"/>
          <w:lang w:bidi="ar"/>
        </w:rPr>
        <w:t>UNITED STATES</w:t>
      </w:r>
    </w:p>
    <w:p w14:paraId="619DC94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SECURITIES AND EXCHANGE COMMISSION</w:t>
      </w:r>
    </w:p>
    <w:p w14:paraId="619DC945"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Washington, D.C. 20549</w:t>
      </w:r>
    </w:p>
    <w:p w14:paraId="619DC946" w14:textId="77777777" w:rsidR="003D72E7" w:rsidRDefault="00AD6774">
      <w:pPr>
        <w:widowControl/>
        <w:spacing w:before="60"/>
        <w:jc w:val="left"/>
        <w:rPr>
          <w:rFonts w:ascii="宋体" w:eastAsia="宋体" w:hAnsi="宋体" w:cs="宋体"/>
          <w:kern w:val="0"/>
          <w:sz w:val="24"/>
        </w:rPr>
      </w:pPr>
      <w:r>
        <w:rPr>
          <w:rFonts w:ascii="Times New Roman" w:eastAsia="宋体" w:hAnsi="Times New Roman" w:cs="Times New Roman"/>
          <w:color w:val="000000"/>
          <w:kern w:val="0"/>
          <w:sz w:val="2"/>
          <w:szCs w:val="2"/>
          <w:lang w:bidi="ar"/>
        </w:rPr>
        <w:t xml:space="preserve"> </w:t>
      </w:r>
    </w:p>
    <w:p w14:paraId="619DC947"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8"/>
          <w:szCs w:val="28"/>
          <w:lang w:bidi="ar"/>
        </w:rPr>
        <w:t xml:space="preserve">Form 10-Q </w:t>
      </w:r>
    </w:p>
    <w:p w14:paraId="619DC948" w14:textId="77777777" w:rsidR="003D72E7" w:rsidRDefault="00AD6774">
      <w:pPr>
        <w:widowControl/>
        <w:spacing w:before="60"/>
        <w:jc w:val="left"/>
        <w:rPr>
          <w:rFonts w:ascii="宋体" w:eastAsia="宋体" w:hAnsi="宋体" w:cs="宋体"/>
          <w:kern w:val="0"/>
          <w:sz w:val="24"/>
        </w:rPr>
      </w:pPr>
      <w:r>
        <w:rPr>
          <w:rFonts w:ascii="Times New Roman" w:eastAsia="宋体" w:hAnsi="Times New Roman" w:cs="Times New Roman"/>
          <w:color w:val="000000"/>
          <w:kern w:val="0"/>
          <w:sz w:val="2"/>
          <w:szCs w:val="2"/>
          <w:lang w:bidi="ar"/>
        </w:rPr>
        <w:t xml:space="preserve"> </w:t>
      </w:r>
    </w:p>
    <w:tbl>
      <w:tblPr>
        <w:tblW w:w="9750" w:type="dxa"/>
        <w:jc w:val="center"/>
        <w:tblCellMar>
          <w:top w:w="15" w:type="dxa"/>
          <w:left w:w="15" w:type="dxa"/>
          <w:bottom w:w="15" w:type="dxa"/>
          <w:right w:w="15" w:type="dxa"/>
        </w:tblCellMar>
        <w:tblLook w:val="04A0" w:firstRow="1" w:lastRow="0" w:firstColumn="1" w:lastColumn="0" w:noHBand="0" w:noVBand="1"/>
      </w:tblPr>
      <w:tblGrid>
        <w:gridCol w:w="36"/>
        <w:gridCol w:w="954"/>
        <w:gridCol w:w="36"/>
        <w:gridCol w:w="36"/>
        <w:gridCol w:w="241"/>
        <w:gridCol w:w="36"/>
        <w:gridCol w:w="36"/>
        <w:gridCol w:w="3854"/>
        <w:gridCol w:w="36"/>
        <w:gridCol w:w="36"/>
        <w:gridCol w:w="1892"/>
        <w:gridCol w:w="36"/>
        <w:gridCol w:w="36"/>
        <w:gridCol w:w="2449"/>
        <w:gridCol w:w="36"/>
      </w:tblGrid>
      <w:tr w:rsidR="003D72E7" w14:paraId="619DC958" w14:textId="77777777">
        <w:trPr>
          <w:jc w:val="center"/>
        </w:trPr>
        <w:tc>
          <w:tcPr>
            <w:tcW w:w="20" w:type="dxa"/>
            <w:tcBorders>
              <w:top w:val="nil"/>
              <w:left w:val="nil"/>
              <w:bottom w:val="nil"/>
              <w:right w:val="nil"/>
            </w:tcBorders>
            <w:shd w:val="clear" w:color="auto" w:fill="auto"/>
            <w:vAlign w:val="bottom"/>
          </w:tcPr>
          <w:p w14:paraId="619DC949" w14:textId="77777777" w:rsidR="003D72E7" w:rsidRDefault="003D72E7">
            <w:pPr>
              <w:widowControl/>
              <w:jc w:val="left"/>
              <w:rPr>
                <w:rFonts w:ascii="Times New Roman" w:eastAsia="宋体" w:hAnsi="宋体" w:cs="宋体"/>
                <w:kern w:val="0"/>
                <w:sz w:val="24"/>
              </w:rPr>
            </w:pPr>
          </w:p>
        </w:tc>
        <w:tc>
          <w:tcPr>
            <w:tcW w:w="965" w:type="dxa"/>
            <w:tcBorders>
              <w:top w:val="nil"/>
              <w:left w:val="nil"/>
              <w:bottom w:val="nil"/>
              <w:right w:val="nil"/>
            </w:tcBorders>
            <w:shd w:val="clear" w:color="auto" w:fill="auto"/>
            <w:vAlign w:val="bottom"/>
          </w:tcPr>
          <w:p w14:paraId="619DC94A" w14:textId="77777777" w:rsidR="003D72E7" w:rsidRDefault="003D72E7">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619DC94B" w14:textId="77777777" w:rsidR="003D72E7" w:rsidRDefault="003D72E7">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619DC94C" w14:textId="77777777" w:rsidR="003D72E7" w:rsidRDefault="003D72E7">
            <w:pPr>
              <w:widowControl/>
              <w:jc w:val="left"/>
              <w:rPr>
                <w:rFonts w:ascii="Times New Roman" w:eastAsia="宋体" w:hAnsi="宋体" w:cs="宋体"/>
                <w:kern w:val="0"/>
                <w:sz w:val="24"/>
              </w:rPr>
            </w:pPr>
          </w:p>
        </w:tc>
        <w:tc>
          <w:tcPr>
            <w:tcW w:w="245" w:type="dxa"/>
            <w:tcBorders>
              <w:top w:val="nil"/>
              <w:left w:val="nil"/>
              <w:bottom w:val="nil"/>
              <w:right w:val="nil"/>
            </w:tcBorders>
            <w:shd w:val="clear" w:color="auto" w:fill="auto"/>
            <w:vAlign w:val="bottom"/>
          </w:tcPr>
          <w:p w14:paraId="619DC94D" w14:textId="77777777" w:rsidR="003D72E7" w:rsidRDefault="003D72E7">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619DC94E" w14:textId="77777777" w:rsidR="003D72E7" w:rsidRDefault="003D72E7">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619DC94F" w14:textId="77777777" w:rsidR="003D72E7" w:rsidRDefault="003D72E7">
            <w:pPr>
              <w:widowControl/>
              <w:jc w:val="left"/>
              <w:rPr>
                <w:rFonts w:ascii="Times New Roman" w:eastAsia="宋体" w:hAnsi="宋体" w:cs="宋体"/>
                <w:kern w:val="0"/>
                <w:sz w:val="24"/>
              </w:rPr>
            </w:pPr>
          </w:p>
        </w:tc>
        <w:tc>
          <w:tcPr>
            <w:tcW w:w="3920" w:type="dxa"/>
            <w:tcBorders>
              <w:top w:val="nil"/>
              <w:left w:val="nil"/>
              <w:bottom w:val="nil"/>
              <w:right w:val="nil"/>
            </w:tcBorders>
            <w:shd w:val="clear" w:color="auto" w:fill="auto"/>
            <w:vAlign w:val="bottom"/>
          </w:tcPr>
          <w:p w14:paraId="619DC950" w14:textId="77777777" w:rsidR="003D72E7" w:rsidRDefault="003D72E7">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619DC951" w14:textId="77777777" w:rsidR="003D72E7" w:rsidRDefault="003D72E7">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619DC952" w14:textId="77777777" w:rsidR="003D72E7" w:rsidRDefault="003D72E7">
            <w:pPr>
              <w:widowControl/>
              <w:jc w:val="left"/>
              <w:rPr>
                <w:rFonts w:ascii="Times New Roman" w:eastAsia="宋体" w:hAnsi="宋体" w:cs="宋体"/>
                <w:kern w:val="0"/>
                <w:sz w:val="24"/>
              </w:rPr>
            </w:pPr>
          </w:p>
        </w:tc>
        <w:tc>
          <w:tcPr>
            <w:tcW w:w="1925" w:type="dxa"/>
            <w:tcBorders>
              <w:top w:val="nil"/>
              <w:left w:val="nil"/>
              <w:bottom w:val="nil"/>
              <w:right w:val="nil"/>
            </w:tcBorders>
            <w:shd w:val="clear" w:color="auto" w:fill="auto"/>
            <w:vAlign w:val="bottom"/>
          </w:tcPr>
          <w:p w14:paraId="619DC953" w14:textId="77777777" w:rsidR="003D72E7" w:rsidRDefault="003D72E7">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619DC954" w14:textId="77777777" w:rsidR="003D72E7" w:rsidRDefault="003D72E7">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619DC955" w14:textId="77777777" w:rsidR="003D72E7" w:rsidRDefault="003D72E7">
            <w:pPr>
              <w:widowControl/>
              <w:jc w:val="left"/>
              <w:rPr>
                <w:rFonts w:ascii="Times New Roman" w:eastAsia="宋体" w:hAnsi="宋体" w:cs="宋体"/>
                <w:kern w:val="0"/>
                <w:sz w:val="24"/>
              </w:rPr>
            </w:pPr>
          </w:p>
        </w:tc>
        <w:tc>
          <w:tcPr>
            <w:tcW w:w="2495" w:type="dxa"/>
            <w:tcBorders>
              <w:top w:val="nil"/>
              <w:left w:val="nil"/>
              <w:bottom w:val="nil"/>
              <w:right w:val="nil"/>
            </w:tcBorders>
            <w:shd w:val="clear" w:color="auto" w:fill="auto"/>
            <w:vAlign w:val="bottom"/>
          </w:tcPr>
          <w:p w14:paraId="619DC956" w14:textId="77777777" w:rsidR="003D72E7" w:rsidRDefault="003D72E7">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619DC957" w14:textId="77777777" w:rsidR="003D72E7" w:rsidRDefault="003D72E7">
            <w:pPr>
              <w:widowControl/>
              <w:jc w:val="left"/>
              <w:rPr>
                <w:rFonts w:ascii="Times New Roman" w:eastAsia="宋体" w:hAnsi="宋体" w:cs="宋体"/>
                <w:kern w:val="0"/>
                <w:sz w:val="24"/>
              </w:rPr>
            </w:pPr>
          </w:p>
        </w:tc>
      </w:tr>
      <w:tr w:rsidR="003D72E7" w14:paraId="619DC95E" w14:textId="77777777">
        <w:trPr>
          <w:trHeight w:val="280"/>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5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(Mark One)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5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5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95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95D" w14:textId="77777777" w:rsidR="003D72E7" w:rsidRDefault="003D72E7">
            <w:pPr>
              <w:widowControl/>
              <w:jc w:val="left"/>
              <w:rPr>
                <w:rFonts w:ascii="Times New Roman" w:eastAsia="宋体" w:hAnsi="宋体" w:cs="宋体"/>
                <w:kern w:val="0"/>
                <w:sz w:val="24"/>
              </w:rPr>
            </w:pPr>
          </w:p>
        </w:tc>
      </w:tr>
      <w:tr w:rsidR="003D72E7" w14:paraId="619DC962" w14:textId="77777777">
        <w:trPr>
          <w:trHeight w:val="480"/>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19DC95F" w14:textId="77777777" w:rsidR="003D72E7" w:rsidRDefault="00AD6774">
            <w:pPr>
              <w:widowControl/>
              <w:jc w:val="right"/>
              <w:textAlignment w:val="center"/>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6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tcPr>
          <w:p w14:paraId="619DC961" w14:textId="77777777" w:rsidR="003D72E7" w:rsidRDefault="00AD6774">
            <w:pPr>
              <w:widowControl/>
              <w:jc w:val="left"/>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QUARTERLY REPORT PURSUANT TO SECTION 13 OR 15(d) OF THE SECURITIES</w:t>
            </w:r>
            <w:r>
              <w:rPr>
                <w:rFonts w:ascii="Times New Roman" w:eastAsia="宋体" w:hAnsi="Times New Roman" w:cs="Times New Roman"/>
                <w:b/>
                <w:bCs/>
                <w:color w:val="000000"/>
                <w:kern w:val="0"/>
                <w:sz w:val="18"/>
                <w:szCs w:val="18"/>
                <w:lang w:bidi="ar"/>
              </w:rPr>
              <w:br/>
              <w:t>EXCHANGE ACT OF 1934</w:t>
            </w:r>
          </w:p>
        </w:tc>
      </w:tr>
      <w:tr w:rsidR="003D72E7" w14:paraId="619DC968" w14:textId="77777777">
        <w:trPr>
          <w:trHeight w:val="30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96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96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6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For the quarterly period ended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6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July </w:t>
            </w:r>
            <w:r>
              <w:rPr>
                <w:rFonts w:ascii="Times New Roman" w:eastAsia="宋体" w:hAnsi="Times New Roman" w:cs="Times New Roman"/>
                <w:b/>
                <w:bCs/>
                <w:color w:val="000000"/>
                <w:kern w:val="0"/>
                <w:sz w:val="18"/>
                <w:szCs w:val="18"/>
                <w:lang w:bidi="ar"/>
              </w:rPr>
              <w:t>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967" w14:textId="77777777" w:rsidR="003D72E7" w:rsidRDefault="003D72E7">
            <w:pPr>
              <w:widowControl/>
              <w:jc w:val="left"/>
              <w:rPr>
                <w:rFonts w:ascii="Times New Roman" w:eastAsia="宋体" w:hAnsi="宋体" w:cs="宋体"/>
                <w:kern w:val="0"/>
                <w:sz w:val="24"/>
              </w:rPr>
            </w:pPr>
          </w:p>
        </w:tc>
      </w:tr>
      <w:tr w:rsidR="003D72E7" w14:paraId="619DC96A" w14:textId="77777777">
        <w:trPr>
          <w:trHeight w:val="240"/>
          <w:jc w:val="center"/>
        </w:trPr>
        <w:tc>
          <w:tcPr>
            <w:tcW w:w="0" w:type="auto"/>
            <w:gridSpan w:val="15"/>
            <w:tcBorders>
              <w:top w:val="nil"/>
              <w:left w:val="nil"/>
              <w:bottom w:val="nil"/>
              <w:right w:val="nil"/>
            </w:tcBorders>
            <w:shd w:val="clear" w:color="auto" w:fill="auto"/>
            <w:tcMar>
              <w:top w:w="40" w:type="dxa"/>
              <w:left w:w="20" w:type="dxa"/>
              <w:bottom w:w="40" w:type="dxa"/>
              <w:right w:w="20" w:type="dxa"/>
            </w:tcMar>
          </w:tcPr>
          <w:p w14:paraId="619DC969" w14:textId="77777777" w:rsidR="003D72E7" w:rsidRDefault="00AD6774">
            <w:pPr>
              <w:widowControl/>
              <w:jc w:val="center"/>
              <w:textAlignment w:val="top"/>
              <w:rPr>
                <w:rFonts w:ascii="宋体" w:eastAsia="宋体" w:hAnsi="宋体" w:cs="宋体"/>
                <w:kern w:val="0"/>
                <w:sz w:val="24"/>
              </w:rPr>
            </w:pPr>
            <w:r>
              <w:rPr>
                <w:rFonts w:ascii="Times New Roman" w:eastAsia="宋体" w:hAnsi="Times New Roman" w:cs="Times New Roman"/>
                <w:b/>
                <w:bCs/>
                <w:color w:val="000000"/>
                <w:kern w:val="0"/>
                <w:sz w:val="18"/>
                <w:szCs w:val="18"/>
                <w:lang w:bidi="ar"/>
              </w:rPr>
              <w:t>or</w:t>
            </w:r>
          </w:p>
        </w:tc>
      </w:tr>
      <w:tr w:rsidR="003D72E7" w14:paraId="619DC96E" w14:textId="77777777">
        <w:trPr>
          <w:trHeight w:val="460"/>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19DC96B" w14:textId="77777777" w:rsidR="003D72E7" w:rsidRDefault="00AD6774">
            <w:pPr>
              <w:widowControl/>
              <w:jc w:val="right"/>
              <w:textAlignment w:val="center"/>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6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C96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TRANSITION REPORT PURSUANT TO SECTION 13 OR 15(d) OF THE SECURITIES</w:t>
            </w:r>
            <w:r>
              <w:rPr>
                <w:rFonts w:ascii="Times New Roman" w:eastAsia="宋体" w:hAnsi="Times New Roman" w:cs="Times New Roman"/>
                <w:b/>
                <w:bCs/>
                <w:color w:val="000000"/>
                <w:kern w:val="0"/>
                <w:sz w:val="18"/>
                <w:szCs w:val="18"/>
                <w:lang w:bidi="ar"/>
              </w:rPr>
              <w:br/>
              <w:t>EXCHANGE ACT OF 1934</w:t>
            </w:r>
          </w:p>
        </w:tc>
      </w:tr>
      <w:tr w:rsidR="003D72E7" w14:paraId="619DC970" w14:textId="77777777">
        <w:trPr>
          <w:trHeight w:val="280"/>
          <w:jc w:val="center"/>
        </w:trPr>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19DC96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For the transition period from </w:t>
            </w:r>
            <w:r>
              <w:rPr>
                <w:rFonts w:ascii="Times New Roman" w:eastAsia="宋体" w:hAnsi="Times New Roman" w:cs="Times New Roman"/>
                <w:b/>
                <w:bCs/>
                <w:color w:val="000000"/>
                <w:kern w:val="0"/>
                <w:sz w:val="18"/>
                <w:szCs w:val="18"/>
                <w:u w:val="single"/>
                <w:lang w:bidi="ar"/>
              </w:rPr>
              <w:t>          </w:t>
            </w:r>
            <w:r>
              <w:rPr>
                <w:rFonts w:ascii="Times New Roman" w:eastAsia="宋体" w:hAnsi="Times New Roman" w:cs="Times New Roman"/>
                <w:b/>
                <w:bCs/>
                <w:color w:val="000000"/>
                <w:kern w:val="0"/>
                <w:sz w:val="18"/>
                <w:szCs w:val="18"/>
                <w:lang w:bidi="ar"/>
              </w:rPr>
              <w:t xml:space="preserve"> to </w:t>
            </w:r>
            <w:r>
              <w:rPr>
                <w:rFonts w:ascii="Times New Roman" w:eastAsia="宋体" w:hAnsi="Times New Roman" w:cs="Times New Roman"/>
                <w:b/>
                <w:bCs/>
                <w:color w:val="000000"/>
                <w:kern w:val="0"/>
                <w:sz w:val="18"/>
                <w:szCs w:val="18"/>
                <w:u w:val="single"/>
                <w:lang w:bidi="ar"/>
              </w:rPr>
              <w:t>          </w:t>
            </w:r>
          </w:p>
        </w:tc>
      </w:tr>
    </w:tbl>
    <w:p w14:paraId="619DC971"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
          <w:szCs w:val="2"/>
          <w:lang w:bidi="ar"/>
        </w:rPr>
        <w:t xml:space="preserve"> </w:t>
      </w:r>
    </w:p>
    <w:p w14:paraId="619DC97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Commission File Number: 001-37867 </w:t>
      </w:r>
    </w:p>
    <w:p w14:paraId="619DC973" w14:textId="77777777" w:rsidR="003D72E7" w:rsidRDefault="00AD6774">
      <w:pPr>
        <w:widowControl/>
        <w:spacing w:before="60"/>
        <w:jc w:val="left"/>
        <w:rPr>
          <w:rFonts w:ascii="宋体" w:eastAsia="宋体" w:hAnsi="宋体" w:cs="宋体"/>
          <w:kern w:val="0"/>
          <w:sz w:val="24"/>
        </w:rPr>
      </w:pPr>
      <w:r>
        <w:rPr>
          <w:rFonts w:ascii="Times New Roman" w:eastAsia="宋体" w:hAnsi="Times New Roman" w:cs="Times New Roman"/>
          <w:color w:val="000000"/>
          <w:kern w:val="0"/>
          <w:sz w:val="2"/>
          <w:szCs w:val="2"/>
          <w:lang w:bidi="ar"/>
        </w:rPr>
        <w:t xml:space="preserve"> </w:t>
      </w:r>
    </w:p>
    <w:p w14:paraId="619DC974" w14:textId="77777777" w:rsidR="003D72E7" w:rsidRDefault="00AD6774">
      <w:pPr>
        <w:widowControl/>
        <w:spacing w:after="120"/>
        <w:jc w:val="center"/>
        <w:rPr>
          <w:rFonts w:ascii="宋体" w:eastAsia="宋体" w:hAnsi="宋体" w:cs="宋体"/>
          <w:kern w:val="0"/>
          <w:sz w:val="24"/>
        </w:rPr>
      </w:pPr>
      <w:r>
        <w:rPr>
          <w:rFonts w:ascii="Times New Roman" w:eastAsia="宋体" w:hAnsi="Times New Roman" w:cs="Times New Roman"/>
          <w:b/>
          <w:bCs/>
          <w:color w:val="000000"/>
          <w:kern w:val="0"/>
          <w:sz w:val="32"/>
          <w:szCs w:val="32"/>
          <w:lang w:bidi="ar"/>
        </w:rPr>
        <w:t xml:space="preserve">Dell Technologies Inc. </w:t>
      </w:r>
    </w:p>
    <w:p w14:paraId="619DC975" w14:textId="77777777" w:rsidR="003D72E7" w:rsidRDefault="00AD6774">
      <w:pPr>
        <w:widowControl/>
        <w:spacing w:before="60"/>
        <w:jc w:val="center"/>
        <w:rPr>
          <w:rFonts w:ascii="宋体" w:eastAsia="宋体" w:hAnsi="宋体" w:cs="宋体"/>
          <w:kern w:val="0"/>
          <w:sz w:val="24"/>
        </w:rPr>
      </w:pPr>
      <w:r>
        <w:rPr>
          <w:rFonts w:ascii="Times New Roman" w:eastAsia="宋体" w:hAnsi="Times New Roman" w:cs="Times New Roman"/>
          <w:color w:val="000000"/>
          <w:kern w:val="0"/>
          <w:sz w:val="16"/>
          <w:szCs w:val="16"/>
          <w:lang w:bidi="ar"/>
        </w:rPr>
        <w:t xml:space="preserve">(Exact name of </w:t>
      </w:r>
      <w:r>
        <w:rPr>
          <w:rFonts w:ascii="Times New Roman" w:eastAsia="宋体" w:hAnsi="Times New Roman" w:cs="Times New Roman"/>
          <w:color w:val="000000"/>
          <w:kern w:val="0"/>
          <w:sz w:val="16"/>
          <w:szCs w:val="16"/>
          <w:lang w:bidi="ar"/>
        </w:rPr>
        <w:t>registrant as specified in its charter)</w:t>
      </w:r>
      <w:r>
        <w:rPr>
          <w:rFonts w:ascii="Times New Roman" w:eastAsia="宋体" w:hAnsi="Times New Roman" w:cs="Times New Roman"/>
          <w:color w:val="000000"/>
          <w:kern w:val="0"/>
          <w:sz w:val="2"/>
          <w:szCs w:val="2"/>
          <w:lang w:bidi="ar"/>
        </w:rPr>
        <w:t xml:space="preserve"> </w:t>
      </w:r>
    </w:p>
    <w:p w14:paraId="619DC976" w14:textId="77777777" w:rsidR="003D72E7" w:rsidRDefault="00AD6774">
      <w:pPr>
        <w:widowControl/>
        <w:spacing w:before="60" w:after="60"/>
        <w:jc w:val="left"/>
        <w:rPr>
          <w:rFonts w:ascii="宋体" w:eastAsia="宋体" w:hAnsi="宋体" w:cs="宋体"/>
          <w:kern w:val="0"/>
          <w:sz w:val="24"/>
        </w:rPr>
      </w:pPr>
      <w:r>
        <w:rPr>
          <w:rFonts w:ascii="Times New Roman" w:eastAsia="宋体" w:hAnsi="Times New Roman" w:cs="Times New Roman"/>
          <w:color w:val="000000"/>
          <w:kern w:val="0"/>
          <w:sz w:val="2"/>
          <w:szCs w:val="2"/>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0"/>
        <w:gridCol w:w="3933"/>
        <w:gridCol w:w="36"/>
        <w:gridCol w:w="36"/>
        <w:gridCol w:w="205"/>
        <w:gridCol w:w="36"/>
        <w:gridCol w:w="61"/>
        <w:gridCol w:w="3933"/>
        <w:gridCol w:w="36"/>
      </w:tblGrid>
      <w:tr w:rsidR="003D72E7" w14:paraId="619DC980" w14:textId="77777777">
        <w:tc>
          <w:tcPr>
            <w:tcW w:w="50" w:type="pct"/>
            <w:tcBorders>
              <w:top w:val="nil"/>
              <w:left w:val="nil"/>
              <w:bottom w:val="nil"/>
              <w:right w:val="nil"/>
            </w:tcBorders>
            <w:shd w:val="clear" w:color="auto" w:fill="auto"/>
            <w:vAlign w:val="bottom"/>
          </w:tcPr>
          <w:p w14:paraId="619DC977" w14:textId="77777777" w:rsidR="003D72E7" w:rsidRDefault="003D72E7">
            <w:pPr>
              <w:widowControl/>
              <w:jc w:val="left"/>
              <w:rPr>
                <w:rFonts w:ascii="Times New Roman" w:eastAsia="宋体" w:hAnsi="宋体" w:cs="宋体"/>
                <w:kern w:val="0"/>
                <w:sz w:val="24"/>
              </w:rPr>
            </w:pPr>
          </w:p>
        </w:tc>
        <w:tc>
          <w:tcPr>
            <w:tcW w:w="2371" w:type="pct"/>
            <w:tcBorders>
              <w:top w:val="nil"/>
              <w:left w:val="nil"/>
              <w:bottom w:val="nil"/>
              <w:right w:val="nil"/>
            </w:tcBorders>
            <w:shd w:val="clear" w:color="auto" w:fill="auto"/>
            <w:vAlign w:val="bottom"/>
          </w:tcPr>
          <w:p w14:paraId="619DC97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7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7A" w14:textId="77777777" w:rsidR="003D72E7" w:rsidRDefault="003D72E7">
            <w:pPr>
              <w:widowControl/>
              <w:jc w:val="left"/>
              <w:rPr>
                <w:rFonts w:ascii="Times New Roman" w:eastAsia="宋体" w:hAnsi="宋体" w:cs="宋体"/>
                <w:kern w:val="0"/>
                <w:sz w:val="24"/>
              </w:rPr>
            </w:pPr>
          </w:p>
        </w:tc>
        <w:tc>
          <w:tcPr>
            <w:tcW w:w="136" w:type="pct"/>
            <w:tcBorders>
              <w:top w:val="nil"/>
              <w:left w:val="nil"/>
              <w:bottom w:val="nil"/>
              <w:right w:val="nil"/>
            </w:tcBorders>
            <w:shd w:val="clear" w:color="auto" w:fill="auto"/>
            <w:vAlign w:val="bottom"/>
          </w:tcPr>
          <w:p w14:paraId="619DC97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7C"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97D" w14:textId="77777777" w:rsidR="003D72E7" w:rsidRDefault="003D72E7">
            <w:pPr>
              <w:widowControl/>
              <w:jc w:val="left"/>
              <w:rPr>
                <w:rFonts w:ascii="Times New Roman" w:eastAsia="宋体" w:hAnsi="宋体" w:cs="宋体"/>
                <w:kern w:val="0"/>
                <w:sz w:val="24"/>
              </w:rPr>
            </w:pPr>
          </w:p>
        </w:tc>
        <w:tc>
          <w:tcPr>
            <w:tcW w:w="2371" w:type="pct"/>
            <w:tcBorders>
              <w:top w:val="nil"/>
              <w:left w:val="nil"/>
              <w:bottom w:val="nil"/>
              <w:right w:val="nil"/>
            </w:tcBorders>
            <w:shd w:val="clear" w:color="auto" w:fill="auto"/>
            <w:vAlign w:val="bottom"/>
          </w:tcPr>
          <w:p w14:paraId="619DC97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7F" w14:textId="77777777" w:rsidR="003D72E7" w:rsidRDefault="003D72E7">
            <w:pPr>
              <w:widowControl/>
              <w:jc w:val="left"/>
              <w:rPr>
                <w:rFonts w:ascii="Times New Roman" w:eastAsia="宋体" w:hAnsi="宋体" w:cs="宋体"/>
                <w:kern w:val="0"/>
                <w:sz w:val="24"/>
              </w:rPr>
            </w:pPr>
          </w:p>
        </w:tc>
      </w:tr>
      <w:tr w:rsidR="003D72E7" w14:paraId="619DC98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8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Delaware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8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8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80-0890963</w:t>
            </w:r>
          </w:p>
        </w:tc>
      </w:tr>
      <w:tr w:rsidR="003D72E7" w14:paraId="619DC98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8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(State or other jurisdiction of incorporation or organization)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8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8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(I.R.S. Employer Identification No.)</w:t>
            </w:r>
          </w:p>
        </w:tc>
      </w:tr>
    </w:tbl>
    <w:p w14:paraId="619DC989"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One Dell Way, Round Rock, Texas 78682 </w:t>
      </w:r>
    </w:p>
    <w:p w14:paraId="619DC98A"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(Address of principal </w:t>
      </w:r>
      <w:r>
        <w:rPr>
          <w:rFonts w:ascii="Times New Roman" w:eastAsia="宋体" w:hAnsi="Times New Roman" w:cs="Times New Roman"/>
          <w:color w:val="000000"/>
          <w:kern w:val="0"/>
          <w:sz w:val="18"/>
          <w:szCs w:val="18"/>
          <w:lang w:bidi="ar"/>
        </w:rPr>
        <w:t>executive offices) (Zip Code)</w:t>
      </w:r>
    </w:p>
    <w:p w14:paraId="619DC98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98C"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18"/>
          <w:szCs w:val="18"/>
          <w:lang w:bidi="ar"/>
        </w:rPr>
        <w:t>1-800-289-3355</w:t>
      </w:r>
      <w:r>
        <w:rPr>
          <w:rFonts w:ascii="Times New Roman" w:eastAsia="宋体" w:hAnsi="Times New Roman" w:cs="Times New Roman"/>
          <w:color w:val="000000"/>
          <w:kern w:val="0"/>
          <w:sz w:val="18"/>
          <w:szCs w:val="18"/>
          <w:lang w:bidi="ar"/>
        </w:rPr>
        <w:t xml:space="preserve"> </w:t>
      </w:r>
    </w:p>
    <w:p w14:paraId="619DC98D"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(Registrant’s telephone number, including area code)</w:t>
      </w:r>
    </w:p>
    <w:p w14:paraId="619DC98E"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98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18"/>
          <w:szCs w:val="18"/>
          <w:lang w:bidi="ar"/>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307"/>
        <w:gridCol w:w="37"/>
        <w:gridCol w:w="69"/>
        <w:gridCol w:w="1405"/>
        <w:gridCol w:w="36"/>
        <w:gridCol w:w="69"/>
        <w:gridCol w:w="3308"/>
        <w:gridCol w:w="36"/>
      </w:tblGrid>
      <w:tr w:rsidR="003D72E7" w14:paraId="619DC999" w14:textId="77777777">
        <w:trPr>
          <w:jc w:val="center"/>
        </w:trPr>
        <w:tc>
          <w:tcPr>
            <w:tcW w:w="50" w:type="pct"/>
            <w:tcBorders>
              <w:top w:val="nil"/>
              <w:left w:val="nil"/>
              <w:bottom w:val="nil"/>
              <w:right w:val="nil"/>
            </w:tcBorders>
            <w:shd w:val="clear" w:color="auto" w:fill="auto"/>
            <w:vAlign w:val="bottom"/>
          </w:tcPr>
          <w:p w14:paraId="619DC990" w14:textId="77777777" w:rsidR="003D72E7" w:rsidRDefault="003D72E7">
            <w:pPr>
              <w:widowControl/>
              <w:jc w:val="left"/>
              <w:rPr>
                <w:rFonts w:ascii="Times New Roman" w:eastAsia="宋体" w:hAnsi="宋体" w:cs="宋体"/>
                <w:kern w:val="0"/>
                <w:sz w:val="24"/>
              </w:rPr>
            </w:pPr>
          </w:p>
        </w:tc>
        <w:tc>
          <w:tcPr>
            <w:tcW w:w="1991" w:type="pct"/>
            <w:tcBorders>
              <w:top w:val="nil"/>
              <w:left w:val="nil"/>
              <w:bottom w:val="nil"/>
              <w:right w:val="nil"/>
            </w:tcBorders>
            <w:shd w:val="clear" w:color="auto" w:fill="auto"/>
            <w:vAlign w:val="bottom"/>
          </w:tcPr>
          <w:p w14:paraId="619DC99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92"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993" w14:textId="77777777" w:rsidR="003D72E7" w:rsidRDefault="003D72E7">
            <w:pPr>
              <w:widowControl/>
              <w:jc w:val="left"/>
              <w:rPr>
                <w:rFonts w:ascii="Times New Roman" w:eastAsia="宋体" w:hAnsi="宋体" w:cs="宋体"/>
                <w:kern w:val="0"/>
                <w:sz w:val="24"/>
              </w:rPr>
            </w:pPr>
          </w:p>
        </w:tc>
        <w:tc>
          <w:tcPr>
            <w:tcW w:w="851" w:type="pct"/>
            <w:tcBorders>
              <w:top w:val="nil"/>
              <w:left w:val="nil"/>
              <w:bottom w:val="nil"/>
              <w:right w:val="nil"/>
            </w:tcBorders>
            <w:shd w:val="clear" w:color="auto" w:fill="auto"/>
            <w:vAlign w:val="bottom"/>
          </w:tcPr>
          <w:p w14:paraId="619DC99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9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996" w14:textId="77777777" w:rsidR="003D72E7" w:rsidRDefault="003D72E7">
            <w:pPr>
              <w:widowControl/>
              <w:jc w:val="left"/>
              <w:rPr>
                <w:rFonts w:ascii="Times New Roman" w:eastAsia="宋体" w:hAnsi="宋体" w:cs="宋体"/>
                <w:kern w:val="0"/>
                <w:sz w:val="24"/>
              </w:rPr>
            </w:pPr>
          </w:p>
        </w:tc>
        <w:tc>
          <w:tcPr>
            <w:tcW w:w="1991" w:type="pct"/>
            <w:tcBorders>
              <w:top w:val="nil"/>
              <w:left w:val="nil"/>
              <w:bottom w:val="nil"/>
              <w:right w:val="nil"/>
            </w:tcBorders>
            <w:shd w:val="clear" w:color="auto" w:fill="auto"/>
            <w:vAlign w:val="bottom"/>
          </w:tcPr>
          <w:p w14:paraId="619DC99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98" w14:textId="77777777" w:rsidR="003D72E7" w:rsidRDefault="003D72E7">
            <w:pPr>
              <w:widowControl/>
              <w:jc w:val="left"/>
              <w:rPr>
                <w:rFonts w:ascii="Times New Roman" w:eastAsia="宋体" w:hAnsi="宋体" w:cs="宋体"/>
                <w:kern w:val="0"/>
                <w:sz w:val="24"/>
              </w:rPr>
            </w:pPr>
          </w:p>
        </w:tc>
      </w:tr>
      <w:tr w:rsidR="003D72E7" w14:paraId="619DC99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9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Title of each class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9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Trading Symbol(s)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9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u w:val="single"/>
                <w:lang w:bidi="ar"/>
              </w:rPr>
              <w:t xml:space="preserve">Name of each exchange on which </w:t>
            </w:r>
            <w:r>
              <w:rPr>
                <w:rFonts w:ascii="Times New Roman" w:eastAsia="宋体" w:hAnsi="Times New Roman" w:cs="Times New Roman"/>
                <w:color w:val="000000"/>
                <w:kern w:val="0"/>
                <w:sz w:val="18"/>
                <w:szCs w:val="18"/>
                <w:u w:val="single"/>
                <w:lang w:bidi="ar"/>
              </w:rPr>
              <w:t>registered</w:t>
            </w:r>
          </w:p>
        </w:tc>
      </w:tr>
      <w:tr w:rsidR="003D72E7" w14:paraId="619DC9A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9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Class C Common Stock, par value $0.01 per share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9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9"/>
                <w:szCs w:val="19"/>
                <w:lang w:bidi="ar"/>
              </w:rPr>
              <w:t>DELL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A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New York Stock Exchange</w:t>
            </w:r>
          </w:p>
        </w:tc>
      </w:tr>
    </w:tbl>
    <w:p w14:paraId="619DC9A2" w14:textId="77777777" w:rsidR="003D72E7" w:rsidRDefault="00AD6774">
      <w:pPr>
        <w:widowControl/>
        <w:spacing w:after="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C9A3"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18"/>
          <w:szCs w:val="18"/>
          <w:lang w:bidi="ar"/>
        </w:rPr>
        <w:lastRenderedPageBreak/>
        <w:t>Indicate by check mark whether the registrant (1) has filed all reports required to be filed by Section 13 or 15(d) of the Securities Exchange Act of 1934 during th</w:t>
      </w:r>
      <w:r>
        <w:rPr>
          <w:rFonts w:ascii="Times New Roman" w:eastAsia="宋体" w:hAnsi="Times New Roman" w:cs="Times New Roman"/>
          <w:color w:val="000000"/>
          <w:kern w:val="0"/>
          <w:sz w:val="18"/>
          <w:szCs w:val="18"/>
          <w:lang w:bidi="ar"/>
        </w:rPr>
        <w:t xml:space="preserve">e preceding 12 months (or for such shorter period that the registrant was required to file such reports), and (2) has been subject to such filing requirements for the past 90 days. Yes </w:t>
      </w:r>
      <w:r>
        <w:rPr>
          <w:rFonts w:ascii="Wingdings" w:eastAsia="宋体" w:hAnsi="Wingdings" w:cs="Wingdings"/>
          <w:color w:val="000000"/>
          <w:kern w:val="0"/>
          <w:sz w:val="18"/>
          <w:szCs w:val="18"/>
          <w:lang w:bidi="ar"/>
        </w:rPr>
        <w:t>þ</w:t>
      </w:r>
      <w:r>
        <w:rPr>
          <w:rFonts w:ascii="Times New Roman" w:eastAsia="宋体" w:hAnsi="Times New Roman" w:cs="Times New Roman"/>
          <w:b/>
          <w:bCs/>
          <w:color w:val="000000"/>
          <w:kern w:val="0"/>
          <w:sz w:val="18"/>
          <w:szCs w:val="18"/>
          <w:lang w:bidi="ar"/>
        </w:rPr>
        <w:t xml:space="preserve"> </w:t>
      </w:r>
      <w:r>
        <w:rPr>
          <w:rFonts w:ascii="Times New Roman" w:eastAsia="宋体" w:hAnsi="Times New Roman" w:cs="Times New Roman"/>
          <w:color w:val="000000"/>
          <w:kern w:val="0"/>
          <w:sz w:val="18"/>
          <w:szCs w:val="18"/>
          <w:lang w:bidi="ar"/>
        </w:rPr>
        <w:t xml:space="preserve">No </w:t>
      </w:r>
      <w:r>
        <w:rPr>
          <w:rFonts w:ascii="Wingdings" w:eastAsia="宋体" w:hAnsi="Wingdings" w:cs="Wingdings"/>
          <w:color w:val="000000"/>
          <w:kern w:val="0"/>
          <w:sz w:val="18"/>
          <w:szCs w:val="18"/>
          <w:lang w:bidi="ar"/>
        </w:rPr>
        <w:t>¨</w:t>
      </w:r>
    </w:p>
    <w:p w14:paraId="619DC9A4" w14:textId="77777777" w:rsidR="003D72E7" w:rsidRDefault="00AD6774">
      <w:pPr>
        <w:widowControl/>
        <w:spacing w:after="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C9A5"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18"/>
          <w:szCs w:val="18"/>
          <w:lang w:bidi="ar"/>
        </w:rPr>
        <w:t>Indicate by check mark whether the registrant has submitted electronically every Interactive Data File required to be submitted pursuant to Rule 405 of Regulation S-T during the preceding 12 months (or for such shorter period that the registrant was requir</w:t>
      </w:r>
      <w:r>
        <w:rPr>
          <w:rFonts w:ascii="Times New Roman" w:eastAsia="宋体" w:hAnsi="Times New Roman" w:cs="Times New Roman"/>
          <w:color w:val="000000"/>
          <w:kern w:val="0"/>
          <w:sz w:val="18"/>
          <w:szCs w:val="18"/>
          <w:lang w:bidi="ar"/>
        </w:rPr>
        <w:t xml:space="preserve">ed to submit such files). Yes </w:t>
      </w:r>
      <w:r>
        <w:rPr>
          <w:rFonts w:ascii="Wingdings" w:eastAsia="宋体" w:hAnsi="Wingdings" w:cs="Wingdings"/>
          <w:color w:val="000000"/>
          <w:kern w:val="0"/>
          <w:sz w:val="18"/>
          <w:szCs w:val="18"/>
          <w:lang w:bidi="ar"/>
        </w:rPr>
        <w:t>þ</w:t>
      </w:r>
      <w:r>
        <w:rPr>
          <w:rFonts w:ascii="Times New Roman" w:eastAsia="宋体" w:hAnsi="Times New Roman" w:cs="Times New Roman"/>
          <w:b/>
          <w:bCs/>
          <w:color w:val="000000"/>
          <w:kern w:val="0"/>
          <w:sz w:val="18"/>
          <w:szCs w:val="18"/>
          <w:lang w:bidi="ar"/>
        </w:rPr>
        <w:t xml:space="preserve"> </w:t>
      </w:r>
      <w:r>
        <w:rPr>
          <w:rFonts w:ascii="Times New Roman" w:eastAsia="宋体" w:hAnsi="Times New Roman" w:cs="Times New Roman"/>
          <w:color w:val="000000"/>
          <w:kern w:val="0"/>
          <w:sz w:val="18"/>
          <w:szCs w:val="18"/>
          <w:lang w:bidi="ar"/>
        </w:rPr>
        <w:t xml:space="preserve">No </w:t>
      </w:r>
      <w:r>
        <w:rPr>
          <w:rFonts w:ascii="Wingdings" w:eastAsia="宋体" w:hAnsi="Wingdings" w:cs="Wingdings"/>
          <w:color w:val="000000"/>
          <w:kern w:val="0"/>
          <w:sz w:val="18"/>
          <w:szCs w:val="18"/>
          <w:lang w:bidi="ar"/>
        </w:rPr>
        <w:t>¨</w:t>
      </w:r>
    </w:p>
    <w:p w14:paraId="619DC9A6" w14:textId="77777777" w:rsidR="003D72E7" w:rsidRDefault="00AD6774">
      <w:pPr>
        <w:widowControl/>
        <w:spacing w:after="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C9A7"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18"/>
          <w:szCs w:val="18"/>
          <w:lang w:bidi="ar"/>
        </w:rPr>
        <w:t>Indicate by check mark whether the registrant is a large accelerated filer, an accelerated filer, a non-accelerated filer, a smaller reporting company, or an emerging growth company. See the definitions of “large acce</w:t>
      </w:r>
      <w:r>
        <w:rPr>
          <w:rFonts w:ascii="Times New Roman" w:eastAsia="宋体" w:hAnsi="Times New Roman" w:cs="Times New Roman"/>
          <w:color w:val="000000"/>
          <w:kern w:val="0"/>
          <w:sz w:val="18"/>
          <w:szCs w:val="18"/>
          <w:lang w:bidi="ar"/>
        </w:rPr>
        <w:t xml:space="preserve">lerated filer,” “accelerated filer,” “smaller reporting company,” and “emerging growth company” in Rule 12b-2 of the Exchange Act.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70"/>
        <w:gridCol w:w="1339"/>
        <w:gridCol w:w="37"/>
        <w:gridCol w:w="37"/>
        <w:gridCol w:w="184"/>
        <w:gridCol w:w="36"/>
        <w:gridCol w:w="43"/>
        <w:gridCol w:w="4324"/>
        <w:gridCol w:w="36"/>
        <w:gridCol w:w="36"/>
        <w:gridCol w:w="205"/>
        <w:gridCol w:w="36"/>
        <w:gridCol w:w="61"/>
        <w:gridCol w:w="1594"/>
        <w:gridCol w:w="36"/>
        <w:gridCol w:w="61"/>
        <w:gridCol w:w="165"/>
        <w:gridCol w:w="36"/>
      </w:tblGrid>
      <w:tr w:rsidR="003D72E7" w14:paraId="619DC9BA" w14:textId="77777777">
        <w:tc>
          <w:tcPr>
            <w:tcW w:w="50" w:type="pct"/>
            <w:tcBorders>
              <w:top w:val="nil"/>
              <w:left w:val="nil"/>
              <w:bottom w:val="nil"/>
              <w:right w:val="nil"/>
            </w:tcBorders>
            <w:shd w:val="clear" w:color="auto" w:fill="auto"/>
            <w:vAlign w:val="bottom"/>
          </w:tcPr>
          <w:p w14:paraId="619DC9A8" w14:textId="77777777" w:rsidR="003D72E7" w:rsidRDefault="003D72E7">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619DC9A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A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AB" w14:textId="77777777" w:rsidR="003D72E7" w:rsidRDefault="003D72E7">
            <w:pPr>
              <w:widowControl/>
              <w:jc w:val="left"/>
              <w:rPr>
                <w:rFonts w:ascii="Times New Roman" w:eastAsia="宋体" w:hAnsi="宋体" w:cs="宋体"/>
                <w:kern w:val="0"/>
                <w:sz w:val="24"/>
              </w:rPr>
            </w:pPr>
          </w:p>
        </w:tc>
        <w:tc>
          <w:tcPr>
            <w:tcW w:w="113" w:type="pct"/>
            <w:tcBorders>
              <w:top w:val="nil"/>
              <w:left w:val="nil"/>
              <w:bottom w:val="nil"/>
              <w:right w:val="nil"/>
            </w:tcBorders>
            <w:shd w:val="clear" w:color="auto" w:fill="auto"/>
            <w:vAlign w:val="bottom"/>
          </w:tcPr>
          <w:p w14:paraId="619DC9A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A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9AE" w14:textId="77777777" w:rsidR="003D72E7" w:rsidRDefault="003D72E7">
            <w:pPr>
              <w:widowControl/>
              <w:jc w:val="left"/>
              <w:rPr>
                <w:rFonts w:ascii="Times New Roman" w:eastAsia="宋体" w:hAnsi="宋体" w:cs="宋体"/>
                <w:kern w:val="0"/>
                <w:sz w:val="24"/>
              </w:rPr>
            </w:pPr>
          </w:p>
        </w:tc>
        <w:tc>
          <w:tcPr>
            <w:tcW w:w="2605" w:type="pct"/>
            <w:tcBorders>
              <w:top w:val="nil"/>
              <w:left w:val="nil"/>
              <w:bottom w:val="nil"/>
              <w:right w:val="nil"/>
            </w:tcBorders>
            <w:shd w:val="clear" w:color="auto" w:fill="auto"/>
            <w:vAlign w:val="bottom"/>
          </w:tcPr>
          <w:p w14:paraId="619DC9A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B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B1" w14:textId="77777777" w:rsidR="003D72E7" w:rsidRDefault="003D72E7">
            <w:pPr>
              <w:widowControl/>
              <w:jc w:val="left"/>
              <w:rPr>
                <w:rFonts w:ascii="Times New Roman" w:eastAsia="宋体" w:hAnsi="宋体" w:cs="宋体"/>
                <w:kern w:val="0"/>
                <w:sz w:val="24"/>
              </w:rPr>
            </w:pPr>
          </w:p>
        </w:tc>
        <w:tc>
          <w:tcPr>
            <w:tcW w:w="136" w:type="pct"/>
            <w:tcBorders>
              <w:top w:val="nil"/>
              <w:left w:val="nil"/>
              <w:bottom w:val="nil"/>
              <w:right w:val="nil"/>
            </w:tcBorders>
            <w:shd w:val="clear" w:color="auto" w:fill="auto"/>
            <w:vAlign w:val="bottom"/>
          </w:tcPr>
          <w:p w14:paraId="619DC9B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B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9B4" w14:textId="77777777" w:rsidR="003D72E7" w:rsidRDefault="003D72E7">
            <w:pPr>
              <w:widowControl/>
              <w:jc w:val="left"/>
              <w:rPr>
                <w:rFonts w:ascii="Times New Roman" w:eastAsia="宋体" w:hAnsi="宋体" w:cs="宋体"/>
                <w:kern w:val="0"/>
                <w:sz w:val="24"/>
              </w:rPr>
            </w:pPr>
          </w:p>
        </w:tc>
        <w:tc>
          <w:tcPr>
            <w:tcW w:w="968" w:type="pct"/>
            <w:tcBorders>
              <w:top w:val="nil"/>
              <w:left w:val="nil"/>
              <w:bottom w:val="nil"/>
              <w:right w:val="nil"/>
            </w:tcBorders>
            <w:shd w:val="clear" w:color="auto" w:fill="auto"/>
            <w:vAlign w:val="bottom"/>
          </w:tcPr>
          <w:p w14:paraId="619DC9B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B6"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9B7" w14:textId="77777777" w:rsidR="003D72E7" w:rsidRDefault="003D72E7">
            <w:pPr>
              <w:widowControl/>
              <w:jc w:val="left"/>
              <w:rPr>
                <w:rFonts w:ascii="Times New Roman" w:eastAsia="宋体" w:hAnsi="宋体" w:cs="宋体"/>
                <w:kern w:val="0"/>
                <w:sz w:val="24"/>
              </w:rPr>
            </w:pPr>
          </w:p>
        </w:tc>
        <w:tc>
          <w:tcPr>
            <w:tcW w:w="112" w:type="pct"/>
            <w:tcBorders>
              <w:top w:val="nil"/>
              <w:left w:val="nil"/>
              <w:bottom w:val="nil"/>
              <w:right w:val="nil"/>
            </w:tcBorders>
            <w:shd w:val="clear" w:color="auto" w:fill="auto"/>
            <w:vAlign w:val="bottom"/>
          </w:tcPr>
          <w:p w14:paraId="619DC9B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B9" w14:textId="77777777" w:rsidR="003D72E7" w:rsidRDefault="003D72E7">
            <w:pPr>
              <w:widowControl/>
              <w:jc w:val="left"/>
              <w:rPr>
                <w:rFonts w:ascii="Times New Roman" w:eastAsia="宋体" w:hAnsi="宋体" w:cs="宋体"/>
                <w:kern w:val="0"/>
                <w:sz w:val="24"/>
              </w:rPr>
            </w:pPr>
          </w:p>
        </w:tc>
      </w:tr>
      <w:tr w:rsidR="003D72E7" w14:paraId="619DC9C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B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Large 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BC" w14:textId="77777777" w:rsidR="003D72E7" w:rsidRDefault="00AD6774">
            <w:pPr>
              <w:widowControl/>
              <w:jc w:val="left"/>
              <w:textAlignment w:val="bottom"/>
              <w:rPr>
                <w:rFonts w:ascii="宋体" w:eastAsia="宋体" w:hAnsi="宋体" w:cs="宋体"/>
                <w:kern w:val="0"/>
                <w:sz w:val="24"/>
              </w:rPr>
            </w:pPr>
            <w:r>
              <w:rPr>
                <w:rFonts w:ascii="Wingdings" w:eastAsia="宋体" w:hAnsi="Wingdings" w:cs="Wingdings"/>
                <w:color w:val="000000"/>
                <w:kern w:val="0"/>
                <w:sz w:val="18"/>
                <w:szCs w:val="18"/>
                <w:lang w:bidi="ar"/>
              </w:rPr>
              <w:t>þ</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9B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B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B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Accelerated filer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C0" w14:textId="77777777" w:rsidR="003D72E7" w:rsidRDefault="00AD6774">
            <w:pPr>
              <w:widowControl/>
              <w:jc w:val="left"/>
              <w:textAlignment w:val="bottom"/>
              <w:rPr>
                <w:rFonts w:ascii="宋体" w:eastAsia="宋体" w:hAnsi="宋体" w:cs="宋体"/>
                <w:kern w:val="0"/>
                <w:sz w:val="24"/>
              </w:rPr>
            </w:pPr>
            <w:r>
              <w:rPr>
                <w:rFonts w:ascii="Wingdings" w:eastAsia="宋体" w:hAnsi="Wingdings" w:cs="Wingdings"/>
                <w:color w:val="000000"/>
                <w:kern w:val="0"/>
                <w:sz w:val="18"/>
                <w:szCs w:val="18"/>
                <w:lang w:bidi="ar"/>
              </w:rPr>
              <w:t>¨</w:t>
            </w:r>
          </w:p>
        </w:tc>
      </w:tr>
      <w:tr w:rsidR="003D72E7" w14:paraId="619DC9C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C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Non-accelerated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C3" w14:textId="77777777" w:rsidR="003D72E7" w:rsidRDefault="00AD6774">
            <w:pPr>
              <w:widowControl/>
              <w:jc w:val="left"/>
              <w:textAlignment w:val="bottom"/>
              <w:rPr>
                <w:rFonts w:ascii="宋体" w:eastAsia="宋体" w:hAnsi="宋体" w:cs="宋体"/>
                <w:kern w:val="0"/>
                <w:sz w:val="24"/>
              </w:rPr>
            </w:pPr>
            <w:r>
              <w:rPr>
                <w:rFonts w:ascii="Wingdings" w:eastAsia="宋体" w:hAnsi="Wingdings" w:cs="Wingdings"/>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9C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C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C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xml:space="preserve">Smaller reporting </w:t>
            </w:r>
            <w:r>
              <w:rPr>
                <w:rFonts w:ascii="Times New Roman" w:eastAsia="宋体" w:hAnsi="Times New Roman" w:cs="Times New Roman"/>
                <w:color w:val="000000"/>
                <w:kern w:val="0"/>
                <w:sz w:val="18"/>
                <w:szCs w:val="18"/>
                <w:lang w:bidi="ar"/>
              </w:rPr>
              <w:t>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C7" w14:textId="77777777" w:rsidR="003D72E7" w:rsidRDefault="00AD6774">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r w:rsidR="003D72E7" w14:paraId="619DC9C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9C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9C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9C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9C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C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Emerging growth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CE" w14:textId="77777777" w:rsidR="003D72E7" w:rsidRDefault="00AD6774">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bl>
    <w:p w14:paraId="619DC9D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18"/>
          <w:szCs w:val="18"/>
          <w:shd w:val="clear" w:color="auto" w:fill="FFFFFF"/>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kern w:val="0"/>
          <w:sz w:val="18"/>
          <w:szCs w:val="18"/>
          <w:shd w:val="clear" w:color="auto" w:fill="FFFFFF"/>
          <w:lang w:bidi="ar"/>
        </w:rPr>
        <w:t>¨</w:t>
      </w:r>
    </w:p>
    <w:p w14:paraId="619DC9D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C9D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18"/>
          <w:szCs w:val="18"/>
          <w:shd w:val="clear" w:color="auto" w:fill="FFFFFF"/>
          <w:lang w:bidi="ar"/>
        </w:rPr>
        <w:t>Indicate by check mark whether the registrant is a shell company (as defined in Rule 12b-2 of the Exchang</w:t>
      </w:r>
      <w:r>
        <w:rPr>
          <w:rFonts w:ascii="Times New Roman" w:eastAsia="宋体" w:hAnsi="Times New Roman" w:cs="Times New Roman"/>
          <w:color w:val="000000"/>
          <w:kern w:val="0"/>
          <w:sz w:val="18"/>
          <w:szCs w:val="18"/>
          <w:lang w:bidi="ar"/>
        </w:rPr>
        <w:t xml:space="preserve">e Act). Yes </w:t>
      </w:r>
      <w:r>
        <w:rPr>
          <w:rFonts w:ascii="Arial Unicode MS" w:eastAsia="Arial Unicode MS" w:hAnsi="Arial Unicode MS" w:cs="Arial Unicode MS" w:hint="eastAsia"/>
          <w:color w:val="000000"/>
          <w:kern w:val="0"/>
          <w:sz w:val="18"/>
          <w:szCs w:val="18"/>
          <w:lang w:bidi="ar"/>
        </w:rPr>
        <w:t>☐</w:t>
      </w:r>
      <w:r>
        <w:rPr>
          <w:rFonts w:ascii="Times New Roman" w:eastAsia="宋体" w:hAnsi="Times New Roman" w:cs="Times New Roman"/>
          <w:b/>
          <w:bCs/>
          <w:color w:val="000000"/>
          <w:kern w:val="0"/>
          <w:sz w:val="18"/>
          <w:szCs w:val="18"/>
          <w:lang w:bidi="ar"/>
        </w:rPr>
        <w:t xml:space="preserve"> </w:t>
      </w:r>
      <w:r>
        <w:rPr>
          <w:rFonts w:ascii="Times New Roman" w:eastAsia="宋体" w:hAnsi="Times New Roman" w:cs="Times New Roman"/>
          <w:color w:val="000000"/>
          <w:kern w:val="0"/>
          <w:sz w:val="18"/>
          <w:szCs w:val="18"/>
          <w:lang w:bidi="ar"/>
        </w:rPr>
        <w:t xml:space="preserve">No </w:t>
      </w:r>
      <w:r>
        <w:rPr>
          <w:rFonts w:ascii="Wingdings" w:eastAsia="宋体" w:hAnsi="Wingdings" w:cs="Wingdings"/>
          <w:color w:val="000000"/>
          <w:kern w:val="0"/>
          <w:sz w:val="18"/>
          <w:szCs w:val="18"/>
          <w:lang w:bidi="ar"/>
        </w:rPr>
        <w:t>þ</w:t>
      </w:r>
    </w:p>
    <w:p w14:paraId="619DC9D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C9D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18"/>
          <w:szCs w:val="18"/>
          <w:lang w:bidi="ar"/>
        </w:rPr>
        <w:t>As of August 30, 2021, there were 765,116,151 shares of the registrant’s common stock outstanding, consisting of 290,849,038 outst</w:t>
      </w:r>
      <w:r>
        <w:rPr>
          <w:rFonts w:ascii="Times New Roman" w:eastAsia="宋体" w:hAnsi="Times New Roman" w:cs="Times New Roman"/>
          <w:color w:val="000000"/>
          <w:kern w:val="0"/>
          <w:sz w:val="18"/>
          <w:szCs w:val="18"/>
          <w:lang w:bidi="ar"/>
        </w:rPr>
        <w:t>anding shares of Class C Common Stock, 378,916,886 outstanding shares of Class A Common Stock, and 95,350,227 outstanding shares of Class B Common Stock.</w:t>
      </w:r>
    </w:p>
    <w:p w14:paraId="619DC9D5"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9D6"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p w14:paraId="619DC9D7"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9D8" w14:textId="77777777" w:rsidR="003D72E7" w:rsidRDefault="00AD6774">
      <w:pPr>
        <w:widowControl/>
        <w:jc w:val="center"/>
      </w:pPr>
      <w:r>
        <w:rPr>
          <w:rFonts w:ascii="宋体" w:eastAsia="宋体" w:hAnsi="宋体" w:cs="宋体"/>
          <w:kern w:val="0"/>
          <w:sz w:val="24"/>
        </w:rPr>
        <w:pict w14:anchorId="619E0D6C">
          <v:rect id="_x0000_i1025" style="width:6in;height:1.5pt" o:hralign="center" o:hrstd="t" o:hr="t" fillcolor="#a0a0a0" stroked="f"/>
        </w:pict>
      </w:r>
    </w:p>
    <w:p w14:paraId="619DC9D9"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C9DA" w14:textId="77777777" w:rsidR="003D72E7" w:rsidRDefault="00AD6774">
      <w:pPr>
        <w:widowControl/>
        <w:spacing w:after="12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CAUTIONARY NOTE REGARDING FORWARD-LOOKING STATEMENTS</w:t>
      </w:r>
    </w:p>
    <w:p w14:paraId="619DC9D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This report contains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forward-looking statements</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within the meaning of Section 27A of the Securities Act of 1933 and Section </w:t>
      </w:r>
      <w:r>
        <w:rPr>
          <w:rFonts w:ascii="Times New Roman" w:eastAsia="宋体" w:hAnsi="Times New Roman" w:cs="Times New Roman"/>
          <w:color w:val="000000"/>
          <w:kern w:val="0"/>
          <w:sz w:val="20"/>
          <w:szCs w:val="20"/>
          <w:lang w:bidi="ar"/>
        </w:rPr>
        <w:t xml:space="preserve">21E of the Securities Exchange Act of 1934. The words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may,</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will,</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anticipate,</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estimate,</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expect,</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intend,</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plan,</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aim,</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seek,</w:t>
      </w:r>
      <w:r>
        <w:rPr>
          <w:rFonts w:ascii="Times New Roman" w:eastAsia="宋体" w:hAnsi="Times New Roman" w:cs="Times New Roman"/>
          <w:color w:val="000000"/>
          <w:kern w:val="0"/>
          <w:sz w:val="18"/>
          <w:szCs w:val="18"/>
          <w:shd w:val="clear" w:color="auto" w:fill="FFFFFF"/>
          <w:lang w:bidi="ar"/>
        </w:rPr>
        <w:t>”</w:t>
      </w:r>
      <w:r>
        <w:rPr>
          <w:rFonts w:ascii="Times New Roman" w:eastAsia="宋体" w:hAnsi="Times New Roman" w:cs="Times New Roman"/>
          <w:color w:val="000000"/>
          <w:kern w:val="0"/>
          <w:sz w:val="20"/>
          <w:szCs w:val="20"/>
          <w:lang w:bidi="ar"/>
        </w:rPr>
        <w:t xml:space="preserve"> and similar expressions as they relate to us or our management are intended to identify these forward-looking statements. All statements by us regarding our expected financial position, revenues, cash flows and other operating results, business strategy, </w:t>
      </w:r>
      <w:r>
        <w:rPr>
          <w:rFonts w:ascii="Times New Roman" w:eastAsia="宋体" w:hAnsi="Times New Roman" w:cs="Times New Roman"/>
          <w:color w:val="000000"/>
          <w:kern w:val="0"/>
          <w:sz w:val="20"/>
          <w:szCs w:val="20"/>
          <w:lang w:bidi="ar"/>
        </w:rPr>
        <w:t xml:space="preserve">legal proceedings, future responses to and effects of the coronavirus disease 2019 </w:t>
      </w:r>
      <w:r>
        <w:rPr>
          <w:rFonts w:ascii="Times New Roman" w:eastAsia="宋体" w:hAnsi="Times New Roman" w:cs="Times New Roman"/>
          <w:color w:val="000000"/>
          <w:kern w:val="0"/>
          <w:sz w:val="20"/>
          <w:szCs w:val="20"/>
          <w:lang w:bidi="ar"/>
        </w:rPr>
        <w:lastRenderedPageBreak/>
        <w:t>(“COVID-19”), and similar matters are forward-looking statements. Our expectations expressed or implied in these forward-looking statements may not turn out to be correct. O</w:t>
      </w:r>
      <w:r>
        <w:rPr>
          <w:rFonts w:ascii="Times New Roman" w:eastAsia="宋体" w:hAnsi="Times New Roman" w:cs="Times New Roman"/>
          <w:color w:val="000000"/>
          <w:kern w:val="0"/>
          <w:sz w:val="20"/>
          <w:szCs w:val="20"/>
          <w:lang w:bidi="ar"/>
        </w:rPr>
        <w:t xml:space="preserve">ur results could be materially different from our expectations because of various risks, including the risks discussed in “Part I — Item 1A — Risk Factors” in our Annual Report on Form 10-K for the fiscal year ended January 29, 2021, in this report and in </w:t>
      </w:r>
      <w:r>
        <w:rPr>
          <w:rFonts w:ascii="Times New Roman" w:eastAsia="宋体" w:hAnsi="Times New Roman" w:cs="Times New Roman"/>
          <w:color w:val="000000"/>
          <w:kern w:val="0"/>
          <w:sz w:val="20"/>
          <w:szCs w:val="20"/>
          <w:lang w:bidi="ar"/>
        </w:rPr>
        <w:t>our other periodic and current reports filed with the Securities and Exchange Commission (“SEC”). Any forward-looking statement speaks only as of the date as of which such statement is made, and, except as required by law, we undertake no obligation to upd</w:t>
      </w:r>
      <w:r>
        <w:rPr>
          <w:rFonts w:ascii="Times New Roman" w:eastAsia="宋体" w:hAnsi="Times New Roman" w:cs="Times New Roman"/>
          <w:color w:val="000000"/>
          <w:kern w:val="0"/>
          <w:sz w:val="20"/>
          <w:szCs w:val="20"/>
          <w:lang w:bidi="ar"/>
        </w:rPr>
        <w:t>ate any forward-looking statement after the date as of which such statement was made, whether to reflect changes in circumstances or our expectations, the occurrence of unanticipated events, or otherwise.</w:t>
      </w:r>
    </w:p>
    <w:p w14:paraId="619DC9D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C9D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9D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p w14:paraId="619DC9D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9E0" w14:textId="77777777" w:rsidR="003D72E7" w:rsidRDefault="00AD6774">
      <w:pPr>
        <w:widowControl/>
        <w:jc w:val="center"/>
      </w:pPr>
      <w:r>
        <w:rPr>
          <w:rFonts w:ascii="宋体" w:eastAsia="宋体" w:hAnsi="宋体" w:cs="宋体"/>
          <w:kern w:val="0"/>
          <w:sz w:val="24"/>
        </w:rPr>
        <w:pict w14:anchorId="619E0D6D">
          <v:rect id="_x0000_i1026" style="width:6in;height:1.5pt" o:hralign="center" o:hrstd="t" o:hr="t" fillcolor="#a0a0a0" stroked="f"/>
        </w:pict>
      </w:r>
    </w:p>
    <w:p w14:paraId="619DC9E1"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C9E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619DC9E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9E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1188"/>
        <w:gridCol w:w="38"/>
        <w:gridCol w:w="59"/>
        <w:gridCol w:w="6478"/>
        <w:gridCol w:w="36"/>
        <w:gridCol w:w="86"/>
        <w:gridCol w:w="357"/>
        <w:gridCol w:w="36"/>
      </w:tblGrid>
      <w:tr w:rsidR="003D72E7" w14:paraId="619DC9EE" w14:textId="77777777">
        <w:trPr>
          <w:jc w:val="center"/>
        </w:trPr>
        <w:tc>
          <w:tcPr>
            <w:tcW w:w="50" w:type="pct"/>
            <w:tcBorders>
              <w:top w:val="nil"/>
              <w:left w:val="nil"/>
              <w:bottom w:val="nil"/>
              <w:right w:val="nil"/>
            </w:tcBorders>
            <w:shd w:val="clear" w:color="auto" w:fill="auto"/>
            <w:vAlign w:val="bottom"/>
          </w:tcPr>
          <w:p w14:paraId="619DC9E5" w14:textId="77777777" w:rsidR="003D72E7" w:rsidRDefault="003D72E7">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619DC9E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E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9E8" w14:textId="77777777" w:rsidR="003D72E7" w:rsidRDefault="003D72E7">
            <w:pPr>
              <w:widowControl/>
              <w:jc w:val="left"/>
              <w:rPr>
                <w:rFonts w:ascii="Times New Roman" w:eastAsia="宋体" w:hAnsi="宋体" w:cs="宋体"/>
                <w:kern w:val="0"/>
                <w:sz w:val="24"/>
              </w:rPr>
            </w:pPr>
          </w:p>
        </w:tc>
        <w:tc>
          <w:tcPr>
            <w:tcW w:w="3899" w:type="pct"/>
            <w:tcBorders>
              <w:top w:val="nil"/>
              <w:left w:val="nil"/>
              <w:bottom w:val="nil"/>
              <w:right w:val="nil"/>
            </w:tcBorders>
            <w:shd w:val="clear" w:color="auto" w:fill="auto"/>
            <w:vAlign w:val="bottom"/>
          </w:tcPr>
          <w:p w14:paraId="619DC9E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EA"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9EB" w14:textId="77777777" w:rsidR="003D72E7" w:rsidRDefault="003D72E7">
            <w:pPr>
              <w:widowControl/>
              <w:jc w:val="left"/>
              <w:rPr>
                <w:rFonts w:ascii="Times New Roman" w:eastAsia="宋体" w:hAnsi="宋体" w:cs="宋体"/>
                <w:kern w:val="0"/>
                <w:sz w:val="24"/>
              </w:rPr>
            </w:pPr>
          </w:p>
        </w:tc>
        <w:tc>
          <w:tcPr>
            <w:tcW w:w="208" w:type="pct"/>
            <w:tcBorders>
              <w:top w:val="nil"/>
              <w:left w:val="nil"/>
              <w:bottom w:val="nil"/>
              <w:right w:val="nil"/>
            </w:tcBorders>
            <w:shd w:val="clear" w:color="auto" w:fill="auto"/>
            <w:vAlign w:val="bottom"/>
          </w:tcPr>
          <w:p w14:paraId="619DC9E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9ED" w14:textId="77777777" w:rsidR="003D72E7" w:rsidRDefault="003D72E7">
            <w:pPr>
              <w:widowControl/>
              <w:jc w:val="left"/>
              <w:rPr>
                <w:rFonts w:ascii="Times New Roman" w:eastAsia="宋体" w:hAnsi="宋体" w:cs="宋体"/>
                <w:kern w:val="0"/>
                <w:sz w:val="24"/>
              </w:rPr>
            </w:pPr>
          </w:p>
        </w:tc>
      </w:tr>
      <w:tr w:rsidR="003D72E7" w14:paraId="619DC9F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9E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9F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F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Page</w:t>
            </w:r>
          </w:p>
        </w:tc>
      </w:tr>
      <w:tr w:rsidR="003D72E7" w14:paraId="619DC9F4"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C9F3" w14:textId="77777777" w:rsidR="003D72E7" w:rsidRDefault="00AD6774">
            <w:pPr>
              <w:widowControl/>
              <w:jc w:val="center"/>
              <w:textAlignment w:val="bottom"/>
              <w:rPr>
                <w:rFonts w:ascii="宋体" w:eastAsia="宋体" w:hAnsi="宋体" w:cs="宋体"/>
                <w:kern w:val="0"/>
                <w:sz w:val="24"/>
              </w:rPr>
            </w:pPr>
            <w:hyperlink w:anchor="i60e70608537f4631891d7a02836596f9_13" w:history="1">
              <w:r>
                <w:rPr>
                  <w:rStyle w:val="a4"/>
                  <w:rFonts w:ascii="Times New Roman" w:eastAsia="宋体" w:hAnsi="Times New Roman" w:cs="Times New Roman"/>
                  <w:b/>
                  <w:bCs/>
                  <w:kern w:val="0"/>
                  <w:sz w:val="20"/>
                  <w:szCs w:val="20"/>
                </w:rPr>
                <w:t>PART I — FINANCIAL INFORMATION</w:t>
              </w:r>
            </w:hyperlink>
          </w:p>
        </w:tc>
      </w:tr>
      <w:tr w:rsidR="003D72E7" w14:paraId="619DC9F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F5" w14:textId="77777777" w:rsidR="003D72E7" w:rsidRDefault="00AD6774">
            <w:pPr>
              <w:widowControl/>
              <w:jc w:val="left"/>
              <w:textAlignment w:val="bottom"/>
              <w:rPr>
                <w:rFonts w:ascii="宋体" w:eastAsia="宋体" w:hAnsi="宋体" w:cs="宋体"/>
                <w:kern w:val="0"/>
                <w:sz w:val="24"/>
              </w:rPr>
            </w:pPr>
            <w:hyperlink w:anchor="i60e70608537f4631891d7a02836596f9_16" w:history="1">
              <w:r>
                <w:rPr>
                  <w:rStyle w:val="a4"/>
                  <w:rFonts w:ascii="Times New Roman" w:eastAsia="宋体" w:hAnsi="Times New Roman" w:cs="Times New Roman"/>
                  <w:kern w:val="0"/>
                  <w:sz w:val="20"/>
                  <w:szCs w:val="20"/>
                </w:rPr>
                <w:t>Item 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F6" w14:textId="77777777" w:rsidR="003D72E7" w:rsidRDefault="00AD6774">
            <w:pPr>
              <w:widowControl/>
              <w:jc w:val="left"/>
              <w:textAlignment w:val="bottom"/>
              <w:rPr>
                <w:rFonts w:ascii="宋体" w:eastAsia="宋体" w:hAnsi="宋体" w:cs="宋体"/>
                <w:kern w:val="0"/>
                <w:sz w:val="24"/>
              </w:rPr>
            </w:pPr>
            <w:hyperlink w:anchor="i60e70608537f4631891d7a02836596f9_16" w:history="1">
              <w:r>
                <w:rPr>
                  <w:rStyle w:val="a4"/>
                  <w:rFonts w:ascii="Times New Roman" w:eastAsia="宋体" w:hAnsi="Times New Roman" w:cs="Times New Roman"/>
                  <w:kern w:val="0"/>
                  <w:sz w:val="20"/>
                  <w:szCs w:val="20"/>
                </w:rPr>
                <w:t>Financial Statements (unaudited)</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F7" w14:textId="77777777" w:rsidR="003D72E7" w:rsidRDefault="00AD6774">
            <w:pPr>
              <w:widowControl/>
              <w:jc w:val="center"/>
              <w:textAlignment w:val="bottom"/>
              <w:rPr>
                <w:rFonts w:ascii="宋体" w:eastAsia="宋体" w:hAnsi="宋体" w:cs="宋体"/>
                <w:kern w:val="0"/>
                <w:sz w:val="24"/>
              </w:rPr>
            </w:pPr>
            <w:hyperlink w:anchor="i60e70608537f4631891d7a02836596f9_16" w:history="1">
              <w:r>
                <w:rPr>
                  <w:rStyle w:val="a4"/>
                  <w:rFonts w:ascii="Times New Roman" w:eastAsia="宋体" w:hAnsi="Times New Roman" w:cs="Times New Roman"/>
                  <w:kern w:val="0"/>
                  <w:sz w:val="20"/>
                  <w:szCs w:val="20"/>
                </w:rPr>
                <w:t>4</w:t>
              </w:r>
            </w:hyperlink>
          </w:p>
        </w:tc>
      </w:tr>
      <w:tr w:rsidR="003D72E7" w14:paraId="619DC9F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F9" w14:textId="77777777" w:rsidR="003D72E7" w:rsidRDefault="00AD6774">
            <w:pPr>
              <w:widowControl/>
              <w:jc w:val="left"/>
              <w:textAlignment w:val="bottom"/>
              <w:rPr>
                <w:rFonts w:ascii="宋体" w:eastAsia="宋体" w:hAnsi="宋体" w:cs="宋体"/>
                <w:kern w:val="0"/>
                <w:sz w:val="24"/>
              </w:rPr>
            </w:pPr>
            <w:hyperlink w:anchor="i60e70608537f4631891d7a02836596f9_109" w:history="1">
              <w:r>
                <w:rPr>
                  <w:rStyle w:val="a4"/>
                  <w:rFonts w:ascii="Times New Roman" w:eastAsia="宋体" w:hAnsi="Times New Roman" w:cs="Times New Roman"/>
                  <w:kern w:val="0"/>
                  <w:sz w:val="20"/>
                  <w:szCs w:val="20"/>
                </w:rPr>
                <w:t>Item 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FA" w14:textId="77777777" w:rsidR="003D72E7" w:rsidRDefault="00AD6774">
            <w:pPr>
              <w:widowControl/>
              <w:jc w:val="left"/>
              <w:textAlignment w:val="bottom"/>
              <w:rPr>
                <w:rFonts w:ascii="宋体" w:eastAsia="宋体" w:hAnsi="宋体" w:cs="宋体"/>
                <w:kern w:val="0"/>
                <w:sz w:val="24"/>
              </w:rPr>
            </w:pPr>
            <w:hyperlink w:anchor="i60e70608537f4631891d7a02836596f9_109" w:history="1">
              <w:r>
                <w:rPr>
                  <w:rStyle w:val="a4"/>
                  <w:rFonts w:ascii="Times New Roman" w:eastAsia="宋体" w:hAnsi="Times New Roman" w:cs="Times New Roman"/>
                  <w:kern w:val="0"/>
                  <w:sz w:val="20"/>
                  <w:szCs w:val="20"/>
                </w:rPr>
                <w:t>Management’s Discussion and Analysis of Financial Condition and Results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FB" w14:textId="77777777" w:rsidR="003D72E7" w:rsidRDefault="00AD6774">
            <w:pPr>
              <w:widowControl/>
              <w:jc w:val="center"/>
              <w:textAlignment w:val="bottom"/>
              <w:rPr>
                <w:rFonts w:ascii="宋体" w:eastAsia="宋体" w:hAnsi="宋体" w:cs="宋体"/>
                <w:kern w:val="0"/>
                <w:sz w:val="24"/>
              </w:rPr>
            </w:pPr>
            <w:hyperlink w:anchor="i60e70608537f4631891d7a02836596f9_109" w:history="1">
              <w:r>
                <w:rPr>
                  <w:rStyle w:val="a4"/>
                  <w:rFonts w:ascii="Times New Roman" w:eastAsia="宋体" w:hAnsi="Times New Roman" w:cs="Times New Roman"/>
                  <w:kern w:val="0"/>
                  <w:sz w:val="20"/>
                  <w:szCs w:val="20"/>
                </w:rPr>
                <w:t>59</w:t>
              </w:r>
            </w:hyperlink>
          </w:p>
        </w:tc>
      </w:tr>
      <w:tr w:rsidR="003D72E7" w14:paraId="619DCA0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FD" w14:textId="77777777" w:rsidR="003D72E7" w:rsidRDefault="00AD6774">
            <w:pPr>
              <w:widowControl/>
              <w:jc w:val="left"/>
              <w:textAlignment w:val="bottom"/>
              <w:rPr>
                <w:rFonts w:ascii="宋体" w:eastAsia="宋体" w:hAnsi="宋体" w:cs="宋体"/>
                <w:kern w:val="0"/>
                <w:sz w:val="24"/>
              </w:rPr>
            </w:pPr>
            <w:hyperlink w:anchor="i60e70608537f4631891d7a02836596f9_136" w:history="1">
              <w:r>
                <w:rPr>
                  <w:rStyle w:val="a4"/>
                  <w:rFonts w:ascii="Times New Roman" w:eastAsia="宋体" w:hAnsi="Times New Roman" w:cs="Times New Roman"/>
                  <w:kern w:val="0"/>
                  <w:sz w:val="20"/>
                  <w:szCs w:val="20"/>
                </w:rPr>
                <w:t>Item 3.</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FE" w14:textId="77777777" w:rsidR="003D72E7" w:rsidRDefault="00AD6774">
            <w:pPr>
              <w:widowControl/>
              <w:jc w:val="left"/>
              <w:textAlignment w:val="bottom"/>
              <w:rPr>
                <w:rFonts w:ascii="宋体" w:eastAsia="宋体" w:hAnsi="宋体" w:cs="宋体"/>
                <w:kern w:val="0"/>
                <w:sz w:val="24"/>
              </w:rPr>
            </w:pPr>
            <w:hyperlink w:anchor="i60e70608537f4631891d7a02836596f9_136" w:history="1">
              <w:r>
                <w:rPr>
                  <w:rStyle w:val="a4"/>
                  <w:rFonts w:ascii="Times New Roman" w:eastAsia="宋体" w:hAnsi="Times New Roman" w:cs="Times New Roman"/>
                  <w:kern w:val="0"/>
                  <w:sz w:val="20"/>
                  <w:szCs w:val="20"/>
                </w:rPr>
                <w:t>Quantitative and Qualitative Disclosures About Market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9FF" w14:textId="77777777" w:rsidR="003D72E7" w:rsidRDefault="00AD6774">
            <w:pPr>
              <w:widowControl/>
              <w:jc w:val="center"/>
              <w:textAlignment w:val="bottom"/>
              <w:rPr>
                <w:rFonts w:ascii="宋体" w:eastAsia="宋体" w:hAnsi="宋体" w:cs="宋体"/>
                <w:kern w:val="0"/>
                <w:sz w:val="24"/>
              </w:rPr>
            </w:pPr>
            <w:hyperlink w:anchor="i60e70608537f4631891d7a02836596f9_136" w:history="1">
              <w:r>
                <w:rPr>
                  <w:rStyle w:val="a4"/>
                  <w:rFonts w:ascii="Times New Roman" w:eastAsia="宋体" w:hAnsi="Times New Roman" w:cs="Times New Roman"/>
                  <w:kern w:val="0"/>
                  <w:sz w:val="20"/>
                  <w:szCs w:val="20"/>
                </w:rPr>
                <w:t>91</w:t>
              </w:r>
            </w:hyperlink>
          </w:p>
        </w:tc>
      </w:tr>
      <w:tr w:rsidR="003D72E7" w14:paraId="619DCA0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01" w14:textId="77777777" w:rsidR="003D72E7" w:rsidRDefault="00AD6774">
            <w:pPr>
              <w:widowControl/>
              <w:jc w:val="left"/>
              <w:textAlignment w:val="bottom"/>
              <w:rPr>
                <w:rFonts w:ascii="宋体" w:eastAsia="宋体" w:hAnsi="宋体" w:cs="宋体"/>
                <w:kern w:val="0"/>
                <w:sz w:val="24"/>
              </w:rPr>
            </w:pPr>
            <w:hyperlink w:anchor="i60e70608537f4631891d7a02836596f9_139" w:history="1">
              <w:r>
                <w:rPr>
                  <w:rStyle w:val="a4"/>
                  <w:rFonts w:ascii="Times New Roman" w:eastAsia="宋体" w:hAnsi="Times New Roman" w:cs="Times New Roman"/>
                  <w:kern w:val="0"/>
                  <w:sz w:val="20"/>
                  <w:szCs w:val="20"/>
                </w:rPr>
                <w:t>Item 4.</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02" w14:textId="77777777" w:rsidR="003D72E7" w:rsidRDefault="00AD6774">
            <w:pPr>
              <w:widowControl/>
              <w:jc w:val="left"/>
              <w:textAlignment w:val="bottom"/>
              <w:rPr>
                <w:rFonts w:ascii="宋体" w:eastAsia="宋体" w:hAnsi="宋体" w:cs="宋体"/>
                <w:kern w:val="0"/>
                <w:sz w:val="24"/>
              </w:rPr>
            </w:pPr>
            <w:hyperlink w:anchor="i60e70608537f4631891d7a02836596f9_139" w:history="1">
              <w:r>
                <w:rPr>
                  <w:rStyle w:val="a4"/>
                  <w:rFonts w:ascii="Times New Roman" w:eastAsia="宋体" w:hAnsi="Times New Roman" w:cs="Times New Roman"/>
                  <w:kern w:val="0"/>
                  <w:sz w:val="20"/>
                  <w:szCs w:val="20"/>
                </w:rPr>
                <w:t>Controls and Procedures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03" w14:textId="77777777" w:rsidR="003D72E7" w:rsidRDefault="00AD6774">
            <w:pPr>
              <w:widowControl/>
              <w:jc w:val="center"/>
              <w:textAlignment w:val="bottom"/>
              <w:rPr>
                <w:rFonts w:ascii="宋体" w:eastAsia="宋体" w:hAnsi="宋体" w:cs="宋体"/>
                <w:kern w:val="0"/>
                <w:sz w:val="24"/>
              </w:rPr>
            </w:pPr>
            <w:hyperlink w:anchor="i60e70608537f4631891d7a02836596f9_139" w:history="1">
              <w:r>
                <w:rPr>
                  <w:rStyle w:val="a4"/>
                  <w:rFonts w:ascii="Times New Roman" w:eastAsia="宋体" w:hAnsi="Times New Roman" w:cs="Times New Roman"/>
                  <w:kern w:val="0"/>
                  <w:sz w:val="20"/>
                  <w:szCs w:val="20"/>
                </w:rPr>
                <w:t>91</w:t>
              </w:r>
            </w:hyperlink>
          </w:p>
        </w:tc>
      </w:tr>
      <w:tr w:rsidR="003D72E7" w14:paraId="619DCA06" w14:textId="77777777">
        <w:trPr>
          <w:jc w:val="center"/>
        </w:trPr>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CA05" w14:textId="77777777" w:rsidR="003D72E7" w:rsidRDefault="00AD6774">
            <w:pPr>
              <w:widowControl/>
              <w:jc w:val="center"/>
              <w:textAlignment w:val="bottom"/>
              <w:rPr>
                <w:rFonts w:ascii="宋体" w:eastAsia="宋体" w:hAnsi="宋体" w:cs="宋体"/>
                <w:kern w:val="0"/>
                <w:sz w:val="24"/>
              </w:rPr>
            </w:pPr>
            <w:hyperlink w:anchor="i60e70608537f4631891d7a02836596f9_142" w:history="1">
              <w:r>
                <w:rPr>
                  <w:rStyle w:val="a4"/>
                  <w:rFonts w:ascii="Times New Roman" w:eastAsia="宋体" w:hAnsi="Times New Roman" w:cs="Times New Roman"/>
                  <w:b/>
                  <w:bCs/>
                  <w:kern w:val="0"/>
                  <w:sz w:val="20"/>
                  <w:szCs w:val="20"/>
                </w:rPr>
                <w:t>PART II — OTHER INFORMATION</w:t>
              </w:r>
            </w:hyperlink>
          </w:p>
        </w:tc>
      </w:tr>
      <w:tr w:rsidR="003D72E7" w14:paraId="619DCA0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07" w14:textId="77777777" w:rsidR="003D72E7" w:rsidRDefault="00AD6774">
            <w:pPr>
              <w:widowControl/>
              <w:jc w:val="left"/>
              <w:textAlignment w:val="bottom"/>
              <w:rPr>
                <w:rFonts w:ascii="宋体" w:eastAsia="宋体" w:hAnsi="宋体" w:cs="宋体"/>
                <w:kern w:val="0"/>
                <w:sz w:val="24"/>
              </w:rPr>
            </w:pPr>
            <w:hyperlink w:anchor="i60e70608537f4631891d7a02836596f9_145" w:history="1">
              <w:r>
                <w:rPr>
                  <w:rStyle w:val="a4"/>
                  <w:rFonts w:ascii="Times New Roman" w:eastAsia="宋体" w:hAnsi="Times New Roman" w:cs="Times New Roman"/>
                  <w:kern w:val="0"/>
                  <w:sz w:val="20"/>
                  <w:szCs w:val="20"/>
                </w:rPr>
                <w:t>Item 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08" w14:textId="77777777" w:rsidR="003D72E7" w:rsidRDefault="00AD6774">
            <w:pPr>
              <w:widowControl/>
              <w:jc w:val="left"/>
              <w:textAlignment w:val="bottom"/>
              <w:rPr>
                <w:rFonts w:ascii="宋体" w:eastAsia="宋体" w:hAnsi="宋体" w:cs="宋体"/>
                <w:kern w:val="0"/>
                <w:sz w:val="24"/>
              </w:rPr>
            </w:pPr>
            <w:hyperlink w:anchor="i60e70608537f4631891d7a02836596f9_145" w:history="1">
              <w:r>
                <w:rPr>
                  <w:rStyle w:val="a4"/>
                  <w:rFonts w:ascii="Times New Roman" w:eastAsia="宋体" w:hAnsi="Times New Roman" w:cs="Times New Roman"/>
                  <w:kern w:val="0"/>
                  <w:sz w:val="20"/>
                  <w:szCs w:val="20"/>
                </w:rPr>
                <w:t>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09" w14:textId="77777777" w:rsidR="003D72E7" w:rsidRDefault="00AD6774">
            <w:pPr>
              <w:widowControl/>
              <w:jc w:val="center"/>
              <w:textAlignment w:val="bottom"/>
              <w:rPr>
                <w:rFonts w:ascii="宋体" w:eastAsia="宋体" w:hAnsi="宋体" w:cs="宋体"/>
                <w:kern w:val="0"/>
                <w:sz w:val="24"/>
              </w:rPr>
            </w:pPr>
            <w:hyperlink w:anchor="i60e70608537f4631891d7a02836596f9_145" w:history="1">
              <w:r>
                <w:rPr>
                  <w:rStyle w:val="a4"/>
                  <w:rFonts w:ascii="Times New Roman" w:eastAsia="宋体" w:hAnsi="Times New Roman" w:cs="Times New Roman"/>
                  <w:kern w:val="0"/>
                  <w:sz w:val="20"/>
                  <w:szCs w:val="20"/>
                </w:rPr>
                <w:t>92</w:t>
              </w:r>
            </w:hyperlink>
          </w:p>
        </w:tc>
      </w:tr>
      <w:tr w:rsidR="003D72E7" w14:paraId="619DCA0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0B" w14:textId="77777777" w:rsidR="003D72E7" w:rsidRDefault="00AD6774">
            <w:pPr>
              <w:widowControl/>
              <w:jc w:val="left"/>
              <w:textAlignment w:val="bottom"/>
              <w:rPr>
                <w:rFonts w:ascii="宋体" w:eastAsia="宋体" w:hAnsi="宋体" w:cs="宋体"/>
                <w:kern w:val="0"/>
                <w:sz w:val="24"/>
              </w:rPr>
            </w:pPr>
            <w:hyperlink w:anchor="i60e70608537f4631891d7a02836596f9_148" w:history="1">
              <w:r>
                <w:rPr>
                  <w:rStyle w:val="a4"/>
                  <w:rFonts w:ascii="Times New Roman" w:eastAsia="宋体" w:hAnsi="Times New Roman" w:cs="Times New Roman"/>
                  <w:kern w:val="0"/>
                  <w:sz w:val="20"/>
                  <w:szCs w:val="20"/>
                </w:rPr>
                <w:t>Item 1A.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0C" w14:textId="77777777" w:rsidR="003D72E7" w:rsidRDefault="00AD6774">
            <w:pPr>
              <w:widowControl/>
              <w:jc w:val="left"/>
              <w:textAlignment w:val="bottom"/>
              <w:rPr>
                <w:rFonts w:ascii="宋体" w:eastAsia="宋体" w:hAnsi="宋体" w:cs="宋体"/>
                <w:kern w:val="0"/>
                <w:sz w:val="24"/>
              </w:rPr>
            </w:pPr>
            <w:hyperlink w:anchor="i60e70608537f4631891d7a02836596f9_148" w:history="1">
              <w:r>
                <w:rPr>
                  <w:rStyle w:val="a4"/>
                  <w:rFonts w:ascii="Times New Roman" w:eastAsia="宋体" w:hAnsi="Times New Roman" w:cs="Times New Roman"/>
                  <w:kern w:val="0"/>
                  <w:sz w:val="20"/>
                  <w:szCs w:val="20"/>
                </w:rPr>
                <w:t>Risk Factors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0D" w14:textId="77777777" w:rsidR="003D72E7" w:rsidRDefault="00AD6774">
            <w:pPr>
              <w:widowControl/>
              <w:jc w:val="center"/>
              <w:textAlignment w:val="bottom"/>
              <w:rPr>
                <w:rFonts w:ascii="宋体" w:eastAsia="宋体" w:hAnsi="宋体" w:cs="宋体"/>
                <w:kern w:val="0"/>
                <w:sz w:val="24"/>
              </w:rPr>
            </w:pPr>
            <w:hyperlink w:anchor="i60e70608537f4631891d7a02836596f9_148" w:history="1">
              <w:r>
                <w:rPr>
                  <w:rStyle w:val="a4"/>
                  <w:rFonts w:ascii="Times New Roman" w:eastAsia="宋体" w:hAnsi="Times New Roman" w:cs="Times New Roman"/>
                  <w:kern w:val="0"/>
                  <w:sz w:val="20"/>
                  <w:szCs w:val="20"/>
                </w:rPr>
                <w:t>92</w:t>
              </w:r>
            </w:hyperlink>
          </w:p>
        </w:tc>
      </w:tr>
      <w:tr w:rsidR="003D72E7" w14:paraId="619DCA1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0F" w14:textId="77777777" w:rsidR="003D72E7" w:rsidRDefault="00AD6774">
            <w:pPr>
              <w:widowControl/>
              <w:jc w:val="left"/>
              <w:textAlignment w:val="bottom"/>
              <w:rPr>
                <w:rFonts w:ascii="宋体" w:eastAsia="宋体" w:hAnsi="宋体" w:cs="宋体"/>
                <w:kern w:val="0"/>
                <w:sz w:val="24"/>
              </w:rPr>
            </w:pPr>
            <w:hyperlink w:anchor="i60e70608537f4631891d7a02836596f9_151" w:history="1">
              <w:r>
                <w:rPr>
                  <w:rStyle w:val="a4"/>
                  <w:rFonts w:ascii="Times New Roman" w:eastAsia="宋体" w:hAnsi="Times New Roman" w:cs="Times New Roman"/>
                  <w:kern w:val="0"/>
                  <w:sz w:val="20"/>
                  <w:szCs w:val="20"/>
                </w:rPr>
                <w:t>Item 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10" w14:textId="77777777" w:rsidR="003D72E7" w:rsidRDefault="00AD6774">
            <w:pPr>
              <w:widowControl/>
              <w:jc w:val="left"/>
              <w:textAlignment w:val="bottom"/>
              <w:rPr>
                <w:rFonts w:ascii="宋体" w:eastAsia="宋体" w:hAnsi="宋体" w:cs="宋体"/>
                <w:kern w:val="0"/>
                <w:sz w:val="24"/>
              </w:rPr>
            </w:pPr>
            <w:hyperlink w:anchor="i60e70608537f4631891d7a02836596f9_151" w:history="1">
              <w:r>
                <w:rPr>
                  <w:rStyle w:val="a4"/>
                  <w:rFonts w:ascii="Times New Roman" w:eastAsia="宋体" w:hAnsi="Times New Roman" w:cs="Times New Roman"/>
                  <w:kern w:val="0"/>
                  <w:sz w:val="20"/>
                  <w:szCs w:val="20"/>
                </w:rPr>
                <w:t>Unregistered Sales of Equity Securities and Use of Proceeds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11" w14:textId="77777777" w:rsidR="003D72E7" w:rsidRDefault="00AD6774">
            <w:pPr>
              <w:widowControl/>
              <w:jc w:val="center"/>
              <w:textAlignment w:val="bottom"/>
              <w:rPr>
                <w:rFonts w:ascii="宋体" w:eastAsia="宋体" w:hAnsi="宋体" w:cs="宋体"/>
                <w:kern w:val="0"/>
                <w:sz w:val="24"/>
              </w:rPr>
            </w:pPr>
            <w:hyperlink w:anchor="i60e70608537f4631891d7a02836596f9_151" w:history="1">
              <w:r>
                <w:rPr>
                  <w:rStyle w:val="a4"/>
                  <w:rFonts w:ascii="Times New Roman" w:eastAsia="宋体" w:hAnsi="Times New Roman" w:cs="Times New Roman"/>
                  <w:kern w:val="0"/>
                  <w:sz w:val="20"/>
                  <w:szCs w:val="20"/>
                </w:rPr>
                <w:t>93</w:t>
              </w:r>
            </w:hyperlink>
          </w:p>
        </w:tc>
      </w:tr>
      <w:tr w:rsidR="003D72E7" w14:paraId="619DCA1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13" w14:textId="77777777" w:rsidR="003D72E7" w:rsidRDefault="00AD6774">
            <w:pPr>
              <w:widowControl/>
              <w:jc w:val="left"/>
              <w:textAlignment w:val="bottom"/>
              <w:rPr>
                <w:rFonts w:ascii="宋体" w:eastAsia="宋体" w:hAnsi="宋体" w:cs="宋体"/>
                <w:kern w:val="0"/>
                <w:sz w:val="24"/>
              </w:rPr>
            </w:pPr>
            <w:hyperlink w:anchor="i60e70608537f4631891d7a02836596f9_154" w:history="1">
              <w:r>
                <w:rPr>
                  <w:rStyle w:val="a4"/>
                  <w:rFonts w:ascii="Times New Roman" w:eastAsia="宋体" w:hAnsi="Times New Roman" w:cs="Times New Roman"/>
                  <w:kern w:val="0"/>
                  <w:sz w:val="20"/>
                  <w:szCs w:val="20"/>
                </w:rPr>
                <w:t>Item 5.</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14" w14:textId="77777777" w:rsidR="003D72E7" w:rsidRDefault="00AD6774">
            <w:pPr>
              <w:widowControl/>
              <w:jc w:val="left"/>
              <w:textAlignment w:val="bottom"/>
              <w:rPr>
                <w:rFonts w:ascii="宋体" w:eastAsia="宋体" w:hAnsi="宋体" w:cs="宋体"/>
                <w:kern w:val="0"/>
                <w:sz w:val="24"/>
              </w:rPr>
            </w:pPr>
            <w:hyperlink w:anchor="i60e70608537f4631891d7a02836596f9_154" w:history="1">
              <w:r>
                <w:rPr>
                  <w:rStyle w:val="a4"/>
                  <w:rFonts w:ascii="Times New Roman" w:eastAsia="宋体" w:hAnsi="Times New Roman" w:cs="Times New Roman"/>
                  <w:kern w:val="0"/>
                  <w:sz w:val="20"/>
                  <w:szCs w:val="20"/>
                </w:rPr>
                <w:t>Other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15" w14:textId="77777777" w:rsidR="003D72E7" w:rsidRDefault="00AD6774">
            <w:pPr>
              <w:widowControl/>
              <w:jc w:val="center"/>
              <w:textAlignment w:val="bottom"/>
              <w:rPr>
                <w:rFonts w:ascii="宋体" w:eastAsia="宋体" w:hAnsi="宋体" w:cs="宋体"/>
                <w:kern w:val="0"/>
                <w:sz w:val="24"/>
              </w:rPr>
            </w:pPr>
            <w:hyperlink w:anchor="i60e70608537f4631891d7a02836596f9_154" w:history="1">
              <w:r>
                <w:rPr>
                  <w:rStyle w:val="a4"/>
                  <w:rFonts w:ascii="Times New Roman" w:eastAsia="宋体" w:hAnsi="Times New Roman" w:cs="Times New Roman"/>
                  <w:kern w:val="0"/>
                  <w:sz w:val="20"/>
                  <w:szCs w:val="20"/>
                </w:rPr>
                <w:t>93</w:t>
              </w:r>
            </w:hyperlink>
          </w:p>
        </w:tc>
      </w:tr>
      <w:tr w:rsidR="003D72E7" w14:paraId="619DCA1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17" w14:textId="77777777" w:rsidR="003D72E7" w:rsidRDefault="00AD6774">
            <w:pPr>
              <w:widowControl/>
              <w:jc w:val="left"/>
              <w:textAlignment w:val="bottom"/>
              <w:rPr>
                <w:rFonts w:ascii="宋体" w:eastAsia="宋体" w:hAnsi="宋体" w:cs="宋体"/>
                <w:kern w:val="0"/>
                <w:sz w:val="24"/>
              </w:rPr>
            </w:pPr>
            <w:hyperlink w:anchor="i60e70608537f4631891d7a02836596f9_157" w:history="1">
              <w:r>
                <w:rPr>
                  <w:rStyle w:val="a4"/>
                  <w:rFonts w:ascii="Times New Roman" w:eastAsia="宋体" w:hAnsi="Times New Roman" w:cs="Times New Roman"/>
                  <w:kern w:val="0"/>
                  <w:sz w:val="20"/>
                  <w:szCs w:val="20"/>
                </w:rPr>
                <w:t>Item 6.</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18" w14:textId="77777777" w:rsidR="003D72E7" w:rsidRDefault="00AD6774">
            <w:pPr>
              <w:widowControl/>
              <w:jc w:val="left"/>
              <w:textAlignment w:val="bottom"/>
              <w:rPr>
                <w:rFonts w:ascii="宋体" w:eastAsia="宋体" w:hAnsi="宋体" w:cs="宋体"/>
                <w:kern w:val="0"/>
                <w:sz w:val="24"/>
              </w:rPr>
            </w:pPr>
            <w:hyperlink w:anchor="i60e70608537f4631891d7a02836596f9_157" w:history="1">
              <w:r>
                <w:rPr>
                  <w:rStyle w:val="a4"/>
                  <w:rFonts w:ascii="Times New Roman" w:eastAsia="宋体" w:hAnsi="Times New Roman" w:cs="Times New Roman"/>
                  <w:kern w:val="0"/>
                  <w:sz w:val="20"/>
                  <w:szCs w:val="20"/>
                </w:rPr>
                <w:t>Exhibits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19" w14:textId="77777777" w:rsidR="003D72E7" w:rsidRDefault="00AD6774">
            <w:pPr>
              <w:widowControl/>
              <w:jc w:val="center"/>
              <w:textAlignment w:val="bottom"/>
              <w:rPr>
                <w:rFonts w:ascii="宋体" w:eastAsia="宋体" w:hAnsi="宋体" w:cs="宋体"/>
                <w:kern w:val="0"/>
                <w:sz w:val="24"/>
              </w:rPr>
            </w:pPr>
            <w:hyperlink w:anchor="i60e70608537f4631891d7a02836596f9_157" w:history="1">
              <w:r>
                <w:rPr>
                  <w:rStyle w:val="a4"/>
                  <w:rFonts w:ascii="Times New Roman" w:eastAsia="宋体" w:hAnsi="Times New Roman" w:cs="Times New Roman"/>
                  <w:kern w:val="0"/>
                  <w:sz w:val="20"/>
                  <w:szCs w:val="20"/>
                </w:rPr>
                <w:t>94</w:t>
              </w:r>
            </w:hyperlink>
          </w:p>
        </w:tc>
      </w:tr>
      <w:tr w:rsidR="003D72E7" w14:paraId="619DCA1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1B" w14:textId="77777777" w:rsidR="003D72E7" w:rsidRDefault="00AD6774">
            <w:pPr>
              <w:widowControl/>
              <w:jc w:val="left"/>
              <w:textAlignment w:val="bottom"/>
              <w:rPr>
                <w:rFonts w:ascii="宋体" w:eastAsia="宋体" w:hAnsi="宋体" w:cs="宋体"/>
                <w:kern w:val="0"/>
                <w:sz w:val="24"/>
              </w:rPr>
            </w:pPr>
            <w:hyperlink w:anchor="i60e70608537f4631891d7a02836596f9_160" w:history="1">
              <w:r>
                <w:rPr>
                  <w:rStyle w:val="a4"/>
                  <w:rFonts w:ascii="Times New Roman" w:eastAsia="宋体" w:hAnsi="Times New Roman" w:cs="Times New Roman"/>
                  <w:kern w:val="0"/>
                  <w:sz w:val="20"/>
                  <w:szCs w:val="20"/>
                </w:rPr>
                <w:t>Signatures</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A1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1D" w14:textId="77777777" w:rsidR="003D72E7" w:rsidRDefault="00AD6774">
            <w:pPr>
              <w:widowControl/>
              <w:jc w:val="center"/>
              <w:textAlignment w:val="bottom"/>
              <w:rPr>
                <w:rFonts w:ascii="宋体" w:eastAsia="宋体" w:hAnsi="宋体" w:cs="宋体"/>
                <w:kern w:val="0"/>
                <w:sz w:val="24"/>
              </w:rPr>
            </w:pPr>
            <w:hyperlink w:anchor="i60e70608537f4631891d7a02836596f9_160" w:history="1">
              <w:r>
                <w:rPr>
                  <w:rStyle w:val="a4"/>
                  <w:rFonts w:ascii="Times New Roman" w:eastAsia="宋体" w:hAnsi="Times New Roman" w:cs="Times New Roman"/>
                  <w:kern w:val="0"/>
                  <w:sz w:val="20"/>
                  <w:szCs w:val="20"/>
                </w:rPr>
                <w:t>95</w:t>
              </w:r>
            </w:hyperlink>
          </w:p>
        </w:tc>
      </w:tr>
    </w:tbl>
    <w:p w14:paraId="619DCA1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A2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CA21"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A2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p w14:paraId="619DCA2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A24" w14:textId="77777777" w:rsidR="003D72E7" w:rsidRDefault="00AD6774">
      <w:pPr>
        <w:widowControl/>
        <w:jc w:val="center"/>
      </w:pPr>
      <w:r>
        <w:rPr>
          <w:rFonts w:ascii="宋体" w:eastAsia="宋体" w:hAnsi="宋体" w:cs="宋体"/>
          <w:kern w:val="0"/>
          <w:sz w:val="24"/>
        </w:rPr>
        <w:pict w14:anchorId="619E0D6E">
          <v:rect id="_x0000_i1027" style="width:6in;height:1.5pt" o:hralign="center" o:hrstd="t" o:hr="t" fillcolor="#a0a0a0" stroked="f"/>
        </w:pict>
      </w:r>
    </w:p>
    <w:p w14:paraId="619DCA25"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CA26"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A27"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PART I — FINANCIAL INFORMATION</w:t>
      </w:r>
    </w:p>
    <w:p w14:paraId="619DCA28"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A2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ITEM 1 </w:t>
      </w:r>
      <w:r>
        <w:rPr>
          <w:rFonts w:ascii="Times New Roman" w:eastAsia="宋体" w:hAnsi="Times New Roman" w:cs="Times New Roman"/>
          <w:b/>
          <w:bCs/>
          <w:i/>
          <w:iCs/>
          <w:color w:val="000000"/>
          <w:kern w:val="0"/>
          <w:sz w:val="20"/>
          <w:szCs w:val="20"/>
          <w:lang w:bidi="ar"/>
        </w:rPr>
        <w:t>—</w:t>
      </w:r>
      <w:r>
        <w:rPr>
          <w:rFonts w:ascii="Times New Roman" w:eastAsia="宋体" w:hAnsi="Times New Roman" w:cs="Times New Roman"/>
          <w:b/>
          <w:bCs/>
          <w:color w:val="000000"/>
          <w:kern w:val="0"/>
          <w:sz w:val="20"/>
          <w:szCs w:val="20"/>
          <w:lang w:bidi="ar"/>
        </w:rPr>
        <w:t xml:space="preserve"> FINANCIAL STATEMENTS (UNAUDITED)</w:t>
      </w:r>
    </w:p>
    <w:p w14:paraId="619DCA2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CA2B"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707"/>
        <w:gridCol w:w="38"/>
        <w:gridCol w:w="72"/>
        <w:gridCol w:w="415"/>
        <w:gridCol w:w="36"/>
      </w:tblGrid>
      <w:tr w:rsidR="003D72E7" w14:paraId="619DCA32" w14:textId="77777777">
        <w:trPr>
          <w:jc w:val="center"/>
        </w:trPr>
        <w:tc>
          <w:tcPr>
            <w:tcW w:w="50" w:type="pct"/>
            <w:tcBorders>
              <w:top w:val="nil"/>
              <w:left w:val="nil"/>
              <w:bottom w:val="nil"/>
              <w:right w:val="nil"/>
            </w:tcBorders>
            <w:shd w:val="clear" w:color="auto" w:fill="auto"/>
            <w:vAlign w:val="bottom"/>
          </w:tcPr>
          <w:p w14:paraId="619DCA2C" w14:textId="77777777" w:rsidR="003D72E7" w:rsidRDefault="003D72E7">
            <w:pPr>
              <w:widowControl/>
              <w:jc w:val="left"/>
              <w:rPr>
                <w:rFonts w:ascii="Times New Roman" w:eastAsia="宋体" w:hAnsi="宋体" w:cs="宋体"/>
                <w:kern w:val="0"/>
                <w:sz w:val="24"/>
              </w:rPr>
            </w:pPr>
          </w:p>
        </w:tc>
        <w:tc>
          <w:tcPr>
            <w:tcW w:w="4630" w:type="pct"/>
            <w:tcBorders>
              <w:top w:val="nil"/>
              <w:left w:val="nil"/>
              <w:bottom w:val="nil"/>
              <w:right w:val="nil"/>
            </w:tcBorders>
            <w:shd w:val="clear" w:color="auto" w:fill="auto"/>
            <w:vAlign w:val="bottom"/>
          </w:tcPr>
          <w:p w14:paraId="619DCA2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A2E"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A2F" w14:textId="77777777" w:rsidR="003D72E7" w:rsidRDefault="003D72E7">
            <w:pPr>
              <w:widowControl/>
              <w:jc w:val="left"/>
              <w:rPr>
                <w:rFonts w:ascii="Times New Roman" w:eastAsia="宋体" w:hAnsi="宋体" w:cs="宋体"/>
                <w:kern w:val="0"/>
                <w:sz w:val="24"/>
              </w:rPr>
            </w:pPr>
          </w:p>
        </w:tc>
        <w:tc>
          <w:tcPr>
            <w:tcW w:w="259" w:type="pct"/>
            <w:tcBorders>
              <w:top w:val="nil"/>
              <w:left w:val="nil"/>
              <w:bottom w:val="nil"/>
              <w:right w:val="nil"/>
            </w:tcBorders>
            <w:shd w:val="clear" w:color="auto" w:fill="auto"/>
            <w:vAlign w:val="bottom"/>
          </w:tcPr>
          <w:p w14:paraId="619DCA3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A31" w14:textId="77777777" w:rsidR="003D72E7" w:rsidRDefault="003D72E7">
            <w:pPr>
              <w:widowControl/>
              <w:jc w:val="left"/>
              <w:rPr>
                <w:rFonts w:ascii="Times New Roman" w:eastAsia="宋体" w:hAnsi="宋体" w:cs="宋体"/>
                <w:kern w:val="0"/>
                <w:sz w:val="24"/>
              </w:rPr>
            </w:pPr>
          </w:p>
        </w:tc>
      </w:tr>
      <w:tr w:rsidR="003D72E7" w14:paraId="619DCA3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A3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3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Page</w:t>
            </w:r>
          </w:p>
        </w:tc>
      </w:tr>
      <w:tr w:rsidR="003D72E7" w14:paraId="619DCA3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36" w14:textId="77777777" w:rsidR="003D72E7" w:rsidRDefault="00AD6774">
            <w:pPr>
              <w:widowControl/>
              <w:jc w:val="left"/>
              <w:textAlignment w:val="bottom"/>
              <w:rPr>
                <w:rFonts w:ascii="宋体" w:eastAsia="宋体" w:hAnsi="宋体" w:cs="宋体"/>
                <w:kern w:val="0"/>
                <w:sz w:val="24"/>
              </w:rPr>
            </w:pPr>
            <w:hyperlink w:anchor="i60e70608537f4631891d7a02836596f9_19" w:history="1">
              <w:r>
                <w:rPr>
                  <w:rStyle w:val="a4"/>
                  <w:rFonts w:ascii="Times New Roman" w:eastAsia="宋体" w:hAnsi="Times New Roman" w:cs="Times New Roman"/>
                  <w:kern w:val="0"/>
                  <w:sz w:val="20"/>
                  <w:szCs w:val="20"/>
                </w:rPr>
                <w:t xml:space="preserve">Condensed Consolidated Statements of Financial Position as of </w:t>
              </w:r>
            </w:hyperlink>
            <w:hyperlink w:anchor="i60e70608537f4631891d7a02836596f9_19" w:history="1">
              <w:r>
                <w:rPr>
                  <w:rStyle w:val="a4"/>
                  <w:rFonts w:ascii="Times New Roman" w:eastAsia="宋体" w:hAnsi="Times New Roman" w:cs="Times New Roman"/>
                  <w:kern w:val="0"/>
                  <w:sz w:val="20"/>
                  <w:szCs w:val="20"/>
                </w:rPr>
                <w:t>July</w:t>
              </w:r>
            </w:hyperlink>
            <w:hyperlink w:anchor="i60e70608537f4631891d7a02836596f9_19"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30, 2021 and January 29, 2021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37" w14:textId="77777777" w:rsidR="003D72E7" w:rsidRDefault="00AD6774">
            <w:pPr>
              <w:widowControl/>
              <w:jc w:val="center"/>
              <w:textAlignment w:val="bottom"/>
              <w:rPr>
                <w:rFonts w:ascii="宋体" w:eastAsia="宋体" w:hAnsi="宋体" w:cs="宋体"/>
                <w:kern w:val="0"/>
                <w:sz w:val="24"/>
              </w:rPr>
            </w:pPr>
            <w:hyperlink w:anchor="i60e70608537f4631891d7a02836596f9_19" w:history="1">
              <w:r>
                <w:rPr>
                  <w:rStyle w:val="a4"/>
                  <w:rFonts w:ascii="Times New Roman" w:eastAsia="宋体" w:hAnsi="Times New Roman" w:cs="Times New Roman"/>
                  <w:kern w:val="0"/>
                  <w:sz w:val="20"/>
                  <w:szCs w:val="20"/>
                </w:rPr>
                <w:t>5</w:t>
              </w:r>
            </w:hyperlink>
          </w:p>
        </w:tc>
      </w:tr>
      <w:tr w:rsidR="003D72E7" w14:paraId="619DCA3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39" w14:textId="77777777" w:rsidR="003D72E7" w:rsidRDefault="00AD6774">
            <w:pPr>
              <w:widowControl/>
              <w:jc w:val="left"/>
              <w:textAlignment w:val="bottom"/>
              <w:rPr>
                <w:rFonts w:ascii="宋体" w:eastAsia="宋体" w:hAnsi="宋体" w:cs="宋体"/>
                <w:kern w:val="0"/>
                <w:sz w:val="24"/>
              </w:rPr>
            </w:pPr>
            <w:hyperlink w:anchor="i60e70608537f4631891d7a02836596f9_22" w:history="1">
              <w:r>
                <w:rPr>
                  <w:rStyle w:val="a4"/>
                  <w:rFonts w:ascii="Times New Roman" w:eastAsia="宋体" w:hAnsi="Times New Roman" w:cs="Times New Roman"/>
                  <w:kern w:val="0"/>
                  <w:sz w:val="20"/>
                  <w:szCs w:val="20"/>
                </w:rPr>
                <w:t xml:space="preserve">Condensed Consolidated Statements of Income for the three </w:t>
              </w:r>
            </w:hyperlink>
            <w:hyperlink w:anchor="i60e70608537f4631891d7a02836596f9_22" w:history="1">
              <w:r>
                <w:rPr>
                  <w:rStyle w:val="a4"/>
                  <w:rFonts w:ascii="Times New Roman" w:eastAsia="宋体" w:hAnsi="Times New Roman" w:cs="Times New Roman"/>
                  <w:kern w:val="0"/>
                  <w:sz w:val="20"/>
                  <w:szCs w:val="20"/>
                </w:rPr>
                <w:t xml:space="preserve">and six </w:t>
              </w:r>
            </w:hyperlink>
            <w:hyperlink w:anchor="i60e70608537f4631891d7a02836596f9_22" w:history="1">
              <w:r>
                <w:rPr>
                  <w:rStyle w:val="a4"/>
                  <w:rFonts w:ascii="Times New Roman" w:eastAsia="宋体" w:hAnsi="Times New Roman" w:cs="Times New Roman"/>
                  <w:kern w:val="0"/>
                  <w:sz w:val="20"/>
                  <w:szCs w:val="20"/>
                </w:rPr>
                <w:t xml:space="preserve">months ended </w:t>
              </w:r>
            </w:hyperlink>
            <w:hyperlink w:anchor="i60e70608537f4631891d7a02836596f9_22" w:history="1">
              <w:r>
                <w:rPr>
                  <w:rStyle w:val="a4"/>
                  <w:rFonts w:ascii="Times New Roman" w:eastAsia="宋体" w:hAnsi="Times New Roman" w:cs="Times New Roman"/>
                  <w:kern w:val="0"/>
                  <w:sz w:val="20"/>
                  <w:szCs w:val="20"/>
                </w:rPr>
                <w:t>July</w:t>
              </w:r>
            </w:hyperlink>
            <w:hyperlink w:anchor="i60e70608537f4631891d7a02836596f9_22"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 xml:space="preserve">30, 2021 and </w:t>
              </w:r>
            </w:hyperlink>
            <w:hyperlink w:anchor="i60e70608537f4631891d7a02836596f9_22" w:history="1">
              <w:r>
                <w:rPr>
                  <w:rStyle w:val="a4"/>
                  <w:rFonts w:ascii="Times New Roman" w:eastAsia="宋体" w:hAnsi="Times New Roman" w:cs="Times New Roman"/>
                  <w:kern w:val="0"/>
                  <w:sz w:val="20"/>
                  <w:szCs w:val="20"/>
                </w:rPr>
                <w:t>July</w:t>
              </w:r>
            </w:hyperlink>
            <w:hyperlink w:anchor="i60e70608537f4631891d7a02836596f9_22" w:history="1">
              <w:r>
                <w:rPr>
                  <w:rStyle w:val="a4"/>
                  <w:rFonts w:ascii="Times New Roman" w:eastAsia="宋体" w:hAnsi="Times New Roman" w:cs="Times New Roman"/>
                  <w:kern w:val="0"/>
                  <w:sz w:val="20"/>
                  <w:szCs w:val="20"/>
                </w:rPr>
                <w:t> </w:t>
              </w:r>
            </w:hyperlink>
            <w:hyperlink w:anchor="i60e70608537f4631891d7a02836596f9_22" w:history="1">
              <w:r>
                <w:rPr>
                  <w:rStyle w:val="a4"/>
                  <w:rFonts w:ascii="Times New Roman" w:eastAsia="宋体" w:hAnsi="Times New Roman" w:cs="Times New Roman"/>
                  <w:kern w:val="0"/>
                  <w:sz w:val="20"/>
                  <w:szCs w:val="20"/>
                </w:rPr>
                <w:t>3</w:t>
              </w:r>
            </w:hyperlink>
            <w:hyperlink w:anchor="i60e70608537f4631891d7a02836596f9_22" w:history="1">
              <w:r>
                <w:rPr>
                  <w:rStyle w:val="a4"/>
                  <w:rFonts w:ascii="Times New Roman" w:eastAsia="宋体" w:hAnsi="Times New Roman" w:cs="Times New Roman"/>
                  <w:kern w:val="0"/>
                  <w:sz w:val="20"/>
                  <w:szCs w:val="20"/>
                </w:rPr>
                <w:t>1, 2020</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3A" w14:textId="77777777" w:rsidR="003D72E7" w:rsidRDefault="00AD6774">
            <w:pPr>
              <w:widowControl/>
              <w:jc w:val="center"/>
              <w:textAlignment w:val="bottom"/>
              <w:rPr>
                <w:rFonts w:ascii="宋体" w:eastAsia="宋体" w:hAnsi="宋体" w:cs="宋体"/>
                <w:kern w:val="0"/>
                <w:sz w:val="24"/>
              </w:rPr>
            </w:pPr>
            <w:hyperlink w:anchor="i60e70608537f4631891d7a02836596f9_22" w:history="1">
              <w:r>
                <w:rPr>
                  <w:rStyle w:val="a4"/>
                  <w:rFonts w:ascii="Times New Roman" w:eastAsia="宋体" w:hAnsi="Times New Roman" w:cs="Times New Roman"/>
                  <w:kern w:val="0"/>
                  <w:sz w:val="20"/>
                  <w:szCs w:val="20"/>
                </w:rPr>
                <w:t>6</w:t>
              </w:r>
            </w:hyperlink>
          </w:p>
        </w:tc>
      </w:tr>
      <w:tr w:rsidR="003D72E7" w14:paraId="619DCA3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3C" w14:textId="77777777" w:rsidR="003D72E7" w:rsidRDefault="00AD6774">
            <w:pPr>
              <w:widowControl/>
              <w:jc w:val="left"/>
              <w:textAlignment w:val="bottom"/>
              <w:rPr>
                <w:rFonts w:ascii="宋体" w:eastAsia="宋体" w:hAnsi="宋体" w:cs="宋体"/>
                <w:kern w:val="0"/>
                <w:sz w:val="24"/>
              </w:rPr>
            </w:pPr>
            <w:hyperlink w:anchor="i60e70608537f4631891d7a02836596f9_25" w:history="1">
              <w:r>
                <w:rPr>
                  <w:rStyle w:val="a4"/>
                  <w:rFonts w:ascii="Times New Roman" w:eastAsia="宋体" w:hAnsi="Times New Roman" w:cs="Times New Roman"/>
                  <w:kern w:val="0"/>
                  <w:sz w:val="20"/>
                  <w:szCs w:val="20"/>
                </w:rPr>
                <w:t xml:space="preserve">Condensed Consolidated Statements of Comprehensive Income (Loss) for the three </w:t>
              </w:r>
            </w:hyperlink>
            <w:hyperlink w:anchor="i60e70608537f4631891d7a02836596f9_25" w:history="1">
              <w:r>
                <w:rPr>
                  <w:rStyle w:val="a4"/>
                  <w:rFonts w:ascii="Times New Roman" w:eastAsia="宋体" w:hAnsi="Times New Roman" w:cs="Times New Roman"/>
                  <w:kern w:val="0"/>
                  <w:sz w:val="20"/>
                  <w:szCs w:val="20"/>
                </w:rPr>
                <w:t xml:space="preserve">and six </w:t>
              </w:r>
            </w:hyperlink>
            <w:hyperlink w:anchor="i60e70608537f4631891d7a02836596f9_25" w:history="1">
              <w:r>
                <w:rPr>
                  <w:rStyle w:val="a4"/>
                  <w:rFonts w:ascii="Times New Roman" w:eastAsia="宋体" w:hAnsi="Times New Roman" w:cs="Times New Roman"/>
                  <w:kern w:val="0"/>
                  <w:sz w:val="20"/>
                  <w:szCs w:val="20"/>
                </w:rPr>
                <w:t>months ended</w:t>
              </w:r>
            </w:hyperlink>
            <w:hyperlink w:anchor="i60e70608537f4631891d7a02836596f9_25" w:history="1">
              <w:r>
                <w:rPr>
                  <w:rStyle w:val="a4"/>
                  <w:rFonts w:ascii="Times New Roman" w:eastAsia="宋体" w:hAnsi="Times New Roman" w:cs="Times New Roman"/>
                  <w:kern w:val="0"/>
                  <w:sz w:val="20"/>
                  <w:szCs w:val="20"/>
                </w:rPr>
                <w:t> </w:t>
              </w:r>
            </w:hyperlink>
            <w:hyperlink w:anchor="i60e70608537f4631891d7a02836596f9_25" w:history="1">
              <w:r>
                <w:rPr>
                  <w:rStyle w:val="a4"/>
                  <w:rFonts w:ascii="Times New Roman" w:eastAsia="宋体" w:hAnsi="Times New Roman" w:cs="Times New Roman"/>
                  <w:kern w:val="0"/>
                  <w:sz w:val="20"/>
                  <w:szCs w:val="20"/>
                </w:rPr>
                <w:t>July</w:t>
              </w:r>
            </w:hyperlink>
            <w:hyperlink w:anchor="i60e70608537f4631891d7a02836596f9_25"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 xml:space="preserve">30, 2021 and </w:t>
              </w:r>
            </w:hyperlink>
            <w:hyperlink w:anchor="i60e70608537f4631891d7a02836596f9_25" w:history="1">
              <w:r>
                <w:rPr>
                  <w:rStyle w:val="a4"/>
                  <w:rFonts w:ascii="Times New Roman" w:eastAsia="宋体" w:hAnsi="Times New Roman" w:cs="Times New Roman"/>
                  <w:kern w:val="0"/>
                  <w:sz w:val="20"/>
                  <w:szCs w:val="20"/>
                </w:rPr>
                <w:t>July</w:t>
              </w:r>
            </w:hyperlink>
            <w:hyperlink w:anchor="i60e70608537f4631891d7a02836596f9_25" w:history="1">
              <w:r>
                <w:rPr>
                  <w:rStyle w:val="a4"/>
                  <w:rFonts w:ascii="Times New Roman" w:eastAsia="宋体" w:hAnsi="Times New Roman" w:cs="Times New Roman"/>
                  <w:kern w:val="0"/>
                  <w:sz w:val="20"/>
                  <w:szCs w:val="20"/>
                </w:rPr>
                <w:t> </w:t>
              </w:r>
            </w:hyperlink>
            <w:hyperlink w:anchor="i60e70608537f4631891d7a02836596f9_25" w:history="1">
              <w:r>
                <w:rPr>
                  <w:rStyle w:val="a4"/>
                  <w:rFonts w:ascii="Times New Roman" w:eastAsia="宋体" w:hAnsi="Times New Roman" w:cs="Times New Roman"/>
                  <w:kern w:val="0"/>
                  <w:sz w:val="20"/>
                  <w:szCs w:val="20"/>
                </w:rPr>
                <w:t>3</w:t>
              </w:r>
            </w:hyperlink>
            <w:hyperlink w:anchor="i60e70608537f4631891d7a02836596f9_25" w:history="1">
              <w:r>
                <w:rPr>
                  <w:rStyle w:val="a4"/>
                  <w:rFonts w:ascii="Times New Roman" w:eastAsia="宋体" w:hAnsi="Times New Roman" w:cs="Times New Roman"/>
                  <w:kern w:val="0"/>
                  <w:sz w:val="20"/>
                  <w:szCs w:val="20"/>
                </w:rPr>
                <w:t>1, 2020</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3D" w14:textId="77777777" w:rsidR="003D72E7" w:rsidRDefault="00AD6774">
            <w:pPr>
              <w:widowControl/>
              <w:jc w:val="center"/>
              <w:textAlignment w:val="bottom"/>
              <w:rPr>
                <w:rFonts w:ascii="宋体" w:eastAsia="宋体" w:hAnsi="宋体" w:cs="宋体"/>
                <w:kern w:val="0"/>
                <w:sz w:val="24"/>
              </w:rPr>
            </w:pPr>
            <w:hyperlink w:anchor="i60e70608537f4631891d7a02836596f9_25" w:history="1">
              <w:r>
                <w:rPr>
                  <w:rStyle w:val="a4"/>
                  <w:rFonts w:ascii="Times New Roman" w:eastAsia="宋体" w:hAnsi="Times New Roman" w:cs="Times New Roman"/>
                  <w:kern w:val="0"/>
                  <w:sz w:val="20"/>
                  <w:szCs w:val="20"/>
                </w:rPr>
                <w:t>7</w:t>
              </w:r>
            </w:hyperlink>
          </w:p>
        </w:tc>
      </w:tr>
      <w:tr w:rsidR="003D72E7" w14:paraId="619DCA4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3F" w14:textId="77777777" w:rsidR="003D72E7" w:rsidRDefault="00AD6774">
            <w:pPr>
              <w:widowControl/>
              <w:jc w:val="left"/>
              <w:textAlignment w:val="bottom"/>
              <w:rPr>
                <w:rFonts w:ascii="宋体" w:eastAsia="宋体" w:hAnsi="宋体" w:cs="宋体"/>
                <w:kern w:val="0"/>
                <w:sz w:val="24"/>
              </w:rPr>
            </w:pPr>
            <w:hyperlink w:anchor="i60e70608537f4631891d7a02836596f9_28" w:history="1">
              <w:r>
                <w:rPr>
                  <w:rStyle w:val="a4"/>
                  <w:rFonts w:ascii="Times New Roman" w:eastAsia="宋体" w:hAnsi="Times New Roman" w:cs="Times New Roman"/>
                  <w:kern w:val="0"/>
                  <w:sz w:val="20"/>
                  <w:szCs w:val="20"/>
                </w:rPr>
                <w:t xml:space="preserve">Condensed Consolidated Statements of Cash Flows for the </w:t>
              </w:r>
            </w:hyperlink>
            <w:hyperlink w:anchor="i60e70608537f4631891d7a02836596f9_28" w:history="1">
              <w:r>
                <w:rPr>
                  <w:rStyle w:val="a4"/>
                  <w:rFonts w:ascii="Times New Roman" w:eastAsia="宋体" w:hAnsi="Times New Roman" w:cs="Times New Roman"/>
                  <w:kern w:val="0"/>
                  <w:sz w:val="20"/>
                  <w:szCs w:val="20"/>
                </w:rPr>
                <w:t>six</w:t>
              </w:r>
            </w:hyperlink>
            <w:hyperlink w:anchor="i60e70608537f4631891d7a02836596f9_28"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 xml:space="preserve">months ended </w:t>
              </w:r>
            </w:hyperlink>
            <w:hyperlink w:anchor="i60e70608537f4631891d7a02836596f9_28" w:history="1">
              <w:r>
                <w:rPr>
                  <w:rStyle w:val="a4"/>
                  <w:rFonts w:ascii="Times New Roman" w:eastAsia="宋体" w:hAnsi="Times New Roman" w:cs="Times New Roman"/>
                  <w:kern w:val="0"/>
                  <w:sz w:val="20"/>
                  <w:szCs w:val="20"/>
                </w:rPr>
                <w:t>J</w:t>
              </w:r>
            </w:hyperlink>
            <w:hyperlink w:anchor="i60e70608537f4631891d7a02836596f9_28" w:history="1">
              <w:r>
                <w:rPr>
                  <w:rStyle w:val="a4"/>
                  <w:rFonts w:ascii="Times New Roman" w:eastAsia="宋体" w:hAnsi="Times New Roman" w:cs="Times New Roman"/>
                  <w:kern w:val="0"/>
                  <w:sz w:val="20"/>
                  <w:szCs w:val="20"/>
                </w:rPr>
                <w:t>u</w:t>
              </w:r>
            </w:hyperlink>
            <w:hyperlink w:anchor="i60e70608537f4631891d7a02836596f9_28" w:history="1">
              <w:r>
                <w:rPr>
                  <w:rStyle w:val="a4"/>
                  <w:rFonts w:ascii="Times New Roman" w:eastAsia="宋体" w:hAnsi="Times New Roman" w:cs="Times New Roman"/>
                  <w:kern w:val="0"/>
                  <w:sz w:val="20"/>
                  <w:szCs w:val="20"/>
                </w:rPr>
                <w:t>ly</w:t>
              </w:r>
            </w:hyperlink>
            <w:hyperlink w:anchor="i60e70608537f4631891d7a02836596f9_28"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3</w:t>
              </w:r>
            </w:hyperlink>
            <w:hyperlink w:anchor="i60e70608537f4631891d7a02836596f9_28" w:history="1">
              <w:r>
                <w:rPr>
                  <w:rStyle w:val="a4"/>
                  <w:rFonts w:ascii="Times New Roman" w:eastAsia="宋体" w:hAnsi="Times New Roman" w:cs="Times New Roman"/>
                  <w:kern w:val="0"/>
                  <w:sz w:val="20"/>
                  <w:szCs w:val="20"/>
                </w:rPr>
                <w:t>0</w:t>
              </w:r>
            </w:hyperlink>
            <w:hyperlink w:anchor="i60e70608537f4631891d7a02836596f9_28" w:history="1">
              <w:r>
                <w:rPr>
                  <w:rStyle w:val="a4"/>
                  <w:rFonts w:ascii="Times New Roman" w:eastAsia="宋体" w:hAnsi="Times New Roman" w:cs="Times New Roman"/>
                  <w:kern w:val="0"/>
                  <w:sz w:val="20"/>
                  <w:szCs w:val="20"/>
                </w:rPr>
                <w:t xml:space="preserve">, 2021 and </w:t>
              </w:r>
            </w:hyperlink>
            <w:hyperlink w:anchor="i60e70608537f4631891d7a02836596f9_28" w:history="1">
              <w:r>
                <w:rPr>
                  <w:rStyle w:val="a4"/>
                  <w:rFonts w:ascii="Times New Roman" w:eastAsia="宋体" w:hAnsi="Times New Roman" w:cs="Times New Roman"/>
                  <w:kern w:val="0"/>
                  <w:sz w:val="20"/>
                  <w:szCs w:val="20"/>
                </w:rPr>
                <w:t>July</w:t>
              </w:r>
            </w:hyperlink>
            <w:hyperlink w:anchor="i60e70608537f4631891d7a02836596f9_28" w:history="1">
              <w:r>
                <w:rPr>
                  <w:rStyle w:val="a4"/>
                  <w:rFonts w:ascii="Times New Roman" w:eastAsia="宋体" w:hAnsi="Times New Roman" w:cs="Times New Roman"/>
                  <w:kern w:val="0"/>
                  <w:sz w:val="20"/>
                  <w:szCs w:val="20"/>
                </w:rPr>
                <w:t> </w:t>
              </w:r>
            </w:hyperlink>
            <w:hyperlink w:anchor="i60e70608537f4631891d7a02836596f9_28" w:history="1">
              <w:r>
                <w:rPr>
                  <w:rStyle w:val="a4"/>
                  <w:rFonts w:ascii="Times New Roman" w:eastAsia="宋体" w:hAnsi="Times New Roman" w:cs="Times New Roman"/>
                  <w:kern w:val="0"/>
                  <w:sz w:val="20"/>
                  <w:szCs w:val="20"/>
                </w:rPr>
                <w:t>3</w:t>
              </w:r>
            </w:hyperlink>
            <w:hyperlink w:anchor="i60e70608537f4631891d7a02836596f9_28" w:history="1">
              <w:r>
                <w:rPr>
                  <w:rStyle w:val="a4"/>
                  <w:rFonts w:ascii="Times New Roman" w:eastAsia="宋体" w:hAnsi="Times New Roman" w:cs="Times New Roman"/>
                  <w:kern w:val="0"/>
                  <w:sz w:val="20"/>
                  <w:szCs w:val="20"/>
                </w:rPr>
                <w:t>1, 2020</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40" w14:textId="77777777" w:rsidR="003D72E7" w:rsidRDefault="00AD6774">
            <w:pPr>
              <w:widowControl/>
              <w:jc w:val="center"/>
              <w:textAlignment w:val="bottom"/>
              <w:rPr>
                <w:rFonts w:ascii="宋体" w:eastAsia="宋体" w:hAnsi="宋体" w:cs="宋体"/>
                <w:kern w:val="0"/>
                <w:sz w:val="24"/>
              </w:rPr>
            </w:pPr>
            <w:hyperlink w:anchor="i60e70608537f4631891d7a02836596f9_28" w:history="1">
              <w:r>
                <w:rPr>
                  <w:rStyle w:val="a4"/>
                  <w:rFonts w:ascii="Times New Roman" w:eastAsia="宋体" w:hAnsi="Times New Roman" w:cs="Times New Roman"/>
                  <w:kern w:val="0"/>
                  <w:sz w:val="20"/>
                  <w:szCs w:val="20"/>
                </w:rPr>
                <w:t>8</w:t>
              </w:r>
            </w:hyperlink>
          </w:p>
        </w:tc>
      </w:tr>
      <w:tr w:rsidR="003D72E7" w14:paraId="619DCA4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42" w14:textId="77777777" w:rsidR="003D72E7" w:rsidRDefault="00AD6774">
            <w:pPr>
              <w:widowControl/>
              <w:jc w:val="left"/>
              <w:textAlignment w:val="bottom"/>
              <w:rPr>
                <w:rFonts w:ascii="宋体" w:eastAsia="宋体" w:hAnsi="宋体" w:cs="宋体"/>
                <w:kern w:val="0"/>
                <w:sz w:val="24"/>
              </w:rPr>
            </w:pPr>
            <w:hyperlink w:anchor="i60e70608537f4631891d7a02836596f9_31" w:history="1">
              <w:r>
                <w:rPr>
                  <w:rStyle w:val="a4"/>
                  <w:rFonts w:ascii="Times New Roman" w:eastAsia="宋体" w:hAnsi="Times New Roman" w:cs="Times New Roman"/>
                  <w:kern w:val="0"/>
                  <w:sz w:val="20"/>
                  <w:szCs w:val="20"/>
                </w:rPr>
                <w:t xml:space="preserve">Condensed Consolidated Statements of Stockholders’ Equity (Deficit) for the three </w:t>
              </w:r>
            </w:hyperlink>
            <w:hyperlink w:anchor="i60e70608537f4631891d7a02836596f9_31" w:history="1">
              <w:r>
                <w:rPr>
                  <w:rStyle w:val="a4"/>
                  <w:rFonts w:ascii="Times New Roman" w:eastAsia="宋体" w:hAnsi="Times New Roman" w:cs="Times New Roman"/>
                  <w:kern w:val="0"/>
                  <w:sz w:val="20"/>
                  <w:szCs w:val="20"/>
                </w:rPr>
                <w:t>and si</w:t>
              </w:r>
            </w:hyperlink>
            <w:hyperlink w:anchor="i60e70608537f4631891d7a02836596f9_31" w:history="1">
              <w:r>
                <w:rPr>
                  <w:rStyle w:val="a4"/>
                  <w:rFonts w:ascii="Times New Roman" w:eastAsia="宋体" w:hAnsi="Times New Roman" w:cs="Times New Roman"/>
                  <w:kern w:val="0"/>
                  <w:sz w:val="20"/>
                  <w:szCs w:val="20"/>
                </w:rPr>
                <w:t xml:space="preserve">x </w:t>
              </w:r>
            </w:hyperlink>
            <w:hyperlink w:anchor="i60e70608537f4631891d7a02836596f9_31" w:history="1">
              <w:r>
                <w:rPr>
                  <w:rStyle w:val="a4"/>
                  <w:rFonts w:ascii="Times New Roman" w:eastAsia="宋体" w:hAnsi="Times New Roman" w:cs="Times New Roman"/>
                  <w:kern w:val="0"/>
                  <w:sz w:val="20"/>
                  <w:szCs w:val="20"/>
                </w:rPr>
                <w:t xml:space="preserve">months ended </w:t>
              </w:r>
            </w:hyperlink>
            <w:hyperlink w:anchor="i60e70608537f4631891d7a02836596f9_31" w:history="1">
              <w:r>
                <w:rPr>
                  <w:rStyle w:val="a4"/>
                  <w:rFonts w:ascii="Times New Roman" w:eastAsia="宋体" w:hAnsi="Times New Roman" w:cs="Times New Roman"/>
                  <w:kern w:val="0"/>
                  <w:sz w:val="20"/>
                  <w:szCs w:val="20"/>
                </w:rPr>
                <w:t>July</w:t>
              </w:r>
            </w:hyperlink>
            <w:hyperlink w:anchor="i60e70608537f4631891d7a02836596f9_31" w:history="1">
              <w:r>
                <w:rPr>
                  <w:rStyle w:val="a4"/>
                  <w:rFonts w:ascii="Times New Roman" w:eastAsia="宋体" w:hAnsi="Times New Roman" w:cs="Times New Roman"/>
                  <w:kern w:val="0"/>
                  <w:sz w:val="20"/>
                  <w:szCs w:val="20"/>
                </w:rPr>
                <w:t> </w:t>
              </w:r>
              <w:r>
                <w:rPr>
                  <w:rStyle w:val="a4"/>
                  <w:rFonts w:ascii="Times New Roman" w:eastAsia="宋体" w:hAnsi="Times New Roman" w:cs="Times New Roman"/>
                  <w:kern w:val="0"/>
                  <w:sz w:val="20"/>
                  <w:szCs w:val="20"/>
                </w:rPr>
                <w:t>3</w:t>
              </w:r>
            </w:hyperlink>
            <w:hyperlink w:anchor="i60e70608537f4631891d7a02836596f9_31" w:history="1">
              <w:r>
                <w:rPr>
                  <w:rStyle w:val="a4"/>
                  <w:rFonts w:ascii="Times New Roman" w:eastAsia="宋体" w:hAnsi="Times New Roman" w:cs="Times New Roman"/>
                  <w:kern w:val="0"/>
                  <w:sz w:val="20"/>
                  <w:szCs w:val="20"/>
                </w:rPr>
                <w:t>1</w:t>
              </w:r>
            </w:hyperlink>
            <w:hyperlink w:anchor="i60e70608537f4631891d7a02836596f9_31" w:history="1">
              <w:r>
                <w:rPr>
                  <w:rStyle w:val="a4"/>
                  <w:rFonts w:ascii="Times New Roman" w:eastAsia="宋体" w:hAnsi="Times New Roman" w:cs="Times New Roman"/>
                  <w:kern w:val="0"/>
                  <w:sz w:val="20"/>
                  <w:szCs w:val="20"/>
                </w:rPr>
                <w:t xml:space="preserve">, 2021 and </w:t>
              </w:r>
            </w:hyperlink>
            <w:hyperlink w:anchor="i60e70608537f4631891d7a02836596f9_31" w:history="1">
              <w:r>
                <w:rPr>
                  <w:rStyle w:val="a4"/>
                  <w:rFonts w:ascii="Times New Roman" w:eastAsia="宋体" w:hAnsi="Times New Roman" w:cs="Times New Roman"/>
                  <w:kern w:val="0"/>
                  <w:sz w:val="20"/>
                  <w:szCs w:val="20"/>
                </w:rPr>
                <w:t>July</w:t>
              </w:r>
            </w:hyperlink>
            <w:hyperlink w:anchor="i60e70608537f4631891d7a02836596f9_31" w:history="1">
              <w:r>
                <w:rPr>
                  <w:rStyle w:val="a4"/>
                  <w:rFonts w:ascii="Times New Roman" w:eastAsia="宋体" w:hAnsi="Times New Roman" w:cs="Times New Roman"/>
                  <w:kern w:val="0"/>
                  <w:sz w:val="20"/>
                  <w:szCs w:val="20"/>
                </w:rPr>
                <w:t> </w:t>
              </w:r>
            </w:hyperlink>
            <w:hyperlink w:anchor="i60e70608537f4631891d7a02836596f9_31" w:history="1">
              <w:r>
                <w:rPr>
                  <w:rStyle w:val="a4"/>
                  <w:rFonts w:ascii="Times New Roman" w:eastAsia="宋体" w:hAnsi="Times New Roman" w:cs="Times New Roman"/>
                  <w:kern w:val="0"/>
                  <w:sz w:val="20"/>
                  <w:szCs w:val="20"/>
                </w:rPr>
                <w:t>3</w:t>
              </w:r>
            </w:hyperlink>
            <w:hyperlink w:anchor="i60e70608537f4631891d7a02836596f9_31" w:history="1">
              <w:r>
                <w:rPr>
                  <w:rStyle w:val="a4"/>
                  <w:rFonts w:ascii="Times New Roman" w:eastAsia="宋体" w:hAnsi="Times New Roman" w:cs="Times New Roman"/>
                  <w:kern w:val="0"/>
                  <w:sz w:val="20"/>
                  <w:szCs w:val="20"/>
                </w:rPr>
                <w:t>1, 2020</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43" w14:textId="77777777" w:rsidR="003D72E7" w:rsidRDefault="00AD6774">
            <w:pPr>
              <w:widowControl/>
              <w:jc w:val="center"/>
              <w:textAlignment w:val="bottom"/>
              <w:rPr>
                <w:rFonts w:ascii="宋体" w:eastAsia="宋体" w:hAnsi="宋体" w:cs="宋体"/>
                <w:kern w:val="0"/>
                <w:sz w:val="24"/>
              </w:rPr>
            </w:pPr>
            <w:hyperlink w:anchor="i60e70608537f4631891d7a02836596f9_31" w:history="1">
              <w:r>
                <w:rPr>
                  <w:rStyle w:val="a4"/>
                  <w:rFonts w:ascii="Times New Roman" w:eastAsia="宋体" w:hAnsi="Times New Roman" w:cs="Times New Roman"/>
                  <w:kern w:val="0"/>
                  <w:sz w:val="20"/>
                  <w:szCs w:val="20"/>
                </w:rPr>
                <w:t>9</w:t>
              </w:r>
            </w:hyperlink>
          </w:p>
        </w:tc>
      </w:tr>
      <w:tr w:rsidR="003D72E7" w14:paraId="619DCA4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45" w14:textId="77777777" w:rsidR="003D72E7" w:rsidRDefault="00AD6774">
            <w:pPr>
              <w:widowControl/>
              <w:jc w:val="left"/>
              <w:textAlignment w:val="bottom"/>
              <w:rPr>
                <w:rFonts w:ascii="宋体" w:eastAsia="宋体" w:hAnsi="宋体" w:cs="宋体"/>
                <w:kern w:val="0"/>
                <w:sz w:val="24"/>
              </w:rPr>
            </w:pPr>
            <w:hyperlink w:anchor="i60e70608537f4631891d7a02836596f9_34" w:history="1">
              <w:r>
                <w:rPr>
                  <w:rStyle w:val="a4"/>
                  <w:rFonts w:ascii="Times New Roman" w:eastAsia="宋体" w:hAnsi="Times New Roman" w:cs="Times New Roman"/>
                  <w:kern w:val="0"/>
                  <w:sz w:val="20"/>
                  <w:szCs w:val="20"/>
                </w:rPr>
                <w:t>Notes to the Condensed Consolidated Financial Statements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46" w14:textId="77777777" w:rsidR="003D72E7" w:rsidRDefault="00AD6774">
            <w:pPr>
              <w:widowControl/>
              <w:jc w:val="center"/>
              <w:textAlignment w:val="bottom"/>
              <w:rPr>
                <w:rFonts w:ascii="宋体" w:eastAsia="宋体" w:hAnsi="宋体" w:cs="宋体"/>
                <w:kern w:val="0"/>
                <w:sz w:val="24"/>
              </w:rPr>
            </w:pPr>
            <w:hyperlink w:anchor="i60e70608537f4631891d7a02836596f9_34" w:history="1">
              <w:r>
                <w:rPr>
                  <w:rStyle w:val="a4"/>
                  <w:rFonts w:ascii="Times New Roman" w:eastAsia="宋体" w:hAnsi="Times New Roman" w:cs="Times New Roman"/>
                  <w:kern w:val="0"/>
                  <w:sz w:val="20"/>
                  <w:szCs w:val="20"/>
                </w:rPr>
                <w:t>11</w:t>
              </w:r>
            </w:hyperlink>
          </w:p>
        </w:tc>
      </w:tr>
      <w:tr w:rsidR="003D72E7" w14:paraId="619DCA4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48" w14:textId="77777777" w:rsidR="003D72E7" w:rsidRDefault="00AD6774">
            <w:pPr>
              <w:widowControl/>
              <w:jc w:val="left"/>
              <w:textAlignment w:val="bottom"/>
              <w:rPr>
                <w:rFonts w:ascii="宋体" w:eastAsia="宋体" w:hAnsi="宋体" w:cs="宋体"/>
                <w:kern w:val="0"/>
                <w:sz w:val="24"/>
              </w:rPr>
            </w:pPr>
            <w:hyperlink w:anchor="i60e70608537f4631891d7a02836596f9_37" w:history="1">
              <w:r>
                <w:rPr>
                  <w:rStyle w:val="a4"/>
                  <w:rFonts w:ascii="Times New Roman" w:eastAsia="宋体" w:hAnsi="Times New Roman" w:cs="Times New Roman"/>
                  <w:kern w:val="0"/>
                  <w:sz w:val="20"/>
                  <w:szCs w:val="20"/>
                </w:rPr>
                <w:t>Note 1 — Basis of Pre</w:t>
              </w:r>
              <w:r>
                <w:rPr>
                  <w:rStyle w:val="a4"/>
                  <w:rFonts w:ascii="Times New Roman" w:eastAsia="宋体" w:hAnsi="Times New Roman" w:cs="Times New Roman"/>
                  <w:kern w:val="0"/>
                  <w:sz w:val="20"/>
                  <w:szCs w:val="20"/>
                </w:rPr>
                <w:t>sentation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49" w14:textId="77777777" w:rsidR="003D72E7" w:rsidRDefault="00AD6774">
            <w:pPr>
              <w:widowControl/>
              <w:jc w:val="center"/>
              <w:textAlignment w:val="bottom"/>
              <w:rPr>
                <w:rFonts w:ascii="宋体" w:eastAsia="宋体" w:hAnsi="宋体" w:cs="宋体"/>
                <w:kern w:val="0"/>
                <w:sz w:val="24"/>
              </w:rPr>
            </w:pPr>
            <w:hyperlink w:anchor="i60e70608537f4631891d7a02836596f9_37" w:history="1">
              <w:r>
                <w:rPr>
                  <w:rStyle w:val="a4"/>
                  <w:rFonts w:ascii="Times New Roman" w:eastAsia="宋体" w:hAnsi="Times New Roman" w:cs="Times New Roman"/>
                  <w:kern w:val="0"/>
                  <w:sz w:val="20"/>
                  <w:szCs w:val="20"/>
                </w:rPr>
                <w:t>11</w:t>
              </w:r>
            </w:hyperlink>
          </w:p>
        </w:tc>
      </w:tr>
      <w:tr w:rsidR="003D72E7" w14:paraId="619DCA4D" w14:textId="77777777">
        <w:trPr>
          <w:jc w:val="center"/>
          <w:hidden/>
        </w:trPr>
        <w:tc>
          <w:tcPr>
            <w:tcW w:w="0" w:type="auto"/>
            <w:gridSpan w:val="3"/>
            <w:tcBorders>
              <w:top w:val="nil"/>
              <w:left w:val="nil"/>
              <w:bottom w:val="nil"/>
              <w:right w:val="nil"/>
            </w:tcBorders>
            <w:shd w:val="clear" w:color="auto" w:fill="auto"/>
            <w:vAlign w:val="bottom"/>
          </w:tcPr>
          <w:p w14:paraId="619DCA4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A4C" w14:textId="77777777" w:rsidR="003D72E7" w:rsidRDefault="003D72E7">
            <w:pPr>
              <w:widowControl/>
              <w:jc w:val="left"/>
              <w:rPr>
                <w:rFonts w:ascii="Times New Roman" w:eastAsia="宋体" w:hAnsi="宋体" w:cs="宋体"/>
                <w:vanish/>
                <w:kern w:val="0"/>
                <w:sz w:val="24"/>
              </w:rPr>
            </w:pPr>
          </w:p>
        </w:tc>
      </w:tr>
      <w:tr w:rsidR="003D72E7" w14:paraId="619DCA5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4E" w14:textId="77777777" w:rsidR="003D72E7" w:rsidRDefault="00AD6774">
            <w:pPr>
              <w:widowControl/>
              <w:jc w:val="left"/>
              <w:textAlignment w:val="bottom"/>
              <w:rPr>
                <w:rFonts w:ascii="宋体" w:eastAsia="宋体" w:hAnsi="宋体" w:cs="宋体"/>
                <w:kern w:val="0"/>
                <w:sz w:val="24"/>
              </w:rPr>
            </w:pPr>
            <w:hyperlink w:anchor="i60e70608537f4631891d7a02836596f9_43" w:history="1">
              <w:r>
                <w:rPr>
                  <w:rStyle w:val="a4"/>
                  <w:rFonts w:ascii="Times New Roman" w:eastAsia="宋体" w:hAnsi="Times New Roman" w:cs="Times New Roman"/>
                  <w:kern w:val="0"/>
                  <w:sz w:val="20"/>
                  <w:szCs w:val="20"/>
                </w:rPr>
                <w:t>Note 2 — Fair Value Measurements and Investments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4F" w14:textId="77777777" w:rsidR="003D72E7" w:rsidRDefault="00AD6774">
            <w:pPr>
              <w:widowControl/>
              <w:jc w:val="center"/>
              <w:textAlignment w:val="bottom"/>
              <w:rPr>
                <w:rFonts w:ascii="宋体" w:eastAsia="宋体" w:hAnsi="宋体" w:cs="宋体"/>
                <w:kern w:val="0"/>
                <w:sz w:val="24"/>
              </w:rPr>
            </w:pPr>
            <w:hyperlink w:anchor="i60e70608537f4631891d7a02836596f9_43" w:history="1">
              <w:r>
                <w:rPr>
                  <w:rStyle w:val="a4"/>
                  <w:rFonts w:ascii="Times New Roman" w:eastAsia="宋体" w:hAnsi="Times New Roman" w:cs="Times New Roman"/>
                  <w:kern w:val="0"/>
                  <w:sz w:val="20"/>
                  <w:szCs w:val="20"/>
                </w:rPr>
                <w:t>15</w:t>
              </w:r>
            </w:hyperlink>
          </w:p>
        </w:tc>
      </w:tr>
      <w:tr w:rsidR="003D72E7" w14:paraId="619DCA5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51" w14:textId="77777777" w:rsidR="003D72E7" w:rsidRDefault="00AD6774">
            <w:pPr>
              <w:widowControl/>
              <w:jc w:val="left"/>
              <w:textAlignment w:val="bottom"/>
              <w:rPr>
                <w:rFonts w:ascii="宋体" w:eastAsia="宋体" w:hAnsi="宋体" w:cs="宋体"/>
                <w:kern w:val="0"/>
                <w:sz w:val="24"/>
              </w:rPr>
            </w:pPr>
            <w:hyperlink w:anchor="i60e70608537f4631891d7a02836596f9_46" w:history="1">
              <w:r>
                <w:rPr>
                  <w:rStyle w:val="a4"/>
                  <w:rFonts w:ascii="Times New Roman" w:eastAsia="宋体" w:hAnsi="Times New Roman" w:cs="Times New Roman"/>
                  <w:kern w:val="0"/>
                  <w:sz w:val="20"/>
                  <w:szCs w:val="20"/>
                </w:rPr>
                <w:t>Note 3 — Financial Services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52" w14:textId="77777777" w:rsidR="003D72E7" w:rsidRDefault="00AD6774">
            <w:pPr>
              <w:widowControl/>
              <w:jc w:val="center"/>
              <w:textAlignment w:val="bottom"/>
              <w:rPr>
                <w:rFonts w:ascii="宋体" w:eastAsia="宋体" w:hAnsi="宋体" w:cs="宋体"/>
                <w:kern w:val="0"/>
                <w:sz w:val="24"/>
              </w:rPr>
            </w:pPr>
            <w:hyperlink w:anchor="i60e70608537f4631891d7a02836596f9_46" w:history="1">
              <w:r>
                <w:rPr>
                  <w:rStyle w:val="a4"/>
                  <w:rFonts w:ascii="Times New Roman" w:eastAsia="宋体" w:hAnsi="Times New Roman" w:cs="Times New Roman"/>
                  <w:kern w:val="0"/>
                  <w:sz w:val="20"/>
                  <w:szCs w:val="20"/>
                </w:rPr>
                <w:t>18</w:t>
              </w:r>
            </w:hyperlink>
          </w:p>
        </w:tc>
      </w:tr>
      <w:tr w:rsidR="003D72E7" w14:paraId="619DCA5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54" w14:textId="77777777" w:rsidR="003D72E7" w:rsidRDefault="00AD6774">
            <w:pPr>
              <w:widowControl/>
              <w:jc w:val="left"/>
              <w:textAlignment w:val="bottom"/>
              <w:rPr>
                <w:rFonts w:ascii="宋体" w:eastAsia="宋体" w:hAnsi="宋体" w:cs="宋体"/>
                <w:kern w:val="0"/>
                <w:sz w:val="24"/>
              </w:rPr>
            </w:pPr>
            <w:hyperlink w:anchor="i60e70608537f4631891d7a02836596f9_52" w:history="1">
              <w:r>
                <w:rPr>
                  <w:rStyle w:val="a4"/>
                  <w:rFonts w:ascii="Times New Roman" w:eastAsia="宋体" w:hAnsi="Times New Roman" w:cs="Times New Roman"/>
                  <w:kern w:val="0"/>
                  <w:sz w:val="20"/>
                  <w:szCs w:val="20"/>
                </w:rPr>
                <w:t>Note 4 — Leases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55" w14:textId="77777777" w:rsidR="003D72E7" w:rsidRDefault="00AD6774">
            <w:pPr>
              <w:widowControl/>
              <w:jc w:val="center"/>
              <w:textAlignment w:val="bottom"/>
              <w:rPr>
                <w:rFonts w:ascii="宋体" w:eastAsia="宋体" w:hAnsi="宋体" w:cs="宋体"/>
                <w:kern w:val="0"/>
                <w:sz w:val="24"/>
              </w:rPr>
            </w:pPr>
            <w:hyperlink w:anchor="i60e70608537f4631891d7a02836596f9_52" w:history="1">
              <w:r>
                <w:rPr>
                  <w:rStyle w:val="a4"/>
                  <w:rFonts w:ascii="Times New Roman" w:eastAsia="宋体" w:hAnsi="Times New Roman" w:cs="Times New Roman"/>
                  <w:kern w:val="0"/>
                  <w:sz w:val="20"/>
                  <w:szCs w:val="20"/>
                </w:rPr>
                <w:t>27</w:t>
              </w:r>
            </w:hyperlink>
          </w:p>
        </w:tc>
      </w:tr>
      <w:tr w:rsidR="003D72E7" w14:paraId="619DCA5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57" w14:textId="77777777" w:rsidR="003D72E7" w:rsidRDefault="00AD6774">
            <w:pPr>
              <w:widowControl/>
              <w:jc w:val="left"/>
              <w:textAlignment w:val="bottom"/>
              <w:rPr>
                <w:rFonts w:ascii="宋体" w:eastAsia="宋体" w:hAnsi="宋体" w:cs="宋体"/>
                <w:kern w:val="0"/>
                <w:sz w:val="24"/>
              </w:rPr>
            </w:pPr>
            <w:hyperlink w:anchor="i60e70608537f4631891d7a02836596f9_58" w:history="1">
              <w:r>
                <w:rPr>
                  <w:rStyle w:val="a4"/>
                  <w:rFonts w:ascii="Times New Roman" w:eastAsia="宋体" w:hAnsi="Times New Roman" w:cs="Times New Roman"/>
                  <w:kern w:val="0"/>
                  <w:sz w:val="20"/>
                  <w:szCs w:val="20"/>
                </w:rPr>
                <w:t>Note 5 — Debt</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58" w14:textId="77777777" w:rsidR="003D72E7" w:rsidRDefault="00AD6774">
            <w:pPr>
              <w:widowControl/>
              <w:jc w:val="center"/>
              <w:textAlignment w:val="bottom"/>
              <w:rPr>
                <w:rFonts w:ascii="宋体" w:eastAsia="宋体" w:hAnsi="宋体" w:cs="宋体"/>
                <w:kern w:val="0"/>
                <w:sz w:val="24"/>
              </w:rPr>
            </w:pPr>
            <w:hyperlink w:anchor="i60e70608537f4631891d7a02836596f9_58" w:history="1">
              <w:r>
                <w:rPr>
                  <w:rStyle w:val="a4"/>
                  <w:rFonts w:ascii="Times New Roman" w:eastAsia="宋体" w:hAnsi="Times New Roman" w:cs="Times New Roman"/>
                  <w:kern w:val="0"/>
                  <w:sz w:val="20"/>
                  <w:szCs w:val="20"/>
                </w:rPr>
                <w:t>29</w:t>
              </w:r>
            </w:hyperlink>
          </w:p>
        </w:tc>
      </w:tr>
      <w:tr w:rsidR="003D72E7" w14:paraId="619DCA5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5A" w14:textId="77777777" w:rsidR="003D72E7" w:rsidRDefault="00AD6774">
            <w:pPr>
              <w:widowControl/>
              <w:jc w:val="left"/>
              <w:textAlignment w:val="bottom"/>
              <w:rPr>
                <w:rFonts w:ascii="宋体" w:eastAsia="宋体" w:hAnsi="宋体" w:cs="宋体"/>
                <w:kern w:val="0"/>
                <w:sz w:val="24"/>
              </w:rPr>
            </w:pPr>
            <w:hyperlink w:anchor="i60e70608537f4631891d7a02836596f9_61" w:history="1">
              <w:r>
                <w:rPr>
                  <w:rStyle w:val="a4"/>
                  <w:rFonts w:ascii="Times New Roman" w:eastAsia="宋体" w:hAnsi="Times New Roman" w:cs="Times New Roman"/>
                  <w:kern w:val="0"/>
                  <w:sz w:val="20"/>
                  <w:szCs w:val="20"/>
                </w:rPr>
                <w:t>Note 6 — Derivative Instruments and Hedging Activities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5B" w14:textId="77777777" w:rsidR="003D72E7" w:rsidRDefault="00AD6774">
            <w:pPr>
              <w:widowControl/>
              <w:jc w:val="center"/>
              <w:textAlignment w:val="bottom"/>
              <w:rPr>
                <w:rFonts w:ascii="宋体" w:eastAsia="宋体" w:hAnsi="宋体" w:cs="宋体"/>
                <w:kern w:val="0"/>
                <w:sz w:val="24"/>
              </w:rPr>
            </w:pPr>
            <w:hyperlink w:anchor="i60e70608537f4631891d7a02836596f9_61" w:history="1">
              <w:r>
                <w:rPr>
                  <w:rStyle w:val="a4"/>
                  <w:rFonts w:ascii="Times New Roman" w:eastAsia="宋体" w:hAnsi="Times New Roman" w:cs="Times New Roman"/>
                  <w:kern w:val="0"/>
                  <w:sz w:val="20"/>
                  <w:szCs w:val="20"/>
                </w:rPr>
                <w:t>34</w:t>
              </w:r>
            </w:hyperlink>
          </w:p>
        </w:tc>
      </w:tr>
      <w:tr w:rsidR="003D72E7" w14:paraId="619DCA5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5D" w14:textId="77777777" w:rsidR="003D72E7" w:rsidRDefault="00AD6774">
            <w:pPr>
              <w:widowControl/>
              <w:jc w:val="left"/>
              <w:textAlignment w:val="bottom"/>
              <w:rPr>
                <w:rFonts w:ascii="宋体" w:eastAsia="宋体" w:hAnsi="宋体" w:cs="宋体"/>
                <w:kern w:val="0"/>
                <w:sz w:val="24"/>
              </w:rPr>
            </w:pPr>
            <w:hyperlink w:anchor="i60e70608537f4631891d7a02836596f9_64" w:history="1">
              <w:r>
                <w:rPr>
                  <w:rStyle w:val="a4"/>
                  <w:rFonts w:ascii="Times New Roman" w:eastAsia="宋体" w:hAnsi="Times New Roman" w:cs="Times New Roman"/>
                  <w:kern w:val="0"/>
                  <w:sz w:val="20"/>
                  <w:szCs w:val="20"/>
                </w:rPr>
                <w:t>Note 7 — Goodwill and Intangible Assets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5E" w14:textId="77777777" w:rsidR="003D72E7" w:rsidRDefault="00AD6774">
            <w:pPr>
              <w:widowControl/>
              <w:jc w:val="center"/>
              <w:textAlignment w:val="bottom"/>
              <w:rPr>
                <w:rFonts w:ascii="宋体" w:eastAsia="宋体" w:hAnsi="宋体" w:cs="宋体"/>
                <w:kern w:val="0"/>
                <w:sz w:val="24"/>
              </w:rPr>
            </w:pPr>
            <w:hyperlink w:anchor="i60e70608537f4631891d7a02836596f9_64" w:history="1">
              <w:r>
                <w:rPr>
                  <w:rStyle w:val="a4"/>
                  <w:rFonts w:ascii="Times New Roman" w:eastAsia="宋体" w:hAnsi="Times New Roman" w:cs="Times New Roman"/>
                  <w:kern w:val="0"/>
                  <w:sz w:val="20"/>
                  <w:szCs w:val="20"/>
                </w:rPr>
                <w:t>39</w:t>
              </w:r>
            </w:hyperlink>
          </w:p>
        </w:tc>
      </w:tr>
      <w:tr w:rsidR="003D72E7" w14:paraId="619DCA6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60" w14:textId="77777777" w:rsidR="003D72E7" w:rsidRDefault="00AD6774">
            <w:pPr>
              <w:widowControl/>
              <w:jc w:val="left"/>
              <w:textAlignment w:val="bottom"/>
              <w:rPr>
                <w:rFonts w:ascii="宋体" w:eastAsia="宋体" w:hAnsi="宋体" w:cs="宋体"/>
                <w:kern w:val="0"/>
                <w:sz w:val="24"/>
              </w:rPr>
            </w:pPr>
            <w:hyperlink w:anchor="i60e70608537f4631891d7a02836596f9_67" w:history="1">
              <w:r>
                <w:rPr>
                  <w:rStyle w:val="a4"/>
                  <w:rFonts w:ascii="Times New Roman" w:eastAsia="宋体" w:hAnsi="Times New Roman" w:cs="Times New Roman"/>
                  <w:kern w:val="0"/>
                  <w:sz w:val="20"/>
                  <w:szCs w:val="20"/>
                </w:rPr>
                <w:t>Note 8 — Deferred Revenue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61" w14:textId="77777777" w:rsidR="003D72E7" w:rsidRDefault="00AD6774">
            <w:pPr>
              <w:widowControl/>
              <w:jc w:val="center"/>
              <w:textAlignment w:val="bottom"/>
              <w:rPr>
                <w:rFonts w:ascii="宋体" w:eastAsia="宋体" w:hAnsi="宋体" w:cs="宋体"/>
                <w:kern w:val="0"/>
                <w:sz w:val="24"/>
              </w:rPr>
            </w:pPr>
            <w:hyperlink w:anchor="i60e70608537f4631891d7a02836596f9_67" w:history="1">
              <w:r>
                <w:rPr>
                  <w:rStyle w:val="a4"/>
                  <w:rFonts w:ascii="Times New Roman" w:eastAsia="宋体" w:hAnsi="Times New Roman" w:cs="Times New Roman"/>
                  <w:kern w:val="0"/>
                  <w:sz w:val="20"/>
                  <w:szCs w:val="20"/>
                </w:rPr>
                <w:t>41</w:t>
              </w:r>
            </w:hyperlink>
          </w:p>
        </w:tc>
      </w:tr>
      <w:tr w:rsidR="003D72E7" w14:paraId="619DCA6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63" w14:textId="77777777" w:rsidR="003D72E7" w:rsidRDefault="00AD6774">
            <w:pPr>
              <w:widowControl/>
              <w:jc w:val="left"/>
              <w:textAlignment w:val="bottom"/>
              <w:rPr>
                <w:rFonts w:ascii="宋体" w:eastAsia="宋体" w:hAnsi="宋体" w:cs="宋体"/>
                <w:kern w:val="0"/>
                <w:sz w:val="24"/>
              </w:rPr>
            </w:pPr>
            <w:hyperlink w:anchor="i60e70608537f4631891d7a02836596f9_70" w:history="1">
              <w:r>
                <w:rPr>
                  <w:rStyle w:val="a4"/>
                  <w:rFonts w:ascii="Times New Roman" w:eastAsia="宋体" w:hAnsi="Times New Roman" w:cs="Times New Roman"/>
                  <w:kern w:val="0"/>
                  <w:sz w:val="20"/>
                  <w:szCs w:val="20"/>
                </w:rPr>
                <w:t>Note 9 — Commitments and Contingencies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64" w14:textId="77777777" w:rsidR="003D72E7" w:rsidRDefault="00AD6774">
            <w:pPr>
              <w:widowControl/>
              <w:jc w:val="center"/>
              <w:textAlignment w:val="bottom"/>
              <w:rPr>
                <w:rFonts w:ascii="宋体" w:eastAsia="宋体" w:hAnsi="宋体" w:cs="宋体"/>
                <w:kern w:val="0"/>
                <w:sz w:val="24"/>
              </w:rPr>
            </w:pPr>
            <w:hyperlink w:anchor="i60e70608537f4631891d7a02836596f9_70" w:history="1">
              <w:r>
                <w:rPr>
                  <w:rStyle w:val="a4"/>
                  <w:rFonts w:ascii="Times New Roman" w:eastAsia="宋体" w:hAnsi="Times New Roman" w:cs="Times New Roman"/>
                  <w:kern w:val="0"/>
                  <w:sz w:val="20"/>
                  <w:szCs w:val="20"/>
                </w:rPr>
                <w:t>42</w:t>
              </w:r>
            </w:hyperlink>
          </w:p>
        </w:tc>
      </w:tr>
      <w:tr w:rsidR="003D72E7" w14:paraId="619DCA6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66" w14:textId="77777777" w:rsidR="003D72E7" w:rsidRDefault="00AD6774">
            <w:pPr>
              <w:widowControl/>
              <w:jc w:val="left"/>
              <w:textAlignment w:val="bottom"/>
              <w:rPr>
                <w:rFonts w:ascii="宋体" w:eastAsia="宋体" w:hAnsi="宋体" w:cs="宋体"/>
                <w:kern w:val="0"/>
                <w:sz w:val="24"/>
              </w:rPr>
            </w:pPr>
            <w:hyperlink w:anchor="i60e70608537f4631891d7a02836596f9_73" w:history="1">
              <w:r>
                <w:rPr>
                  <w:rStyle w:val="a4"/>
                  <w:rFonts w:ascii="Times New Roman" w:eastAsia="宋体" w:hAnsi="Times New Roman" w:cs="Times New Roman"/>
                  <w:kern w:val="0"/>
                  <w:sz w:val="20"/>
                  <w:szCs w:val="20"/>
                </w:rPr>
                <w:t>Note 10 — Income and Other Taxes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67" w14:textId="77777777" w:rsidR="003D72E7" w:rsidRDefault="00AD6774">
            <w:pPr>
              <w:widowControl/>
              <w:jc w:val="center"/>
              <w:textAlignment w:val="bottom"/>
              <w:rPr>
                <w:rFonts w:ascii="宋体" w:eastAsia="宋体" w:hAnsi="宋体" w:cs="宋体"/>
                <w:kern w:val="0"/>
                <w:sz w:val="24"/>
              </w:rPr>
            </w:pPr>
            <w:hyperlink w:anchor="i60e70608537f4631891d7a02836596f9_73" w:history="1">
              <w:r>
                <w:rPr>
                  <w:rStyle w:val="a4"/>
                  <w:rFonts w:ascii="Times New Roman" w:eastAsia="宋体" w:hAnsi="Times New Roman" w:cs="Times New Roman"/>
                  <w:kern w:val="0"/>
                  <w:sz w:val="20"/>
                  <w:szCs w:val="20"/>
                </w:rPr>
                <w:t>44</w:t>
              </w:r>
            </w:hyperlink>
          </w:p>
        </w:tc>
      </w:tr>
      <w:tr w:rsidR="003D72E7" w14:paraId="619DCA6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69" w14:textId="77777777" w:rsidR="003D72E7" w:rsidRDefault="00AD6774">
            <w:pPr>
              <w:widowControl/>
              <w:jc w:val="left"/>
              <w:textAlignment w:val="bottom"/>
              <w:rPr>
                <w:rFonts w:ascii="宋体" w:eastAsia="宋体" w:hAnsi="宋体" w:cs="宋体"/>
                <w:kern w:val="0"/>
                <w:sz w:val="24"/>
              </w:rPr>
            </w:pPr>
            <w:hyperlink w:anchor="i60e70608537f4631891d7a02836596f9_76" w:history="1">
              <w:r>
                <w:rPr>
                  <w:rStyle w:val="a4"/>
                  <w:rFonts w:ascii="Times New Roman" w:eastAsia="宋体" w:hAnsi="Times New Roman" w:cs="Times New Roman"/>
                  <w:kern w:val="0"/>
                  <w:sz w:val="20"/>
                  <w:szCs w:val="20"/>
                </w:rPr>
                <w:t>Note 11 — Accumulated Other Comprehensive Inc</w:t>
              </w:r>
              <w:r>
                <w:rPr>
                  <w:rStyle w:val="a4"/>
                  <w:rFonts w:ascii="Times New Roman" w:eastAsia="宋体" w:hAnsi="Times New Roman" w:cs="Times New Roman"/>
                  <w:kern w:val="0"/>
                  <w:sz w:val="20"/>
                  <w:szCs w:val="20"/>
                </w:rPr>
                <w:t>ome (Loss)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6A" w14:textId="77777777" w:rsidR="003D72E7" w:rsidRDefault="00AD6774">
            <w:pPr>
              <w:widowControl/>
              <w:jc w:val="center"/>
              <w:textAlignment w:val="bottom"/>
              <w:rPr>
                <w:rFonts w:ascii="宋体" w:eastAsia="宋体" w:hAnsi="宋体" w:cs="宋体"/>
                <w:kern w:val="0"/>
                <w:sz w:val="24"/>
              </w:rPr>
            </w:pPr>
            <w:hyperlink w:anchor="i60e70608537f4631891d7a02836596f9_76" w:history="1">
              <w:r>
                <w:rPr>
                  <w:rStyle w:val="a4"/>
                  <w:rFonts w:ascii="Times New Roman" w:eastAsia="宋体" w:hAnsi="Times New Roman" w:cs="Times New Roman"/>
                  <w:kern w:val="0"/>
                  <w:sz w:val="20"/>
                  <w:szCs w:val="20"/>
                </w:rPr>
                <w:t>45</w:t>
              </w:r>
            </w:hyperlink>
          </w:p>
        </w:tc>
      </w:tr>
      <w:tr w:rsidR="003D72E7" w14:paraId="619DCA6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6C" w14:textId="77777777" w:rsidR="003D72E7" w:rsidRDefault="00AD6774">
            <w:pPr>
              <w:widowControl/>
              <w:jc w:val="left"/>
              <w:textAlignment w:val="bottom"/>
              <w:rPr>
                <w:rFonts w:ascii="宋体" w:eastAsia="宋体" w:hAnsi="宋体" w:cs="宋体"/>
                <w:kern w:val="0"/>
                <w:sz w:val="24"/>
              </w:rPr>
            </w:pPr>
            <w:hyperlink w:anchor="i60e70608537f4631891d7a02836596f9_79" w:history="1">
              <w:r>
                <w:rPr>
                  <w:rStyle w:val="a4"/>
                  <w:rFonts w:ascii="Times New Roman" w:eastAsia="宋体" w:hAnsi="Times New Roman" w:cs="Times New Roman"/>
                  <w:kern w:val="0"/>
                  <w:sz w:val="20"/>
                  <w:szCs w:val="20"/>
                </w:rPr>
                <w:t>Note 12 — Non-Controlling Interests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6D" w14:textId="77777777" w:rsidR="003D72E7" w:rsidRDefault="00AD6774">
            <w:pPr>
              <w:widowControl/>
              <w:jc w:val="center"/>
              <w:textAlignment w:val="bottom"/>
              <w:rPr>
                <w:rFonts w:ascii="宋体" w:eastAsia="宋体" w:hAnsi="宋体" w:cs="宋体"/>
                <w:kern w:val="0"/>
                <w:sz w:val="24"/>
              </w:rPr>
            </w:pPr>
            <w:hyperlink w:anchor="i60e70608537f4631891d7a02836596f9_79" w:history="1">
              <w:r>
                <w:rPr>
                  <w:rStyle w:val="a4"/>
                  <w:rFonts w:ascii="Times New Roman" w:eastAsia="宋体" w:hAnsi="Times New Roman" w:cs="Times New Roman"/>
                  <w:kern w:val="0"/>
                  <w:sz w:val="20"/>
                  <w:szCs w:val="20"/>
                </w:rPr>
                <w:t>47</w:t>
              </w:r>
            </w:hyperlink>
          </w:p>
        </w:tc>
      </w:tr>
      <w:tr w:rsidR="003D72E7" w14:paraId="619DCA7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6F" w14:textId="77777777" w:rsidR="003D72E7" w:rsidRDefault="00AD6774">
            <w:pPr>
              <w:widowControl/>
              <w:jc w:val="left"/>
              <w:textAlignment w:val="bottom"/>
              <w:rPr>
                <w:rFonts w:ascii="宋体" w:eastAsia="宋体" w:hAnsi="宋体" w:cs="宋体"/>
                <w:kern w:val="0"/>
                <w:sz w:val="24"/>
              </w:rPr>
            </w:pPr>
            <w:hyperlink w:anchor="i60e70608537f4631891d7a02836596f9_82" w:history="1">
              <w:r>
                <w:rPr>
                  <w:rStyle w:val="a4"/>
                  <w:rFonts w:ascii="Times New Roman" w:eastAsia="宋体" w:hAnsi="Times New Roman" w:cs="Times New Roman"/>
                  <w:kern w:val="0"/>
                  <w:sz w:val="20"/>
                  <w:szCs w:val="20"/>
                </w:rPr>
                <w:t>Note 13 — Capitalization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70" w14:textId="77777777" w:rsidR="003D72E7" w:rsidRDefault="00AD6774">
            <w:pPr>
              <w:widowControl/>
              <w:jc w:val="center"/>
              <w:textAlignment w:val="bottom"/>
              <w:rPr>
                <w:rFonts w:ascii="宋体" w:eastAsia="宋体" w:hAnsi="宋体" w:cs="宋体"/>
                <w:kern w:val="0"/>
                <w:sz w:val="24"/>
              </w:rPr>
            </w:pPr>
            <w:hyperlink w:anchor="i60e70608537f4631891d7a02836596f9_82" w:history="1">
              <w:r>
                <w:rPr>
                  <w:rStyle w:val="a4"/>
                  <w:rFonts w:ascii="Times New Roman" w:eastAsia="宋体" w:hAnsi="Times New Roman" w:cs="Times New Roman"/>
                  <w:kern w:val="0"/>
                  <w:sz w:val="20"/>
                  <w:szCs w:val="20"/>
                </w:rPr>
                <w:t>48</w:t>
              </w:r>
            </w:hyperlink>
          </w:p>
        </w:tc>
      </w:tr>
      <w:tr w:rsidR="003D72E7" w14:paraId="619DCA7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72" w14:textId="77777777" w:rsidR="003D72E7" w:rsidRDefault="00AD6774">
            <w:pPr>
              <w:widowControl/>
              <w:jc w:val="left"/>
              <w:textAlignment w:val="bottom"/>
              <w:rPr>
                <w:rFonts w:ascii="宋体" w:eastAsia="宋体" w:hAnsi="宋体" w:cs="宋体"/>
                <w:kern w:val="0"/>
                <w:sz w:val="24"/>
              </w:rPr>
            </w:pPr>
            <w:hyperlink w:anchor="i60e70608537f4631891d7a02836596f9_85" w:history="1">
              <w:r>
                <w:rPr>
                  <w:rStyle w:val="a4"/>
                  <w:rFonts w:ascii="Times New Roman" w:eastAsia="宋体" w:hAnsi="Times New Roman" w:cs="Times New Roman"/>
                  <w:kern w:val="0"/>
                  <w:sz w:val="20"/>
                  <w:szCs w:val="20"/>
                </w:rPr>
                <w:t>Note 14 — Earnings Per Share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73" w14:textId="77777777" w:rsidR="003D72E7" w:rsidRDefault="00AD6774">
            <w:pPr>
              <w:widowControl/>
              <w:jc w:val="center"/>
              <w:textAlignment w:val="bottom"/>
              <w:rPr>
                <w:rFonts w:ascii="宋体" w:eastAsia="宋体" w:hAnsi="宋体" w:cs="宋体"/>
                <w:kern w:val="0"/>
                <w:sz w:val="24"/>
              </w:rPr>
            </w:pPr>
            <w:hyperlink w:anchor="i60e70608537f4631891d7a02836596f9_85" w:history="1">
              <w:r>
                <w:rPr>
                  <w:rStyle w:val="a4"/>
                  <w:rFonts w:ascii="Times New Roman" w:eastAsia="宋体" w:hAnsi="Times New Roman" w:cs="Times New Roman"/>
                  <w:kern w:val="0"/>
                  <w:sz w:val="20"/>
                  <w:szCs w:val="20"/>
                </w:rPr>
                <w:t>50</w:t>
              </w:r>
            </w:hyperlink>
          </w:p>
        </w:tc>
      </w:tr>
      <w:tr w:rsidR="003D72E7" w14:paraId="619DCA7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75" w14:textId="77777777" w:rsidR="003D72E7" w:rsidRDefault="00AD6774">
            <w:pPr>
              <w:widowControl/>
              <w:jc w:val="left"/>
              <w:textAlignment w:val="bottom"/>
              <w:rPr>
                <w:rFonts w:ascii="宋体" w:eastAsia="宋体" w:hAnsi="宋体" w:cs="宋体"/>
                <w:kern w:val="0"/>
                <w:sz w:val="24"/>
              </w:rPr>
            </w:pPr>
            <w:hyperlink w:anchor="i60e70608537f4631891d7a02836596f9_94" w:history="1">
              <w:r>
                <w:rPr>
                  <w:rStyle w:val="a4"/>
                  <w:rFonts w:ascii="Times New Roman" w:eastAsia="宋体" w:hAnsi="Times New Roman" w:cs="Times New Roman"/>
                  <w:kern w:val="0"/>
                  <w:sz w:val="20"/>
                  <w:szCs w:val="20"/>
                </w:rPr>
                <w:t>Note 15 — Redeemable Shares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76" w14:textId="77777777" w:rsidR="003D72E7" w:rsidRDefault="00AD6774">
            <w:pPr>
              <w:widowControl/>
              <w:jc w:val="center"/>
              <w:textAlignment w:val="bottom"/>
              <w:rPr>
                <w:rFonts w:ascii="宋体" w:eastAsia="宋体" w:hAnsi="宋体" w:cs="宋体"/>
                <w:kern w:val="0"/>
                <w:sz w:val="24"/>
              </w:rPr>
            </w:pPr>
            <w:hyperlink w:anchor="i60e70608537f4631891d7a02836596f9_94" w:history="1">
              <w:r>
                <w:rPr>
                  <w:rStyle w:val="a4"/>
                  <w:rFonts w:ascii="Times New Roman" w:eastAsia="宋体" w:hAnsi="Times New Roman" w:cs="Times New Roman"/>
                  <w:kern w:val="0"/>
                  <w:sz w:val="20"/>
                  <w:szCs w:val="20"/>
                </w:rPr>
                <w:t>51</w:t>
              </w:r>
            </w:hyperlink>
          </w:p>
        </w:tc>
      </w:tr>
      <w:tr w:rsidR="003D72E7" w14:paraId="619DCA7A"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78" w14:textId="77777777" w:rsidR="003D72E7" w:rsidRDefault="00AD6774">
            <w:pPr>
              <w:widowControl/>
              <w:jc w:val="left"/>
              <w:textAlignment w:val="bottom"/>
              <w:rPr>
                <w:rFonts w:ascii="宋体" w:eastAsia="宋体" w:hAnsi="宋体" w:cs="宋体"/>
                <w:kern w:val="0"/>
                <w:sz w:val="24"/>
              </w:rPr>
            </w:pPr>
            <w:hyperlink w:anchor="i60e70608537f4631891d7a02836596f9_97" w:history="1">
              <w:r>
                <w:rPr>
                  <w:rStyle w:val="a4"/>
                  <w:rFonts w:ascii="Times New Roman" w:eastAsia="宋体" w:hAnsi="Times New Roman" w:cs="Times New Roman"/>
                  <w:kern w:val="0"/>
                  <w:sz w:val="20"/>
                  <w:szCs w:val="20"/>
                </w:rPr>
                <w:t>Note 16 — Segment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79" w14:textId="77777777" w:rsidR="003D72E7" w:rsidRDefault="00AD6774">
            <w:pPr>
              <w:widowControl/>
              <w:jc w:val="center"/>
              <w:textAlignment w:val="bottom"/>
              <w:rPr>
                <w:rFonts w:ascii="宋体" w:eastAsia="宋体" w:hAnsi="宋体" w:cs="宋体"/>
                <w:kern w:val="0"/>
                <w:sz w:val="24"/>
              </w:rPr>
            </w:pPr>
            <w:hyperlink w:anchor="i60e70608537f4631891d7a02836596f9_97" w:history="1">
              <w:r>
                <w:rPr>
                  <w:rStyle w:val="a4"/>
                  <w:rFonts w:ascii="Times New Roman" w:eastAsia="宋体" w:hAnsi="Times New Roman" w:cs="Times New Roman"/>
                  <w:kern w:val="0"/>
                  <w:sz w:val="20"/>
                  <w:szCs w:val="20"/>
                </w:rPr>
                <w:t>52</w:t>
              </w:r>
            </w:hyperlink>
          </w:p>
        </w:tc>
      </w:tr>
      <w:tr w:rsidR="003D72E7" w14:paraId="619DCA7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7B" w14:textId="77777777" w:rsidR="003D72E7" w:rsidRDefault="00AD6774">
            <w:pPr>
              <w:widowControl/>
              <w:jc w:val="left"/>
              <w:textAlignment w:val="bottom"/>
              <w:rPr>
                <w:rFonts w:ascii="宋体" w:eastAsia="宋体" w:hAnsi="宋体" w:cs="宋体"/>
                <w:kern w:val="0"/>
                <w:sz w:val="24"/>
              </w:rPr>
            </w:pPr>
            <w:hyperlink w:anchor="i60e70608537f4631891d7a02836596f9_100" w:history="1">
              <w:r>
                <w:rPr>
                  <w:rStyle w:val="a4"/>
                  <w:rFonts w:ascii="Times New Roman" w:eastAsia="宋体" w:hAnsi="Times New Roman" w:cs="Times New Roman"/>
                  <w:kern w:val="0"/>
                  <w:sz w:val="20"/>
                  <w:szCs w:val="20"/>
                </w:rPr>
                <w:t>Note 17 — Supplemental Consolidated Financial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7C" w14:textId="77777777" w:rsidR="003D72E7" w:rsidRDefault="00AD6774">
            <w:pPr>
              <w:widowControl/>
              <w:jc w:val="center"/>
              <w:textAlignment w:val="bottom"/>
              <w:rPr>
                <w:rFonts w:ascii="宋体" w:eastAsia="宋体" w:hAnsi="宋体" w:cs="宋体"/>
                <w:kern w:val="0"/>
                <w:sz w:val="24"/>
              </w:rPr>
            </w:pPr>
            <w:hyperlink w:anchor="i60e70608537f4631891d7a02836596f9_100" w:history="1">
              <w:r>
                <w:rPr>
                  <w:rStyle w:val="a4"/>
                  <w:rFonts w:ascii="Times New Roman" w:eastAsia="宋体" w:hAnsi="Times New Roman" w:cs="Times New Roman"/>
                  <w:kern w:val="0"/>
                  <w:sz w:val="20"/>
                  <w:szCs w:val="20"/>
                </w:rPr>
                <w:t>55</w:t>
              </w:r>
            </w:hyperlink>
          </w:p>
        </w:tc>
      </w:tr>
      <w:tr w:rsidR="003D72E7" w14:paraId="619DCA8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7E" w14:textId="77777777" w:rsidR="003D72E7" w:rsidRDefault="00AD6774">
            <w:pPr>
              <w:widowControl/>
              <w:jc w:val="left"/>
              <w:textAlignment w:val="bottom"/>
              <w:rPr>
                <w:rFonts w:ascii="宋体" w:eastAsia="宋体" w:hAnsi="宋体" w:cs="宋体"/>
                <w:kern w:val="0"/>
                <w:sz w:val="24"/>
              </w:rPr>
            </w:pPr>
            <w:hyperlink w:anchor="i60e70608537f4631891d7a02836596f9_106" w:history="1">
              <w:r>
                <w:rPr>
                  <w:rStyle w:val="a4"/>
                  <w:rFonts w:ascii="Times New Roman" w:eastAsia="宋体" w:hAnsi="Times New Roman" w:cs="Times New Roman"/>
                  <w:kern w:val="0"/>
                  <w:sz w:val="20"/>
                  <w:szCs w:val="20"/>
                </w:rPr>
                <w:t>Note 18 — Subsequent Events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A7F" w14:textId="77777777" w:rsidR="003D72E7" w:rsidRDefault="00AD6774">
            <w:pPr>
              <w:widowControl/>
              <w:jc w:val="center"/>
              <w:textAlignment w:val="bottom"/>
              <w:rPr>
                <w:rFonts w:ascii="宋体" w:eastAsia="宋体" w:hAnsi="宋体" w:cs="宋体"/>
                <w:kern w:val="0"/>
                <w:sz w:val="24"/>
              </w:rPr>
            </w:pPr>
            <w:hyperlink w:anchor="i60e70608537f4631891d7a02836596f9_106" w:history="1">
              <w:r>
                <w:rPr>
                  <w:rStyle w:val="a4"/>
                  <w:rFonts w:ascii="Times New Roman" w:eastAsia="宋体" w:hAnsi="Times New Roman" w:cs="Times New Roman"/>
                  <w:kern w:val="0"/>
                  <w:sz w:val="20"/>
                  <w:szCs w:val="20"/>
                </w:rPr>
                <w:t>58</w:t>
              </w:r>
            </w:hyperlink>
          </w:p>
        </w:tc>
      </w:tr>
    </w:tbl>
    <w:p w14:paraId="619DCA8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CA82"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A8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p w14:paraId="619DCA84"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A85" w14:textId="77777777" w:rsidR="003D72E7" w:rsidRDefault="00AD6774">
      <w:pPr>
        <w:widowControl/>
        <w:jc w:val="center"/>
      </w:pPr>
      <w:r>
        <w:rPr>
          <w:rFonts w:ascii="宋体" w:eastAsia="宋体" w:hAnsi="宋体" w:cs="宋体"/>
          <w:kern w:val="0"/>
          <w:sz w:val="24"/>
        </w:rPr>
        <w:pict w14:anchorId="619E0D6F">
          <v:rect id="_x0000_i1028" style="width:6in;height:1.5pt" o:hralign="center" o:hrstd="t" o:hr="t" fillcolor="#a0a0a0" stroked="f"/>
        </w:pict>
      </w:r>
    </w:p>
    <w:p w14:paraId="619DCA86"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CA87" w14:textId="77777777" w:rsidR="003D72E7" w:rsidRDefault="00AD6774">
      <w:pPr>
        <w:widowControl/>
        <w:spacing w:after="12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619DCA88" w14:textId="77777777" w:rsidR="003D72E7" w:rsidRDefault="00AD6774">
      <w:pPr>
        <w:widowControl/>
        <w:spacing w:after="6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CONDENSED CONSOLIDATED STATEMENTS OF FINANCIAL POSITION</w:t>
      </w:r>
    </w:p>
    <w:p w14:paraId="619DCA89"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423"/>
        <w:gridCol w:w="40"/>
        <w:gridCol w:w="120"/>
        <w:gridCol w:w="1206"/>
        <w:gridCol w:w="36"/>
        <w:gridCol w:w="36"/>
        <w:gridCol w:w="36"/>
        <w:gridCol w:w="36"/>
        <w:gridCol w:w="120"/>
        <w:gridCol w:w="1206"/>
        <w:gridCol w:w="36"/>
      </w:tblGrid>
      <w:tr w:rsidR="003D72E7" w14:paraId="619DCA96" w14:textId="77777777">
        <w:trPr>
          <w:jc w:val="center"/>
        </w:trPr>
        <w:tc>
          <w:tcPr>
            <w:tcW w:w="50" w:type="pct"/>
            <w:tcBorders>
              <w:top w:val="nil"/>
              <w:left w:val="nil"/>
              <w:bottom w:val="nil"/>
              <w:right w:val="nil"/>
            </w:tcBorders>
            <w:shd w:val="clear" w:color="auto" w:fill="auto"/>
            <w:vAlign w:val="bottom"/>
          </w:tcPr>
          <w:p w14:paraId="619DCA8A" w14:textId="77777777" w:rsidR="003D72E7" w:rsidRDefault="003D72E7">
            <w:pPr>
              <w:widowControl/>
              <w:jc w:val="left"/>
              <w:rPr>
                <w:rFonts w:ascii="Times New Roman" w:eastAsia="宋体" w:hAnsi="宋体" w:cs="宋体"/>
                <w:kern w:val="0"/>
                <w:sz w:val="24"/>
              </w:rPr>
            </w:pPr>
          </w:p>
        </w:tc>
        <w:tc>
          <w:tcPr>
            <w:tcW w:w="3292" w:type="pct"/>
            <w:tcBorders>
              <w:top w:val="nil"/>
              <w:left w:val="nil"/>
              <w:bottom w:val="nil"/>
              <w:right w:val="nil"/>
            </w:tcBorders>
            <w:shd w:val="clear" w:color="auto" w:fill="auto"/>
            <w:vAlign w:val="bottom"/>
          </w:tcPr>
          <w:p w14:paraId="619DCA8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A8C"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A8D"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CA8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A8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A90"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CA9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A92"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A93"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CA9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A95" w14:textId="77777777" w:rsidR="003D72E7" w:rsidRDefault="003D72E7">
            <w:pPr>
              <w:widowControl/>
              <w:jc w:val="left"/>
              <w:rPr>
                <w:rFonts w:ascii="Times New Roman" w:eastAsia="宋体" w:hAnsi="宋体" w:cs="宋体"/>
                <w:kern w:val="0"/>
                <w:sz w:val="24"/>
              </w:rPr>
            </w:pPr>
          </w:p>
        </w:tc>
      </w:tr>
      <w:tr w:rsidR="003D72E7" w14:paraId="619DCA9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A9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CA9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July 30, </w:t>
            </w:r>
            <w:r>
              <w:rPr>
                <w:rFonts w:ascii="Times New Roman" w:eastAsia="宋体" w:hAnsi="Times New Roman" w:cs="Times New Roman"/>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A9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CA9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CA9D" w14:textId="77777777">
        <w:trPr>
          <w:jc w:val="center"/>
        </w:trPr>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619DCA9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ASSETS</w:t>
            </w:r>
          </w:p>
        </w:tc>
      </w:tr>
      <w:tr w:rsidR="003D72E7" w14:paraId="619DCAA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A9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 assets: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A9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AA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AA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3D72E7" w14:paraId="619DCAAB"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CAA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and cash equivalents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CAA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CAA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11,719 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AA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AA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CAA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CAA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AAA" w14:textId="77777777" w:rsidR="003D72E7" w:rsidRDefault="003D72E7">
            <w:pPr>
              <w:widowControl/>
              <w:jc w:val="right"/>
              <w:rPr>
                <w:rFonts w:ascii="Times New Roman" w:eastAsia="宋体" w:hAnsi="宋体" w:cs="宋体"/>
                <w:kern w:val="0"/>
                <w:sz w:val="24"/>
              </w:rPr>
            </w:pPr>
          </w:p>
        </w:tc>
      </w:tr>
      <w:tr w:rsidR="003D72E7" w14:paraId="619DCAB0" w14:textId="77777777">
        <w:trPr>
          <w:jc w:val="center"/>
          <w:hidden/>
        </w:trPr>
        <w:tc>
          <w:tcPr>
            <w:tcW w:w="0" w:type="auto"/>
            <w:gridSpan w:val="3"/>
            <w:tcBorders>
              <w:top w:val="nil"/>
              <w:left w:val="nil"/>
              <w:bottom w:val="nil"/>
              <w:right w:val="nil"/>
            </w:tcBorders>
            <w:shd w:val="clear" w:color="auto" w:fill="auto"/>
            <w:vAlign w:val="bottom"/>
          </w:tcPr>
          <w:p w14:paraId="619DCAA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AA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AA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AAF" w14:textId="77777777" w:rsidR="003D72E7" w:rsidRDefault="003D72E7">
            <w:pPr>
              <w:widowControl/>
              <w:jc w:val="left"/>
              <w:rPr>
                <w:rFonts w:ascii="Times New Roman" w:eastAsia="宋体" w:hAnsi="宋体" w:cs="宋体"/>
                <w:vanish/>
                <w:kern w:val="0"/>
                <w:sz w:val="24"/>
              </w:rPr>
            </w:pPr>
          </w:p>
        </w:tc>
      </w:tr>
      <w:tr w:rsidR="003D72E7" w14:paraId="619DCAB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AB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Accounts receivable, net of allowance of $98 and $104 (Note 17)</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AB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12,914 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AB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AB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AB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12,788 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AB6" w14:textId="77777777" w:rsidR="003D72E7" w:rsidRDefault="003D72E7">
            <w:pPr>
              <w:widowControl/>
              <w:jc w:val="right"/>
              <w:rPr>
                <w:rFonts w:ascii="Times New Roman" w:eastAsia="宋体" w:hAnsi="宋体" w:cs="宋体"/>
                <w:kern w:val="0"/>
                <w:sz w:val="24"/>
              </w:rPr>
            </w:pPr>
          </w:p>
        </w:tc>
      </w:tr>
      <w:tr w:rsidR="003D72E7" w14:paraId="619DCAB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CAB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Short-term financing receivables, net of allowance of $199 </w:t>
            </w:r>
            <w:r>
              <w:rPr>
                <w:rFonts w:ascii="Times New Roman" w:eastAsia="宋体" w:hAnsi="Times New Roman" w:cs="Times New Roman"/>
                <w:color w:val="000000"/>
                <w:kern w:val="0"/>
                <w:sz w:val="20"/>
                <w:szCs w:val="20"/>
                <w:lang w:bidi="ar"/>
              </w:rPr>
              <w:t>and $228 (Note 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AB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AB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AB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AB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ABD" w14:textId="77777777" w:rsidR="003D72E7" w:rsidRDefault="003D72E7">
            <w:pPr>
              <w:widowControl/>
              <w:jc w:val="right"/>
              <w:rPr>
                <w:rFonts w:ascii="Times New Roman" w:eastAsia="宋体" w:hAnsi="宋体" w:cs="宋体"/>
                <w:kern w:val="0"/>
                <w:sz w:val="24"/>
              </w:rPr>
            </w:pPr>
          </w:p>
        </w:tc>
      </w:tr>
      <w:tr w:rsidR="003D72E7" w14:paraId="619DCAC5"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619DCAB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Inventories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AC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AC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AC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AC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AC4" w14:textId="77777777" w:rsidR="003D72E7" w:rsidRDefault="003D72E7">
            <w:pPr>
              <w:widowControl/>
              <w:jc w:val="right"/>
              <w:rPr>
                <w:rFonts w:ascii="Times New Roman" w:eastAsia="宋体" w:hAnsi="宋体" w:cs="宋体"/>
                <w:kern w:val="0"/>
                <w:sz w:val="24"/>
              </w:rPr>
            </w:pPr>
          </w:p>
        </w:tc>
      </w:tr>
      <w:tr w:rsidR="003D72E7" w14:paraId="619DCACC"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CAC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AC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AC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AC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AC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ACB" w14:textId="77777777" w:rsidR="003D72E7" w:rsidRDefault="003D72E7">
            <w:pPr>
              <w:widowControl/>
              <w:jc w:val="right"/>
              <w:rPr>
                <w:rFonts w:ascii="Times New Roman" w:eastAsia="宋体" w:hAnsi="宋体" w:cs="宋体"/>
                <w:kern w:val="0"/>
                <w:sz w:val="24"/>
              </w:rPr>
            </w:pPr>
          </w:p>
        </w:tc>
      </w:tr>
      <w:tr w:rsidR="003D72E7" w14:paraId="619DCAD3"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CAC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 assets held for sale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AC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AC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AD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AD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AD2" w14:textId="77777777" w:rsidR="003D72E7" w:rsidRDefault="003D72E7">
            <w:pPr>
              <w:widowControl/>
              <w:jc w:val="right"/>
              <w:rPr>
                <w:rFonts w:ascii="Times New Roman" w:eastAsia="宋体" w:hAnsi="宋体" w:cs="宋体"/>
                <w:kern w:val="0"/>
                <w:sz w:val="24"/>
              </w:rPr>
            </w:pPr>
          </w:p>
        </w:tc>
      </w:tr>
      <w:tr w:rsidR="003D72E7" w14:paraId="619DCADA" w14:textId="77777777">
        <w:trPr>
          <w:jc w:val="center"/>
        </w:trPr>
        <w:tc>
          <w:tcPr>
            <w:tcW w:w="0" w:type="auto"/>
            <w:gridSpan w:val="3"/>
            <w:tcBorders>
              <w:top w:val="nil"/>
              <w:left w:val="nil"/>
              <w:bottom w:val="nil"/>
              <w:right w:val="nil"/>
            </w:tcBorders>
            <w:shd w:val="clear" w:color="auto" w:fill="FFFFFF"/>
            <w:tcMar>
              <w:top w:w="40" w:type="dxa"/>
              <w:left w:w="365" w:type="dxa"/>
              <w:bottom w:w="40" w:type="dxa"/>
              <w:right w:w="20" w:type="dxa"/>
            </w:tcMar>
            <w:vAlign w:val="bottom"/>
          </w:tcPr>
          <w:p w14:paraId="619DCAD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current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AD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43,555 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CAD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AD7"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AD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43,567 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CAD9" w14:textId="77777777" w:rsidR="003D72E7" w:rsidRDefault="003D72E7">
            <w:pPr>
              <w:widowControl/>
              <w:jc w:val="right"/>
              <w:rPr>
                <w:rFonts w:ascii="Times New Roman" w:eastAsia="宋体" w:hAnsi="宋体" w:cs="宋体"/>
                <w:kern w:val="0"/>
                <w:sz w:val="24"/>
              </w:rPr>
            </w:pPr>
          </w:p>
        </w:tc>
      </w:tr>
      <w:tr w:rsidR="003D72E7" w14:paraId="619DCAE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AD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Property, plant, and equipment,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AD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AD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AD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AD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AE0" w14:textId="77777777" w:rsidR="003D72E7" w:rsidRDefault="003D72E7">
            <w:pPr>
              <w:widowControl/>
              <w:jc w:val="right"/>
              <w:rPr>
                <w:rFonts w:ascii="Times New Roman" w:eastAsia="宋体" w:hAnsi="宋体" w:cs="宋体"/>
                <w:kern w:val="0"/>
                <w:sz w:val="24"/>
              </w:rPr>
            </w:pPr>
          </w:p>
        </w:tc>
      </w:tr>
      <w:tr w:rsidR="003D72E7" w14:paraId="619DCAE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CAE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Long-term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AE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AE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AE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AE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AE7" w14:textId="77777777" w:rsidR="003D72E7" w:rsidRDefault="003D72E7">
            <w:pPr>
              <w:widowControl/>
              <w:jc w:val="right"/>
              <w:rPr>
                <w:rFonts w:ascii="Times New Roman" w:eastAsia="宋体" w:hAnsi="宋体" w:cs="宋体"/>
                <w:kern w:val="0"/>
                <w:sz w:val="24"/>
              </w:rPr>
            </w:pPr>
          </w:p>
        </w:tc>
      </w:tr>
      <w:tr w:rsidR="003D72E7" w14:paraId="619DCAE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AE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Long-term financing receivables, net of allowance of $88 and $93 (Note 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AE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AE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AE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AE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AEE" w14:textId="77777777" w:rsidR="003D72E7" w:rsidRDefault="003D72E7">
            <w:pPr>
              <w:widowControl/>
              <w:jc w:val="right"/>
              <w:rPr>
                <w:rFonts w:ascii="Times New Roman" w:eastAsia="宋体" w:hAnsi="宋体" w:cs="宋体"/>
                <w:kern w:val="0"/>
                <w:sz w:val="24"/>
              </w:rPr>
            </w:pPr>
          </w:p>
        </w:tc>
      </w:tr>
      <w:tr w:rsidR="003D72E7" w14:paraId="619DCAF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CAF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Goodwill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AF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40,741 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AF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AF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AF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40,829 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AF5" w14:textId="77777777" w:rsidR="003D72E7" w:rsidRDefault="003D72E7">
            <w:pPr>
              <w:widowControl/>
              <w:jc w:val="right"/>
              <w:rPr>
                <w:rFonts w:ascii="Times New Roman" w:eastAsia="宋体" w:hAnsi="宋体" w:cs="宋体"/>
                <w:kern w:val="0"/>
                <w:sz w:val="24"/>
              </w:rPr>
            </w:pPr>
          </w:p>
        </w:tc>
      </w:tr>
      <w:tr w:rsidR="003D72E7" w14:paraId="619DCAF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AF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Intangible assets,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AF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13,014 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AF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AF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AF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14,429 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AFC" w14:textId="77777777" w:rsidR="003D72E7" w:rsidRDefault="003D72E7">
            <w:pPr>
              <w:widowControl/>
              <w:jc w:val="right"/>
              <w:rPr>
                <w:rFonts w:ascii="Times New Roman" w:eastAsia="宋体" w:hAnsi="宋体" w:cs="宋体"/>
                <w:kern w:val="0"/>
                <w:sz w:val="24"/>
              </w:rPr>
            </w:pPr>
          </w:p>
        </w:tc>
      </w:tr>
      <w:tr w:rsidR="003D72E7" w14:paraId="619DCB0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CAF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non-current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AF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0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B0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B0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11,196 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03" w14:textId="77777777" w:rsidR="003D72E7" w:rsidRDefault="003D72E7">
            <w:pPr>
              <w:widowControl/>
              <w:jc w:val="right"/>
              <w:rPr>
                <w:rFonts w:ascii="Times New Roman" w:eastAsia="宋体" w:hAnsi="宋体" w:cs="宋体"/>
                <w:kern w:val="0"/>
                <w:sz w:val="24"/>
              </w:rPr>
            </w:pPr>
          </w:p>
        </w:tc>
      </w:tr>
      <w:tr w:rsidR="003D72E7" w14:paraId="619DCB0D"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619DCB0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assets</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CB0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CB0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122,678 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CB0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09"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CB0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CB0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123,415 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CB0C" w14:textId="77777777" w:rsidR="003D72E7" w:rsidRDefault="003D72E7">
            <w:pPr>
              <w:widowControl/>
              <w:jc w:val="right"/>
              <w:rPr>
                <w:rFonts w:ascii="Times New Roman" w:eastAsia="宋体" w:hAnsi="宋体" w:cs="宋体"/>
                <w:kern w:val="0"/>
                <w:sz w:val="24"/>
              </w:rPr>
            </w:pPr>
          </w:p>
        </w:tc>
      </w:tr>
      <w:tr w:rsidR="003D72E7" w14:paraId="619DCB0F" w14:textId="77777777">
        <w:trPr>
          <w:jc w:val="center"/>
        </w:trPr>
        <w:tc>
          <w:tcPr>
            <w:tcW w:w="0" w:type="auto"/>
            <w:gridSpan w:val="12"/>
            <w:tcBorders>
              <w:top w:val="nil"/>
              <w:left w:val="nil"/>
              <w:bottom w:val="nil"/>
              <w:right w:val="nil"/>
            </w:tcBorders>
            <w:shd w:val="clear" w:color="auto" w:fill="FFFFFF"/>
            <w:tcMar>
              <w:top w:w="40" w:type="dxa"/>
              <w:left w:w="20" w:type="dxa"/>
              <w:bottom w:w="40" w:type="dxa"/>
              <w:right w:w="20" w:type="dxa"/>
            </w:tcMar>
            <w:vAlign w:val="bottom"/>
          </w:tcPr>
          <w:p w14:paraId="619DCB0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LIABILITIES, REDEEMABLE SHARES, AND STOCKHOLDERS’ EQUITY</w:t>
            </w:r>
          </w:p>
        </w:tc>
      </w:tr>
      <w:tr w:rsidR="003D72E7" w14:paraId="619DCB1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B1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 liabilities: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B1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1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B1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3D72E7" w14:paraId="619DCB1D"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CB1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Short-term debt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CB1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CB1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1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B1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CB1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CB1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1C" w14:textId="77777777" w:rsidR="003D72E7" w:rsidRDefault="003D72E7">
            <w:pPr>
              <w:widowControl/>
              <w:jc w:val="right"/>
              <w:rPr>
                <w:rFonts w:ascii="Times New Roman" w:eastAsia="宋体" w:hAnsi="宋体" w:cs="宋体"/>
                <w:kern w:val="0"/>
                <w:sz w:val="24"/>
              </w:rPr>
            </w:pPr>
          </w:p>
        </w:tc>
      </w:tr>
      <w:tr w:rsidR="003D72E7" w14:paraId="619DCB24"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CB1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Accounts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B1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23,029 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B2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2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B2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21,696 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B23" w14:textId="77777777" w:rsidR="003D72E7" w:rsidRDefault="003D72E7">
            <w:pPr>
              <w:widowControl/>
              <w:jc w:val="right"/>
              <w:rPr>
                <w:rFonts w:ascii="Times New Roman" w:eastAsia="宋体" w:hAnsi="宋体" w:cs="宋体"/>
                <w:kern w:val="0"/>
                <w:sz w:val="24"/>
              </w:rPr>
            </w:pPr>
          </w:p>
        </w:tc>
      </w:tr>
      <w:tr w:rsidR="003D72E7" w14:paraId="619DCB2B"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CB2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Accrued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B2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2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B2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B2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2A" w14:textId="77777777" w:rsidR="003D72E7" w:rsidRDefault="003D72E7">
            <w:pPr>
              <w:widowControl/>
              <w:jc w:val="right"/>
              <w:rPr>
                <w:rFonts w:ascii="Times New Roman" w:eastAsia="宋体" w:hAnsi="宋体" w:cs="宋体"/>
                <w:kern w:val="0"/>
                <w:sz w:val="24"/>
              </w:rPr>
            </w:pPr>
          </w:p>
        </w:tc>
      </w:tr>
      <w:tr w:rsidR="003D72E7" w14:paraId="619DCB32"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CB2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Short-term deferred revenue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B2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17,003 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B2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2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B3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16,525 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B31" w14:textId="77777777" w:rsidR="003D72E7" w:rsidRDefault="003D72E7">
            <w:pPr>
              <w:widowControl/>
              <w:jc w:val="right"/>
              <w:rPr>
                <w:rFonts w:ascii="Times New Roman" w:eastAsia="宋体" w:hAnsi="宋体" w:cs="宋体"/>
                <w:kern w:val="0"/>
                <w:sz w:val="24"/>
              </w:rPr>
            </w:pPr>
          </w:p>
        </w:tc>
      </w:tr>
      <w:tr w:rsidR="003D72E7" w14:paraId="619DCB39"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CB3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 liabilities held for sale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B3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3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B3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B3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38" w14:textId="77777777" w:rsidR="003D72E7" w:rsidRDefault="003D72E7">
            <w:pPr>
              <w:widowControl/>
              <w:jc w:val="right"/>
              <w:rPr>
                <w:rFonts w:ascii="Times New Roman" w:eastAsia="宋体" w:hAnsi="宋体" w:cs="宋体"/>
                <w:kern w:val="0"/>
                <w:sz w:val="24"/>
              </w:rPr>
            </w:pPr>
          </w:p>
        </w:tc>
      </w:tr>
      <w:tr w:rsidR="003D72E7" w14:paraId="619DCB40" w14:textId="77777777">
        <w:trPr>
          <w:jc w:val="center"/>
        </w:trPr>
        <w:tc>
          <w:tcPr>
            <w:tcW w:w="0" w:type="auto"/>
            <w:gridSpan w:val="3"/>
            <w:tcBorders>
              <w:top w:val="nil"/>
              <w:left w:val="nil"/>
              <w:bottom w:val="nil"/>
              <w:right w:val="nil"/>
            </w:tcBorders>
            <w:shd w:val="clear" w:color="auto" w:fill="CCEEFF"/>
            <w:tcMar>
              <w:top w:w="40" w:type="dxa"/>
              <w:left w:w="365" w:type="dxa"/>
              <w:bottom w:w="40" w:type="dxa"/>
              <w:right w:w="20" w:type="dxa"/>
            </w:tcMar>
            <w:vAlign w:val="bottom"/>
          </w:tcPr>
          <w:p w14:paraId="619DCB3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current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B3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55,483 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B3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3D"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B3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54,132 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B3F" w14:textId="77777777" w:rsidR="003D72E7" w:rsidRDefault="003D72E7">
            <w:pPr>
              <w:widowControl/>
              <w:jc w:val="right"/>
              <w:rPr>
                <w:rFonts w:ascii="Times New Roman" w:eastAsia="宋体" w:hAnsi="宋体" w:cs="宋体"/>
                <w:kern w:val="0"/>
                <w:sz w:val="24"/>
              </w:rPr>
            </w:pPr>
          </w:p>
        </w:tc>
      </w:tr>
      <w:tr w:rsidR="003D72E7" w14:paraId="619DCB4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CB4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B4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37,167 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4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B4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B4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41,622 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46" w14:textId="77777777" w:rsidR="003D72E7" w:rsidRDefault="003D72E7">
            <w:pPr>
              <w:widowControl/>
              <w:jc w:val="right"/>
              <w:rPr>
                <w:rFonts w:ascii="Times New Roman" w:eastAsia="宋体" w:hAnsi="宋体" w:cs="宋体"/>
                <w:kern w:val="0"/>
                <w:sz w:val="24"/>
              </w:rPr>
            </w:pPr>
          </w:p>
        </w:tc>
      </w:tr>
      <w:tr w:rsidR="003D72E7" w14:paraId="619DCB4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B4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Long-term deferred revenue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B4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14,840 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B4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4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B4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14,276 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B4D" w14:textId="77777777" w:rsidR="003D72E7" w:rsidRDefault="003D72E7">
            <w:pPr>
              <w:widowControl/>
              <w:jc w:val="right"/>
              <w:rPr>
                <w:rFonts w:ascii="Times New Roman" w:eastAsia="宋体" w:hAnsi="宋体" w:cs="宋体"/>
                <w:kern w:val="0"/>
                <w:sz w:val="24"/>
              </w:rPr>
            </w:pPr>
          </w:p>
        </w:tc>
      </w:tr>
      <w:tr w:rsidR="003D72E7" w14:paraId="619DCB5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CB4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Other non-current </w:t>
            </w:r>
            <w:r>
              <w:rPr>
                <w:rFonts w:ascii="Times New Roman" w:eastAsia="宋体" w:hAnsi="Times New Roman" w:cs="Times New Roman"/>
                <w:color w:val="000000"/>
                <w:kern w:val="0"/>
                <w:sz w:val="20"/>
                <w:szCs w:val="20"/>
                <w:lang w:bidi="ar"/>
              </w:rPr>
              <w:t>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B5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5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B5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B5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54" w14:textId="77777777" w:rsidR="003D72E7" w:rsidRDefault="003D72E7">
            <w:pPr>
              <w:widowControl/>
              <w:jc w:val="right"/>
              <w:rPr>
                <w:rFonts w:ascii="Times New Roman" w:eastAsia="宋体" w:hAnsi="宋体" w:cs="宋体"/>
                <w:kern w:val="0"/>
                <w:sz w:val="24"/>
              </w:rPr>
            </w:pPr>
          </w:p>
        </w:tc>
      </w:tr>
      <w:tr w:rsidR="003D72E7" w14:paraId="619DCB5C"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619DCB5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B5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112,735 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19DCB5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59"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B5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115,390 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19DCB5B" w14:textId="77777777" w:rsidR="003D72E7" w:rsidRDefault="003D72E7">
            <w:pPr>
              <w:widowControl/>
              <w:jc w:val="right"/>
              <w:rPr>
                <w:rFonts w:ascii="Times New Roman" w:eastAsia="宋体" w:hAnsi="宋体" w:cs="宋体"/>
                <w:kern w:val="0"/>
                <w:sz w:val="24"/>
              </w:rPr>
            </w:pPr>
          </w:p>
        </w:tc>
      </w:tr>
      <w:tr w:rsidR="003D72E7" w14:paraId="619DCB6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CB5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Commitments and contingencies (Note 9)</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CB5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B5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CB60" w14:textId="77777777" w:rsidR="003D72E7" w:rsidRDefault="003D72E7">
            <w:pPr>
              <w:widowControl/>
              <w:jc w:val="left"/>
              <w:rPr>
                <w:rFonts w:ascii="Times New Roman" w:eastAsia="宋体" w:hAnsi="宋体" w:cs="宋体"/>
                <w:kern w:val="0"/>
                <w:sz w:val="24"/>
              </w:rPr>
            </w:pPr>
          </w:p>
        </w:tc>
      </w:tr>
      <w:tr w:rsidR="003D72E7" w14:paraId="619DCB6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B6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Redeemable shares (Note 15)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B6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B6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6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B6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B67" w14:textId="77777777" w:rsidR="003D72E7" w:rsidRDefault="003D72E7">
            <w:pPr>
              <w:widowControl/>
              <w:jc w:val="right"/>
              <w:rPr>
                <w:rFonts w:ascii="Times New Roman" w:eastAsia="宋体" w:hAnsi="宋体" w:cs="宋体"/>
                <w:kern w:val="0"/>
                <w:sz w:val="24"/>
              </w:rPr>
            </w:pPr>
          </w:p>
        </w:tc>
      </w:tr>
      <w:tr w:rsidR="003D72E7" w14:paraId="619DCB6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CB6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Stockholders’ equity (deficit):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B6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B6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B6C" w14:textId="77777777" w:rsidR="003D72E7" w:rsidRDefault="003D72E7">
            <w:pPr>
              <w:widowControl/>
              <w:jc w:val="left"/>
              <w:rPr>
                <w:rFonts w:ascii="Times New Roman" w:eastAsia="宋体" w:hAnsi="宋体" w:cs="宋体"/>
                <w:kern w:val="0"/>
                <w:sz w:val="24"/>
              </w:rPr>
            </w:pPr>
          </w:p>
        </w:tc>
      </w:tr>
      <w:tr w:rsidR="003D72E7" w14:paraId="619DCB7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B6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Common stock and capital in excess of $0.01 par value (Note 13)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B6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17,510 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B7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7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B7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B73" w14:textId="77777777" w:rsidR="003D72E7" w:rsidRDefault="003D72E7">
            <w:pPr>
              <w:widowControl/>
              <w:jc w:val="right"/>
              <w:rPr>
                <w:rFonts w:ascii="Times New Roman" w:eastAsia="宋体" w:hAnsi="宋体" w:cs="宋体"/>
                <w:kern w:val="0"/>
                <w:sz w:val="24"/>
              </w:rPr>
            </w:pPr>
          </w:p>
        </w:tc>
      </w:tr>
      <w:tr w:rsidR="003D72E7" w14:paraId="619DCB7B"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619DCB7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Treasury stock at cost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B7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7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B7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B7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7A" w14:textId="77777777" w:rsidR="003D72E7" w:rsidRDefault="003D72E7">
            <w:pPr>
              <w:widowControl/>
              <w:jc w:val="right"/>
              <w:rPr>
                <w:rFonts w:ascii="Times New Roman" w:eastAsia="宋体" w:hAnsi="宋体" w:cs="宋体"/>
                <w:kern w:val="0"/>
                <w:sz w:val="24"/>
              </w:rPr>
            </w:pPr>
          </w:p>
        </w:tc>
      </w:tr>
      <w:tr w:rsidR="003D72E7" w14:paraId="619DCB82"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619DCB7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Accumulated deficit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B7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B7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7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B8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(13,751)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B81" w14:textId="77777777" w:rsidR="003D72E7" w:rsidRDefault="003D72E7">
            <w:pPr>
              <w:widowControl/>
              <w:jc w:val="right"/>
              <w:rPr>
                <w:rFonts w:ascii="Times New Roman" w:eastAsia="宋体" w:hAnsi="宋体" w:cs="宋体"/>
                <w:kern w:val="0"/>
                <w:sz w:val="24"/>
              </w:rPr>
            </w:pPr>
          </w:p>
        </w:tc>
      </w:tr>
      <w:tr w:rsidR="003D72E7" w14:paraId="619DCB89"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619DCB8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Accumulated other comprehensive 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B8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8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B8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B8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88" w14:textId="77777777" w:rsidR="003D72E7" w:rsidRDefault="003D72E7">
            <w:pPr>
              <w:widowControl/>
              <w:jc w:val="right"/>
              <w:rPr>
                <w:rFonts w:ascii="Times New Roman" w:eastAsia="宋体" w:hAnsi="宋体" w:cs="宋体"/>
                <w:kern w:val="0"/>
                <w:sz w:val="24"/>
              </w:rPr>
            </w:pPr>
          </w:p>
        </w:tc>
      </w:tr>
      <w:tr w:rsidR="003D72E7" w14:paraId="619DCB90"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19DCB8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Dell Technologies Inc. stockholders’ equity</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B8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4,825 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B8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8D"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B8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2,479 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B8F" w14:textId="77777777" w:rsidR="003D72E7" w:rsidRDefault="003D72E7">
            <w:pPr>
              <w:widowControl/>
              <w:jc w:val="right"/>
              <w:rPr>
                <w:rFonts w:ascii="Times New Roman" w:eastAsia="宋体" w:hAnsi="宋体" w:cs="宋体"/>
                <w:kern w:val="0"/>
                <w:sz w:val="24"/>
              </w:rPr>
            </w:pPr>
          </w:p>
        </w:tc>
      </w:tr>
      <w:tr w:rsidR="003D72E7" w14:paraId="619DCB97"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19DCB9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Non-controlling interests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B9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9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B9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B9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5,074 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96" w14:textId="77777777" w:rsidR="003D72E7" w:rsidRDefault="003D72E7">
            <w:pPr>
              <w:widowControl/>
              <w:jc w:val="right"/>
              <w:rPr>
                <w:rFonts w:ascii="Times New Roman" w:eastAsia="宋体" w:hAnsi="宋体" w:cs="宋体"/>
                <w:kern w:val="0"/>
                <w:sz w:val="24"/>
              </w:rPr>
            </w:pPr>
          </w:p>
        </w:tc>
      </w:tr>
      <w:tr w:rsidR="003D72E7" w14:paraId="619DCB9E"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619DCB9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stockholders’ equity</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B9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9,943 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B9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9B"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B9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7,553 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B9D" w14:textId="77777777" w:rsidR="003D72E7" w:rsidRDefault="003D72E7">
            <w:pPr>
              <w:widowControl/>
              <w:jc w:val="right"/>
              <w:rPr>
                <w:rFonts w:ascii="Times New Roman" w:eastAsia="宋体" w:hAnsi="宋体" w:cs="宋体"/>
                <w:kern w:val="0"/>
                <w:sz w:val="24"/>
              </w:rPr>
            </w:pPr>
          </w:p>
        </w:tc>
      </w:tr>
      <w:tr w:rsidR="003D72E7" w14:paraId="619DCBA7"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619DCB9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liabilities, redeemable shares, and stockholders’ equity</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CBA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CBA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122,678 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CBA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BA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CBA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CBA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123,415 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CBA6" w14:textId="77777777" w:rsidR="003D72E7" w:rsidRDefault="003D72E7">
            <w:pPr>
              <w:widowControl/>
              <w:jc w:val="right"/>
              <w:rPr>
                <w:rFonts w:ascii="Times New Roman" w:eastAsia="宋体" w:hAnsi="宋体" w:cs="宋体"/>
                <w:kern w:val="0"/>
                <w:sz w:val="24"/>
              </w:rPr>
            </w:pPr>
          </w:p>
        </w:tc>
      </w:tr>
    </w:tbl>
    <w:p w14:paraId="619DCBA8"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BA9"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 xml:space="preserve">The accompanying notes are an integral part of these Condensed </w:t>
      </w:r>
      <w:r>
        <w:rPr>
          <w:rFonts w:ascii="Times New Roman" w:eastAsia="宋体" w:hAnsi="Times New Roman" w:cs="Times New Roman"/>
          <w:color w:val="000000"/>
          <w:kern w:val="0"/>
          <w:sz w:val="20"/>
          <w:szCs w:val="20"/>
          <w:lang w:bidi="ar"/>
        </w:rPr>
        <w:t>Consolidated Financial Statements.</w:t>
      </w:r>
    </w:p>
    <w:p w14:paraId="619DCBAA"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BAB"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p w14:paraId="619DCBAC"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BAD" w14:textId="77777777" w:rsidR="003D72E7" w:rsidRDefault="00AD6774">
      <w:pPr>
        <w:widowControl/>
        <w:jc w:val="center"/>
      </w:pPr>
      <w:r>
        <w:rPr>
          <w:rFonts w:ascii="宋体" w:eastAsia="宋体" w:hAnsi="宋体" w:cs="宋体"/>
          <w:kern w:val="0"/>
          <w:sz w:val="24"/>
        </w:rPr>
        <w:pict w14:anchorId="619E0D70">
          <v:rect id="_x0000_i1029" style="width:6in;height:1.5pt" o:hralign="center" o:hrstd="t" o:hr="t" fillcolor="#a0a0a0" stroked="f"/>
        </w:pict>
      </w:r>
    </w:p>
    <w:p w14:paraId="619DCBAE"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CBAF" w14:textId="77777777" w:rsidR="003D72E7" w:rsidRDefault="00AD6774">
      <w:pPr>
        <w:widowControl/>
        <w:spacing w:after="12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619DCBB0" w14:textId="77777777" w:rsidR="003D72E7" w:rsidRDefault="00AD6774">
      <w:pPr>
        <w:widowControl/>
        <w:spacing w:after="6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CONDENSED CONSOLIDATED STATEMENTS OF </w:t>
      </w:r>
      <w:r>
        <w:rPr>
          <w:rFonts w:ascii="Times New Roman" w:eastAsia="宋体" w:hAnsi="Times New Roman" w:cs="Times New Roman"/>
          <w:b/>
          <w:bCs/>
          <w:color w:val="000000"/>
          <w:kern w:val="0"/>
          <w:sz w:val="20"/>
          <w:szCs w:val="20"/>
          <w:lang w:bidi="ar"/>
        </w:rPr>
        <w:t>INCOME</w:t>
      </w:r>
    </w:p>
    <w:p w14:paraId="619DCBB1"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(in millions, except per share amounts</w:t>
      </w:r>
      <w:r>
        <w:rPr>
          <w:rFonts w:ascii="Times New Roman" w:eastAsia="宋体" w:hAnsi="Times New Roman" w:cs="Times New Roman"/>
          <w:color w:val="000000"/>
          <w:kern w:val="0"/>
          <w:sz w:val="20"/>
          <w:szCs w:val="20"/>
          <w:lang w:bidi="ar"/>
        </w:rPr>
        <w:t>;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454"/>
        <w:gridCol w:w="38"/>
        <w:gridCol w:w="120"/>
        <w:gridCol w:w="963"/>
        <w:gridCol w:w="36"/>
        <w:gridCol w:w="36"/>
        <w:gridCol w:w="36"/>
        <w:gridCol w:w="36"/>
        <w:gridCol w:w="120"/>
        <w:gridCol w:w="963"/>
        <w:gridCol w:w="36"/>
        <w:gridCol w:w="36"/>
        <w:gridCol w:w="36"/>
        <w:gridCol w:w="36"/>
        <w:gridCol w:w="120"/>
        <w:gridCol w:w="963"/>
        <w:gridCol w:w="36"/>
        <w:gridCol w:w="36"/>
        <w:gridCol w:w="36"/>
        <w:gridCol w:w="36"/>
        <w:gridCol w:w="120"/>
        <w:gridCol w:w="967"/>
        <w:gridCol w:w="36"/>
      </w:tblGrid>
      <w:tr w:rsidR="003D72E7" w14:paraId="619DCBCA" w14:textId="77777777">
        <w:trPr>
          <w:jc w:val="center"/>
        </w:trPr>
        <w:tc>
          <w:tcPr>
            <w:tcW w:w="50" w:type="pct"/>
            <w:tcBorders>
              <w:top w:val="nil"/>
              <w:left w:val="nil"/>
              <w:bottom w:val="nil"/>
              <w:right w:val="nil"/>
            </w:tcBorders>
            <w:shd w:val="clear" w:color="auto" w:fill="auto"/>
            <w:vAlign w:val="bottom"/>
          </w:tcPr>
          <w:p w14:paraId="619DCBB2" w14:textId="77777777" w:rsidR="003D72E7" w:rsidRDefault="003D72E7">
            <w:pPr>
              <w:widowControl/>
              <w:jc w:val="left"/>
              <w:rPr>
                <w:rFonts w:ascii="Times New Roman" w:eastAsia="宋体" w:hAnsi="宋体" w:cs="宋体"/>
                <w:kern w:val="0"/>
                <w:sz w:val="24"/>
              </w:rPr>
            </w:pPr>
          </w:p>
        </w:tc>
        <w:tc>
          <w:tcPr>
            <w:tcW w:w="2137" w:type="pct"/>
            <w:tcBorders>
              <w:top w:val="nil"/>
              <w:left w:val="nil"/>
              <w:bottom w:val="nil"/>
              <w:right w:val="nil"/>
            </w:tcBorders>
            <w:shd w:val="clear" w:color="auto" w:fill="auto"/>
            <w:vAlign w:val="bottom"/>
          </w:tcPr>
          <w:p w14:paraId="619DCBB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BB4"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BB5" w14:textId="77777777" w:rsidR="003D72E7" w:rsidRDefault="003D72E7">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619DCBB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BB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BB8"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CBB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BBA"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BBB" w14:textId="77777777" w:rsidR="003D72E7" w:rsidRDefault="003D72E7">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619DCBB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BB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BBE"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CBB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BC0"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BC1" w14:textId="77777777" w:rsidR="003D72E7" w:rsidRDefault="003D72E7">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619DCBC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BC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BC4"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CBC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BC6"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BC7" w14:textId="77777777" w:rsidR="003D72E7" w:rsidRDefault="003D72E7">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vAlign w:val="bottom"/>
          </w:tcPr>
          <w:p w14:paraId="619DCBC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BC9" w14:textId="77777777" w:rsidR="003D72E7" w:rsidRDefault="003D72E7">
            <w:pPr>
              <w:widowControl/>
              <w:jc w:val="left"/>
              <w:rPr>
                <w:rFonts w:ascii="Times New Roman" w:eastAsia="宋体" w:hAnsi="宋体" w:cs="宋体"/>
                <w:kern w:val="0"/>
                <w:sz w:val="24"/>
              </w:rPr>
            </w:pPr>
          </w:p>
        </w:tc>
      </w:tr>
      <w:tr w:rsidR="003D72E7" w14:paraId="619DCBC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BCB"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CBC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BCD"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center"/>
          </w:tcPr>
          <w:p w14:paraId="619DCBCE"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CBD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BD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CBD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CBD2"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CBD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BD4"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CBD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CBD6"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CBD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CBE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BD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Net revenue:</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619DCBD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D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CBD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D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CBD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D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CBE0" w14:textId="77777777" w:rsidR="003D72E7" w:rsidRDefault="003D72E7">
            <w:pPr>
              <w:widowControl/>
              <w:jc w:val="left"/>
              <w:rPr>
                <w:rFonts w:ascii="Times New Roman" w:eastAsia="宋体" w:hAnsi="宋体" w:cs="宋体"/>
                <w:kern w:val="0"/>
                <w:sz w:val="24"/>
              </w:rPr>
            </w:pPr>
          </w:p>
        </w:tc>
      </w:tr>
      <w:tr w:rsidR="003D72E7" w14:paraId="619DCBF2"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CBE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CBE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CBE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19,394 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E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BE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CBE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CBE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16,737 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BE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BE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CBE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CBE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37,428 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CBE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BE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center"/>
          </w:tcPr>
          <w:p w14:paraId="619DCBE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center"/>
          </w:tcPr>
          <w:p w14:paraId="619DCBF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32,775 </w:t>
            </w:r>
          </w:p>
        </w:tc>
        <w:tc>
          <w:tcPr>
            <w:tcW w:w="0" w:type="auto"/>
            <w:tcBorders>
              <w:top w:val="nil"/>
              <w:left w:val="nil"/>
              <w:bottom w:val="nil"/>
              <w:right w:val="nil"/>
            </w:tcBorders>
            <w:shd w:val="clear" w:color="auto" w:fill="auto"/>
            <w:tcMar>
              <w:top w:w="40" w:type="dxa"/>
              <w:left w:w="0" w:type="dxa"/>
              <w:bottom w:w="40" w:type="dxa"/>
              <w:right w:w="20" w:type="dxa"/>
            </w:tcMar>
            <w:vAlign w:val="center"/>
          </w:tcPr>
          <w:p w14:paraId="619DCBF1" w14:textId="77777777" w:rsidR="003D72E7" w:rsidRDefault="003D72E7">
            <w:pPr>
              <w:widowControl/>
              <w:jc w:val="right"/>
              <w:rPr>
                <w:rFonts w:ascii="Times New Roman" w:eastAsia="宋体" w:hAnsi="宋体" w:cs="宋体"/>
                <w:kern w:val="0"/>
                <w:sz w:val="24"/>
              </w:rPr>
            </w:pPr>
          </w:p>
        </w:tc>
      </w:tr>
      <w:tr w:rsidR="003D72E7" w14:paraId="619DCBFF"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CBF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BF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BF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F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BF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BF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F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CBF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13,181 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CBF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BF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CBF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11,855 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CBFE" w14:textId="77777777" w:rsidR="003D72E7" w:rsidRDefault="003D72E7">
            <w:pPr>
              <w:widowControl/>
              <w:jc w:val="right"/>
              <w:rPr>
                <w:rFonts w:ascii="Times New Roman" w:eastAsia="宋体" w:hAnsi="宋体" w:cs="宋体"/>
                <w:kern w:val="0"/>
                <w:sz w:val="24"/>
              </w:rPr>
            </w:pPr>
          </w:p>
        </w:tc>
      </w:tr>
      <w:tr w:rsidR="003D72E7" w14:paraId="619DCC0C"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619DCC0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net revenue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C0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26,122 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19DCC0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03"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C0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22,733 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19DCC0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06"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CC0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50,609 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619DCC0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C09"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center"/>
          </w:tcPr>
          <w:p w14:paraId="619DCC0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44,630 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center"/>
          </w:tcPr>
          <w:p w14:paraId="619DCC0B" w14:textId="77777777" w:rsidR="003D72E7" w:rsidRDefault="003D72E7">
            <w:pPr>
              <w:widowControl/>
              <w:jc w:val="right"/>
              <w:rPr>
                <w:rFonts w:ascii="Times New Roman" w:eastAsia="宋体" w:hAnsi="宋体" w:cs="宋体"/>
                <w:kern w:val="0"/>
                <w:sz w:val="24"/>
              </w:rPr>
            </w:pPr>
          </w:p>
        </w:tc>
      </w:tr>
      <w:tr w:rsidR="003D72E7" w14:paraId="619DCC1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C0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Cost of net revenue:</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CC0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0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CC1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1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CC1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1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CC14" w14:textId="77777777" w:rsidR="003D72E7" w:rsidRDefault="003D72E7">
            <w:pPr>
              <w:widowControl/>
              <w:jc w:val="left"/>
              <w:rPr>
                <w:rFonts w:ascii="Times New Roman" w:eastAsia="宋体" w:hAnsi="宋体" w:cs="宋体"/>
                <w:kern w:val="0"/>
                <w:sz w:val="24"/>
              </w:rPr>
            </w:pPr>
          </w:p>
        </w:tc>
      </w:tr>
      <w:tr w:rsidR="003D72E7" w14:paraId="619DCC22"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CC1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C1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15,371 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C1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1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C1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C1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1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CC1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29,585 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CC1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C1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center"/>
          </w:tcPr>
          <w:p w14:paraId="619DCC2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26,134 </w:t>
            </w:r>
          </w:p>
        </w:tc>
        <w:tc>
          <w:tcPr>
            <w:tcW w:w="0" w:type="auto"/>
            <w:tcBorders>
              <w:top w:val="nil"/>
              <w:left w:val="nil"/>
              <w:bottom w:val="nil"/>
              <w:right w:val="nil"/>
            </w:tcBorders>
            <w:shd w:val="clear" w:color="auto" w:fill="auto"/>
            <w:tcMar>
              <w:top w:w="40" w:type="dxa"/>
              <w:left w:w="0" w:type="dxa"/>
              <w:bottom w:w="40" w:type="dxa"/>
              <w:right w:w="20" w:type="dxa"/>
            </w:tcMar>
            <w:vAlign w:val="center"/>
          </w:tcPr>
          <w:p w14:paraId="619DCC21" w14:textId="77777777" w:rsidR="003D72E7" w:rsidRDefault="003D72E7">
            <w:pPr>
              <w:widowControl/>
              <w:jc w:val="right"/>
              <w:rPr>
                <w:rFonts w:ascii="Times New Roman" w:eastAsia="宋体" w:hAnsi="宋体" w:cs="宋体"/>
                <w:kern w:val="0"/>
                <w:sz w:val="24"/>
              </w:rPr>
            </w:pPr>
          </w:p>
        </w:tc>
      </w:tr>
      <w:tr w:rsidR="003D72E7" w14:paraId="619DCC2F"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CC2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C2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C2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2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C2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C2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2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CC2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5,381 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CC2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2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CC2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4,487 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CC2E" w14:textId="77777777" w:rsidR="003D72E7" w:rsidRDefault="003D72E7">
            <w:pPr>
              <w:widowControl/>
              <w:jc w:val="right"/>
              <w:rPr>
                <w:rFonts w:ascii="Times New Roman" w:eastAsia="宋体" w:hAnsi="宋体" w:cs="宋体"/>
                <w:kern w:val="0"/>
                <w:sz w:val="24"/>
              </w:rPr>
            </w:pPr>
          </w:p>
        </w:tc>
      </w:tr>
      <w:tr w:rsidR="003D72E7" w14:paraId="619DCC3C"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619DCC3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cost of net revenue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C3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18,137 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CC3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33"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C3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15,577 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CC3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36"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CC3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34,966 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CC3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C39"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center"/>
          </w:tcPr>
          <w:p w14:paraId="619DCC3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30,621 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center"/>
          </w:tcPr>
          <w:p w14:paraId="619DCC3B" w14:textId="77777777" w:rsidR="003D72E7" w:rsidRDefault="003D72E7">
            <w:pPr>
              <w:widowControl/>
              <w:jc w:val="right"/>
              <w:rPr>
                <w:rFonts w:ascii="Times New Roman" w:eastAsia="宋体" w:hAnsi="宋体" w:cs="宋体"/>
                <w:kern w:val="0"/>
                <w:sz w:val="24"/>
              </w:rPr>
            </w:pPr>
          </w:p>
        </w:tc>
      </w:tr>
      <w:tr w:rsidR="003D72E7" w14:paraId="619DCC4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C3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Gross margin</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C3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7,985 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19DCC3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40"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C4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7,156 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19DCC4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43"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CC4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15,643 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619DCC4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46"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CC4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14,009 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619DCC48" w14:textId="77777777" w:rsidR="003D72E7" w:rsidRDefault="003D72E7">
            <w:pPr>
              <w:widowControl/>
              <w:jc w:val="right"/>
              <w:rPr>
                <w:rFonts w:ascii="Times New Roman" w:eastAsia="宋体" w:hAnsi="宋体" w:cs="宋体"/>
                <w:kern w:val="0"/>
                <w:sz w:val="24"/>
              </w:rPr>
            </w:pPr>
          </w:p>
        </w:tc>
      </w:tr>
      <w:tr w:rsidR="003D72E7" w14:paraId="619DCC5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CC4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Operating expenses: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CC4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4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CC4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4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CC4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C5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CC51" w14:textId="77777777" w:rsidR="003D72E7" w:rsidRDefault="003D72E7">
            <w:pPr>
              <w:widowControl/>
              <w:jc w:val="left"/>
              <w:rPr>
                <w:rFonts w:ascii="Times New Roman" w:eastAsia="宋体" w:hAnsi="宋体" w:cs="宋体"/>
                <w:kern w:val="0"/>
                <w:sz w:val="24"/>
              </w:rPr>
            </w:pPr>
          </w:p>
        </w:tc>
      </w:tr>
      <w:tr w:rsidR="003D72E7" w14:paraId="619DCC5F"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CC5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Selling, general, and administrative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C5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C5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5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C5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C5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5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CC5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10,105 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CC5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5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CC5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9,647 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CC5E" w14:textId="77777777" w:rsidR="003D72E7" w:rsidRDefault="003D72E7">
            <w:pPr>
              <w:widowControl/>
              <w:jc w:val="right"/>
              <w:rPr>
                <w:rFonts w:ascii="Times New Roman" w:eastAsia="宋体" w:hAnsi="宋体" w:cs="宋体"/>
                <w:kern w:val="0"/>
                <w:sz w:val="24"/>
              </w:rPr>
            </w:pPr>
          </w:p>
        </w:tc>
      </w:tr>
      <w:tr w:rsidR="003D72E7" w14:paraId="619DCC6C"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CC6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Research and development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C6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C6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6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C6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C6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6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CC6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2,791 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CC6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C6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center"/>
          </w:tcPr>
          <w:p w14:paraId="619DCC6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2,524 </w:t>
            </w:r>
          </w:p>
        </w:tc>
        <w:tc>
          <w:tcPr>
            <w:tcW w:w="0" w:type="auto"/>
            <w:tcBorders>
              <w:top w:val="nil"/>
              <w:left w:val="nil"/>
              <w:bottom w:val="nil"/>
              <w:right w:val="nil"/>
            </w:tcBorders>
            <w:shd w:val="clear" w:color="auto" w:fill="auto"/>
            <w:tcMar>
              <w:top w:w="40" w:type="dxa"/>
              <w:left w:w="0" w:type="dxa"/>
              <w:bottom w:w="40" w:type="dxa"/>
              <w:right w:w="20" w:type="dxa"/>
            </w:tcMar>
            <w:vAlign w:val="center"/>
          </w:tcPr>
          <w:p w14:paraId="619DCC6B" w14:textId="77777777" w:rsidR="003D72E7" w:rsidRDefault="003D72E7">
            <w:pPr>
              <w:widowControl/>
              <w:jc w:val="right"/>
              <w:rPr>
                <w:rFonts w:ascii="Times New Roman" w:eastAsia="宋体" w:hAnsi="宋体" w:cs="宋体"/>
                <w:kern w:val="0"/>
                <w:sz w:val="24"/>
              </w:rPr>
            </w:pPr>
          </w:p>
        </w:tc>
      </w:tr>
      <w:tr w:rsidR="003D72E7" w14:paraId="619DCC79" w14:textId="77777777">
        <w:trPr>
          <w:jc w:val="center"/>
        </w:trPr>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619DCC6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operating expenses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C6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6,613 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C6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70"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C7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C7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73"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CC7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12,896 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DCC7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76"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CC7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12,171 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DCC78" w14:textId="77777777" w:rsidR="003D72E7" w:rsidRDefault="003D72E7">
            <w:pPr>
              <w:widowControl/>
              <w:jc w:val="right"/>
              <w:rPr>
                <w:rFonts w:ascii="Times New Roman" w:eastAsia="宋体" w:hAnsi="宋体" w:cs="宋体"/>
                <w:kern w:val="0"/>
                <w:sz w:val="24"/>
              </w:rPr>
            </w:pPr>
          </w:p>
        </w:tc>
      </w:tr>
      <w:tr w:rsidR="003D72E7" w14:paraId="619DCC86" w14:textId="77777777">
        <w:trPr>
          <w:jc w:val="center"/>
        </w:trPr>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619DCC7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C7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1,372 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CC7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7D"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C7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1,136 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CC7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80"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CC8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2,747 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CC8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C83"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center"/>
          </w:tcPr>
          <w:p w14:paraId="619DCC8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1,838 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center"/>
          </w:tcPr>
          <w:p w14:paraId="619DCC85" w14:textId="77777777" w:rsidR="003D72E7" w:rsidRDefault="003D72E7">
            <w:pPr>
              <w:widowControl/>
              <w:jc w:val="right"/>
              <w:rPr>
                <w:rFonts w:ascii="Times New Roman" w:eastAsia="宋体" w:hAnsi="宋体" w:cs="宋体"/>
                <w:kern w:val="0"/>
                <w:sz w:val="24"/>
              </w:rPr>
            </w:pPr>
          </w:p>
        </w:tc>
      </w:tr>
      <w:tr w:rsidR="003D72E7" w14:paraId="619DCC9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C8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C8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C8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8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C8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C8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8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CC8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(747)</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CC8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9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CC9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(1,202)</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CC92" w14:textId="77777777" w:rsidR="003D72E7" w:rsidRDefault="003D72E7">
            <w:pPr>
              <w:widowControl/>
              <w:jc w:val="right"/>
              <w:rPr>
                <w:rFonts w:ascii="Times New Roman" w:eastAsia="宋体" w:hAnsi="宋体" w:cs="宋体"/>
                <w:kern w:val="0"/>
                <w:sz w:val="24"/>
              </w:rPr>
            </w:pPr>
          </w:p>
        </w:tc>
      </w:tr>
      <w:tr w:rsidR="003D72E7" w14:paraId="619DCCA0"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CC9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before income taxes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C9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CC9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97"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C9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CC9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9A"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CC9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CC9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C9D"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center"/>
          </w:tcPr>
          <w:p w14:paraId="619DCC9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636 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center"/>
          </w:tcPr>
          <w:p w14:paraId="619DCC9F" w14:textId="77777777" w:rsidR="003D72E7" w:rsidRDefault="003D72E7">
            <w:pPr>
              <w:widowControl/>
              <w:jc w:val="right"/>
              <w:rPr>
                <w:rFonts w:ascii="Times New Roman" w:eastAsia="宋体" w:hAnsi="宋体" w:cs="宋体"/>
                <w:kern w:val="0"/>
                <w:sz w:val="24"/>
              </w:rPr>
            </w:pPr>
          </w:p>
        </w:tc>
      </w:tr>
      <w:tr w:rsidR="003D72E7" w14:paraId="619DCCA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CA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tax expense (benefit)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CA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CA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A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CA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CA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A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CCA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CCA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A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CCA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(645)</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CCAC" w14:textId="77777777" w:rsidR="003D72E7" w:rsidRDefault="003D72E7">
            <w:pPr>
              <w:widowControl/>
              <w:jc w:val="right"/>
              <w:rPr>
                <w:rFonts w:ascii="Times New Roman" w:eastAsia="宋体" w:hAnsi="宋体" w:cs="宋体"/>
                <w:kern w:val="0"/>
                <w:sz w:val="24"/>
              </w:rPr>
            </w:pPr>
          </w:p>
        </w:tc>
      </w:tr>
      <w:tr w:rsidR="003D72E7" w14:paraId="619DCCBA"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CCA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CA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CCB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B1"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CB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1,099 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CCB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B4"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CCB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1,818 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CCB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CB7"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center"/>
          </w:tcPr>
          <w:p w14:paraId="619DCCB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1,281 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center"/>
          </w:tcPr>
          <w:p w14:paraId="619DCCB9" w14:textId="77777777" w:rsidR="003D72E7" w:rsidRDefault="003D72E7">
            <w:pPr>
              <w:widowControl/>
              <w:jc w:val="right"/>
              <w:rPr>
                <w:rFonts w:ascii="Times New Roman" w:eastAsia="宋体" w:hAnsi="宋体" w:cs="宋体"/>
                <w:kern w:val="0"/>
                <w:sz w:val="24"/>
              </w:rPr>
            </w:pPr>
          </w:p>
        </w:tc>
      </w:tr>
      <w:tr w:rsidR="003D72E7" w14:paraId="619DCCC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CB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Less: Net income attributable to 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CB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CB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B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CB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CC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C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CC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CC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C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CC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CC6" w14:textId="77777777" w:rsidR="003D72E7" w:rsidRDefault="003D72E7">
            <w:pPr>
              <w:widowControl/>
              <w:jc w:val="right"/>
              <w:rPr>
                <w:rFonts w:ascii="Times New Roman" w:eastAsia="宋体" w:hAnsi="宋体" w:cs="宋体"/>
                <w:kern w:val="0"/>
                <w:sz w:val="24"/>
              </w:rPr>
            </w:pPr>
          </w:p>
        </w:tc>
      </w:tr>
      <w:tr w:rsidR="003D72E7" w14:paraId="619DCCD8"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CCC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 attributable to Dell Technologies Inc.</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CC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CCC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831 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CCC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C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CC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CCC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1,048 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CCC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D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CD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CCD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CCD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CD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auto"/>
            <w:tcMar>
              <w:top w:w="40" w:type="dxa"/>
              <w:left w:w="20" w:type="dxa"/>
              <w:bottom w:w="40" w:type="dxa"/>
              <w:right w:w="0" w:type="dxa"/>
            </w:tcMar>
            <w:vAlign w:val="bottom"/>
          </w:tcPr>
          <w:p w14:paraId="619DCCD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bottom"/>
          </w:tcPr>
          <w:p w14:paraId="619DCCD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1,191 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619DCCD7" w14:textId="77777777" w:rsidR="003D72E7" w:rsidRDefault="003D72E7">
            <w:pPr>
              <w:widowControl/>
              <w:jc w:val="right"/>
              <w:rPr>
                <w:rFonts w:ascii="Times New Roman" w:eastAsia="宋体" w:hAnsi="宋体" w:cs="宋体"/>
                <w:kern w:val="0"/>
                <w:sz w:val="24"/>
              </w:rPr>
            </w:pPr>
          </w:p>
        </w:tc>
      </w:tr>
      <w:tr w:rsidR="003D72E7" w14:paraId="619DCCE1" w14:textId="77777777">
        <w:trPr>
          <w:trHeight w:val="28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D9"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CCD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DB"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CCD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DD"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CCD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DF"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CCE0" w14:textId="77777777" w:rsidR="003D72E7" w:rsidRDefault="003D72E7">
            <w:pPr>
              <w:widowControl/>
              <w:jc w:val="left"/>
              <w:rPr>
                <w:rFonts w:ascii="Times New Roman" w:eastAsia="宋体" w:hAnsi="宋体" w:cs="宋体"/>
                <w:kern w:val="0"/>
                <w:sz w:val="24"/>
              </w:rPr>
            </w:pPr>
          </w:p>
        </w:tc>
      </w:tr>
      <w:tr w:rsidR="003D72E7" w14:paraId="619DCCE5" w14:textId="77777777">
        <w:trPr>
          <w:jc w:val="center"/>
        </w:trPr>
        <w:tc>
          <w:tcPr>
            <w:tcW w:w="0" w:type="auto"/>
            <w:gridSpan w:val="12"/>
            <w:tcBorders>
              <w:top w:val="nil"/>
              <w:left w:val="nil"/>
              <w:bottom w:val="nil"/>
              <w:right w:val="nil"/>
            </w:tcBorders>
            <w:shd w:val="clear" w:color="auto" w:fill="FFFFFF"/>
            <w:tcMar>
              <w:top w:w="40" w:type="dxa"/>
              <w:left w:w="20" w:type="dxa"/>
              <w:bottom w:w="40" w:type="dxa"/>
              <w:right w:w="20" w:type="dxa"/>
            </w:tcMar>
            <w:vAlign w:val="bottom"/>
          </w:tcPr>
          <w:p w14:paraId="619DCCE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Earnings per share attributable to Dell Technologies Inc.</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E3"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FFFFFF"/>
            <w:tcMar>
              <w:top w:w="0" w:type="dxa"/>
              <w:left w:w="20" w:type="dxa"/>
              <w:bottom w:w="0" w:type="dxa"/>
              <w:right w:w="20" w:type="dxa"/>
            </w:tcMar>
            <w:vAlign w:val="bottom"/>
          </w:tcPr>
          <w:p w14:paraId="619DCCE4" w14:textId="77777777" w:rsidR="003D72E7" w:rsidRDefault="003D72E7">
            <w:pPr>
              <w:widowControl/>
              <w:jc w:val="left"/>
              <w:rPr>
                <w:rFonts w:ascii="Times New Roman" w:eastAsia="宋体" w:hAnsi="宋体" w:cs="宋体"/>
                <w:kern w:val="0"/>
                <w:sz w:val="24"/>
              </w:rPr>
            </w:pPr>
          </w:p>
        </w:tc>
      </w:tr>
      <w:tr w:rsidR="003D72E7" w14:paraId="619DCCF6"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CCE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Dell Technologies Common Stock — Basic</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CCE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CCE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CE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E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CCE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CCE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CE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E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CCE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CCF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CCF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CF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CCF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CCF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CCF5" w14:textId="77777777" w:rsidR="003D72E7" w:rsidRDefault="003D72E7">
            <w:pPr>
              <w:widowControl/>
              <w:jc w:val="right"/>
              <w:rPr>
                <w:rFonts w:ascii="Times New Roman" w:eastAsia="宋体" w:hAnsi="宋体" w:cs="宋体"/>
                <w:kern w:val="0"/>
                <w:sz w:val="24"/>
              </w:rPr>
            </w:pPr>
          </w:p>
        </w:tc>
      </w:tr>
      <w:tr w:rsidR="003D72E7" w14:paraId="619DCD07"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CCF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Dell Technologies Common Stock — Diluted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CCF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CCF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CF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F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CCF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CCF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CF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CF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CD0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CD0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2.18 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CD0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D0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Mar>
              <w:top w:w="40" w:type="dxa"/>
              <w:left w:w="20" w:type="dxa"/>
              <w:bottom w:w="40" w:type="dxa"/>
              <w:right w:w="0" w:type="dxa"/>
            </w:tcMar>
            <w:vAlign w:val="center"/>
          </w:tcPr>
          <w:p w14:paraId="619DCD0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center"/>
          </w:tcPr>
          <w:p w14:paraId="619DCD0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1.56 </w:t>
            </w:r>
          </w:p>
        </w:tc>
        <w:tc>
          <w:tcPr>
            <w:tcW w:w="0" w:type="auto"/>
            <w:tcBorders>
              <w:top w:val="nil"/>
              <w:left w:val="nil"/>
              <w:bottom w:val="nil"/>
              <w:right w:val="nil"/>
            </w:tcBorders>
            <w:shd w:val="clear" w:color="auto" w:fill="auto"/>
            <w:tcMar>
              <w:top w:w="40" w:type="dxa"/>
              <w:left w:w="0" w:type="dxa"/>
              <w:bottom w:w="40" w:type="dxa"/>
              <w:right w:w="20" w:type="dxa"/>
            </w:tcMar>
            <w:vAlign w:val="center"/>
          </w:tcPr>
          <w:p w14:paraId="619DCD06" w14:textId="77777777" w:rsidR="003D72E7" w:rsidRDefault="003D72E7">
            <w:pPr>
              <w:widowControl/>
              <w:jc w:val="right"/>
              <w:rPr>
                <w:rFonts w:ascii="Times New Roman" w:eastAsia="宋体" w:hAnsi="宋体" w:cs="宋体"/>
                <w:kern w:val="0"/>
                <w:sz w:val="24"/>
              </w:rPr>
            </w:pPr>
          </w:p>
        </w:tc>
      </w:tr>
    </w:tbl>
    <w:p w14:paraId="619DCD08"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 </w:t>
      </w:r>
    </w:p>
    <w:p w14:paraId="619DCD09"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 xml:space="preserve">The accompanying notes are an integral part of these Condensed </w:t>
      </w:r>
      <w:r>
        <w:rPr>
          <w:rFonts w:ascii="Times New Roman" w:eastAsia="宋体" w:hAnsi="Times New Roman" w:cs="Times New Roman"/>
          <w:color w:val="000000"/>
          <w:kern w:val="0"/>
          <w:sz w:val="20"/>
          <w:szCs w:val="20"/>
          <w:lang w:bidi="ar"/>
        </w:rPr>
        <w:t>Consolidated Financial Statements.</w:t>
      </w:r>
    </w:p>
    <w:p w14:paraId="619DCD0A"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D0B"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p w14:paraId="619DCD0C"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D0D" w14:textId="77777777" w:rsidR="003D72E7" w:rsidRDefault="00AD6774">
      <w:pPr>
        <w:widowControl/>
        <w:jc w:val="center"/>
      </w:pPr>
      <w:r>
        <w:rPr>
          <w:rFonts w:ascii="宋体" w:eastAsia="宋体" w:hAnsi="宋体" w:cs="宋体"/>
          <w:kern w:val="0"/>
          <w:sz w:val="24"/>
        </w:rPr>
        <w:pict w14:anchorId="619E0D71">
          <v:rect id="_x0000_i1030" style="width:6in;height:1.5pt" o:hralign="center" o:hrstd="t" o:hr="t" fillcolor="#a0a0a0" stroked="f"/>
        </w:pict>
      </w:r>
    </w:p>
    <w:p w14:paraId="619DCD0E"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CD0F" w14:textId="77777777" w:rsidR="003D72E7" w:rsidRDefault="00AD6774">
      <w:pPr>
        <w:widowControl/>
        <w:spacing w:after="12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619DCD10" w14:textId="77777777" w:rsidR="003D72E7" w:rsidRDefault="00AD6774">
      <w:pPr>
        <w:widowControl/>
        <w:spacing w:after="6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CONDENSED CONSOLIDATED STATEMENTS OF COMPREHENSIVE INCOME </w:t>
      </w:r>
    </w:p>
    <w:p w14:paraId="619DCD11" w14:textId="77777777" w:rsidR="003D72E7" w:rsidRDefault="00AD6774">
      <w:pPr>
        <w:widowControl/>
        <w:spacing w:after="60"/>
        <w:jc w:val="center"/>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(in millions</w:t>
      </w:r>
      <w:r>
        <w:rPr>
          <w:rFonts w:ascii="Times New Roman" w:eastAsia="宋体" w:hAnsi="Times New Roman" w:cs="Times New Roman"/>
          <w:color w:val="000000"/>
          <w:kern w:val="0"/>
          <w:sz w:val="20"/>
          <w:szCs w:val="20"/>
          <w:lang w:bidi="ar"/>
        </w:rPr>
        <w:t>; unaudited</w:t>
      </w:r>
      <w:r>
        <w:rPr>
          <w:rFonts w:ascii="Times New Roman" w:eastAsia="宋体" w:hAnsi="Times New Roman" w:cs="Times New Roman"/>
          <w:color w:val="000000"/>
          <w:kern w:val="0"/>
          <w:sz w:val="20"/>
          <w:szCs w:val="20"/>
          <w:shd w:val="clear" w:color="auto" w:fill="FFFFFF"/>
          <w:lang w:bidi="ar"/>
        </w:rPr>
        <w: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0"/>
        <w:gridCol w:w="3003"/>
        <w:gridCol w:w="39"/>
        <w:gridCol w:w="120"/>
        <w:gridCol w:w="1074"/>
        <w:gridCol w:w="36"/>
        <w:gridCol w:w="36"/>
        <w:gridCol w:w="36"/>
        <w:gridCol w:w="36"/>
        <w:gridCol w:w="120"/>
        <w:gridCol w:w="1074"/>
        <w:gridCol w:w="36"/>
        <w:gridCol w:w="36"/>
        <w:gridCol w:w="36"/>
        <w:gridCol w:w="36"/>
        <w:gridCol w:w="120"/>
        <w:gridCol w:w="1074"/>
        <w:gridCol w:w="36"/>
        <w:gridCol w:w="36"/>
        <w:gridCol w:w="36"/>
        <w:gridCol w:w="36"/>
        <w:gridCol w:w="120"/>
        <w:gridCol w:w="1074"/>
        <w:gridCol w:w="36"/>
      </w:tblGrid>
      <w:tr w:rsidR="003D72E7" w14:paraId="619DCD2A" w14:textId="77777777">
        <w:tc>
          <w:tcPr>
            <w:tcW w:w="50" w:type="pct"/>
            <w:tcBorders>
              <w:top w:val="nil"/>
              <w:left w:val="nil"/>
              <w:bottom w:val="nil"/>
              <w:right w:val="nil"/>
            </w:tcBorders>
            <w:shd w:val="clear" w:color="auto" w:fill="auto"/>
            <w:vAlign w:val="bottom"/>
          </w:tcPr>
          <w:p w14:paraId="619DCD12" w14:textId="77777777" w:rsidR="003D72E7" w:rsidRDefault="003D72E7">
            <w:pPr>
              <w:widowControl/>
              <w:jc w:val="left"/>
              <w:rPr>
                <w:rFonts w:ascii="Times New Roman" w:eastAsia="宋体" w:hAnsi="宋体" w:cs="宋体"/>
                <w:kern w:val="0"/>
                <w:sz w:val="24"/>
              </w:rPr>
            </w:pPr>
          </w:p>
        </w:tc>
        <w:tc>
          <w:tcPr>
            <w:tcW w:w="1873" w:type="pct"/>
            <w:tcBorders>
              <w:top w:val="nil"/>
              <w:left w:val="nil"/>
              <w:bottom w:val="nil"/>
              <w:right w:val="nil"/>
            </w:tcBorders>
            <w:shd w:val="clear" w:color="auto" w:fill="auto"/>
            <w:vAlign w:val="bottom"/>
          </w:tcPr>
          <w:p w14:paraId="619DCD1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D14"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D15" w14:textId="77777777" w:rsidR="003D72E7" w:rsidRDefault="003D72E7">
            <w:pPr>
              <w:widowControl/>
              <w:jc w:val="left"/>
              <w:rPr>
                <w:rFonts w:ascii="Times New Roman" w:eastAsia="宋体" w:hAnsi="宋体" w:cs="宋体"/>
                <w:kern w:val="0"/>
                <w:sz w:val="24"/>
              </w:rPr>
            </w:pPr>
          </w:p>
        </w:tc>
        <w:tc>
          <w:tcPr>
            <w:tcW w:w="690" w:type="pct"/>
            <w:tcBorders>
              <w:top w:val="nil"/>
              <w:left w:val="nil"/>
              <w:bottom w:val="nil"/>
              <w:right w:val="nil"/>
            </w:tcBorders>
            <w:shd w:val="clear" w:color="auto" w:fill="auto"/>
            <w:vAlign w:val="bottom"/>
          </w:tcPr>
          <w:p w14:paraId="619DCD1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D1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D18"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CD1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D1A"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D1B" w14:textId="77777777" w:rsidR="003D72E7" w:rsidRDefault="003D72E7">
            <w:pPr>
              <w:widowControl/>
              <w:jc w:val="left"/>
              <w:rPr>
                <w:rFonts w:ascii="Times New Roman" w:eastAsia="宋体" w:hAnsi="宋体" w:cs="宋体"/>
                <w:kern w:val="0"/>
                <w:sz w:val="24"/>
              </w:rPr>
            </w:pPr>
          </w:p>
        </w:tc>
        <w:tc>
          <w:tcPr>
            <w:tcW w:w="690" w:type="pct"/>
            <w:tcBorders>
              <w:top w:val="nil"/>
              <w:left w:val="nil"/>
              <w:bottom w:val="nil"/>
              <w:right w:val="nil"/>
            </w:tcBorders>
            <w:shd w:val="clear" w:color="auto" w:fill="auto"/>
            <w:vAlign w:val="bottom"/>
          </w:tcPr>
          <w:p w14:paraId="619DCD1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D1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D1E"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CD1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D20"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D21" w14:textId="77777777" w:rsidR="003D72E7" w:rsidRDefault="003D72E7">
            <w:pPr>
              <w:widowControl/>
              <w:jc w:val="left"/>
              <w:rPr>
                <w:rFonts w:ascii="Times New Roman" w:eastAsia="宋体" w:hAnsi="宋体" w:cs="宋体"/>
                <w:kern w:val="0"/>
                <w:sz w:val="24"/>
              </w:rPr>
            </w:pPr>
          </w:p>
        </w:tc>
        <w:tc>
          <w:tcPr>
            <w:tcW w:w="690" w:type="pct"/>
            <w:tcBorders>
              <w:top w:val="nil"/>
              <w:left w:val="nil"/>
              <w:bottom w:val="nil"/>
              <w:right w:val="nil"/>
            </w:tcBorders>
            <w:shd w:val="clear" w:color="auto" w:fill="auto"/>
            <w:vAlign w:val="bottom"/>
          </w:tcPr>
          <w:p w14:paraId="619DCD2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D2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D24"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CD2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D26"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D27" w14:textId="77777777" w:rsidR="003D72E7" w:rsidRDefault="003D72E7">
            <w:pPr>
              <w:widowControl/>
              <w:jc w:val="left"/>
              <w:rPr>
                <w:rFonts w:ascii="Times New Roman" w:eastAsia="宋体" w:hAnsi="宋体" w:cs="宋体"/>
                <w:kern w:val="0"/>
                <w:sz w:val="24"/>
              </w:rPr>
            </w:pPr>
          </w:p>
        </w:tc>
        <w:tc>
          <w:tcPr>
            <w:tcW w:w="690" w:type="pct"/>
            <w:tcBorders>
              <w:top w:val="nil"/>
              <w:left w:val="nil"/>
              <w:bottom w:val="nil"/>
              <w:right w:val="nil"/>
            </w:tcBorders>
            <w:shd w:val="clear" w:color="auto" w:fill="auto"/>
            <w:vAlign w:val="bottom"/>
          </w:tcPr>
          <w:p w14:paraId="619DCD2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D29" w14:textId="77777777" w:rsidR="003D72E7" w:rsidRDefault="003D72E7">
            <w:pPr>
              <w:widowControl/>
              <w:jc w:val="left"/>
              <w:rPr>
                <w:rFonts w:ascii="Times New Roman" w:eastAsia="宋体" w:hAnsi="宋体" w:cs="宋体"/>
                <w:kern w:val="0"/>
                <w:sz w:val="24"/>
              </w:rPr>
            </w:pPr>
          </w:p>
        </w:tc>
      </w:tr>
      <w:tr w:rsidR="003D72E7" w14:paraId="619DCD2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D2B"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CD2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D2D"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CD2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CD3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D3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CD3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CD32"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CD3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D34"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CD3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CD36"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CD3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CD4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D3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D3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CD3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D3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3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D3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CD3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1,099 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D4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41"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D4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CD4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1,818 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D4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45"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D4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CD4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D48" w14:textId="77777777" w:rsidR="003D72E7" w:rsidRDefault="003D72E7">
            <w:pPr>
              <w:widowControl/>
              <w:jc w:val="right"/>
              <w:rPr>
                <w:rFonts w:ascii="Times New Roman" w:eastAsia="宋体" w:hAnsi="宋体" w:cs="宋体"/>
                <w:kern w:val="0"/>
                <w:sz w:val="24"/>
              </w:rPr>
            </w:pPr>
          </w:p>
        </w:tc>
      </w:tr>
      <w:tr w:rsidR="003D72E7" w14:paraId="619DCD52" w14:textId="77777777">
        <w:trPr>
          <w:trHeight w:val="3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4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4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4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4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4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4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5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51" w14:textId="77777777" w:rsidR="003D72E7" w:rsidRDefault="003D72E7">
            <w:pPr>
              <w:widowControl/>
              <w:jc w:val="left"/>
              <w:rPr>
                <w:rFonts w:ascii="Times New Roman" w:eastAsia="宋体" w:hAnsi="宋体" w:cs="宋体"/>
                <w:kern w:val="0"/>
                <w:sz w:val="24"/>
              </w:rPr>
            </w:pPr>
          </w:p>
        </w:tc>
      </w:tr>
      <w:tr w:rsidR="003D72E7" w14:paraId="619DCD5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D5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Other </w:t>
            </w:r>
            <w:r>
              <w:rPr>
                <w:rFonts w:ascii="Times New Roman" w:eastAsia="宋体" w:hAnsi="Times New Roman" w:cs="Times New Roman"/>
                <w:i/>
                <w:iCs/>
                <w:color w:val="000000"/>
                <w:kern w:val="0"/>
                <w:sz w:val="20"/>
                <w:szCs w:val="20"/>
                <w:lang w:bidi="ar"/>
              </w:rPr>
              <w:t>comprehensive income (loss), net of tax</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5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5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5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5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5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5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5A" w14:textId="77777777" w:rsidR="003D72E7" w:rsidRDefault="003D72E7">
            <w:pPr>
              <w:widowControl/>
              <w:jc w:val="left"/>
              <w:rPr>
                <w:rFonts w:ascii="Times New Roman" w:eastAsia="宋体" w:hAnsi="宋体" w:cs="宋体"/>
                <w:kern w:val="0"/>
                <w:sz w:val="24"/>
              </w:rPr>
            </w:pPr>
          </w:p>
        </w:tc>
      </w:tr>
      <w:tr w:rsidR="003D72E7" w14:paraId="619DCD68"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619DCD5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currency translation adjustments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D5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D5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5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D6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D6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6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D6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D6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6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D6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D67" w14:textId="77777777" w:rsidR="003D72E7" w:rsidRDefault="003D72E7">
            <w:pPr>
              <w:widowControl/>
              <w:jc w:val="right"/>
              <w:rPr>
                <w:rFonts w:ascii="Times New Roman" w:eastAsia="宋体" w:hAnsi="宋体" w:cs="宋体"/>
                <w:kern w:val="0"/>
                <w:sz w:val="24"/>
              </w:rPr>
            </w:pPr>
          </w:p>
        </w:tc>
      </w:tr>
      <w:tr w:rsidR="003D72E7" w14:paraId="619DCD71" w14:textId="77777777">
        <w:trPr>
          <w:hidden/>
        </w:trPr>
        <w:tc>
          <w:tcPr>
            <w:tcW w:w="0" w:type="auto"/>
            <w:gridSpan w:val="3"/>
            <w:tcBorders>
              <w:top w:val="nil"/>
              <w:left w:val="nil"/>
              <w:bottom w:val="nil"/>
              <w:right w:val="nil"/>
            </w:tcBorders>
            <w:shd w:val="clear" w:color="auto" w:fill="auto"/>
            <w:vAlign w:val="bottom"/>
          </w:tcPr>
          <w:p w14:paraId="619DCD6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6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6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6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6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6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6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70" w14:textId="77777777" w:rsidR="003D72E7" w:rsidRDefault="003D72E7">
            <w:pPr>
              <w:widowControl/>
              <w:jc w:val="left"/>
              <w:rPr>
                <w:rFonts w:ascii="Times New Roman" w:eastAsia="宋体" w:hAnsi="宋体" w:cs="宋体"/>
                <w:vanish/>
                <w:kern w:val="0"/>
                <w:sz w:val="24"/>
              </w:rPr>
            </w:pPr>
          </w:p>
        </w:tc>
      </w:tr>
      <w:tr w:rsidR="003D72E7" w14:paraId="619DCD7A" w14:textId="77777777">
        <w:trPr>
          <w:hidden/>
        </w:trPr>
        <w:tc>
          <w:tcPr>
            <w:tcW w:w="0" w:type="auto"/>
            <w:gridSpan w:val="3"/>
            <w:tcBorders>
              <w:top w:val="nil"/>
              <w:left w:val="nil"/>
              <w:bottom w:val="nil"/>
              <w:right w:val="nil"/>
            </w:tcBorders>
            <w:shd w:val="clear" w:color="auto" w:fill="auto"/>
            <w:vAlign w:val="bottom"/>
          </w:tcPr>
          <w:p w14:paraId="619DCD7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7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7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7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7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7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7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79" w14:textId="77777777" w:rsidR="003D72E7" w:rsidRDefault="003D72E7">
            <w:pPr>
              <w:widowControl/>
              <w:jc w:val="left"/>
              <w:rPr>
                <w:rFonts w:ascii="Times New Roman" w:eastAsia="宋体" w:hAnsi="宋体" w:cs="宋体"/>
                <w:vanish/>
                <w:kern w:val="0"/>
                <w:sz w:val="24"/>
              </w:rPr>
            </w:pPr>
          </w:p>
        </w:tc>
      </w:tr>
      <w:tr w:rsidR="003D72E7" w14:paraId="619DCD83" w14:textId="77777777">
        <w:trPr>
          <w:hidden/>
        </w:trPr>
        <w:tc>
          <w:tcPr>
            <w:tcW w:w="0" w:type="auto"/>
            <w:gridSpan w:val="3"/>
            <w:tcBorders>
              <w:top w:val="nil"/>
              <w:left w:val="nil"/>
              <w:bottom w:val="nil"/>
              <w:right w:val="nil"/>
            </w:tcBorders>
            <w:shd w:val="clear" w:color="auto" w:fill="auto"/>
            <w:vAlign w:val="bottom"/>
          </w:tcPr>
          <w:p w14:paraId="619DCD7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7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7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7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7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8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8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82" w14:textId="77777777" w:rsidR="003D72E7" w:rsidRDefault="003D72E7">
            <w:pPr>
              <w:widowControl/>
              <w:jc w:val="left"/>
              <w:rPr>
                <w:rFonts w:ascii="Times New Roman" w:eastAsia="宋体" w:hAnsi="宋体" w:cs="宋体"/>
                <w:vanish/>
                <w:kern w:val="0"/>
                <w:sz w:val="24"/>
              </w:rPr>
            </w:pPr>
          </w:p>
        </w:tc>
      </w:tr>
      <w:tr w:rsidR="003D72E7" w14:paraId="619DCD8C" w14:textId="77777777">
        <w:trPr>
          <w:hidden/>
        </w:trPr>
        <w:tc>
          <w:tcPr>
            <w:tcW w:w="0" w:type="auto"/>
            <w:gridSpan w:val="3"/>
            <w:tcBorders>
              <w:top w:val="nil"/>
              <w:left w:val="nil"/>
              <w:bottom w:val="nil"/>
              <w:right w:val="nil"/>
            </w:tcBorders>
            <w:shd w:val="clear" w:color="auto" w:fill="auto"/>
            <w:vAlign w:val="bottom"/>
          </w:tcPr>
          <w:p w14:paraId="619DCD8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8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8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8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8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8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8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D8B" w14:textId="77777777" w:rsidR="003D72E7" w:rsidRDefault="003D72E7">
            <w:pPr>
              <w:widowControl/>
              <w:jc w:val="left"/>
              <w:rPr>
                <w:rFonts w:ascii="Times New Roman" w:eastAsia="宋体" w:hAnsi="宋体" w:cs="宋体"/>
                <w:vanish/>
                <w:kern w:val="0"/>
                <w:sz w:val="24"/>
              </w:rPr>
            </w:pPr>
          </w:p>
        </w:tc>
      </w:tr>
      <w:tr w:rsidR="003D72E7" w14:paraId="619DCD95"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619DCD8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flow hedges: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8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8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9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9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9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9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94" w14:textId="77777777" w:rsidR="003D72E7" w:rsidRDefault="003D72E7">
            <w:pPr>
              <w:widowControl/>
              <w:jc w:val="left"/>
              <w:rPr>
                <w:rFonts w:ascii="Times New Roman" w:eastAsia="宋体" w:hAnsi="宋体" w:cs="宋体"/>
                <w:kern w:val="0"/>
                <w:sz w:val="24"/>
              </w:rPr>
            </w:pPr>
          </w:p>
        </w:tc>
      </w:tr>
      <w:tr w:rsidR="003D72E7" w14:paraId="619DCDA2" w14:textId="77777777">
        <w:tc>
          <w:tcPr>
            <w:tcW w:w="0" w:type="auto"/>
            <w:gridSpan w:val="3"/>
            <w:tcBorders>
              <w:top w:val="nil"/>
              <w:left w:val="nil"/>
              <w:bottom w:val="nil"/>
              <w:right w:val="nil"/>
            </w:tcBorders>
            <w:shd w:val="clear" w:color="auto" w:fill="FFFFFF"/>
            <w:tcMar>
              <w:top w:w="40" w:type="dxa"/>
              <w:left w:w="500" w:type="dxa"/>
              <w:bottom w:w="40" w:type="dxa"/>
              <w:right w:w="20" w:type="dxa"/>
            </w:tcMar>
            <w:vAlign w:val="bottom"/>
          </w:tcPr>
          <w:p w14:paraId="619DCD9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Change in unrealized (losses) gains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D9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D9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9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D9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D9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9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D9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D9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9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DA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DA1" w14:textId="77777777" w:rsidR="003D72E7" w:rsidRDefault="003D72E7">
            <w:pPr>
              <w:widowControl/>
              <w:jc w:val="right"/>
              <w:rPr>
                <w:rFonts w:ascii="Times New Roman" w:eastAsia="宋体" w:hAnsi="宋体" w:cs="宋体"/>
                <w:kern w:val="0"/>
                <w:sz w:val="24"/>
              </w:rPr>
            </w:pPr>
          </w:p>
        </w:tc>
      </w:tr>
      <w:tr w:rsidR="003D72E7" w14:paraId="619DCDAF" w14:textId="77777777">
        <w:tc>
          <w:tcPr>
            <w:tcW w:w="0" w:type="auto"/>
            <w:gridSpan w:val="3"/>
            <w:tcBorders>
              <w:top w:val="nil"/>
              <w:left w:val="nil"/>
              <w:bottom w:val="nil"/>
              <w:right w:val="nil"/>
            </w:tcBorders>
            <w:shd w:val="clear" w:color="auto" w:fill="CCEEFF"/>
            <w:tcMar>
              <w:top w:w="40" w:type="dxa"/>
              <w:left w:w="500" w:type="dxa"/>
              <w:bottom w:w="40" w:type="dxa"/>
              <w:right w:w="20" w:type="dxa"/>
            </w:tcMar>
            <w:vAlign w:val="bottom"/>
          </w:tcPr>
          <w:p w14:paraId="619DCDA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Reclassification adjustment for net losses (gains) included in net income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DA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DA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A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DA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DA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A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DA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DA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A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DA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DAE" w14:textId="77777777" w:rsidR="003D72E7" w:rsidRDefault="003D72E7">
            <w:pPr>
              <w:widowControl/>
              <w:jc w:val="right"/>
              <w:rPr>
                <w:rFonts w:ascii="Times New Roman" w:eastAsia="宋体" w:hAnsi="宋体" w:cs="宋体"/>
                <w:kern w:val="0"/>
                <w:sz w:val="24"/>
              </w:rPr>
            </w:pPr>
          </w:p>
        </w:tc>
      </w:tr>
      <w:tr w:rsidR="003D72E7" w14:paraId="619DCDBC"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619DCDB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change in cash flow hedges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DB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19DCDB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B3"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DB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(265)</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19DCDB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B6"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DB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19DCDB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B9"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DB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(198)</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19DCDBB" w14:textId="77777777" w:rsidR="003D72E7" w:rsidRDefault="003D72E7">
            <w:pPr>
              <w:widowControl/>
              <w:jc w:val="right"/>
              <w:rPr>
                <w:rFonts w:ascii="Times New Roman" w:eastAsia="宋体" w:hAnsi="宋体" w:cs="宋体"/>
                <w:kern w:val="0"/>
                <w:sz w:val="24"/>
              </w:rPr>
            </w:pPr>
          </w:p>
        </w:tc>
      </w:tr>
      <w:tr w:rsidR="003D72E7" w14:paraId="619DCDC5"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619DCDB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Pension and other postretirement plans: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CDB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B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CDC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C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CDC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C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CDC4" w14:textId="77777777" w:rsidR="003D72E7" w:rsidRDefault="003D72E7">
            <w:pPr>
              <w:widowControl/>
              <w:jc w:val="left"/>
              <w:rPr>
                <w:rFonts w:ascii="Times New Roman" w:eastAsia="宋体" w:hAnsi="宋体" w:cs="宋体"/>
                <w:kern w:val="0"/>
                <w:sz w:val="24"/>
              </w:rPr>
            </w:pPr>
          </w:p>
        </w:tc>
      </w:tr>
      <w:tr w:rsidR="003D72E7" w14:paraId="619DCDD2"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619DCDC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Reco</w:t>
            </w:r>
            <w:r>
              <w:rPr>
                <w:rFonts w:ascii="Times New Roman" w:eastAsia="宋体" w:hAnsi="Times New Roman" w:cs="Times New Roman"/>
                <w:color w:val="000000"/>
                <w:kern w:val="0"/>
                <w:sz w:val="20"/>
                <w:szCs w:val="20"/>
                <w:lang w:bidi="ar"/>
              </w:rPr>
              <w:t>gnition of actuarial net gains (losses) from pension and other postretirement plans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DC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DC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C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DC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DC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C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DC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DC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C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DD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DD1" w14:textId="77777777" w:rsidR="003D72E7" w:rsidRDefault="003D72E7">
            <w:pPr>
              <w:widowControl/>
              <w:jc w:val="right"/>
              <w:rPr>
                <w:rFonts w:ascii="Times New Roman" w:eastAsia="宋体" w:hAnsi="宋体" w:cs="宋体"/>
                <w:kern w:val="0"/>
                <w:sz w:val="24"/>
              </w:rPr>
            </w:pPr>
          </w:p>
        </w:tc>
      </w:tr>
      <w:tr w:rsidR="003D72E7" w14:paraId="619DCDDF" w14:textId="77777777">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619DCDD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Reclassification adjustments for net losses from pension and other postretirement plans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DD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DD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D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DD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DD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D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DD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DD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D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DD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DDE" w14:textId="77777777" w:rsidR="003D72E7" w:rsidRDefault="003D72E7">
            <w:pPr>
              <w:widowControl/>
              <w:jc w:val="right"/>
              <w:rPr>
                <w:rFonts w:ascii="Times New Roman" w:eastAsia="宋体" w:hAnsi="宋体" w:cs="宋体"/>
                <w:kern w:val="0"/>
                <w:sz w:val="24"/>
              </w:rPr>
            </w:pPr>
          </w:p>
        </w:tc>
      </w:tr>
      <w:tr w:rsidR="003D72E7" w14:paraId="619DCDEC"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619DCDE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change in actuarial net gains (losses) from pension and other postretirement plans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DE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19DCDE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E3"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DE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19DCDE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E6"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DE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19DCDE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E9"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DE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19DCDEB" w14:textId="77777777" w:rsidR="003D72E7" w:rsidRDefault="003D72E7">
            <w:pPr>
              <w:widowControl/>
              <w:jc w:val="right"/>
              <w:rPr>
                <w:rFonts w:ascii="Times New Roman" w:eastAsia="宋体" w:hAnsi="宋体" w:cs="宋体"/>
                <w:kern w:val="0"/>
                <w:sz w:val="24"/>
              </w:rPr>
            </w:pPr>
          </w:p>
        </w:tc>
      </w:tr>
      <w:tr w:rsidR="003D72E7" w14:paraId="619DCDF5" w14:textId="77777777">
        <w:trPr>
          <w:trHeight w:val="30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E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CDE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E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CDF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F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CDF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DF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CDF4" w14:textId="77777777" w:rsidR="003D72E7" w:rsidRDefault="003D72E7">
            <w:pPr>
              <w:widowControl/>
              <w:jc w:val="left"/>
              <w:rPr>
                <w:rFonts w:ascii="Times New Roman" w:eastAsia="宋体" w:hAnsi="宋体" w:cs="宋体"/>
                <w:kern w:val="0"/>
                <w:sz w:val="24"/>
              </w:rPr>
            </w:pPr>
          </w:p>
        </w:tc>
      </w:tr>
      <w:tr w:rsidR="003D72E7" w14:paraId="619DCE0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CDF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other comprehensive income (loss), net of tax </w:t>
            </w:r>
            <w:r>
              <w:rPr>
                <w:rFonts w:ascii="Times New Roman" w:eastAsia="宋体" w:hAnsi="Times New Roman" w:cs="Times New Roman"/>
                <w:color w:val="000000"/>
                <w:kern w:val="0"/>
                <w:sz w:val="20"/>
                <w:szCs w:val="20"/>
                <w:lang w:bidi="ar"/>
              </w:rPr>
              <w:t>expense (benefit) of $7 and $(22), respectively, and $5 and $(12), respectively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DF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DF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F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DF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DF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F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DF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DF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DF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E0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01" w14:textId="77777777" w:rsidR="003D72E7" w:rsidRDefault="003D72E7">
            <w:pPr>
              <w:widowControl/>
              <w:jc w:val="right"/>
              <w:rPr>
                <w:rFonts w:ascii="Times New Roman" w:eastAsia="宋体" w:hAnsi="宋体" w:cs="宋体"/>
                <w:kern w:val="0"/>
                <w:sz w:val="24"/>
              </w:rPr>
            </w:pPr>
          </w:p>
        </w:tc>
      </w:tr>
      <w:tr w:rsidR="003D72E7" w14:paraId="619DCE0F" w14:textId="77777777">
        <w:tc>
          <w:tcPr>
            <w:tcW w:w="0" w:type="auto"/>
            <w:gridSpan w:val="3"/>
            <w:tcBorders>
              <w:top w:val="nil"/>
              <w:left w:val="nil"/>
              <w:bottom w:val="nil"/>
              <w:right w:val="nil"/>
            </w:tcBorders>
            <w:shd w:val="clear" w:color="auto" w:fill="CCEEFF"/>
            <w:tcMar>
              <w:top w:w="40" w:type="dxa"/>
              <w:left w:w="620" w:type="dxa"/>
              <w:bottom w:w="40" w:type="dxa"/>
              <w:right w:w="20" w:type="dxa"/>
            </w:tcMar>
            <w:vAlign w:val="bottom"/>
          </w:tcPr>
          <w:p w14:paraId="619DCE0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Comprehensive income,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E0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E0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06"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E0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1,231 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E0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09"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E0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1,785 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E0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0C"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E0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1,329 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E0E" w14:textId="77777777" w:rsidR="003D72E7" w:rsidRDefault="003D72E7">
            <w:pPr>
              <w:widowControl/>
              <w:jc w:val="right"/>
              <w:rPr>
                <w:rFonts w:ascii="Times New Roman" w:eastAsia="宋体" w:hAnsi="宋体" w:cs="宋体"/>
                <w:kern w:val="0"/>
                <w:sz w:val="24"/>
              </w:rPr>
            </w:pPr>
          </w:p>
        </w:tc>
      </w:tr>
      <w:tr w:rsidR="003D72E7" w14:paraId="619DCE1C" w14:textId="77777777">
        <w:tc>
          <w:tcPr>
            <w:tcW w:w="0" w:type="auto"/>
            <w:gridSpan w:val="3"/>
            <w:tcBorders>
              <w:top w:val="nil"/>
              <w:left w:val="nil"/>
              <w:bottom w:val="nil"/>
              <w:right w:val="nil"/>
            </w:tcBorders>
            <w:shd w:val="clear" w:color="auto" w:fill="FFFFFF"/>
            <w:tcMar>
              <w:top w:w="40" w:type="dxa"/>
              <w:left w:w="275" w:type="dxa"/>
              <w:bottom w:w="40" w:type="dxa"/>
              <w:right w:w="20" w:type="dxa"/>
            </w:tcMar>
            <w:vAlign w:val="bottom"/>
          </w:tcPr>
          <w:p w14:paraId="619DCE1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Less: Net income attributable to non-controlling interests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E1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CE1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13"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E1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CE1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16"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E1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CE1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19"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E1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CE1B" w14:textId="77777777" w:rsidR="003D72E7" w:rsidRDefault="003D72E7">
            <w:pPr>
              <w:widowControl/>
              <w:jc w:val="right"/>
              <w:rPr>
                <w:rFonts w:ascii="Times New Roman" w:eastAsia="宋体" w:hAnsi="宋体" w:cs="宋体"/>
                <w:kern w:val="0"/>
                <w:sz w:val="24"/>
              </w:rPr>
            </w:pPr>
          </w:p>
        </w:tc>
      </w:tr>
      <w:tr w:rsidR="003D72E7" w14:paraId="619DCE29" w14:textId="77777777">
        <w:tc>
          <w:tcPr>
            <w:tcW w:w="0" w:type="auto"/>
            <w:gridSpan w:val="3"/>
            <w:tcBorders>
              <w:top w:val="nil"/>
              <w:left w:val="nil"/>
              <w:bottom w:val="nil"/>
              <w:right w:val="nil"/>
            </w:tcBorders>
            <w:shd w:val="clear" w:color="auto" w:fill="CCEEFF"/>
            <w:tcMar>
              <w:top w:w="40" w:type="dxa"/>
              <w:left w:w="275" w:type="dxa"/>
              <w:bottom w:w="40" w:type="dxa"/>
              <w:right w:w="20" w:type="dxa"/>
            </w:tcMar>
            <w:vAlign w:val="bottom"/>
          </w:tcPr>
          <w:p w14:paraId="619DCE1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Less: Other comprehensive loss attributable to 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1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1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2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2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2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2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2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2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2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2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28" w14:textId="77777777" w:rsidR="003D72E7" w:rsidRDefault="003D72E7">
            <w:pPr>
              <w:widowControl/>
              <w:jc w:val="right"/>
              <w:rPr>
                <w:rFonts w:ascii="Times New Roman" w:eastAsia="宋体" w:hAnsi="宋体" w:cs="宋体"/>
                <w:kern w:val="0"/>
                <w:sz w:val="24"/>
              </w:rPr>
            </w:pPr>
          </w:p>
        </w:tc>
      </w:tr>
      <w:tr w:rsidR="003D72E7" w14:paraId="619DCE3A" w14:textId="77777777">
        <w:tc>
          <w:tcPr>
            <w:tcW w:w="0" w:type="auto"/>
            <w:gridSpan w:val="3"/>
            <w:tcBorders>
              <w:top w:val="nil"/>
              <w:left w:val="nil"/>
              <w:bottom w:val="nil"/>
              <w:right w:val="nil"/>
            </w:tcBorders>
            <w:shd w:val="clear" w:color="auto" w:fill="FFFFFF"/>
            <w:tcMar>
              <w:top w:w="40" w:type="dxa"/>
              <w:left w:w="500" w:type="dxa"/>
              <w:bottom w:w="40" w:type="dxa"/>
              <w:right w:w="20" w:type="dxa"/>
            </w:tcMar>
            <w:vAlign w:val="bottom"/>
          </w:tcPr>
          <w:p w14:paraId="619DCE2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Comprehensive income attributable to Dell Technologies Inc.</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CE2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CE2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CE2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2E"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CE2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CE3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CE3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3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CE3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CE3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CE3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36"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CE3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CE3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1,240 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CE39" w14:textId="77777777" w:rsidR="003D72E7" w:rsidRDefault="003D72E7">
            <w:pPr>
              <w:widowControl/>
              <w:jc w:val="right"/>
              <w:rPr>
                <w:rFonts w:ascii="Times New Roman" w:eastAsia="宋体" w:hAnsi="宋体" w:cs="宋体"/>
                <w:kern w:val="0"/>
                <w:sz w:val="24"/>
              </w:rPr>
            </w:pPr>
          </w:p>
        </w:tc>
      </w:tr>
    </w:tbl>
    <w:p w14:paraId="619DCE3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E3C"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The accompanying notes ar</w:t>
      </w:r>
      <w:r>
        <w:rPr>
          <w:rFonts w:ascii="Times New Roman" w:eastAsia="宋体" w:hAnsi="Times New Roman" w:cs="Times New Roman"/>
          <w:color w:val="000000"/>
          <w:kern w:val="0"/>
          <w:sz w:val="20"/>
          <w:szCs w:val="20"/>
          <w:lang w:bidi="ar"/>
        </w:rPr>
        <w:t xml:space="preserve">e an integral part of these </w:t>
      </w:r>
      <w:r>
        <w:rPr>
          <w:rFonts w:ascii="Times New Roman" w:eastAsia="宋体" w:hAnsi="Times New Roman" w:cs="Times New Roman"/>
          <w:color w:val="000000"/>
          <w:kern w:val="0"/>
          <w:sz w:val="20"/>
          <w:szCs w:val="20"/>
          <w:shd w:val="clear" w:color="auto" w:fill="FFFFFF"/>
          <w:lang w:bidi="ar"/>
        </w:rPr>
        <w:t xml:space="preserve">Condensed </w:t>
      </w:r>
      <w:r>
        <w:rPr>
          <w:rFonts w:ascii="Times New Roman" w:eastAsia="宋体" w:hAnsi="Times New Roman" w:cs="Times New Roman"/>
          <w:color w:val="000000"/>
          <w:kern w:val="0"/>
          <w:sz w:val="20"/>
          <w:szCs w:val="20"/>
          <w:lang w:bidi="ar"/>
        </w:rPr>
        <w:t>Consolidated Financial Statements.</w:t>
      </w:r>
    </w:p>
    <w:p w14:paraId="619DCE3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E3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p w14:paraId="619DCE3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E40" w14:textId="77777777" w:rsidR="003D72E7" w:rsidRDefault="00AD6774">
      <w:pPr>
        <w:widowControl/>
        <w:jc w:val="center"/>
      </w:pPr>
      <w:r>
        <w:rPr>
          <w:rFonts w:ascii="宋体" w:eastAsia="宋体" w:hAnsi="宋体" w:cs="宋体"/>
          <w:kern w:val="0"/>
          <w:sz w:val="24"/>
        </w:rPr>
        <w:pict w14:anchorId="619E0D72">
          <v:rect id="_x0000_i1031" style="width:6in;height:1.5pt" o:hralign="center" o:hrstd="t" o:hr="t" fillcolor="#a0a0a0" stroked="f"/>
        </w:pict>
      </w:r>
    </w:p>
    <w:p w14:paraId="619DCE41"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CE42" w14:textId="77777777" w:rsidR="003D72E7" w:rsidRDefault="00AD6774">
      <w:pPr>
        <w:widowControl/>
        <w:spacing w:after="12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619DCE43" w14:textId="77777777" w:rsidR="003D72E7" w:rsidRDefault="00AD6774">
      <w:pPr>
        <w:widowControl/>
        <w:spacing w:after="6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CONDENSED </w:t>
      </w:r>
      <w:r>
        <w:rPr>
          <w:rFonts w:ascii="Times New Roman" w:eastAsia="宋体" w:hAnsi="Times New Roman" w:cs="Times New Roman"/>
          <w:b/>
          <w:bCs/>
          <w:color w:val="000000"/>
          <w:kern w:val="0"/>
          <w:sz w:val="20"/>
          <w:szCs w:val="20"/>
          <w:shd w:val="clear" w:color="auto" w:fill="FFFFFF"/>
          <w:lang w:bidi="ar"/>
        </w:rPr>
        <w:t>CONSOLIDATED STATEMENTS OF CASH FLOWS</w:t>
      </w:r>
    </w:p>
    <w:p w14:paraId="619DCE44" w14:textId="77777777" w:rsidR="003D72E7" w:rsidRDefault="00AD6774">
      <w:pPr>
        <w:widowControl/>
        <w:spacing w:after="60"/>
        <w:jc w:val="center"/>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 xml:space="preserve">(in millions; </w:t>
      </w:r>
      <w:r>
        <w:rPr>
          <w:rFonts w:ascii="Times New Roman" w:eastAsia="宋体" w:hAnsi="Times New Roman" w:cs="Times New Roman"/>
          <w:color w:val="000000"/>
          <w:kern w:val="0"/>
          <w:sz w:val="20"/>
          <w:szCs w:val="20"/>
          <w:lang w:bidi="ar"/>
        </w:rPr>
        <w:t>unaudited</w:t>
      </w:r>
      <w:r>
        <w:rPr>
          <w:rFonts w:ascii="Times New Roman" w:eastAsia="宋体" w:hAnsi="Times New Roman" w:cs="Times New Roman"/>
          <w:color w:val="000000"/>
          <w:kern w:val="0"/>
          <w:sz w:val="20"/>
          <w:szCs w:val="20"/>
          <w:shd w:val="clear" w:color="auto" w:fill="FFFFFF"/>
          <w:lang w:bidi="ar"/>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327"/>
        <w:gridCol w:w="39"/>
        <w:gridCol w:w="120"/>
        <w:gridCol w:w="1255"/>
        <w:gridCol w:w="36"/>
        <w:gridCol w:w="36"/>
        <w:gridCol w:w="36"/>
        <w:gridCol w:w="36"/>
        <w:gridCol w:w="120"/>
        <w:gridCol w:w="1255"/>
        <w:gridCol w:w="36"/>
      </w:tblGrid>
      <w:tr w:rsidR="003D72E7" w14:paraId="619DCE51" w14:textId="77777777">
        <w:trPr>
          <w:jc w:val="center"/>
        </w:trPr>
        <w:tc>
          <w:tcPr>
            <w:tcW w:w="50" w:type="pct"/>
            <w:tcBorders>
              <w:top w:val="nil"/>
              <w:left w:val="nil"/>
              <w:bottom w:val="nil"/>
              <w:right w:val="nil"/>
            </w:tcBorders>
            <w:shd w:val="clear" w:color="auto" w:fill="auto"/>
            <w:vAlign w:val="bottom"/>
          </w:tcPr>
          <w:p w14:paraId="619DCE45" w14:textId="77777777" w:rsidR="003D72E7" w:rsidRDefault="003D72E7">
            <w:pPr>
              <w:widowControl/>
              <w:jc w:val="left"/>
              <w:rPr>
                <w:rFonts w:ascii="Times New Roman" w:eastAsia="宋体" w:hAnsi="宋体" w:cs="宋体"/>
                <w:kern w:val="0"/>
                <w:sz w:val="24"/>
              </w:rPr>
            </w:pPr>
          </w:p>
        </w:tc>
        <w:tc>
          <w:tcPr>
            <w:tcW w:w="3234" w:type="pct"/>
            <w:tcBorders>
              <w:top w:val="nil"/>
              <w:left w:val="nil"/>
              <w:bottom w:val="nil"/>
              <w:right w:val="nil"/>
            </w:tcBorders>
            <w:shd w:val="clear" w:color="auto" w:fill="auto"/>
            <w:vAlign w:val="bottom"/>
          </w:tcPr>
          <w:p w14:paraId="619DCE4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E4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E48" w14:textId="77777777" w:rsidR="003D72E7" w:rsidRDefault="003D72E7">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619DCE4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E4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E4B"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CE4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E4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E4E" w14:textId="77777777" w:rsidR="003D72E7" w:rsidRDefault="003D72E7">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619DCE4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E50" w14:textId="77777777" w:rsidR="003D72E7" w:rsidRDefault="003D72E7">
            <w:pPr>
              <w:widowControl/>
              <w:jc w:val="left"/>
              <w:rPr>
                <w:rFonts w:ascii="Times New Roman" w:eastAsia="宋体" w:hAnsi="宋体" w:cs="宋体"/>
                <w:kern w:val="0"/>
                <w:sz w:val="24"/>
              </w:rPr>
            </w:pPr>
          </w:p>
        </w:tc>
      </w:tr>
      <w:tr w:rsidR="003D72E7" w14:paraId="619DCE5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E52"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CE5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CE5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E55"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CE5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CE5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CE5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CE5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E5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flows from operating activities: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CE5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5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CE5D" w14:textId="77777777" w:rsidR="003D72E7" w:rsidRDefault="003D72E7">
            <w:pPr>
              <w:widowControl/>
              <w:jc w:val="left"/>
              <w:rPr>
                <w:rFonts w:ascii="Times New Roman" w:eastAsia="宋体" w:hAnsi="宋体" w:cs="宋体"/>
                <w:kern w:val="0"/>
                <w:sz w:val="24"/>
              </w:rPr>
            </w:pPr>
          </w:p>
        </w:tc>
      </w:tr>
      <w:tr w:rsidR="003D72E7" w14:paraId="619DCE67"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CE5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CE6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CE6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6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6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CE6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CE6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66" w14:textId="77777777" w:rsidR="003D72E7" w:rsidRDefault="003D72E7">
            <w:pPr>
              <w:widowControl/>
              <w:jc w:val="right"/>
              <w:rPr>
                <w:rFonts w:ascii="Times New Roman" w:eastAsia="宋体" w:hAnsi="宋体" w:cs="宋体"/>
                <w:kern w:val="0"/>
                <w:sz w:val="24"/>
              </w:rPr>
            </w:pPr>
          </w:p>
        </w:tc>
      </w:tr>
      <w:tr w:rsidR="003D72E7" w14:paraId="619DCE6C"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CE6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Adjustments to reconcile net income to net cash provided by (used in) operating </w:t>
            </w:r>
            <w:r>
              <w:rPr>
                <w:rFonts w:ascii="Times New Roman" w:eastAsia="宋体" w:hAnsi="Times New Roman" w:cs="Times New Roman"/>
                <w:color w:val="000000"/>
                <w:kern w:val="0"/>
                <w:sz w:val="20"/>
                <w:szCs w:val="20"/>
                <w:lang w:bidi="ar"/>
              </w:rPr>
              <w:t>activities: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6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6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6B" w14:textId="77777777" w:rsidR="003D72E7" w:rsidRDefault="003D72E7">
            <w:pPr>
              <w:widowControl/>
              <w:jc w:val="left"/>
              <w:rPr>
                <w:rFonts w:ascii="Times New Roman" w:eastAsia="宋体" w:hAnsi="宋体" w:cs="宋体"/>
                <w:kern w:val="0"/>
                <w:sz w:val="24"/>
              </w:rPr>
            </w:pPr>
          </w:p>
        </w:tc>
      </w:tr>
      <w:tr w:rsidR="003D72E7" w14:paraId="619DCE73"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19DCE6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E6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6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7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E7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72" w14:textId="77777777" w:rsidR="003D72E7" w:rsidRDefault="003D72E7">
            <w:pPr>
              <w:widowControl/>
              <w:jc w:val="right"/>
              <w:rPr>
                <w:rFonts w:ascii="Times New Roman" w:eastAsia="宋体" w:hAnsi="宋体" w:cs="宋体"/>
                <w:kern w:val="0"/>
                <w:sz w:val="24"/>
              </w:rPr>
            </w:pPr>
          </w:p>
        </w:tc>
      </w:tr>
      <w:tr w:rsidR="003D72E7" w14:paraId="619DCE7A"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19DCE7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7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7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7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7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79" w14:textId="77777777" w:rsidR="003D72E7" w:rsidRDefault="003D72E7">
            <w:pPr>
              <w:widowControl/>
              <w:jc w:val="right"/>
              <w:rPr>
                <w:rFonts w:ascii="Times New Roman" w:eastAsia="宋体" w:hAnsi="宋体" w:cs="宋体"/>
                <w:kern w:val="0"/>
                <w:sz w:val="24"/>
              </w:rPr>
            </w:pPr>
          </w:p>
        </w:tc>
      </w:tr>
      <w:tr w:rsidR="003D72E7" w14:paraId="619DCE81"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19DCE7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E7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7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7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E7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80" w14:textId="77777777" w:rsidR="003D72E7" w:rsidRDefault="003D72E7">
            <w:pPr>
              <w:widowControl/>
              <w:jc w:val="right"/>
              <w:rPr>
                <w:rFonts w:ascii="Times New Roman" w:eastAsia="宋体" w:hAnsi="宋体" w:cs="宋体"/>
                <w:kern w:val="0"/>
                <w:sz w:val="24"/>
              </w:rPr>
            </w:pPr>
          </w:p>
        </w:tc>
      </w:tr>
      <w:tr w:rsidR="003D72E7" w14:paraId="619DCE88"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19DCE8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8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8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8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8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87" w14:textId="77777777" w:rsidR="003D72E7" w:rsidRDefault="003D72E7">
            <w:pPr>
              <w:widowControl/>
              <w:jc w:val="right"/>
              <w:rPr>
                <w:rFonts w:ascii="Times New Roman" w:eastAsia="宋体" w:hAnsi="宋体" w:cs="宋体"/>
                <w:kern w:val="0"/>
                <w:sz w:val="24"/>
              </w:rPr>
            </w:pPr>
          </w:p>
        </w:tc>
      </w:tr>
      <w:tr w:rsidR="003D72E7" w14:paraId="619DCE8D"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19DCE8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Changes in assets and liabilities, net of effects from acquisitions and </w:t>
            </w:r>
            <w:r>
              <w:rPr>
                <w:rFonts w:ascii="Times New Roman" w:eastAsia="宋体" w:hAnsi="Times New Roman" w:cs="Times New Roman"/>
                <w:color w:val="000000"/>
                <w:kern w:val="0"/>
                <w:sz w:val="20"/>
                <w:szCs w:val="20"/>
                <w:lang w:bidi="ar"/>
              </w:rPr>
              <w:t>dispositions: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8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8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8C" w14:textId="77777777" w:rsidR="003D72E7" w:rsidRDefault="003D72E7">
            <w:pPr>
              <w:widowControl/>
              <w:jc w:val="left"/>
              <w:rPr>
                <w:rFonts w:ascii="Times New Roman" w:eastAsia="宋体" w:hAnsi="宋体" w:cs="宋体"/>
                <w:kern w:val="0"/>
                <w:sz w:val="24"/>
              </w:rPr>
            </w:pPr>
          </w:p>
        </w:tc>
      </w:tr>
      <w:tr w:rsidR="003D72E7" w14:paraId="619DCE94" w14:textId="77777777">
        <w:trPr>
          <w:jc w:val="center"/>
        </w:trPr>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619DCE8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Accounts receivable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8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9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9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9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93" w14:textId="77777777" w:rsidR="003D72E7" w:rsidRDefault="003D72E7">
            <w:pPr>
              <w:widowControl/>
              <w:jc w:val="right"/>
              <w:rPr>
                <w:rFonts w:ascii="Times New Roman" w:eastAsia="宋体" w:hAnsi="宋体" w:cs="宋体"/>
                <w:kern w:val="0"/>
                <w:sz w:val="24"/>
              </w:rPr>
            </w:pPr>
          </w:p>
        </w:tc>
      </w:tr>
      <w:tr w:rsidR="003D72E7" w14:paraId="619DCE9B"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619DCE9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Financing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E9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9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9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E9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9A" w14:textId="77777777" w:rsidR="003D72E7" w:rsidRDefault="003D72E7">
            <w:pPr>
              <w:widowControl/>
              <w:jc w:val="right"/>
              <w:rPr>
                <w:rFonts w:ascii="Times New Roman" w:eastAsia="宋体" w:hAnsi="宋体" w:cs="宋体"/>
                <w:kern w:val="0"/>
                <w:sz w:val="24"/>
              </w:rPr>
            </w:pPr>
          </w:p>
        </w:tc>
      </w:tr>
      <w:tr w:rsidR="003D72E7" w14:paraId="619DCEA2" w14:textId="77777777">
        <w:trPr>
          <w:jc w:val="center"/>
        </w:trPr>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619DCE9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Inventories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9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9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9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A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A1" w14:textId="77777777" w:rsidR="003D72E7" w:rsidRDefault="003D72E7">
            <w:pPr>
              <w:widowControl/>
              <w:jc w:val="right"/>
              <w:rPr>
                <w:rFonts w:ascii="Times New Roman" w:eastAsia="宋体" w:hAnsi="宋体" w:cs="宋体"/>
                <w:kern w:val="0"/>
                <w:sz w:val="24"/>
              </w:rPr>
            </w:pPr>
          </w:p>
        </w:tc>
      </w:tr>
      <w:tr w:rsidR="003D72E7" w14:paraId="619DCEA9"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619DCEA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assets and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EA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A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A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EA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A8" w14:textId="77777777" w:rsidR="003D72E7" w:rsidRDefault="003D72E7">
            <w:pPr>
              <w:widowControl/>
              <w:jc w:val="right"/>
              <w:rPr>
                <w:rFonts w:ascii="Times New Roman" w:eastAsia="宋体" w:hAnsi="宋体" w:cs="宋体"/>
                <w:kern w:val="0"/>
                <w:sz w:val="24"/>
              </w:rPr>
            </w:pPr>
          </w:p>
        </w:tc>
      </w:tr>
      <w:tr w:rsidR="003D72E7" w14:paraId="619DCEB0" w14:textId="77777777">
        <w:trPr>
          <w:jc w:val="center"/>
        </w:trPr>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619DCEA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Accounts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A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A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A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A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AF" w14:textId="77777777" w:rsidR="003D72E7" w:rsidRDefault="003D72E7">
            <w:pPr>
              <w:widowControl/>
              <w:jc w:val="right"/>
              <w:rPr>
                <w:rFonts w:ascii="Times New Roman" w:eastAsia="宋体" w:hAnsi="宋体" w:cs="宋体"/>
                <w:kern w:val="0"/>
                <w:sz w:val="24"/>
              </w:rPr>
            </w:pPr>
          </w:p>
        </w:tc>
      </w:tr>
      <w:tr w:rsidR="003D72E7" w14:paraId="619DCEB7"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619DCEB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Deferred revenue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EB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B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B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EB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B6" w14:textId="77777777" w:rsidR="003D72E7" w:rsidRDefault="003D72E7">
            <w:pPr>
              <w:widowControl/>
              <w:jc w:val="right"/>
              <w:rPr>
                <w:rFonts w:ascii="Times New Roman" w:eastAsia="宋体" w:hAnsi="宋体" w:cs="宋体"/>
                <w:kern w:val="0"/>
                <w:sz w:val="24"/>
              </w:rPr>
            </w:pPr>
          </w:p>
        </w:tc>
      </w:tr>
      <w:tr w:rsidR="003D72E7" w14:paraId="619DCEBE" w14:textId="77777777">
        <w:trPr>
          <w:jc w:val="center"/>
        </w:trPr>
        <w:tc>
          <w:tcPr>
            <w:tcW w:w="0" w:type="auto"/>
            <w:gridSpan w:val="3"/>
            <w:tcBorders>
              <w:top w:val="nil"/>
              <w:left w:val="nil"/>
              <w:bottom w:val="nil"/>
              <w:right w:val="nil"/>
            </w:tcBorders>
            <w:shd w:val="clear" w:color="auto" w:fill="CCEEFF"/>
            <w:tcMar>
              <w:top w:w="40" w:type="dxa"/>
              <w:left w:w="725" w:type="dxa"/>
              <w:bottom w:w="40" w:type="dxa"/>
              <w:right w:w="20" w:type="dxa"/>
            </w:tcMar>
            <w:vAlign w:val="bottom"/>
          </w:tcPr>
          <w:p w14:paraId="619DCEB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Change in cash </w:t>
            </w:r>
            <w:r>
              <w:rPr>
                <w:rFonts w:ascii="Times New Roman" w:eastAsia="宋体" w:hAnsi="Times New Roman" w:cs="Times New Roman"/>
                <w:color w:val="000000"/>
                <w:kern w:val="0"/>
                <w:sz w:val="20"/>
                <w:szCs w:val="20"/>
                <w:lang w:bidi="ar"/>
              </w:rPr>
              <w:t>from operating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EB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3,963 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19DCEB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BB"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EB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2,536 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19DCEBD" w14:textId="77777777" w:rsidR="003D72E7" w:rsidRDefault="003D72E7">
            <w:pPr>
              <w:widowControl/>
              <w:jc w:val="right"/>
              <w:rPr>
                <w:rFonts w:ascii="Times New Roman" w:eastAsia="宋体" w:hAnsi="宋体" w:cs="宋体"/>
                <w:kern w:val="0"/>
                <w:sz w:val="24"/>
              </w:rPr>
            </w:pPr>
          </w:p>
        </w:tc>
      </w:tr>
      <w:tr w:rsidR="003D72E7" w14:paraId="619DCEC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CEB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flows from investing 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CEC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C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CEC2" w14:textId="77777777" w:rsidR="003D72E7" w:rsidRDefault="003D72E7">
            <w:pPr>
              <w:widowControl/>
              <w:jc w:val="left"/>
              <w:rPr>
                <w:rFonts w:ascii="Times New Roman" w:eastAsia="宋体" w:hAnsi="宋体" w:cs="宋体"/>
                <w:kern w:val="0"/>
                <w:sz w:val="24"/>
              </w:rPr>
            </w:pPr>
          </w:p>
        </w:tc>
      </w:tr>
      <w:tr w:rsidR="003D72E7" w14:paraId="619DCECA" w14:textId="77777777">
        <w:trPr>
          <w:jc w:val="center"/>
        </w:trPr>
        <w:tc>
          <w:tcPr>
            <w:tcW w:w="0" w:type="auto"/>
            <w:gridSpan w:val="3"/>
            <w:tcBorders>
              <w:top w:val="nil"/>
              <w:left w:val="nil"/>
              <w:bottom w:val="nil"/>
              <w:right w:val="nil"/>
            </w:tcBorders>
            <w:shd w:val="clear" w:color="auto" w:fill="CCEEFF"/>
            <w:tcMar>
              <w:top w:w="40" w:type="dxa"/>
              <w:left w:w="125" w:type="dxa"/>
              <w:bottom w:w="40" w:type="dxa"/>
              <w:right w:w="20" w:type="dxa"/>
            </w:tcMar>
            <w:vAlign w:val="bottom"/>
          </w:tcPr>
          <w:p w14:paraId="619DCEC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Purchases of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C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C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C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C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C9" w14:textId="77777777" w:rsidR="003D72E7" w:rsidRDefault="003D72E7">
            <w:pPr>
              <w:widowControl/>
              <w:jc w:val="right"/>
              <w:rPr>
                <w:rFonts w:ascii="Times New Roman" w:eastAsia="宋体" w:hAnsi="宋体" w:cs="宋体"/>
                <w:kern w:val="0"/>
                <w:sz w:val="24"/>
              </w:rPr>
            </w:pPr>
          </w:p>
        </w:tc>
      </w:tr>
      <w:tr w:rsidR="003D72E7" w14:paraId="619DCED1" w14:textId="77777777">
        <w:trPr>
          <w:jc w:val="center"/>
        </w:trPr>
        <w:tc>
          <w:tcPr>
            <w:tcW w:w="0" w:type="auto"/>
            <w:gridSpan w:val="3"/>
            <w:tcBorders>
              <w:top w:val="nil"/>
              <w:left w:val="nil"/>
              <w:bottom w:val="nil"/>
              <w:right w:val="nil"/>
            </w:tcBorders>
            <w:shd w:val="clear" w:color="auto" w:fill="FFFFFF"/>
            <w:tcMar>
              <w:top w:w="40" w:type="dxa"/>
              <w:left w:w="125" w:type="dxa"/>
              <w:bottom w:w="40" w:type="dxa"/>
              <w:right w:w="20" w:type="dxa"/>
            </w:tcMar>
            <w:vAlign w:val="bottom"/>
          </w:tcPr>
          <w:p w14:paraId="619DCEC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Maturities and sales of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EC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C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C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EC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D0" w14:textId="77777777" w:rsidR="003D72E7" w:rsidRDefault="003D72E7">
            <w:pPr>
              <w:widowControl/>
              <w:jc w:val="right"/>
              <w:rPr>
                <w:rFonts w:ascii="Times New Roman" w:eastAsia="宋体" w:hAnsi="宋体" w:cs="宋体"/>
                <w:kern w:val="0"/>
                <w:sz w:val="24"/>
              </w:rPr>
            </w:pPr>
          </w:p>
        </w:tc>
      </w:tr>
      <w:tr w:rsidR="003D72E7" w14:paraId="619DCED8"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CED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Capital expenditures and capitalized software development costs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D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(1,257)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D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D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D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D7" w14:textId="77777777" w:rsidR="003D72E7" w:rsidRDefault="003D72E7">
            <w:pPr>
              <w:widowControl/>
              <w:jc w:val="right"/>
              <w:rPr>
                <w:rFonts w:ascii="Times New Roman" w:eastAsia="宋体" w:hAnsi="宋体" w:cs="宋体"/>
                <w:kern w:val="0"/>
                <w:sz w:val="24"/>
              </w:rPr>
            </w:pPr>
          </w:p>
        </w:tc>
      </w:tr>
      <w:tr w:rsidR="003D72E7" w14:paraId="619DCEDF"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CED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Acquisition of businesses and assets,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ED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D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D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ED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DE" w14:textId="77777777" w:rsidR="003D72E7" w:rsidRDefault="003D72E7">
            <w:pPr>
              <w:widowControl/>
              <w:jc w:val="right"/>
              <w:rPr>
                <w:rFonts w:ascii="Times New Roman" w:eastAsia="宋体" w:hAnsi="宋体" w:cs="宋体"/>
                <w:kern w:val="0"/>
                <w:sz w:val="24"/>
              </w:rPr>
            </w:pPr>
          </w:p>
        </w:tc>
      </w:tr>
      <w:tr w:rsidR="003D72E7" w14:paraId="619DCEE6"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CEE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Divestitures of businesses and assets,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E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E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E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EE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EE5" w14:textId="77777777" w:rsidR="003D72E7" w:rsidRDefault="003D72E7">
            <w:pPr>
              <w:widowControl/>
              <w:jc w:val="right"/>
              <w:rPr>
                <w:rFonts w:ascii="Times New Roman" w:eastAsia="宋体" w:hAnsi="宋体" w:cs="宋体"/>
                <w:kern w:val="0"/>
                <w:sz w:val="24"/>
              </w:rPr>
            </w:pPr>
          </w:p>
        </w:tc>
      </w:tr>
      <w:tr w:rsidR="003D72E7" w14:paraId="619DCEED"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CEE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EE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E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E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EE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EEC" w14:textId="77777777" w:rsidR="003D72E7" w:rsidRDefault="003D72E7">
            <w:pPr>
              <w:widowControl/>
              <w:jc w:val="right"/>
              <w:rPr>
                <w:rFonts w:ascii="Times New Roman" w:eastAsia="宋体" w:hAnsi="宋体" w:cs="宋体"/>
                <w:kern w:val="0"/>
                <w:sz w:val="24"/>
              </w:rPr>
            </w:pPr>
          </w:p>
        </w:tc>
      </w:tr>
      <w:tr w:rsidR="003D72E7" w14:paraId="619DCEF4" w14:textId="77777777">
        <w:trPr>
          <w:jc w:val="center"/>
        </w:trPr>
        <w:tc>
          <w:tcPr>
            <w:tcW w:w="0" w:type="auto"/>
            <w:gridSpan w:val="3"/>
            <w:tcBorders>
              <w:top w:val="nil"/>
              <w:left w:val="nil"/>
              <w:bottom w:val="nil"/>
              <w:right w:val="nil"/>
            </w:tcBorders>
            <w:shd w:val="clear" w:color="auto" w:fill="CCEEFF"/>
            <w:tcMar>
              <w:top w:w="40" w:type="dxa"/>
              <w:left w:w="725" w:type="dxa"/>
              <w:bottom w:w="40" w:type="dxa"/>
              <w:right w:w="20" w:type="dxa"/>
            </w:tcMar>
            <w:vAlign w:val="bottom"/>
          </w:tcPr>
          <w:p w14:paraId="619DCEE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Change in cash from investing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EE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(1,188)</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19DCEF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EF1"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EF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(1,409)</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619DCEF3" w14:textId="77777777" w:rsidR="003D72E7" w:rsidRDefault="003D72E7">
            <w:pPr>
              <w:widowControl/>
              <w:jc w:val="right"/>
              <w:rPr>
                <w:rFonts w:ascii="Times New Roman" w:eastAsia="宋体" w:hAnsi="宋体" w:cs="宋体"/>
                <w:kern w:val="0"/>
                <w:sz w:val="24"/>
              </w:rPr>
            </w:pPr>
          </w:p>
        </w:tc>
      </w:tr>
      <w:tr w:rsidR="003D72E7" w14:paraId="619DCEF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CEF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flows from financing 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CEF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EF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CEF8" w14:textId="77777777" w:rsidR="003D72E7" w:rsidRDefault="003D72E7">
            <w:pPr>
              <w:widowControl/>
              <w:jc w:val="left"/>
              <w:rPr>
                <w:rFonts w:ascii="Times New Roman" w:eastAsia="宋体" w:hAnsi="宋体" w:cs="宋体"/>
                <w:kern w:val="0"/>
                <w:sz w:val="24"/>
              </w:rPr>
            </w:pPr>
          </w:p>
        </w:tc>
      </w:tr>
      <w:tr w:rsidR="003D72E7" w14:paraId="619DCEFE" w14:textId="77777777">
        <w:trPr>
          <w:jc w:val="center"/>
          <w:hidden/>
        </w:trPr>
        <w:tc>
          <w:tcPr>
            <w:tcW w:w="0" w:type="auto"/>
            <w:gridSpan w:val="3"/>
            <w:tcBorders>
              <w:top w:val="nil"/>
              <w:left w:val="nil"/>
              <w:bottom w:val="nil"/>
              <w:right w:val="nil"/>
            </w:tcBorders>
            <w:shd w:val="clear" w:color="auto" w:fill="auto"/>
            <w:vAlign w:val="bottom"/>
          </w:tcPr>
          <w:p w14:paraId="619DCEF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EF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EF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CEFD" w14:textId="77777777" w:rsidR="003D72E7" w:rsidRDefault="003D72E7">
            <w:pPr>
              <w:widowControl/>
              <w:jc w:val="left"/>
              <w:rPr>
                <w:rFonts w:ascii="Times New Roman" w:eastAsia="宋体" w:hAnsi="宋体" w:cs="宋体"/>
                <w:vanish/>
                <w:kern w:val="0"/>
                <w:sz w:val="24"/>
              </w:rPr>
            </w:pPr>
          </w:p>
        </w:tc>
      </w:tr>
      <w:tr w:rsidR="003D72E7" w14:paraId="619DCF05"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CEF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Proceeds from the issuance of common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F0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F0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0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F0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F04" w14:textId="77777777" w:rsidR="003D72E7" w:rsidRDefault="003D72E7">
            <w:pPr>
              <w:widowControl/>
              <w:jc w:val="right"/>
              <w:rPr>
                <w:rFonts w:ascii="Times New Roman" w:eastAsia="宋体" w:hAnsi="宋体" w:cs="宋体"/>
                <w:kern w:val="0"/>
                <w:sz w:val="24"/>
              </w:rPr>
            </w:pPr>
          </w:p>
        </w:tc>
      </w:tr>
      <w:tr w:rsidR="003D72E7" w14:paraId="619DCF0C"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CF0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Repurchases of parent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F0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F0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F0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F0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F0B" w14:textId="77777777" w:rsidR="003D72E7" w:rsidRDefault="003D72E7">
            <w:pPr>
              <w:widowControl/>
              <w:jc w:val="right"/>
              <w:rPr>
                <w:rFonts w:ascii="Times New Roman" w:eastAsia="宋体" w:hAnsi="宋体" w:cs="宋体"/>
                <w:kern w:val="0"/>
                <w:sz w:val="24"/>
              </w:rPr>
            </w:pPr>
          </w:p>
        </w:tc>
      </w:tr>
      <w:tr w:rsidR="003D72E7" w14:paraId="619DCF13"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CF0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Repurchases of subsidiary common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F0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F0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1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F1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F12" w14:textId="77777777" w:rsidR="003D72E7" w:rsidRDefault="003D72E7">
            <w:pPr>
              <w:widowControl/>
              <w:jc w:val="right"/>
              <w:rPr>
                <w:rFonts w:ascii="Times New Roman" w:eastAsia="宋体" w:hAnsi="宋体" w:cs="宋体"/>
                <w:kern w:val="0"/>
                <w:sz w:val="24"/>
              </w:rPr>
            </w:pPr>
          </w:p>
        </w:tc>
      </w:tr>
      <w:tr w:rsidR="003D72E7" w14:paraId="619DCF1A"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CF1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Proceeds from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F1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F1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F1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F1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F19" w14:textId="77777777" w:rsidR="003D72E7" w:rsidRDefault="003D72E7">
            <w:pPr>
              <w:widowControl/>
              <w:jc w:val="right"/>
              <w:rPr>
                <w:rFonts w:ascii="Times New Roman" w:eastAsia="宋体" w:hAnsi="宋体" w:cs="宋体"/>
                <w:kern w:val="0"/>
                <w:sz w:val="24"/>
              </w:rPr>
            </w:pPr>
          </w:p>
        </w:tc>
      </w:tr>
      <w:tr w:rsidR="003D72E7" w14:paraId="619DCF21"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CF1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Repayments of debt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F1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F1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1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F1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(10,220)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F20" w14:textId="77777777" w:rsidR="003D72E7" w:rsidRDefault="003D72E7">
            <w:pPr>
              <w:widowControl/>
              <w:jc w:val="right"/>
              <w:rPr>
                <w:rFonts w:ascii="Times New Roman" w:eastAsia="宋体" w:hAnsi="宋体" w:cs="宋体"/>
                <w:kern w:val="0"/>
                <w:sz w:val="24"/>
              </w:rPr>
            </w:pPr>
          </w:p>
        </w:tc>
      </w:tr>
      <w:tr w:rsidR="003D72E7" w14:paraId="619DCF28"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CF2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F2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F2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F2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F2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F27" w14:textId="77777777" w:rsidR="003D72E7" w:rsidRDefault="003D72E7">
            <w:pPr>
              <w:widowControl/>
              <w:jc w:val="right"/>
              <w:rPr>
                <w:rFonts w:ascii="Times New Roman" w:eastAsia="宋体" w:hAnsi="宋体" w:cs="宋体"/>
                <w:kern w:val="0"/>
                <w:sz w:val="24"/>
              </w:rPr>
            </w:pPr>
          </w:p>
        </w:tc>
      </w:tr>
      <w:tr w:rsidR="003D72E7" w14:paraId="619DCF2F" w14:textId="77777777">
        <w:trPr>
          <w:jc w:val="center"/>
        </w:trPr>
        <w:tc>
          <w:tcPr>
            <w:tcW w:w="0" w:type="auto"/>
            <w:gridSpan w:val="3"/>
            <w:tcBorders>
              <w:top w:val="nil"/>
              <w:left w:val="nil"/>
              <w:bottom w:val="nil"/>
              <w:right w:val="nil"/>
            </w:tcBorders>
            <w:shd w:val="clear" w:color="auto" w:fill="CCEEFF"/>
            <w:tcMar>
              <w:top w:w="40" w:type="dxa"/>
              <w:left w:w="725" w:type="dxa"/>
              <w:bottom w:w="40" w:type="dxa"/>
              <w:right w:w="20" w:type="dxa"/>
            </w:tcMar>
            <w:vAlign w:val="bottom"/>
          </w:tcPr>
          <w:p w14:paraId="619DCF2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Change in cash from financing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F2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(5,311)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F2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2C"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F2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F2E" w14:textId="77777777" w:rsidR="003D72E7" w:rsidRDefault="003D72E7">
            <w:pPr>
              <w:widowControl/>
              <w:jc w:val="right"/>
              <w:rPr>
                <w:rFonts w:ascii="Times New Roman" w:eastAsia="宋体" w:hAnsi="宋体" w:cs="宋体"/>
                <w:kern w:val="0"/>
                <w:sz w:val="24"/>
              </w:rPr>
            </w:pPr>
          </w:p>
        </w:tc>
      </w:tr>
      <w:tr w:rsidR="003D72E7" w14:paraId="619DCF3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CF3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Effect of exchange rate changes on cash, cash equivalents, and restricted cash</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F3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CF3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F33"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CF3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CF35" w14:textId="77777777" w:rsidR="003D72E7" w:rsidRDefault="003D72E7">
            <w:pPr>
              <w:widowControl/>
              <w:jc w:val="right"/>
              <w:rPr>
                <w:rFonts w:ascii="Times New Roman" w:eastAsia="宋体" w:hAnsi="宋体" w:cs="宋体"/>
                <w:kern w:val="0"/>
                <w:sz w:val="24"/>
              </w:rPr>
            </w:pPr>
          </w:p>
        </w:tc>
      </w:tr>
      <w:tr w:rsidR="003D72E7" w14:paraId="619DCF3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F3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Change in cash, cash equivalents, and restricted cash</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F3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(2,557)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F3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3A"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F3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1,902 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F3C" w14:textId="77777777" w:rsidR="003D72E7" w:rsidRDefault="003D72E7">
            <w:pPr>
              <w:widowControl/>
              <w:jc w:val="right"/>
              <w:rPr>
                <w:rFonts w:ascii="Times New Roman" w:eastAsia="宋体" w:hAnsi="宋体" w:cs="宋体"/>
                <w:kern w:val="0"/>
                <w:sz w:val="24"/>
              </w:rPr>
            </w:pPr>
          </w:p>
        </w:tc>
      </w:tr>
      <w:tr w:rsidR="003D72E7" w14:paraId="619DCF4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CF3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Cash, cash </w:t>
            </w:r>
            <w:r>
              <w:rPr>
                <w:rFonts w:ascii="Times New Roman" w:eastAsia="宋体" w:hAnsi="Times New Roman" w:cs="Times New Roman"/>
                <w:color w:val="000000"/>
                <w:kern w:val="0"/>
                <w:sz w:val="20"/>
                <w:szCs w:val="20"/>
                <w:lang w:bidi="ar"/>
              </w:rPr>
              <w:t>equivalents, and restricted cash at beginning of the period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F3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F4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F4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F4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F43" w14:textId="77777777" w:rsidR="003D72E7" w:rsidRDefault="003D72E7">
            <w:pPr>
              <w:widowControl/>
              <w:jc w:val="right"/>
              <w:rPr>
                <w:rFonts w:ascii="Times New Roman" w:eastAsia="宋体" w:hAnsi="宋体" w:cs="宋体"/>
                <w:kern w:val="0"/>
                <w:sz w:val="24"/>
              </w:rPr>
            </w:pPr>
          </w:p>
        </w:tc>
      </w:tr>
      <w:tr w:rsidR="003D72E7" w14:paraId="619DCF4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CF4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cash equivalents, and restricted cash at end of the period</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CF4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CF4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12,627 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CF4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49"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CF4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CF4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12,053 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CF4C" w14:textId="77777777" w:rsidR="003D72E7" w:rsidRDefault="003D72E7">
            <w:pPr>
              <w:widowControl/>
              <w:jc w:val="right"/>
              <w:rPr>
                <w:rFonts w:ascii="Times New Roman" w:eastAsia="宋体" w:hAnsi="宋体" w:cs="宋体"/>
                <w:kern w:val="0"/>
                <w:sz w:val="24"/>
              </w:rPr>
            </w:pPr>
          </w:p>
        </w:tc>
      </w:tr>
    </w:tbl>
    <w:p w14:paraId="619DCF4E" w14:textId="77777777" w:rsidR="003D72E7" w:rsidRDefault="00AD6774">
      <w:pPr>
        <w:widowControl/>
        <w:spacing w:after="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CF4F"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The accompanying notes are an integral part of these Condensed Consolidated Financial Statements.</w:t>
      </w:r>
    </w:p>
    <w:p w14:paraId="619DCF50" w14:textId="77777777" w:rsidR="003D72E7" w:rsidRDefault="00AD6774">
      <w:pPr>
        <w:widowControl/>
        <w:spacing w:after="6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F51"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F5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p w14:paraId="619DCF5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F54" w14:textId="77777777" w:rsidR="003D72E7" w:rsidRDefault="00AD6774">
      <w:pPr>
        <w:widowControl/>
        <w:jc w:val="center"/>
      </w:pPr>
      <w:r>
        <w:rPr>
          <w:rFonts w:ascii="宋体" w:eastAsia="宋体" w:hAnsi="宋体" w:cs="宋体"/>
          <w:kern w:val="0"/>
          <w:sz w:val="24"/>
        </w:rPr>
        <w:pict w14:anchorId="619E0D73">
          <v:rect id="_x0000_i1032" style="width:6in;height:1.5pt" o:hralign="center" o:hrstd="t" o:hr="t" fillcolor="#a0a0a0" stroked="f"/>
        </w:pict>
      </w:r>
    </w:p>
    <w:p w14:paraId="619DCF55"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CF56" w14:textId="77777777" w:rsidR="003D72E7" w:rsidRDefault="00AD6774">
      <w:pPr>
        <w:widowControl/>
        <w:spacing w:after="12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619DCF57" w14:textId="77777777" w:rsidR="003D72E7" w:rsidRDefault="00AD6774">
      <w:pPr>
        <w:widowControl/>
        <w:spacing w:after="6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CONDENSED CONSOLIDATED STATEMENTS OF </w:t>
      </w:r>
      <w:r>
        <w:rPr>
          <w:rFonts w:ascii="Times New Roman" w:eastAsia="宋体" w:hAnsi="Times New Roman" w:cs="Times New Roman"/>
          <w:b/>
          <w:bCs/>
          <w:color w:val="000000"/>
          <w:kern w:val="0"/>
          <w:sz w:val="20"/>
          <w:szCs w:val="20"/>
          <w:lang w:bidi="ar"/>
        </w:rPr>
        <w:t>STOCKHOLDERS’ EQUITY (DEFICIT)</w:t>
      </w:r>
    </w:p>
    <w:p w14:paraId="619DCF58"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 xml:space="preserve">(in millions; continued on next page; </w:t>
      </w:r>
      <w:r>
        <w:rPr>
          <w:rFonts w:ascii="Times New Roman" w:eastAsia="宋体" w:hAnsi="Times New Roman" w:cs="Times New Roman"/>
          <w:color w:val="000000"/>
          <w:kern w:val="0"/>
          <w:sz w:val="20"/>
          <w:szCs w:val="20"/>
          <w:lang w:bidi="ar"/>
        </w:rPr>
        <w:t>unaudited)</w:t>
      </w:r>
    </w:p>
    <w:p w14:paraId="619DCF59"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CF5A"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4"/>
        <w:gridCol w:w="1084"/>
        <w:gridCol w:w="39"/>
        <w:gridCol w:w="78"/>
        <w:gridCol w:w="418"/>
        <w:gridCol w:w="36"/>
        <w:gridCol w:w="36"/>
        <w:gridCol w:w="36"/>
        <w:gridCol w:w="36"/>
        <w:gridCol w:w="100"/>
        <w:gridCol w:w="480"/>
        <w:gridCol w:w="36"/>
        <w:gridCol w:w="36"/>
        <w:gridCol w:w="36"/>
        <w:gridCol w:w="36"/>
        <w:gridCol w:w="104"/>
        <w:gridCol w:w="389"/>
        <w:gridCol w:w="36"/>
        <w:gridCol w:w="36"/>
        <w:gridCol w:w="36"/>
        <w:gridCol w:w="36"/>
        <w:gridCol w:w="114"/>
        <w:gridCol w:w="477"/>
        <w:gridCol w:w="37"/>
        <w:gridCol w:w="36"/>
        <w:gridCol w:w="36"/>
        <w:gridCol w:w="36"/>
        <w:gridCol w:w="126"/>
        <w:gridCol w:w="809"/>
        <w:gridCol w:w="36"/>
        <w:gridCol w:w="36"/>
        <w:gridCol w:w="36"/>
        <w:gridCol w:w="36"/>
        <w:gridCol w:w="101"/>
        <w:gridCol w:w="1027"/>
        <w:gridCol w:w="36"/>
        <w:gridCol w:w="36"/>
        <w:gridCol w:w="36"/>
        <w:gridCol w:w="36"/>
        <w:gridCol w:w="101"/>
        <w:gridCol w:w="911"/>
        <w:gridCol w:w="36"/>
        <w:gridCol w:w="36"/>
        <w:gridCol w:w="36"/>
        <w:gridCol w:w="36"/>
        <w:gridCol w:w="145"/>
        <w:gridCol w:w="1010"/>
        <w:gridCol w:w="36"/>
        <w:gridCol w:w="36"/>
        <w:gridCol w:w="36"/>
        <w:gridCol w:w="36"/>
        <w:gridCol w:w="103"/>
        <w:gridCol w:w="870"/>
        <w:gridCol w:w="36"/>
      </w:tblGrid>
      <w:tr w:rsidR="003D72E7" w14:paraId="619DCF91" w14:textId="77777777">
        <w:tc>
          <w:tcPr>
            <w:tcW w:w="50" w:type="pct"/>
            <w:tcBorders>
              <w:top w:val="nil"/>
              <w:left w:val="nil"/>
              <w:bottom w:val="nil"/>
              <w:right w:val="nil"/>
            </w:tcBorders>
            <w:shd w:val="clear" w:color="auto" w:fill="auto"/>
            <w:vAlign w:val="bottom"/>
          </w:tcPr>
          <w:p w14:paraId="619DCF5B" w14:textId="77777777" w:rsidR="003D72E7" w:rsidRDefault="003D72E7">
            <w:pPr>
              <w:widowControl/>
              <w:jc w:val="left"/>
              <w:rPr>
                <w:rFonts w:ascii="Times New Roman" w:eastAsia="宋体" w:hAnsi="宋体" w:cs="宋体"/>
                <w:kern w:val="0"/>
                <w:sz w:val="24"/>
              </w:rPr>
            </w:pPr>
          </w:p>
        </w:tc>
        <w:tc>
          <w:tcPr>
            <w:tcW w:w="859" w:type="pct"/>
            <w:tcBorders>
              <w:top w:val="nil"/>
              <w:left w:val="nil"/>
              <w:bottom w:val="nil"/>
              <w:right w:val="nil"/>
            </w:tcBorders>
            <w:shd w:val="clear" w:color="auto" w:fill="auto"/>
            <w:vAlign w:val="bottom"/>
          </w:tcPr>
          <w:p w14:paraId="619DCF5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5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F5E" w14:textId="77777777" w:rsidR="003D72E7" w:rsidRDefault="003D72E7">
            <w:pPr>
              <w:widowControl/>
              <w:jc w:val="left"/>
              <w:rPr>
                <w:rFonts w:ascii="Times New Roman" w:eastAsia="宋体" w:hAnsi="宋体" w:cs="宋体"/>
                <w:kern w:val="0"/>
                <w:sz w:val="24"/>
              </w:rPr>
            </w:pPr>
          </w:p>
        </w:tc>
        <w:tc>
          <w:tcPr>
            <w:tcW w:w="269" w:type="pct"/>
            <w:tcBorders>
              <w:top w:val="nil"/>
              <w:left w:val="nil"/>
              <w:bottom w:val="nil"/>
              <w:right w:val="nil"/>
            </w:tcBorders>
            <w:shd w:val="clear" w:color="auto" w:fill="auto"/>
            <w:vAlign w:val="bottom"/>
          </w:tcPr>
          <w:p w14:paraId="619DCF5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6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61"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CF6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6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F64" w14:textId="77777777" w:rsidR="003D72E7" w:rsidRDefault="003D72E7">
            <w:pPr>
              <w:widowControl/>
              <w:jc w:val="left"/>
              <w:rPr>
                <w:rFonts w:ascii="Times New Roman" w:eastAsia="宋体" w:hAnsi="宋体" w:cs="宋体"/>
                <w:kern w:val="0"/>
                <w:sz w:val="24"/>
              </w:rPr>
            </w:pPr>
          </w:p>
        </w:tc>
        <w:tc>
          <w:tcPr>
            <w:tcW w:w="242" w:type="pct"/>
            <w:tcBorders>
              <w:top w:val="nil"/>
              <w:left w:val="nil"/>
              <w:bottom w:val="nil"/>
              <w:right w:val="nil"/>
            </w:tcBorders>
            <w:shd w:val="clear" w:color="auto" w:fill="auto"/>
            <w:vAlign w:val="bottom"/>
          </w:tcPr>
          <w:p w14:paraId="619DCF6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6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67"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CF6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6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F6A" w14:textId="77777777" w:rsidR="003D72E7" w:rsidRDefault="003D72E7">
            <w:pPr>
              <w:widowControl/>
              <w:jc w:val="left"/>
              <w:rPr>
                <w:rFonts w:ascii="Times New Roman" w:eastAsia="宋体" w:hAnsi="宋体" w:cs="宋体"/>
                <w:kern w:val="0"/>
                <w:sz w:val="24"/>
              </w:rPr>
            </w:pPr>
          </w:p>
        </w:tc>
        <w:tc>
          <w:tcPr>
            <w:tcW w:w="187" w:type="pct"/>
            <w:tcBorders>
              <w:top w:val="nil"/>
              <w:left w:val="nil"/>
              <w:bottom w:val="nil"/>
              <w:right w:val="nil"/>
            </w:tcBorders>
            <w:shd w:val="clear" w:color="auto" w:fill="auto"/>
            <w:vAlign w:val="bottom"/>
          </w:tcPr>
          <w:p w14:paraId="619DCF6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6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6D"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CF6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6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F70" w14:textId="77777777" w:rsidR="003D72E7" w:rsidRDefault="003D72E7">
            <w:pPr>
              <w:widowControl/>
              <w:jc w:val="left"/>
              <w:rPr>
                <w:rFonts w:ascii="Times New Roman" w:eastAsia="宋体" w:hAnsi="宋体" w:cs="宋体"/>
                <w:kern w:val="0"/>
                <w:sz w:val="24"/>
              </w:rPr>
            </w:pPr>
          </w:p>
        </w:tc>
        <w:tc>
          <w:tcPr>
            <w:tcW w:w="210" w:type="pct"/>
            <w:tcBorders>
              <w:top w:val="nil"/>
              <w:left w:val="nil"/>
              <w:bottom w:val="nil"/>
              <w:right w:val="nil"/>
            </w:tcBorders>
            <w:shd w:val="clear" w:color="auto" w:fill="auto"/>
            <w:vAlign w:val="bottom"/>
          </w:tcPr>
          <w:p w14:paraId="619DCF7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7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73"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CF7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7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F76" w14:textId="77777777" w:rsidR="003D72E7" w:rsidRDefault="003D72E7">
            <w:pPr>
              <w:widowControl/>
              <w:jc w:val="left"/>
              <w:rPr>
                <w:rFonts w:ascii="Times New Roman" w:eastAsia="宋体" w:hAnsi="宋体" w:cs="宋体"/>
                <w:kern w:val="0"/>
                <w:sz w:val="24"/>
              </w:rPr>
            </w:pPr>
          </w:p>
        </w:tc>
        <w:tc>
          <w:tcPr>
            <w:tcW w:w="323" w:type="pct"/>
            <w:tcBorders>
              <w:top w:val="nil"/>
              <w:left w:val="nil"/>
              <w:bottom w:val="nil"/>
              <w:right w:val="nil"/>
            </w:tcBorders>
            <w:shd w:val="clear" w:color="auto" w:fill="auto"/>
            <w:vAlign w:val="bottom"/>
          </w:tcPr>
          <w:p w14:paraId="619DCF7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7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79"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CF7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7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F7C" w14:textId="77777777" w:rsidR="003D72E7" w:rsidRDefault="003D72E7">
            <w:pPr>
              <w:widowControl/>
              <w:jc w:val="left"/>
              <w:rPr>
                <w:rFonts w:ascii="Times New Roman" w:eastAsia="宋体" w:hAnsi="宋体" w:cs="宋体"/>
                <w:kern w:val="0"/>
                <w:sz w:val="24"/>
              </w:rPr>
            </w:pPr>
          </w:p>
        </w:tc>
        <w:tc>
          <w:tcPr>
            <w:tcW w:w="707" w:type="pct"/>
            <w:tcBorders>
              <w:top w:val="nil"/>
              <w:left w:val="nil"/>
              <w:bottom w:val="nil"/>
              <w:right w:val="nil"/>
            </w:tcBorders>
            <w:shd w:val="clear" w:color="auto" w:fill="auto"/>
            <w:vAlign w:val="bottom"/>
          </w:tcPr>
          <w:p w14:paraId="619DCF7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7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7F"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CF8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8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F82" w14:textId="77777777" w:rsidR="003D72E7" w:rsidRDefault="003D72E7">
            <w:pPr>
              <w:widowControl/>
              <w:jc w:val="left"/>
              <w:rPr>
                <w:rFonts w:ascii="Times New Roman" w:eastAsia="宋体" w:hAnsi="宋体" w:cs="宋体"/>
                <w:kern w:val="0"/>
                <w:sz w:val="24"/>
              </w:rPr>
            </w:pPr>
          </w:p>
        </w:tc>
        <w:tc>
          <w:tcPr>
            <w:tcW w:w="697" w:type="pct"/>
            <w:tcBorders>
              <w:top w:val="nil"/>
              <w:left w:val="nil"/>
              <w:bottom w:val="nil"/>
              <w:right w:val="nil"/>
            </w:tcBorders>
            <w:shd w:val="clear" w:color="auto" w:fill="auto"/>
            <w:vAlign w:val="bottom"/>
          </w:tcPr>
          <w:p w14:paraId="619DCF8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8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85"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CF8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8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F88" w14:textId="77777777" w:rsidR="003D72E7" w:rsidRDefault="003D72E7">
            <w:pPr>
              <w:widowControl/>
              <w:jc w:val="left"/>
              <w:rPr>
                <w:rFonts w:ascii="Times New Roman" w:eastAsia="宋体" w:hAnsi="宋体" w:cs="宋体"/>
                <w:kern w:val="0"/>
                <w:sz w:val="24"/>
              </w:rPr>
            </w:pPr>
          </w:p>
        </w:tc>
        <w:tc>
          <w:tcPr>
            <w:tcW w:w="350" w:type="pct"/>
            <w:tcBorders>
              <w:top w:val="nil"/>
              <w:left w:val="nil"/>
              <w:bottom w:val="nil"/>
              <w:right w:val="nil"/>
            </w:tcBorders>
            <w:shd w:val="clear" w:color="auto" w:fill="auto"/>
            <w:vAlign w:val="bottom"/>
          </w:tcPr>
          <w:p w14:paraId="619DCF8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8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8B"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CF8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8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CF8E" w14:textId="77777777" w:rsidR="003D72E7" w:rsidRDefault="003D72E7">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619DCF8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CF90" w14:textId="77777777" w:rsidR="003D72E7" w:rsidRDefault="003D72E7">
            <w:pPr>
              <w:widowControl/>
              <w:jc w:val="left"/>
              <w:rPr>
                <w:rFonts w:ascii="Times New Roman" w:eastAsia="宋体" w:hAnsi="宋体" w:cs="宋体"/>
                <w:kern w:val="0"/>
                <w:sz w:val="24"/>
              </w:rPr>
            </w:pPr>
          </w:p>
        </w:tc>
      </w:tr>
      <w:tr w:rsidR="003D72E7" w14:paraId="619DCFA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F9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Three Months Ended July 30, 2021</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CF9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Common Stock and Capital in Excess of Par 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94"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CF9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Treasury Stock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9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9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9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9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9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9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9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9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9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9F" w14:textId="77777777" w:rsidR="003D72E7" w:rsidRDefault="003D72E7">
            <w:pPr>
              <w:widowControl/>
              <w:jc w:val="left"/>
              <w:rPr>
                <w:rFonts w:ascii="Times New Roman" w:eastAsia="宋体" w:hAnsi="宋体" w:cs="宋体"/>
                <w:kern w:val="0"/>
                <w:sz w:val="24"/>
              </w:rPr>
            </w:pPr>
          </w:p>
        </w:tc>
      </w:tr>
      <w:tr w:rsidR="003D72E7" w14:paraId="619DCFB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A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CFA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Issued 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CFA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CFA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A5"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CFA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CFA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CFA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A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FA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Accumulated Deficit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A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FA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Accumulated Other Comprehensive Income/(Loss)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A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FA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Dell Technologies Stockholders’ Equity (Deficit)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A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FB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Non-Controlling Interests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CFB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CFB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 Stockholders’ Equity (Deficit)</w:t>
            </w:r>
          </w:p>
        </w:tc>
      </w:tr>
      <w:tr w:rsidR="00AD6774" w14:paraId="619DCFD6" w14:textId="77777777">
        <w:tc>
          <w:tcPr>
            <w:tcW w:w="0" w:type="auto"/>
            <w:gridSpan w:val="3"/>
            <w:tcBorders>
              <w:top w:val="nil"/>
              <w:left w:val="nil"/>
              <w:bottom w:val="nil"/>
              <w:right w:val="nil"/>
            </w:tcBorders>
            <w:shd w:val="clear" w:color="auto" w:fill="CCEEFF"/>
            <w:tcMar>
              <w:top w:w="40" w:type="dxa"/>
              <w:left w:w="35" w:type="dxa"/>
              <w:bottom w:w="40" w:type="dxa"/>
              <w:right w:w="20" w:type="dxa"/>
            </w:tcMar>
            <w:vAlign w:val="bottom"/>
          </w:tcPr>
          <w:p w14:paraId="619DCFB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Balances as of April 30,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FB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772 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FB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B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FB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CFB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16,950 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FB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BB"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FB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FB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BE"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FB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CFC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(305)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FC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C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FC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CFC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(12,864)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FC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C6"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FC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CFC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(294)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FC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CA"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FC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CFC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3,487 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FC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CE"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FC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CFD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5,099 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FD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D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CFD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CFD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8,586 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CFD5" w14:textId="77777777" w:rsidR="003D72E7" w:rsidRDefault="003D72E7">
            <w:pPr>
              <w:widowControl/>
              <w:jc w:val="right"/>
              <w:rPr>
                <w:rFonts w:ascii="Times New Roman" w:eastAsia="宋体" w:hAnsi="宋体" w:cs="宋体"/>
                <w:kern w:val="0"/>
                <w:sz w:val="24"/>
              </w:rPr>
            </w:pPr>
          </w:p>
        </w:tc>
      </w:tr>
      <w:tr w:rsidR="003D72E7" w14:paraId="619DCFF2"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CFD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FD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FD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FD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FD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FD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FD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FD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FD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FE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FE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FE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FE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FE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FE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FE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FE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FE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FE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FE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FE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FE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FE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FE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CFE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CFF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CFF1" w14:textId="77777777" w:rsidR="003D72E7" w:rsidRDefault="003D72E7">
            <w:pPr>
              <w:widowControl/>
              <w:jc w:val="right"/>
              <w:rPr>
                <w:rFonts w:ascii="Times New Roman" w:eastAsia="宋体" w:hAnsi="宋体" w:cs="宋体"/>
                <w:kern w:val="0"/>
                <w:sz w:val="24"/>
              </w:rPr>
            </w:pPr>
          </w:p>
        </w:tc>
      </w:tr>
      <w:tr w:rsidR="003D72E7" w14:paraId="619DD00E"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CFF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Foreign currency translation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FF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FF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F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FF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FF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F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FF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FF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F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CFF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CFF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CFF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0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0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0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0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0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0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0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0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0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0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0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0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0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0D" w14:textId="77777777" w:rsidR="003D72E7" w:rsidRDefault="003D72E7">
            <w:pPr>
              <w:widowControl/>
              <w:jc w:val="right"/>
              <w:rPr>
                <w:rFonts w:ascii="Times New Roman" w:eastAsia="宋体" w:hAnsi="宋体" w:cs="宋体"/>
                <w:kern w:val="0"/>
                <w:sz w:val="24"/>
              </w:rPr>
            </w:pPr>
          </w:p>
        </w:tc>
      </w:tr>
      <w:tr w:rsidR="003D72E7" w14:paraId="619DD02A"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D00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Cash flow hedges, net change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1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1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1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1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1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1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1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1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1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1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1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1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1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1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1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1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2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2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2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2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2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2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2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2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2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29" w14:textId="77777777" w:rsidR="003D72E7" w:rsidRDefault="003D72E7">
            <w:pPr>
              <w:widowControl/>
              <w:jc w:val="right"/>
              <w:rPr>
                <w:rFonts w:ascii="Times New Roman" w:eastAsia="宋体" w:hAnsi="宋体" w:cs="宋体"/>
                <w:kern w:val="0"/>
                <w:sz w:val="24"/>
              </w:rPr>
            </w:pPr>
          </w:p>
        </w:tc>
      </w:tr>
      <w:tr w:rsidR="003D72E7" w14:paraId="619DD046"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D02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Pension and other post-retirement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2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2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2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2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3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3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3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3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3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3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3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3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3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3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3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3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3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3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3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3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4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4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4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4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4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45" w14:textId="77777777" w:rsidR="003D72E7" w:rsidRDefault="003D72E7">
            <w:pPr>
              <w:widowControl/>
              <w:jc w:val="right"/>
              <w:rPr>
                <w:rFonts w:ascii="Times New Roman" w:eastAsia="宋体" w:hAnsi="宋体" w:cs="宋体"/>
                <w:kern w:val="0"/>
                <w:sz w:val="24"/>
              </w:rPr>
            </w:pPr>
          </w:p>
        </w:tc>
      </w:tr>
      <w:tr w:rsidR="003D72E7" w14:paraId="619DD062"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D04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Issuance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4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4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4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4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4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4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4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4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5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5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5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5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5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5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5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5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5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5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5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5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5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5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5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5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6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61" w14:textId="77777777" w:rsidR="003D72E7" w:rsidRDefault="003D72E7">
            <w:pPr>
              <w:widowControl/>
              <w:jc w:val="right"/>
              <w:rPr>
                <w:rFonts w:ascii="Times New Roman" w:eastAsia="宋体" w:hAnsi="宋体" w:cs="宋体"/>
                <w:kern w:val="0"/>
                <w:sz w:val="24"/>
              </w:rPr>
            </w:pPr>
          </w:p>
        </w:tc>
      </w:tr>
      <w:tr w:rsidR="003D72E7" w14:paraId="619DD07E"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D06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Stock-based compensation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6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6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6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6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6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6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6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6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6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6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6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6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7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7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7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7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7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7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7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7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7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7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7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7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7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7D" w14:textId="77777777" w:rsidR="003D72E7" w:rsidRDefault="003D72E7">
            <w:pPr>
              <w:widowControl/>
              <w:jc w:val="right"/>
              <w:rPr>
                <w:rFonts w:ascii="Times New Roman" w:eastAsia="宋体" w:hAnsi="宋体" w:cs="宋体"/>
                <w:kern w:val="0"/>
                <w:sz w:val="24"/>
              </w:rPr>
            </w:pPr>
          </w:p>
        </w:tc>
      </w:tr>
      <w:tr w:rsidR="003D72E7" w14:paraId="619DD091" w14:textId="77777777">
        <w:trPr>
          <w:hidden/>
        </w:trPr>
        <w:tc>
          <w:tcPr>
            <w:tcW w:w="0" w:type="auto"/>
            <w:gridSpan w:val="3"/>
            <w:tcBorders>
              <w:top w:val="nil"/>
              <w:left w:val="nil"/>
              <w:bottom w:val="nil"/>
              <w:right w:val="nil"/>
            </w:tcBorders>
            <w:shd w:val="clear" w:color="auto" w:fill="auto"/>
            <w:vAlign w:val="bottom"/>
          </w:tcPr>
          <w:p w14:paraId="619DD07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8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8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8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8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8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8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8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8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8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8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8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8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8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8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8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8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90" w14:textId="77777777" w:rsidR="003D72E7" w:rsidRDefault="003D72E7">
            <w:pPr>
              <w:widowControl/>
              <w:jc w:val="left"/>
              <w:rPr>
                <w:rFonts w:ascii="Times New Roman" w:eastAsia="宋体" w:hAnsi="宋体" w:cs="宋体"/>
                <w:vanish/>
                <w:kern w:val="0"/>
                <w:sz w:val="24"/>
              </w:rPr>
            </w:pPr>
          </w:p>
        </w:tc>
      </w:tr>
      <w:tr w:rsidR="003D72E7" w14:paraId="619DD0AD"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D09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Revaluation of redeemable shares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9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9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9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9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9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9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9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9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9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9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9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9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9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A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A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A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A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A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A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A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A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A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A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A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0A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0AC" w14:textId="77777777" w:rsidR="003D72E7" w:rsidRDefault="003D72E7">
            <w:pPr>
              <w:widowControl/>
              <w:jc w:val="right"/>
              <w:rPr>
                <w:rFonts w:ascii="Times New Roman" w:eastAsia="宋体" w:hAnsi="宋体" w:cs="宋体"/>
                <w:kern w:val="0"/>
                <w:sz w:val="24"/>
              </w:rPr>
            </w:pPr>
          </w:p>
        </w:tc>
      </w:tr>
      <w:tr w:rsidR="003D72E7" w14:paraId="619DD0C9"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D0A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Impact from equity transactions of 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A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B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B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B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(206)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B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B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B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B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B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B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B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B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B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B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B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B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B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C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C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(206)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C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C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C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(330)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C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0C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0C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(536)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0C8" w14:textId="77777777" w:rsidR="003D72E7" w:rsidRDefault="003D72E7">
            <w:pPr>
              <w:widowControl/>
              <w:jc w:val="right"/>
              <w:rPr>
                <w:rFonts w:ascii="Times New Roman" w:eastAsia="宋体" w:hAnsi="宋体" w:cs="宋体"/>
                <w:kern w:val="0"/>
                <w:sz w:val="24"/>
              </w:rPr>
            </w:pPr>
          </w:p>
        </w:tc>
      </w:tr>
      <w:tr w:rsidR="003D72E7" w14:paraId="619DD0DC" w14:textId="77777777">
        <w:trPr>
          <w:hidden/>
        </w:trPr>
        <w:tc>
          <w:tcPr>
            <w:tcW w:w="0" w:type="auto"/>
            <w:gridSpan w:val="3"/>
            <w:tcBorders>
              <w:top w:val="nil"/>
              <w:left w:val="nil"/>
              <w:bottom w:val="nil"/>
              <w:right w:val="nil"/>
            </w:tcBorders>
            <w:shd w:val="clear" w:color="auto" w:fill="auto"/>
            <w:vAlign w:val="bottom"/>
          </w:tcPr>
          <w:p w14:paraId="619DD0C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C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C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C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C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C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D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D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D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D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D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D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D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D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D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D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D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0DB" w14:textId="77777777" w:rsidR="003D72E7" w:rsidRDefault="003D72E7">
            <w:pPr>
              <w:widowControl/>
              <w:jc w:val="left"/>
              <w:rPr>
                <w:rFonts w:ascii="Times New Roman" w:eastAsia="宋体" w:hAnsi="宋体" w:cs="宋体"/>
                <w:vanish/>
                <w:kern w:val="0"/>
                <w:sz w:val="24"/>
              </w:rPr>
            </w:pPr>
          </w:p>
        </w:tc>
      </w:tr>
      <w:tr w:rsidR="00AD6774" w14:paraId="619DD0F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D0D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Balances as of July 30, 2021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0D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773 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0D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E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0E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0E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17,510 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0E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E4"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0E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0E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E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0E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0E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(305)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0E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E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0E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0E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(12,033)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0E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EF"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0F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0F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(347)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0F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F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0F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0F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4,825 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0F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F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0F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0F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5,118 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0F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0F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0F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0F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9,943 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0FE" w14:textId="77777777" w:rsidR="003D72E7" w:rsidRDefault="003D72E7">
            <w:pPr>
              <w:widowControl/>
              <w:jc w:val="right"/>
              <w:rPr>
                <w:rFonts w:ascii="Times New Roman" w:eastAsia="宋体" w:hAnsi="宋体" w:cs="宋体"/>
                <w:kern w:val="0"/>
                <w:sz w:val="24"/>
              </w:rPr>
            </w:pPr>
          </w:p>
        </w:tc>
      </w:tr>
    </w:tbl>
    <w:p w14:paraId="619DD100" w14:textId="77777777" w:rsidR="003D72E7" w:rsidRDefault="00AD6774">
      <w:pPr>
        <w:widowControl/>
        <w:spacing w:after="60"/>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1070"/>
        <w:gridCol w:w="39"/>
        <w:gridCol w:w="78"/>
        <w:gridCol w:w="418"/>
        <w:gridCol w:w="36"/>
        <w:gridCol w:w="36"/>
        <w:gridCol w:w="36"/>
        <w:gridCol w:w="36"/>
        <w:gridCol w:w="100"/>
        <w:gridCol w:w="480"/>
        <w:gridCol w:w="36"/>
        <w:gridCol w:w="36"/>
        <w:gridCol w:w="36"/>
        <w:gridCol w:w="36"/>
        <w:gridCol w:w="104"/>
        <w:gridCol w:w="389"/>
        <w:gridCol w:w="36"/>
        <w:gridCol w:w="36"/>
        <w:gridCol w:w="36"/>
        <w:gridCol w:w="36"/>
        <w:gridCol w:w="114"/>
        <w:gridCol w:w="477"/>
        <w:gridCol w:w="37"/>
        <w:gridCol w:w="36"/>
        <w:gridCol w:w="36"/>
        <w:gridCol w:w="36"/>
        <w:gridCol w:w="126"/>
        <w:gridCol w:w="809"/>
        <w:gridCol w:w="36"/>
        <w:gridCol w:w="36"/>
        <w:gridCol w:w="36"/>
        <w:gridCol w:w="36"/>
        <w:gridCol w:w="101"/>
        <w:gridCol w:w="1027"/>
        <w:gridCol w:w="36"/>
        <w:gridCol w:w="36"/>
        <w:gridCol w:w="36"/>
        <w:gridCol w:w="36"/>
        <w:gridCol w:w="101"/>
        <w:gridCol w:w="911"/>
        <w:gridCol w:w="36"/>
        <w:gridCol w:w="36"/>
        <w:gridCol w:w="36"/>
        <w:gridCol w:w="36"/>
        <w:gridCol w:w="145"/>
        <w:gridCol w:w="1010"/>
        <w:gridCol w:w="36"/>
        <w:gridCol w:w="36"/>
        <w:gridCol w:w="36"/>
        <w:gridCol w:w="36"/>
        <w:gridCol w:w="103"/>
        <w:gridCol w:w="870"/>
        <w:gridCol w:w="36"/>
      </w:tblGrid>
      <w:tr w:rsidR="003D72E7" w14:paraId="619DD137" w14:textId="77777777">
        <w:tc>
          <w:tcPr>
            <w:tcW w:w="50" w:type="pct"/>
            <w:tcBorders>
              <w:top w:val="nil"/>
              <w:left w:val="nil"/>
              <w:bottom w:val="nil"/>
              <w:right w:val="nil"/>
            </w:tcBorders>
            <w:shd w:val="clear" w:color="auto" w:fill="auto"/>
            <w:vAlign w:val="bottom"/>
          </w:tcPr>
          <w:p w14:paraId="619DD101" w14:textId="77777777" w:rsidR="003D72E7" w:rsidRDefault="003D72E7">
            <w:pPr>
              <w:widowControl/>
              <w:jc w:val="left"/>
              <w:rPr>
                <w:rFonts w:ascii="Times New Roman" w:eastAsia="宋体" w:hAnsi="宋体" w:cs="宋体"/>
                <w:kern w:val="0"/>
                <w:sz w:val="24"/>
              </w:rPr>
            </w:pPr>
          </w:p>
        </w:tc>
        <w:tc>
          <w:tcPr>
            <w:tcW w:w="859" w:type="pct"/>
            <w:tcBorders>
              <w:top w:val="nil"/>
              <w:left w:val="nil"/>
              <w:bottom w:val="nil"/>
              <w:right w:val="nil"/>
            </w:tcBorders>
            <w:shd w:val="clear" w:color="auto" w:fill="auto"/>
            <w:vAlign w:val="bottom"/>
          </w:tcPr>
          <w:p w14:paraId="619DD10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0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104" w14:textId="77777777" w:rsidR="003D72E7" w:rsidRDefault="003D72E7">
            <w:pPr>
              <w:widowControl/>
              <w:jc w:val="left"/>
              <w:rPr>
                <w:rFonts w:ascii="Times New Roman" w:eastAsia="宋体" w:hAnsi="宋体" w:cs="宋体"/>
                <w:kern w:val="0"/>
                <w:sz w:val="24"/>
              </w:rPr>
            </w:pPr>
          </w:p>
        </w:tc>
        <w:tc>
          <w:tcPr>
            <w:tcW w:w="269" w:type="pct"/>
            <w:tcBorders>
              <w:top w:val="nil"/>
              <w:left w:val="nil"/>
              <w:bottom w:val="nil"/>
              <w:right w:val="nil"/>
            </w:tcBorders>
            <w:shd w:val="clear" w:color="auto" w:fill="auto"/>
            <w:vAlign w:val="bottom"/>
          </w:tcPr>
          <w:p w14:paraId="619DD10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0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07"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10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0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10A" w14:textId="77777777" w:rsidR="003D72E7" w:rsidRDefault="003D72E7">
            <w:pPr>
              <w:widowControl/>
              <w:jc w:val="left"/>
              <w:rPr>
                <w:rFonts w:ascii="Times New Roman" w:eastAsia="宋体" w:hAnsi="宋体" w:cs="宋体"/>
                <w:kern w:val="0"/>
                <w:sz w:val="24"/>
              </w:rPr>
            </w:pPr>
          </w:p>
        </w:tc>
        <w:tc>
          <w:tcPr>
            <w:tcW w:w="242" w:type="pct"/>
            <w:tcBorders>
              <w:top w:val="nil"/>
              <w:left w:val="nil"/>
              <w:bottom w:val="nil"/>
              <w:right w:val="nil"/>
            </w:tcBorders>
            <w:shd w:val="clear" w:color="auto" w:fill="auto"/>
            <w:vAlign w:val="bottom"/>
          </w:tcPr>
          <w:p w14:paraId="619DD10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0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0D"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10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0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110" w14:textId="77777777" w:rsidR="003D72E7" w:rsidRDefault="003D72E7">
            <w:pPr>
              <w:widowControl/>
              <w:jc w:val="left"/>
              <w:rPr>
                <w:rFonts w:ascii="Times New Roman" w:eastAsia="宋体" w:hAnsi="宋体" w:cs="宋体"/>
                <w:kern w:val="0"/>
                <w:sz w:val="24"/>
              </w:rPr>
            </w:pPr>
          </w:p>
        </w:tc>
        <w:tc>
          <w:tcPr>
            <w:tcW w:w="187" w:type="pct"/>
            <w:tcBorders>
              <w:top w:val="nil"/>
              <w:left w:val="nil"/>
              <w:bottom w:val="nil"/>
              <w:right w:val="nil"/>
            </w:tcBorders>
            <w:shd w:val="clear" w:color="auto" w:fill="auto"/>
            <w:vAlign w:val="bottom"/>
          </w:tcPr>
          <w:p w14:paraId="619DD11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1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13"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11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1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116" w14:textId="77777777" w:rsidR="003D72E7" w:rsidRDefault="003D72E7">
            <w:pPr>
              <w:widowControl/>
              <w:jc w:val="left"/>
              <w:rPr>
                <w:rFonts w:ascii="Times New Roman" w:eastAsia="宋体" w:hAnsi="宋体" w:cs="宋体"/>
                <w:kern w:val="0"/>
                <w:sz w:val="24"/>
              </w:rPr>
            </w:pPr>
          </w:p>
        </w:tc>
        <w:tc>
          <w:tcPr>
            <w:tcW w:w="210" w:type="pct"/>
            <w:tcBorders>
              <w:top w:val="nil"/>
              <w:left w:val="nil"/>
              <w:bottom w:val="nil"/>
              <w:right w:val="nil"/>
            </w:tcBorders>
            <w:shd w:val="clear" w:color="auto" w:fill="auto"/>
            <w:vAlign w:val="bottom"/>
          </w:tcPr>
          <w:p w14:paraId="619DD11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1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19"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11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1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11C" w14:textId="77777777" w:rsidR="003D72E7" w:rsidRDefault="003D72E7">
            <w:pPr>
              <w:widowControl/>
              <w:jc w:val="left"/>
              <w:rPr>
                <w:rFonts w:ascii="Times New Roman" w:eastAsia="宋体" w:hAnsi="宋体" w:cs="宋体"/>
                <w:kern w:val="0"/>
                <w:sz w:val="24"/>
              </w:rPr>
            </w:pPr>
          </w:p>
        </w:tc>
        <w:tc>
          <w:tcPr>
            <w:tcW w:w="323" w:type="pct"/>
            <w:tcBorders>
              <w:top w:val="nil"/>
              <w:left w:val="nil"/>
              <w:bottom w:val="nil"/>
              <w:right w:val="nil"/>
            </w:tcBorders>
            <w:shd w:val="clear" w:color="auto" w:fill="auto"/>
            <w:vAlign w:val="bottom"/>
          </w:tcPr>
          <w:p w14:paraId="619DD11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1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1F"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12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2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122" w14:textId="77777777" w:rsidR="003D72E7" w:rsidRDefault="003D72E7">
            <w:pPr>
              <w:widowControl/>
              <w:jc w:val="left"/>
              <w:rPr>
                <w:rFonts w:ascii="Times New Roman" w:eastAsia="宋体" w:hAnsi="宋体" w:cs="宋体"/>
                <w:kern w:val="0"/>
                <w:sz w:val="24"/>
              </w:rPr>
            </w:pPr>
          </w:p>
        </w:tc>
        <w:tc>
          <w:tcPr>
            <w:tcW w:w="707" w:type="pct"/>
            <w:tcBorders>
              <w:top w:val="nil"/>
              <w:left w:val="nil"/>
              <w:bottom w:val="nil"/>
              <w:right w:val="nil"/>
            </w:tcBorders>
            <w:shd w:val="clear" w:color="auto" w:fill="auto"/>
            <w:vAlign w:val="bottom"/>
          </w:tcPr>
          <w:p w14:paraId="619DD12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2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25"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12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2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128" w14:textId="77777777" w:rsidR="003D72E7" w:rsidRDefault="003D72E7">
            <w:pPr>
              <w:widowControl/>
              <w:jc w:val="left"/>
              <w:rPr>
                <w:rFonts w:ascii="Times New Roman" w:eastAsia="宋体" w:hAnsi="宋体" w:cs="宋体"/>
                <w:kern w:val="0"/>
                <w:sz w:val="24"/>
              </w:rPr>
            </w:pPr>
          </w:p>
        </w:tc>
        <w:tc>
          <w:tcPr>
            <w:tcW w:w="697" w:type="pct"/>
            <w:tcBorders>
              <w:top w:val="nil"/>
              <w:left w:val="nil"/>
              <w:bottom w:val="nil"/>
              <w:right w:val="nil"/>
            </w:tcBorders>
            <w:shd w:val="clear" w:color="auto" w:fill="auto"/>
            <w:vAlign w:val="bottom"/>
          </w:tcPr>
          <w:p w14:paraId="619DD12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2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2B"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12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2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12E" w14:textId="77777777" w:rsidR="003D72E7" w:rsidRDefault="003D72E7">
            <w:pPr>
              <w:widowControl/>
              <w:jc w:val="left"/>
              <w:rPr>
                <w:rFonts w:ascii="Times New Roman" w:eastAsia="宋体" w:hAnsi="宋体" w:cs="宋体"/>
                <w:kern w:val="0"/>
                <w:sz w:val="24"/>
              </w:rPr>
            </w:pPr>
          </w:p>
        </w:tc>
        <w:tc>
          <w:tcPr>
            <w:tcW w:w="350" w:type="pct"/>
            <w:tcBorders>
              <w:top w:val="nil"/>
              <w:left w:val="nil"/>
              <w:bottom w:val="nil"/>
              <w:right w:val="nil"/>
            </w:tcBorders>
            <w:shd w:val="clear" w:color="auto" w:fill="auto"/>
            <w:vAlign w:val="bottom"/>
          </w:tcPr>
          <w:p w14:paraId="619DD12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3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31"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13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3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134" w14:textId="77777777" w:rsidR="003D72E7" w:rsidRDefault="003D72E7">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619DD13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136" w14:textId="77777777" w:rsidR="003D72E7" w:rsidRDefault="003D72E7">
            <w:pPr>
              <w:widowControl/>
              <w:jc w:val="left"/>
              <w:rPr>
                <w:rFonts w:ascii="Times New Roman" w:eastAsia="宋体" w:hAnsi="宋体" w:cs="宋体"/>
                <w:kern w:val="0"/>
                <w:sz w:val="24"/>
              </w:rPr>
            </w:pPr>
          </w:p>
        </w:tc>
      </w:tr>
      <w:tr w:rsidR="003D72E7" w14:paraId="619DD14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13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Six Months Ended July 30, 2021</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D13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Common Stock and Capital in Excess of Par 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3A"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D13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Treasury Stock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3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3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3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3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4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4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4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4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4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45" w14:textId="77777777" w:rsidR="003D72E7" w:rsidRDefault="003D72E7">
            <w:pPr>
              <w:widowControl/>
              <w:jc w:val="left"/>
              <w:rPr>
                <w:rFonts w:ascii="Times New Roman" w:eastAsia="宋体" w:hAnsi="宋体" w:cs="宋体"/>
                <w:kern w:val="0"/>
                <w:sz w:val="24"/>
              </w:rPr>
            </w:pPr>
          </w:p>
        </w:tc>
      </w:tr>
      <w:tr w:rsidR="003D72E7" w14:paraId="619DD15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4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14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Issued 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14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14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4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14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14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14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4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15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Accumulated Deficit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5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15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Accumulated Other Comprehensive Income/(Loss)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5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15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Dell Technologies</w:t>
            </w:r>
            <w:r>
              <w:rPr>
                <w:rFonts w:ascii="Times New Roman" w:eastAsia="宋体" w:hAnsi="Times New Roman" w:cs="Times New Roman"/>
                <w:b/>
                <w:bCs/>
                <w:color w:val="000000"/>
                <w:kern w:val="0"/>
                <w:sz w:val="16"/>
                <w:szCs w:val="16"/>
                <w:lang w:bidi="ar"/>
              </w:rPr>
              <w:br/>
              <w:t>Stockholders’ Equity (Deficit)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5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15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Non-Controlling Interests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15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15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 Stockholders’ Equity (Deficit)</w:t>
            </w:r>
          </w:p>
        </w:tc>
      </w:tr>
      <w:tr w:rsidR="00AD6774" w14:paraId="619DD17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D15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Balances as of January 29,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15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15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5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15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15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16,849 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16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61"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16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16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6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16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16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(305)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16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6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16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16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(13,751)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16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6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16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16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(314)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16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7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17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17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2,479 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17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7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17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17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5,074 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17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7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17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17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7,553 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17B" w14:textId="77777777" w:rsidR="003D72E7" w:rsidRDefault="003D72E7">
            <w:pPr>
              <w:widowControl/>
              <w:jc w:val="right"/>
              <w:rPr>
                <w:rFonts w:ascii="Times New Roman" w:eastAsia="宋体" w:hAnsi="宋体" w:cs="宋体"/>
                <w:kern w:val="0"/>
                <w:sz w:val="24"/>
              </w:rPr>
            </w:pPr>
          </w:p>
        </w:tc>
      </w:tr>
      <w:tr w:rsidR="003D72E7" w14:paraId="619DD198"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DD17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7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7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8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8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8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8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8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8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8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8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8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8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8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1,718 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8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8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8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8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8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9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1,718 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9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9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9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9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9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9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1,818 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97" w14:textId="77777777" w:rsidR="003D72E7" w:rsidRDefault="003D72E7">
            <w:pPr>
              <w:widowControl/>
              <w:jc w:val="right"/>
              <w:rPr>
                <w:rFonts w:ascii="Times New Roman" w:eastAsia="宋体" w:hAnsi="宋体" w:cs="宋体"/>
                <w:kern w:val="0"/>
                <w:sz w:val="24"/>
              </w:rPr>
            </w:pPr>
          </w:p>
        </w:tc>
      </w:tr>
      <w:tr w:rsidR="003D72E7" w14:paraId="619DD1B4"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D19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Foreign currency translation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9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9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9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9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9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9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A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A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A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A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A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A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A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A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A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A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A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A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A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A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A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A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B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B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B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B3" w14:textId="77777777" w:rsidR="003D72E7" w:rsidRDefault="003D72E7">
            <w:pPr>
              <w:widowControl/>
              <w:jc w:val="right"/>
              <w:rPr>
                <w:rFonts w:ascii="Times New Roman" w:eastAsia="宋体" w:hAnsi="宋体" w:cs="宋体"/>
                <w:kern w:val="0"/>
                <w:sz w:val="24"/>
              </w:rPr>
            </w:pPr>
          </w:p>
        </w:tc>
      </w:tr>
      <w:tr w:rsidR="003D72E7" w14:paraId="619DD1D0"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DD1B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Cash flow hedges, net change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B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B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B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B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B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B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B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B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B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B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C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C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C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C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C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C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C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C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C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C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C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C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C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C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C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CF" w14:textId="77777777" w:rsidR="003D72E7" w:rsidRDefault="003D72E7">
            <w:pPr>
              <w:widowControl/>
              <w:jc w:val="right"/>
              <w:rPr>
                <w:rFonts w:ascii="Times New Roman" w:eastAsia="宋体" w:hAnsi="宋体" w:cs="宋体"/>
                <w:kern w:val="0"/>
                <w:sz w:val="24"/>
              </w:rPr>
            </w:pPr>
          </w:p>
        </w:tc>
      </w:tr>
      <w:tr w:rsidR="003D72E7" w14:paraId="619DD1EC"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D1D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Pension and other post-retirement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D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D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D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D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D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D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D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D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D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D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D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D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D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D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E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E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E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E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E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E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E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E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E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1E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1E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1EB" w14:textId="77777777" w:rsidR="003D72E7" w:rsidRDefault="003D72E7">
            <w:pPr>
              <w:widowControl/>
              <w:jc w:val="right"/>
              <w:rPr>
                <w:rFonts w:ascii="Times New Roman" w:eastAsia="宋体" w:hAnsi="宋体" w:cs="宋体"/>
                <w:kern w:val="0"/>
                <w:sz w:val="24"/>
              </w:rPr>
            </w:pPr>
          </w:p>
        </w:tc>
      </w:tr>
      <w:tr w:rsidR="003D72E7" w14:paraId="619DD208"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DD1E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Issuance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E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E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F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F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F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F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F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F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F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F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F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F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F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F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F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1F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1F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1F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20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20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0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20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20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0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20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207" w14:textId="77777777" w:rsidR="003D72E7" w:rsidRDefault="003D72E7">
            <w:pPr>
              <w:widowControl/>
              <w:jc w:val="right"/>
              <w:rPr>
                <w:rFonts w:ascii="Times New Roman" w:eastAsia="宋体" w:hAnsi="宋体" w:cs="宋体"/>
                <w:kern w:val="0"/>
                <w:sz w:val="24"/>
              </w:rPr>
            </w:pPr>
          </w:p>
        </w:tc>
      </w:tr>
      <w:tr w:rsidR="003D72E7" w14:paraId="619DD224"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D20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Stock-based compensation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0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0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20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0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0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20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1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1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21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1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1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21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1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1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21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1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1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21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1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1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21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1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2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22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2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23" w14:textId="77777777" w:rsidR="003D72E7" w:rsidRDefault="003D72E7">
            <w:pPr>
              <w:widowControl/>
              <w:jc w:val="right"/>
              <w:rPr>
                <w:rFonts w:ascii="Times New Roman" w:eastAsia="宋体" w:hAnsi="宋体" w:cs="宋体"/>
                <w:kern w:val="0"/>
                <w:sz w:val="24"/>
              </w:rPr>
            </w:pPr>
          </w:p>
        </w:tc>
      </w:tr>
      <w:tr w:rsidR="003D72E7" w14:paraId="619DD237" w14:textId="77777777">
        <w:trPr>
          <w:hidden/>
        </w:trPr>
        <w:tc>
          <w:tcPr>
            <w:tcW w:w="0" w:type="auto"/>
            <w:gridSpan w:val="3"/>
            <w:tcBorders>
              <w:top w:val="nil"/>
              <w:left w:val="nil"/>
              <w:bottom w:val="nil"/>
              <w:right w:val="nil"/>
            </w:tcBorders>
            <w:shd w:val="clear" w:color="auto" w:fill="auto"/>
            <w:vAlign w:val="bottom"/>
          </w:tcPr>
          <w:p w14:paraId="619DD22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2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2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2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2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2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2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2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2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2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2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3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3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3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3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3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3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36" w14:textId="77777777" w:rsidR="003D72E7" w:rsidRDefault="003D72E7">
            <w:pPr>
              <w:widowControl/>
              <w:jc w:val="left"/>
              <w:rPr>
                <w:rFonts w:ascii="Times New Roman" w:eastAsia="宋体" w:hAnsi="宋体" w:cs="宋体"/>
                <w:vanish/>
                <w:kern w:val="0"/>
                <w:sz w:val="24"/>
              </w:rPr>
            </w:pPr>
          </w:p>
        </w:tc>
      </w:tr>
      <w:tr w:rsidR="003D72E7" w14:paraId="619DD253"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DD23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Revaluation of redeemable shares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23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23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3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23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23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3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23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24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4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24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24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4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24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24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4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24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24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4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24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24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4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24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24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5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25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252" w14:textId="77777777" w:rsidR="003D72E7" w:rsidRDefault="003D72E7">
            <w:pPr>
              <w:widowControl/>
              <w:jc w:val="right"/>
              <w:rPr>
                <w:rFonts w:ascii="Times New Roman" w:eastAsia="宋体" w:hAnsi="宋体" w:cs="宋体"/>
                <w:kern w:val="0"/>
                <w:sz w:val="24"/>
              </w:rPr>
            </w:pPr>
          </w:p>
        </w:tc>
      </w:tr>
      <w:tr w:rsidR="003D72E7" w14:paraId="619DD26F"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D25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Impact from equity transactions of 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5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5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25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5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(204)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5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25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5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5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25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5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5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26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6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6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26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6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6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26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6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(204)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6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26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6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(625)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6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26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26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(829)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26E" w14:textId="77777777" w:rsidR="003D72E7" w:rsidRDefault="003D72E7">
            <w:pPr>
              <w:widowControl/>
              <w:jc w:val="right"/>
              <w:rPr>
                <w:rFonts w:ascii="Times New Roman" w:eastAsia="宋体" w:hAnsi="宋体" w:cs="宋体"/>
                <w:kern w:val="0"/>
                <w:sz w:val="24"/>
              </w:rPr>
            </w:pPr>
          </w:p>
        </w:tc>
      </w:tr>
      <w:tr w:rsidR="003D72E7" w14:paraId="619DD282" w14:textId="77777777">
        <w:trPr>
          <w:hidden/>
        </w:trPr>
        <w:tc>
          <w:tcPr>
            <w:tcW w:w="0" w:type="auto"/>
            <w:gridSpan w:val="3"/>
            <w:tcBorders>
              <w:top w:val="nil"/>
              <w:left w:val="nil"/>
              <w:bottom w:val="nil"/>
              <w:right w:val="nil"/>
            </w:tcBorders>
            <w:shd w:val="clear" w:color="auto" w:fill="auto"/>
            <w:vAlign w:val="bottom"/>
          </w:tcPr>
          <w:p w14:paraId="619DD27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7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7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7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7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7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7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7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7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7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7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7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7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7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7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7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8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281" w14:textId="77777777" w:rsidR="003D72E7" w:rsidRDefault="003D72E7">
            <w:pPr>
              <w:widowControl/>
              <w:jc w:val="left"/>
              <w:rPr>
                <w:rFonts w:ascii="Times New Roman" w:eastAsia="宋体" w:hAnsi="宋体" w:cs="宋体"/>
                <w:vanish/>
                <w:kern w:val="0"/>
                <w:sz w:val="24"/>
              </w:rPr>
            </w:pPr>
          </w:p>
        </w:tc>
      </w:tr>
      <w:tr w:rsidR="00AD6774" w14:paraId="619DD2A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D28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Balances as of July 30, 2021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28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773 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28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86"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28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28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17,510 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28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8A"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28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28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8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28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28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(305)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29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91"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29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29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(12,033)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29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95"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29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29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(347)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29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99"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29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29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4,825 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29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9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29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29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5,118 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2A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2A1"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2A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2A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9,943 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2A4" w14:textId="77777777" w:rsidR="003D72E7" w:rsidRDefault="003D72E7">
            <w:pPr>
              <w:widowControl/>
              <w:jc w:val="right"/>
              <w:rPr>
                <w:rFonts w:ascii="Times New Roman" w:eastAsia="宋体" w:hAnsi="宋体" w:cs="宋体"/>
                <w:kern w:val="0"/>
                <w:sz w:val="24"/>
              </w:rPr>
            </w:pPr>
          </w:p>
        </w:tc>
      </w:tr>
    </w:tbl>
    <w:p w14:paraId="619DD2A6"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2A7"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The accompanyi</w:t>
      </w:r>
      <w:r>
        <w:rPr>
          <w:rFonts w:ascii="Times New Roman" w:eastAsia="宋体" w:hAnsi="Times New Roman" w:cs="Times New Roman"/>
          <w:color w:val="000000"/>
          <w:kern w:val="0"/>
          <w:sz w:val="20"/>
          <w:szCs w:val="20"/>
          <w:lang w:bidi="ar"/>
        </w:rPr>
        <w:t>ng notes are an integral part of these Condensed Consolidated Financial Statements.</w:t>
      </w:r>
    </w:p>
    <w:p w14:paraId="619DD2A8"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2A9"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w:t>
      </w:r>
    </w:p>
    <w:p w14:paraId="619DD2AA"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2AB" w14:textId="77777777" w:rsidR="003D72E7" w:rsidRDefault="00AD6774">
      <w:pPr>
        <w:widowControl/>
        <w:jc w:val="center"/>
      </w:pPr>
      <w:r>
        <w:rPr>
          <w:rFonts w:ascii="宋体" w:eastAsia="宋体" w:hAnsi="宋体" w:cs="宋体"/>
          <w:kern w:val="0"/>
          <w:sz w:val="24"/>
        </w:rPr>
        <w:pict w14:anchorId="619E0D74">
          <v:rect id="_x0000_i1033" style="width:6in;height:1.5pt" o:hralign="center" o:hrstd="t" o:hr="t" fillcolor="#a0a0a0" stroked="f"/>
        </w:pict>
      </w:r>
    </w:p>
    <w:p w14:paraId="619DD2AC"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D2AD" w14:textId="77777777" w:rsidR="003D72E7" w:rsidRDefault="00AD6774">
      <w:pPr>
        <w:widowControl/>
        <w:spacing w:after="12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TECHNOLOGIES INC.</w:t>
      </w:r>
    </w:p>
    <w:p w14:paraId="619DD2AE" w14:textId="77777777" w:rsidR="003D72E7" w:rsidRDefault="00AD6774">
      <w:pPr>
        <w:widowControl/>
        <w:spacing w:after="60"/>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CONDENSED CONSOLIDATED STATEMENTS OF STOCKHOLDERS’ EQUITY </w:t>
      </w:r>
      <w:r>
        <w:rPr>
          <w:rFonts w:ascii="Times New Roman" w:eastAsia="宋体" w:hAnsi="Times New Roman" w:cs="Times New Roman"/>
          <w:b/>
          <w:bCs/>
          <w:color w:val="000000"/>
          <w:kern w:val="0"/>
          <w:sz w:val="20"/>
          <w:szCs w:val="20"/>
          <w:lang w:bidi="ar"/>
        </w:rPr>
        <w:t>(DEFICIT)</w:t>
      </w:r>
    </w:p>
    <w:p w14:paraId="619DD2AF"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(continued; in millions</w:t>
      </w:r>
      <w:r>
        <w:rPr>
          <w:rFonts w:ascii="Times New Roman" w:eastAsia="宋体" w:hAnsi="Times New Roman" w:cs="Times New Roman"/>
          <w:color w:val="000000"/>
          <w:kern w:val="0"/>
          <w:sz w:val="20"/>
          <w:szCs w:val="20"/>
          <w:lang w:bidi="ar"/>
        </w:rPr>
        <w:t>; unaudited)</w:t>
      </w:r>
    </w:p>
    <w:p w14:paraId="619DD2B0"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1070"/>
        <w:gridCol w:w="39"/>
        <w:gridCol w:w="78"/>
        <w:gridCol w:w="418"/>
        <w:gridCol w:w="36"/>
        <w:gridCol w:w="36"/>
        <w:gridCol w:w="36"/>
        <w:gridCol w:w="36"/>
        <w:gridCol w:w="100"/>
        <w:gridCol w:w="480"/>
        <w:gridCol w:w="36"/>
        <w:gridCol w:w="36"/>
        <w:gridCol w:w="36"/>
        <w:gridCol w:w="36"/>
        <w:gridCol w:w="104"/>
        <w:gridCol w:w="389"/>
        <w:gridCol w:w="36"/>
        <w:gridCol w:w="36"/>
        <w:gridCol w:w="36"/>
        <w:gridCol w:w="36"/>
        <w:gridCol w:w="114"/>
        <w:gridCol w:w="477"/>
        <w:gridCol w:w="37"/>
        <w:gridCol w:w="36"/>
        <w:gridCol w:w="36"/>
        <w:gridCol w:w="36"/>
        <w:gridCol w:w="124"/>
        <w:gridCol w:w="811"/>
        <w:gridCol w:w="36"/>
        <w:gridCol w:w="36"/>
        <w:gridCol w:w="36"/>
        <w:gridCol w:w="36"/>
        <w:gridCol w:w="101"/>
        <w:gridCol w:w="1027"/>
        <w:gridCol w:w="36"/>
        <w:gridCol w:w="36"/>
        <w:gridCol w:w="36"/>
        <w:gridCol w:w="36"/>
        <w:gridCol w:w="101"/>
        <w:gridCol w:w="911"/>
        <w:gridCol w:w="36"/>
        <w:gridCol w:w="36"/>
        <w:gridCol w:w="36"/>
        <w:gridCol w:w="36"/>
        <w:gridCol w:w="145"/>
        <w:gridCol w:w="1010"/>
        <w:gridCol w:w="36"/>
        <w:gridCol w:w="36"/>
        <w:gridCol w:w="36"/>
        <w:gridCol w:w="36"/>
        <w:gridCol w:w="103"/>
        <w:gridCol w:w="870"/>
        <w:gridCol w:w="36"/>
      </w:tblGrid>
      <w:tr w:rsidR="003D72E7" w14:paraId="619DD2E7" w14:textId="77777777">
        <w:tc>
          <w:tcPr>
            <w:tcW w:w="50" w:type="pct"/>
            <w:tcBorders>
              <w:top w:val="nil"/>
              <w:left w:val="nil"/>
              <w:bottom w:val="nil"/>
              <w:right w:val="nil"/>
            </w:tcBorders>
            <w:shd w:val="clear" w:color="auto" w:fill="auto"/>
            <w:vAlign w:val="bottom"/>
          </w:tcPr>
          <w:p w14:paraId="619DD2B1" w14:textId="77777777" w:rsidR="003D72E7" w:rsidRDefault="003D72E7">
            <w:pPr>
              <w:widowControl/>
              <w:jc w:val="left"/>
              <w:rPr>
                <w:rFonts w:ascii="Times New Roman" w:eastAsia="宋体" w:hAnsi="宋体" w:cs="宋体"/>
                <w:kern w:val="0"/>
                <w:sz w:val="24"/>
              </w:rPr>
            </w:pPr>
          </w:p>
        </w:tc>
        <w:tc>
          <w:tcPr>
            <w:tcW w:w="859" w:type="pct"/>
            <w:tcBorders>
              <w:top w:val="nil"/>
              <w:left w:val="nil"/>
              <w:bottom w:val="nil"/>
              <w:right w:val="nil"/>
            </w:tcBorders>
            <w:shd w:val="clear" w:color="auto" w:fill="auto"/>
            <w:vAlign w:val="bottom"/>
          </w:tcPr>
          <w:p w14:paraId="619DD2B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B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2B4" w14:textId="77777777" w:rsidR="003D72E7" w:rsidRDefault="003D72E7">
            <w:pPr>
              <w:widowControl/>
              <w:jc w:val="left"/>
              <w:rPr>
                <w:rFonts w:ascii="Times New Roman" w:eastAsia="宋体" w:hAnsi="宋体" w:cs="宋体"/>
                <w:kern w:val="0"/>
                <w:sz w:val="24"/>
              </w:rPr>
            </w:pPr>
          </w:p>
        </w:tc>
        <w:tc>
          <w:tcPr>
            <w:tcW w:w="269" w:type="pct"/>
            <w:tcBorders>
              <w:top w:val="nil"/>
              <w:left w:val="nil"/>
              <w:bottom w:val="nil"/>
              <w:right w:val="nil"/>
            </w:tcBorders>
            <w:shd w:val="clear" w:color="auto" w:fill="auto"/>
            <w:vAlign w:val="bottom"/>
          </w:tcPr>
          <w:p w14:paraId="619DD2B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B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B7"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2B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B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2BA" w14:textId="77777777" w:rsidR="003D72E7" w:rsidRDefault="003D72E7">
            <w:pPr>
              <w:widowControl/>
              <w:jc w:val="left"/>
              <w:rPr>
                <w:rFonts w:ascii="Times New Roman" w:eastAsia="宋体" w:hAnsi="宋体" w:cs="宋体"/>
                <w:kern w:val="0"/>
                <w:sz w:val="24"/>
              </w:rPr>
            </w:pPr>
          </w:p>
        </w:tc>
        <w:tc>
          <w:tcPr>
            <w:tcW w:w="242" w:type="pct"/>
            <w:tcBorders>
              <w:top w:val="nil"/>
              <w:left w:val="nil"/>
              <w:bottom w:val="nil"/>
              <w:right w:val="nil"/>
            </w:tcBorders>
            <w:shd w:val="clear" w:color="auto" w:fill="auto"/>
            <w:vAlign w:val="bottom"/>
          </w:tcPr>
          <w:p w14:paraId="619DD2B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B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BD"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2B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B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2C0" w14:textId="77777777" w:rsidR="003D72E7" w:rsidRDefault="003D72E7">
            <w:pPr>
              <w:widowControl/>
              <w:jc w:val="left"/>
              <w:rPr>
                <w:rFonts w:ascii="Times New Roman" w:eastAsia="宋体" w:hAnsi="宋体" w:cs="宋体"/>
                <w:kern w:val="0"/>
                <w:sz w:val="24"/>
              </w:rPr>
            </w:pPr>
          </w:p>
        </w:tc>
        <w:tc>
          <w:tcPr>
            <w:tcW w:w="187" w:type="pct"/>
            <w:tcBorders>
              <w:top w:val="nil"/>
              <w:left w:val="nil"/>
              <w:bottom w:val="nil"/>
              <w:right w:val="nil"/>
            </w:tcBorders>
            <w:shd w:val="clear" w:color="auto" w:fill="auto"/>
            <w:vAlign w:val="bottom"/>
          </w:tcPr>
          <w:p w14:paraId="619DD2C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C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C3"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2C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C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2C6" w14:textId="77777777" w:rsidR="003D72E7" w:rsidRDefault="003D72E7">
            <w:pPr>
              <w:widowControl/>
              <w:jc w:val="left"/>
              <w:rPr>
                <w:rFonts w:ascii="Times New Roman" w:eastAsia="宋体" w:hAnsi="宋体" w:cs="宋体"/>
                <w:kern w:val="0"/>
                <w:sz w:val="24"/>
              </w:rPr>
            </w:pPr>
          </w:p>
        </w:tc>
        <w:tc>
          <w:tcPr>
            <w:tcW w:w="210" w:type="pct"/>
            <w:tcBorders>
              <w:top w:val="nil"/>
              <w:left w:val="nil"/>
              <w:bottom w:val="nil"/>
              <w:right w:val="nil"/>
            </w:tcBorders>
            <w:shd w:val="clear" w:color="auto" w:fill="auto"/>
            <w:vAlign w:val="bottom"/>
          </w:tcPr>
          <w:p w14:paraId="619DD2C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C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C9"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2C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C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2CC" w14:textId="77777777" w:rsidR="003D72E7" w:rsidRDefault="003D72E7">
            <w:pPr>
              <w:widowControl/>
              <w:jc w:val="left"/>
              <w:rPr>
                <w:rFonts w:ascii="Times New Roman" w:eastAsia="宋体" w:hAnsi="宋体" w:cs="宋体"/>
                <w:kern w:val="0"/>
                <w:sz w:val="24"/>
              </w:rPr>
            </w:pPr>
          </w:p>
        </w:tc>
        <w:tc>
          <w:tcPr>
            <w:tcW w:w="329" w:type="pct"/>
            <w:tcBorders>
              <w:top w:val="nil"/>
              <w:left w:val="nil"/>
              <w:bottom w:val="nil"/>
              <w:right w:val="nil"/>
            </w:tcBorders>
            <w:shd w:val="clear" w:color="auto" w:fill="auto"/>
            <w:vAlign w:val="bottom"/>
          </w:tcPr>
          <w:p w14:paraId="619DD2C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C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CF"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2D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D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2D2" w14:textId="77777777" w:rsidR="003D72E7" w:rsidRDefault="003D72E7">
            <w:pPr>
              <w:widowControl/>
              <w:jc w:val="left"/>
              <w:rPr>
                <w:rFonts w:ascii="Times New Roman" w:eastAsia="宋体" w:hAnsi="宋体" w:cs="宋体"/>
                <w:kern w:val="0"/>
                <w:sz w:val="24"/>
              </w:rPr>
            </w:pPr>
          </w:p>
        </w:tc>
        <w:tc>
          <w:tcPr>
            <w:tcW w:w="707" w:type="pct"/>
            <w:tcBorders>
              <w:top w:val="nil"/>
              <w:left w:val="nil"/>
              <w:bottom w:val="nil"/>
              <w:right w:val="nil"/>
            </w:tcBorders>
            <w:shd w:val="clear" w:color="auto" w:fill="auto"/>
            <w:vAlign w:val="bottom"/>
          </w:tcPr>
          <w:p w14:paraId="619DD2D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D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D5"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2D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D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2D8" w14:textId="77777777" w:rsidR="003D72E7" w:rsidRDefault="003D72E7">
            <w:pPr>
              <w:widowControl/>
              <w:jc w:val="left"/>
              <w:rPr>
                <w:rFonts w:ascii="Times New Roman" w:eastAsia="宋体" w:hAnsi="宋体" w:cs="宋体"/>
                <w:kern w:val="0"/>
                <w:sz w:val="24"/>
              </w:rPr>
            </w:pPr>
          </w:p>
        </w:tc>
        <w:tc>
          <w:tcPr>
            <w:tcW w:w="691" w:type="pct"/>
            <w:tcBorders>
              <w:top w:val="nil"/>
              <w:left w:val="nil"/>
              <w:bottom w:val="nil"/>
              <w:right w:val="nil"/>
            </w:tcBorders>
            <w:shd w:val="clear" w:color="auto" w:fill="auto"/>
            <w:vAlign w:val="bottom"/>
          </w:tcPr>
          <w:p w14:paraId="619DD2D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D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DB"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2D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D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2DE" w14:textId="77777777" w:rsidR="003D72E7" w:rsidRDefault="003D72E7">
            <w:pPr>
              <w:widowControl/>
              <w:jc w:val="left"/>
              <w:rPr>
                <w:rFonts w:ascii="Times New Roman" w:eastAsia="宋体" w:hAnsi="宋体" w:cs="宋体"/>
                <w:kern w:val="0"/>
                <w:sz w:val="24"/>
              </w:rPr>
            </w:pPr>
          </w:p>
        </w:tc>
        <w:tc>
          <w:tcPr>
            <w:tcW w:w="350" w:type="pct"/>
            <w:tcBorders>
              <w:top w:val="nil"/>
              <w:left w:val="nil"/>
              <w:bottom w:val="nil"/>
              <w:right w:val="nil"/>
            </w:tcBorders>
            <w:shd w:val="clear" w:color="auto" w:fill="auto"/>
            <w:vAlign w:val="bottom"/>
          </w:tcPr>
          <w:p w14:paraId="619DD2D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E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E1"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2E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E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2E4" w14:textId="77777777" w:rsidR="003D72E7" w:rsidRDefault="003D72E7">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619DD2E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2E6" w14:textId="77777777" w:rsidR="003D72E7" w:rsidRDefault="003D72E7">
            <w:pPr>
              <w:widowControl/>
              <w:jc w:val="left"/>
              <w:rPr>
                <w:rFonts w:ascii="Times New Roman" w:eastAsia="宋体" w:hAnsi="宋体" w:cs="宋体"/>
                <w:kern w:val="0"/>
                <w:sz w:val="24"/>
              </w:rPr>
            </w:pPr>
          </w:p>
        </w:tc>
      </w:tr>
      <w:tr w:rsidR="003D72E7" w14:paraId="619DD2F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2E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Three Months Ended July 31, 2020</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D2E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Common Stock and Capital in Excess of Par 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2EA"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D2E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Treasury Stock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2E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2E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2E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2E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2F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2F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2F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2F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2F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2F5" w14:textId="77777777" w:rsidR="003D72E7" w:rsidRDefault="003D72E7">
            <w:pPr>
              <w:widowControl/>
              <w:jc w:val="left"/>
              <w:rPr>
                <w:rFonts w:ascii="Times New Roman" w:eastAsia="宋体" w:hAnsi="宋体" w:cs="宋体"/>
                <w:kern w:val="0"/>
                <w:sz w:val="24"/>
              </w:rPr>
            </w:pPr>
          </w:p>
        </w:tc>
      </w:tr>
      <w:tr w:rsidR="003D72E7" w14:paraId="619DD30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2F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2F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Issued 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2F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2F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2F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2F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2F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2F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2F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30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Accumulated Deficit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30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30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Accumulated Other Comprehensive Income/(Loss)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30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30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Dell Technologies Stockholders’ Equity (Deficit)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30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30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Non-Controlling Interests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30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30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 Stockholders’ Equity (Deficit)</w:t>
            </w:r>
          </w:p>
        </w:tc>
      </w:tr>
      <w:tr w:rsidR="00AD6774" w14:paraId="619DD32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D30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Balances as of May 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30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30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0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30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30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16,339 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31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11"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31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31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1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31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31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(305)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31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1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31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31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(16,858)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31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1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31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31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(790)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31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2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32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32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(1,614)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32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2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32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32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4,854 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32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2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32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32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3,240 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32B" w14:textId="77777777" w:rsidR="003D72E7" w:rsidRDefault="003D72E7">
            <w:pPr>
              <w:widowControl/>
              <w:jc w:val="right"/>
              <w:rPr>
                <w:rFonts w:ascii="Times New Roman" w:eastAsia="宋体" w:hAnsi="宋体" w:cs="宋体"/>
                <w:kern w:val="0"/>
                <w:sz w:val="24"/>
              </w:rPr>
            </w:pPr>
          </w:p>
        </w:tc>
      </w:tr>
      <w:tr w:rsidR="003D72E7" w14:paraId="619DD348"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DD32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Net income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2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2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3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3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3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3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3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3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3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3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3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3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3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3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3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3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3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3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4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4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4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4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4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4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4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1,099 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47" w14:textId="77777777" w:rsidR="003D72E7" w:rsidRDefault="003D72E7">
            <w:pPr>
              <w:widowControl/>
              <w:jc w:val="right"/>
              <w:rPr>
                <w:rFonts w:ascii="Times New Roman" w:eastAsia="宋体" w:hAnsi="宋体" w:cs="宋体"/>
                <w:kern w:val="0"/>
                <w:sz w:val="24"/>
              </w:rPr>
            </w:pPr>
          </w:p>
        </w:tc>
      </w:tr>
      <w:tr w:rsidR="003D72E7" w14:paraId="619DD364"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D34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Foreign currency translation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4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4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4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4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4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4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5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5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5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5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5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5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5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5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5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5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5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5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5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5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5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5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6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6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6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63" w14:textId="77777777" w:rsidR="003D72E7" w:rsidRDefault="003D72E7">
            <w:pPr>
              <w:widowControl/>
              <w:jc w:val="right"/>
              <w:rPr>
                <w:rFonts w:ascii="Times New Roman" w:eastAsia="宋体" w:hAnsi="宋体" w:cs="宋体"/>
                <w:kern w:val="0"/>
                <w:sz w:val="24"/>
              </w:rPr>
            </w:pPr>
          </w:p>
        </w:tc>
      </w:tr>
      <w:tr w:rsidR="003D72E7" w14:paraId="619DD380"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DD36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Cash flow hedges, net change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6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6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6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6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6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6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6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6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6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6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7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7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7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7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7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7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7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7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7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7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7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7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7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7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7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7F" w14:textId="77777777" w:rsidR="003D72E7" w:rsidRDefault="003D72E7">
            <w:pPr>
              <w:widowControl/>
              <w:jc w:val="right"/>
              <w:rPr>
                <w:rFonts w:ascii="Times New Roman" w:eastAsia="宋体" w:hAnsi="宋体" w:cs="宋体"/>
                <w:kern w:val="0"/>
                <w:sz w:val="24"/>
              </w:rPr>
            </w:pPr>
          </w:p>
        </w:tc>
      </w:tr>
      <w:tr w:rsidR="003D72E7" w14:paraId="619DD39C"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D38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Pension and other post-retirement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8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8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8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8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8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8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8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8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8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8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8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8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8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8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9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9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9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9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9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9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9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9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9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9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9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9B" w14:textId="77777777" w:rsidR="003D72E7" w:rsidRDefault="003D72E7">
            <w:pPr>
              <w:widowControl/>
              <w:jc w:val="right"/>
              <w:rPr>
                <w:rFonts w:ascii="Times New Roman" w:eastAsia="宋体" w:hAnsi="宋体" w:cs="宋体"/>
                <w:kern w:val="0"/>
                <w:sz w:val="24"/>
              </w:rPr>
            </w:pPr>
          </w:p>
        </w:tc>
      </w:tr>
      <w:tr w:rsidR="003D72E7" w14:paraId="619DD3B8"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DD39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Issuance of common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9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9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A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A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A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A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A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A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A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A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A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A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A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A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A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A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A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A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B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B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B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B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B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B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B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B7" w14:textId="77777777" w:rsidR="003D72E7" w:rsidRDefault="003D72E7">
            <w:pPr>
              <w:widowControl/>
              <w:jc w:val="right"/>
              <w:rPr>
                <w:rFonts w:ascii="Times New Roman" w:eastAsia="宋体" w:hAnsi="宋体" w:cs="宋体"/>
                <w:kern w:val="0"/>
                <w:sz w:val="24"/>
              </w:rPr>
            </w:pPr>
          </w:p>
        </w:tc>
      </w:tr>
      <w:tr w:rsidR="003D72E7" w14:paraId="619DD3D4"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D3B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Stock-based compensation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B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B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B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B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B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B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C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C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C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C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C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C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C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C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C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C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C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C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C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C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C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C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D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3D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3D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3D3" w14:textId="77777777" w:rsidR="003D72E7" w:rsidRDefault="003D72E7">
            <w:pPr>
              <w:widowControl/>
              <w:jc w:val="right"/>
              <w:rPr>
                <w:rFonts w:ascii="Times New Roman" w:eastAsia="宋体" w:hAnsi="宋体" w:cs="宋体"/>
                <w:kern w:val="0"/>
                <w:sz w:val="24"/>
              </w:rPr>
            </w:pPr>
          </w:p>
        </w:tc>
      </w:tr>
      <w:tr w:rsidR="003D72E7" w14:paraId="619DD3E7" w14:textId="77777777">
        <w:trPr>
          <w:hidden/>
        </w:trPr>
        <w:tc>
          <w:tcPr>
            <w:tcW w:w="0" w:type="auto"/>
            <w:gridSpan w:val="3"/>
            <w:tcBorders>
              <w:top w:val="nil"/>
              <w:left w:val="nil"/>
              <w:bottom w:val="nil"/>
              <w:right w:val="nil"/>
            </w:tcBorders>
            <w:shd w:val="clear" w:color="auto" w:fill="auto"/>
            <w:vAlign w:val="bottom"/>
          </w:tcPr>
          <w:p w14:paraId="619DD3D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3D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3D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3D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3D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3D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3D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3D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3D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3D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3D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3E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3E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3E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3E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3E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3E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3E6" w14:textId="77777777" w:rsidR="003D72E7" w:rsidRDefault="003D72E7">
            <w:pPr>
              <w:widowControl/>
              <w:jc w:val="left"/>
              <w:rPr>
                <w:rFonts w:ascii="Times New Roman" w:eastAsia="宋体" w:hAnsi="宋体" w:cs="宋体"/>
                <w:vanish/>
                <w:kern w:val="0"/>
                <w:sz w:val="24"/>
              </w:rPr>
            </w:pPr>
          </w:p>
        </w:tc>
      </w:tr>
      <w:tr w:rsidR="003D72E7" w14:paraId="619DD403"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DD3E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Revaluation of redeemable shares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E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E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E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E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E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E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E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F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F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F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F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F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F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F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F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F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F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F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F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F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3F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3F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3F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40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40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402" w14:textId="77777777" w:rsidR="003D72E7" w:rsidRDefault="003D72E7">
            <w:pPr>
              <w:widowControl/>
              <w:jc w:val="right"/>
              <w:rPr>
                <w:rFonts w:ascii="Times New Roman" w:eastAsia="宋体" w:hAnsi="宋体" w:cs="宋体"/>
                <w:kern w:val="0"/>
                <w:sz w:val="24"/>
              </w:rPr>
            </w:pPr>
          </w:p>
        </w:tc>
      </w:tr>
      <w:tr w:rsidR="003D72E7" w14:paraId="619DD41F"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D40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Impact from equity transactions of 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40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40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0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40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40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0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40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40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0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40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40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1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41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41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1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41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41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1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41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41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1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41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(229)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41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1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41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(226)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41E" w14:textId="77777777" w:rsidR="003D72E7" w:rsidRDefault="003D72E7">
            <w:pPr>
              <w:widowControl/>
              <w:jc w:val="right"/>
              <w:rPr>
                <w:rFonts w:ascii="Times New Roman" w:eastAsia="宋体" w:hAnsi="宋体" w:cs="宋体"/>
                <w:kern w:val="0"/>
                <w:sz w:val="24"/>
              </w:rPr>
            </w:pPr>
          </w:p>
        </w:tc>
      </w:tr>
      <w:tr w:rsidR="003D72E7" w14:paraId="619DD432" w14:textId="77777777">
        <w:trPr>
          <w:hidden/>
        </w:trPr>
        <w:tc>
          <w:tcPr>
            <w:tcW w:w="0" w:type="auto"/>
            <w:gridSpan w:val="3"/>
            <w:tcBorders>
              <w:top w:val="nil"/>
              <w:left w:val="nil"/>
              <w:bottom w:val="nil"/>
              <w:right w:val="nil"/>
            </w:tcBorders>
            <w:shd w:val="clear" w:color="auto" w:fill="auto"/>
            <w:vAlign w:val="bottom"/>
          </w:tcPr>
          <w:p w14:paraId="619DD42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42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42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42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42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42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42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42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42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42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42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42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42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42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42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42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43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431" w14:textId="77777777" w:rsidR="003D72E7" w:rsidRDefault="003D72E7">
            <w:pPr>
              <w:widowControl/>
              <w:jc w:val="left"/>
              <w:rPr>
                <w:rFonts w:ascii="Times New Roman" w:eastAsia="宋体" w:hAnsi="宋体" w:cs="宋体"/>
                <w:vanish/>
                <w:kern w:val="0"/>
                <w:sz w:val="24"/>
              </w:rPr>
            </w:pPr>
          </w:p>
        </w:tc>
      </w:tr>
      <w:tr w:rsidR="00AD6774" w14:paraId="619DD45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D43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Balances as of July 31, 2020</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43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43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436"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43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43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16,356 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43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43A"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43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43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43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43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43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(305)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44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441"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44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44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(15,810)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44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445"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44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44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(660)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44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449"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44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44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(419)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44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44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44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44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4,977 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45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451"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45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45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4,558 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454" w14:textId="77777777" w:rsidR="003D72E7" w:rsidRDefault="003D72E7">
            <w:pPr>
              <w:widowControl/>
              <w:jc w:val="right"/>
              <w:rPr>
                <w:rFonts w:ascii="Times New Roman" w:eastAsia="宋体" w:hAnsi="宋体" w:cs="宋体"/>
                <w:kern w:val="0"/>
                <w:sz w:val="24"/>
              </w:rPr>
            </w:pPr>
          </w:p>
        </w:tc>
      </w:tr>
    </w:tbl>
    <w:p w14:paraId="619DD45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1070"/>
        <w:gridCol w:w="39"/>
        <w:gridCol w:w="78"/>
        <w:gridCol w:w="418"/>
        <w:gridCol w:w="36"/>
        <w:gridCol w:w="36"/>
        <w:gridCol w:w="36"/>
        <w:gridCol w:w="36"/>
        <w:gridCol w:w="100"/>
        <w:gridCol w:w="480"/>
        <w:gridCol w:w="36"/>
        <w:gridCol w:w="36"/>
        <w:gridCol w:w="36"/>
        <w:gridCol w:w="36"/>
        <w:gridCol w:w="104"/>
        <w:gridCol w:w="389"/>
        <w:gridCol w:w="36"/>
        <w:gridCol w:w="36"/>
        <w:gridCol w:w="36"/>
        <w:gridCol w:w="36"/>
        <w:gridCol w:w="114"/>
        <w:gridCol w:w="477"/>
        <w:gridCol w:w="37"/>
        <w:gridCol w:w="36"/>
        <w:gridCol w:w="36"/>
        <w:gridCol w:w="36"/>
        <w:gridCol w:w="124"/>
        <w:gridCol w:w="811"/>
        <w:gridCol w:w="36"/>
        <w:gridCol w:w="36"/>
        <w:gridCol w:w="36"/>
        <w:gridCol w:w="36"/>
        <w:gridCol w:w="101"/>
        <w:gridCol w:w="1027"/>
        <w:gridCol w:w="36"/>
        <w:gridCol w:w="36"/>
        <w:gridCol w:w="36"/>
        <w:gridCol w:w="36"/>
        <w:gridCol w:w="101"/>
        <w:gridCol w:w="911"/>
        <w:gridCol w:w="36"/>
        <w:gridCol w:w="36"/>
        <w:gridCol w:w="36"/>
        <w:gridCol w:w="36"/>
        <w:gridCol w:w="145"/>
        <w:gridCol w:w="1010"/>
        <w:gridCol w:w="36"/>
        <w:gridCol w:w="36"/>
        <w:gridCol w:w="36"/>
        <w:gridCol w:w="36"/>
        <w:gridCol w:w="104"/>
        <w:gridCol w:w="869"/>
        <w:gridCol w:w="36"/>
      </w:tblGrid>
      <w:tr w:rsidR="003D72E7" w14:paraId="619DD48D" w14:textId="77777777">
        <w:tc>
          <w:tcPr>
            <w:tcW w:w="50" w:type="pct"/>
            <w:tcBorders>
              <w:top w:val="nil"/>
              <w:left w:val="nil"/>
              <w:bottom w:val="nil"/>
              <w:right w:val="nil"/>
            </w:tcBorders>
            <w:shd w:val="clear" w:color="auto" w:fill="auto"/>
            <w:vAlign w:val="bottom"/>
          </w:tcPr>
          <w:p w14:paraId="619DD457" w14:textId="77777777" w:rsidR="003D72E7" w:rsidRDefault="003D72E7">
            <w:pPr>
              <w:widowControl/>
              <w:jc w:val="left"/>
              <w:rPr>
                <w:rFonts w:ascii="Times New Roman" w:eastAsia="宋体" w:hAnsi="宋体" w:cs="宋体"/>
                <w:kern w:val="0"/>
                <w:sz w:val="24"/>
              </w:rPr>
            </w:pPr>
          </w:p>
        </w:tc>
        <w:tc>
          <w:tcPr>
            <w:tcW w:w="859" w:type="pct"/>
            <w:tcBorders>
              <w:top w:val="nil"/>
              <w:left w:val="nil"/>
              <w:bottom w:val="nil"/>
              <w:right w:val="nil"/>
            </w:tcBorders>
            <w:shd w:val="clear" w:color="auto" w:fill="auto"/>
            <w:vAlign w:val="bottom"/>
          </w:tcPr>
          <w:p w14:paraId="619DD45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5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45A" w14:textId="77777777" w:rsidR="003D72E7" w:rsidRDefault="003D72E7">
            <w:pPr>
              <w:widowControl/>
              <w:jc w:val="left"/>
              <w:rPr>
                <w:rFonts w:ascii="Times New Roman" w:eastAsia="宋体" w:hAnsi="宋体" w:cs="宋体"/>
                <w:kern w:val="0"/>
                <w:sz w:val="24"/>
              </w:rPr>
            </w:pPr>
          </w:p>
        </w:tc>
        <w:tc>
          <w:tcPr>
            <w:tcW w:w="269" w:type="pct"/>
            <w:tcBorders>
              <w:top w:val="nil"/>
              <w:left w:val="nil"/>
              <w:bottom w:val="nil"/>
              <w:right w:val="nil"/>
            </w:tcBorders>
            <w:shd w:val="clear" w:color="auto" w:fill="auto"/>
            <w:vAlign w:val="bottom"/>
          </w:tcPr>
          <w:p w14:paraId="619DD45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5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5D"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45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5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460" w14:textId="77777777" w:rsidR="003D72E7" w:rsidRDefault="003D72E7">
            <w:pPr>
              <w:widowControl/>
              <w:jc w:val="left"/>
              <w:rPr>
                <w:rFonts w:ascii="Times New Roman" w:eastAsia="宋体" w:hAnsi="宋体" w:cs="宋体"/>
                <w:kern w:val="0"/>
                <w:sz w:val="24"/>
              </w:rPr>
            </w:pPr>
          </w:p>
        </w:tc>
        <w:tc>
          <w:tcPr>
            <w:tcW w:w="242" w:type="pct"/>
            <w:tcBorders>
              <w:top w:val="nil"/>
              <w:left w:val="nil"/>
              <w:bottom w:val="nil"/>
              <w:right w:val="nil"/>
            </w:tcBorders>
            <w:shd w:val="clear" w:color="auto" w:fill="auto"/>
            <w:vAlign w:val="bottom"/>
          </w:tcPr>
          <w:p w14:paraId="619DD46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6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63"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46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6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466" w14:textId="77777777" w:rsidR="003D72E7" w:rsidRDefault="003D72E7">
            <w:pPr>
              <w:widowControl/>
              <w:jc w:val="left"/>
              <w:rPr>
                <w:rFonts w:ascii="Times New Roman" w:eastAsia="宋体" w:hAnsi="宋体" w:cs="宋体"/>
                <w:kern w:val="0"/>
                <w:sz w:val="24"/>
              </w:rPr>
            </w:pPr>
          </w:p>
        </w:tc>
        <w:tc>
          <w:tcPr>
            <w:tcW w:w="187" w:type="pct"/>
            <w:tcBorders>
              <w:top w:val="nil"/>
              <w:left w:val="nil"/>
              <w:bottom w:val="nil"/>
              <w:right w:val="nil"/>
            </w:tcBorders>
            <w:shd w:val="clear" w:color="auto" w:fill="auto"/>
            <w:vAlign w:val="bottom"/>
          </w:tcPr>
          <w:p w14:paraId="619DD46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6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69"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46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6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46C" w14:textId="77777777" w:rsidR="003D72E7" w:rsidRDefault="003D72E7">
            <w:pPr>
              <w:widowControl/>
              <w:jc w:val="left"/>
              <w:rPr>
                <w:rFonts w:ascii="Times New Roman" w:eastAsia="宋体" w:hAnsi="宋体" w:cs="宋体"/>
                <w:kern w:val="0"/>
                <w:sz w:val="24"/>
              </w:rPr>
            </w:pPr>
          </w:p>
        </w:tc>
        <w:tc>
          <w:tcPr>
            <w:tcW w:w="210" w:type="pct"/>
            <w:tcBorders>
              <w:top w:val="nil"/>
              <w:left w:val="nil"/>
              <w:bottom w:val="nil"/>
              <w:right w:val="nil"/>
            </w:tcBorders>
            <w:shd w:val="clear" w:color="auto" w:fill="auto"/>
            <w:vAlign w:val="bottom"/>
          </w:tcPr>
          <w:p w14:paraId="619DD46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6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6F"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47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7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472" w14:textId="77777777" w:rsidR="003D72E7" w:rsidRDefault="003D72E7">
            <w:pPr>
              <w:widowControl/>
              <w:jc w:val="left"/>
              <w:rPr>
                <w:rFonts w:ascii="Times New Roman" w:eastAsia="宋体" w:hAnsi="宋体" w:cs="宋体"/>
                <w:kern w:val="0"/>
                <w:sz w:val="24"/>
              </w:rPr>
            </w:pPr>
          </w:p>
        </w:tc>
        <w:tc>
          <w:tcPr>
            <w:tcW w:w="329" w:type="pct"/>
            <w:tcBorders>
              <w:top w:val="nil"/>
              <w:left w:val="nil"/>
              <w:bottom w:val="nil"/>
              <w:right w:val="nil"/>
            </w:tcBorders>
            <w:shd w:val="clear" w:color="auto" w:fill="auto"/>
            <w:vAlign w:val="bottom"/>
          </w:tcPr>
          <w:p w14:paraId="619DD47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7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75"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47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7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478" w14:textId="77777777" w:rsidR="003D72E7" w:rsidRDefault="003D72E7">
            <w:pPr>
              <w:widowControl/>
              <w:jc w:val="left"/>
              <w:rPr>
                <w:rFonts w:ascii="Times New Roman" w:eastAsia="宋体" w:hAnsi="宋体" w:cs="宋体"/>
                <w:kern w:val="0"/>
                <w:sz w:val="24"/>
              </w:rPr>
            </w:pPr>
          </w:p>
        </w:tc>
        <w:tc>
          <w:tcPr>
            <w:tcW w:w="707" w:type="pct"/>
            <w:tcBorders>
              <w:top w:val="nil"/>
              <w:left w:val="nil"/>
              <w:bottom w:val="nil"/>
              <w:right w:val="nil"/>
            </w:tcBorders>
            <w:shd w:val="clear" w:color="auto" w:fill="auto"/>
            <w:vAlign w:val="bottom"/>
          </w:tcPr>
          <w:p w14:paraId="619DD47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7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7B"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47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7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47E" w14:textId="77777777" w:rsidR="003D72E7" w:rsidRDefault="003D72E7">
            <w:pPr>
              <w:widowControl/>
              <w:jc w:val="left"/>
              <w:rPr>
                <w:rFonts w:ascii="Times New Roman" w:eastAsia="宋体" w:hAnsi="宋体" w:cs="宋体"/>
                <w:kern w:val="0"/>
                <w:sz w:val="24"/>
              </w:rPr>
            </w:pPr>
          </w:p>
        </w:tc>
        <w:tc>
          <w:tcPr>
            <w:tcW w:w="697" w:type="pct"/>
            <w:tcBorders>
              <w:top w:val="nil"/>
              <w:left w:val="nil"/>
              <w:bottom w:val="nil"/>
              <w:right w:val="nil"/>
            </w:tcBorders>
            <w:shd w:val="clear" w:color="auto" w:fill="auto"/>
            <w:vAlign w:val="bottom"/>
          </w:tcPr>
          <w:p w14:paraId="619DD47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8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81"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48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8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484" w14:textId="77777777" w:rsidR="003D72E7" w:rsidRDefault="003D72E7">
            <w:pPr>
              <w:widowControl/>
              <w:jc w:val="left"/>
              <w:rPr>
                <w:rFonts w:ascii="Times New Roman" w:eastAsia="宋体" w:hAnsi="宋体" w:cs="宋体"/>
                <w:kern w:val="0"/>
                <w:sz w:val="24"/>
              </w:rPr>
            </w:pPr>
          </w:p>
        </w:tc>
        <w:tc>
          <w:tcPr>
            <w:tcW w:w="350" w:type="pct"/>
            <w:tcBorders>
              <w:top w:val="nil"/>
              <w:left w:val="nil"/>
              <w:bottom w:val="nil"/>
              <w:right w:val="nil"/>
            </w:tcBorders>
            <w:shd w:val="clear" w:color="auto" w:fill="auto"/>
            <w:vAlign w:val="bottom"/>
          </w:tcPr>
          <w:p w14:paraId="619DD48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8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87" w14:textId="77777777" w:rsidR="003D72E7" w:rsidRDefault="003D72E7">
            <w:pPr>
              <w:widowControl/>
              <w:jc w:val="left"/>
              <w:rPr>
                <w:rFonts w:ascii="Times New Roman" w:eastAsia="宋体" w:hAnsi="宋体" w:cs="宋体"/>
                <w:kern w:val="0"/>
                <w:sz w:val="24"/>
              </w:rPr>
            </w:pPr>
          </w:p>
        </w:tc>
        <w:tc>
          <w:tcPr>
            <w:tcW w:w="11" w:type="pct"/>
            <w:tcBorders>
              <w:top w:val="nil"/>
              <w:left w:val="nil"/>
              <w:bottom w:val="nil"/>
              <w:right w:val="nil"/>
            </w:tcBorders>
            <w:shd w:val="clear" w:color="auto" w:fill="auto"/>
            <w:vAlign w:val="bottom"/>
          </w:tcPr>
          <w:p w14:paraId="619DD48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8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48A" w14:textId="77777777" w:rsidR="003D72E7" w:rsidRDefault="003D72E7">
            <w:pPr>
              <w:widowControl/>
              <w:jc w:val="left"/>
              <w:rPr>
                <w:rFonts w:ascii="Times New Roman" w:eastAsia="宋体" w:hAnsi="宋体" w:cs="宋体"/>
                <w:kern w:val="0"/>
                <w:sz w:val="24"/>
              </w:rPr>
            </w:pPr>
          </w:p>
        </w:tc>
        <w:tc>
          <w:tcPr>
            <w:tcW w:w="421" w:type="pct"/>
            <w:tcBorders>
              <w:top w:val="nil"/>
              <w:left w:val="nil"/>
              <w:bottom w:val="nil"/>
              <w:right w:val="nil"/>
            </w:tcBorders>
            <w:shd w:val="clear" w:color="auto" w:fill="auto"/>
            <w:vAlign w:val="bottom"/>
          </w:tcPr>
          <w:p w14:paraId="619DD48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48C" w14:textId="77777777" w:rsidR="003D72E7" w:rsidRDefault="003D72E7">
            <w:pPr>
              <w:widowControl/>
              <w:jc w:val="left"/>
              <w:rPr>
                <w:rFonts w:ascii="Times New Roman" w:eastAsia="宋体" w:hAnsi="宋体" w:cs="宋体"/>
                <w:kern w:val="0"/>
                <w:sz w:val="24"/>
              </w:rPr>
            </w:pPr>
          </w:p>
        </w:tc>
      </w:tr>
      <w:tr w:rsidR="003D72E7" w14:paraId="619DD49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48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Six Months Ended July 31, 2020</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D48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Common Stock and Capital in Excess of Par 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90"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D49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Treasury Stock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9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9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9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9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9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9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9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9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9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9B" w14:textId="77777777" w:rsidR="003D72E7" w:rsidRDefault="003D72E7">
            <w:pPr>
              <w:widowControl/>
              <w:jc w:val="left"/>
              <w:rPr>
                <w:rFonts w:ascii="Times New Roman" w:eastAsia="宋体" w:hAnsi="宋体" w:cs="宋体"/>
                <w:kern w:val="0"/>
                <w:sz w:val="24"/>
              </w:rPr>
            </w:pPr>
          </w:p>
        </w:tc>
      </w:tr>
      <w:tr w:rsidR="003D72E7" w14:paraId="619DD4A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9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49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Issued 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49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4A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A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4A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Shares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4A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4A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Amount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A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4A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Accumulated Deficit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A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4A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Accumulated Other Comprehensive Income/(Loss)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A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4A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Dell Technologies</w:t>
            </w:r>
            <w:r>
              <w:rPr>
                <w:rFonts w:ascii="Times New Roman" w:eastAsia="宋体" w:hAnsi="Times New Roman" w:cs="Times New Roman"/>
                <w:b/>
                <w:bCs/>
                <w:color w:val="000000"/>
                <w:kern w:val="0"/>
                <w:sz w:val="16"/>
                <w:szCs w:val="16"/>
                <w:lang w:bidi="ar"/>
              </w:rPr>
              <w:br/>
              <w:t>Stockholders’ Equity (Deficit)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A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4A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Non-Controlling Interests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4A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4A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Total Stockholders’ Equity (Deficit)</w:t>
            </w:r>
          </w:p>
        </w:tc>
      </w:tr>
      <w:tr w:rsidR="00AD6774" w14:paraId="619DD4D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D4B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Balances as of January 31,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4B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745 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4B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B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4B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4B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16,091 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4B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B7"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4B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4B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BA"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4B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4B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4B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BE"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4B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4C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(16,891)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4C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C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4C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4C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(709)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4C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C6"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4C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4C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(1,574)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4C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CA"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4C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4C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4,729 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4C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CE"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4C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4D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3,155 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4D1" w14:textId="77777777" w:rsidR="003D72E7" w:rsidRDefault="003D72E7">
            <w:pPr>
              <w:widowControl/>
              <w:jc w:val="right"/>
              <w:rPr>
                <w:rFonts w:ascii="Times New Roman" w:eastAsia="宋体" w:hAnsi="宋体" w:cs="宋体"/>
                <w:kern w:val="0"/>
                <w:sz w:val="24"/>
              </w:rPr>
            </w:pPr>
          </w:p>
        </w:tc>
      </w:tr>
      <w:tr w:rsidR="003D72E7" w14:paraId="619DD4EE"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DD4D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Adjustment for adoption</w:t>
            </w:r>
            <w:r>
              <w:rPr>
                <w:rFonts w:ascii="Times New Roman" w:eastAsia="宋体" w:hAnsi="Times New Roman" w:cs="Times New Roman"/>
                <w:color w:val="000000"/>
                <w:kern w:val="0"/>
                <w:sz w:val="16"/>
                <w:szCs w:val="16"/>
                <w:lang w:bidi="ar"/>
              </w:rPr>
              <w:t xml:space="preserve"> of accounting standard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4D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4D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4D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4D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4D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4D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4D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4D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4D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4D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4D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4D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4E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4E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4E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4E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4E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4E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4E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4E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4E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4E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4E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4E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4E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4ED" w14:textId="77777777" w:rsidR="003D72E7" w:rsidRDefault="003D72E7">
            <w:pPr>
              <w:widowControl/>
              <w:jc w:val="right"/>
              <w:rPr>
                <w:rFonts w:ascii="Times New Roman" w:eastAsia="宋体" w:hAnsi="宋体" w:cs="宋体"/>
                <w:kern w:val="0"/>
                <w:sz w:val="24"/>
              </w:rPr>
            </w:pPr>
          </w:p>
        </w:tc>
      </w:tr>
      <w:tr w:rsidR="003D72E7" w14:paraId="619DD50A"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D4E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Net income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4F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4F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F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4F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4F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F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4F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4F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F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4F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4F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F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4F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1,191 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4F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4F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4F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0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0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0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1,191 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0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0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0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0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0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0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1,281 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09" w14:textId="77777777" w:rsidR="003D72E7" w:rsidRDefault="003D72E7">
            <w:pPr>
              <w:widowControl/>
              <w:jc w:val="right"/>
              <w:rPr>
                <w:rFonts w:ascii="Times New Roman" w:eastAsia="宋体" w:hAnsi="宋体" w:cs="宋体"/>
                <w:kern w:val="0"/>
                <w:sz w:val="24"/>
              </w:rPr>
            </w:pPr>
          </w:p>
        </w:tc>
      </w:tr>
      <w:tr w:rsidR="003D72E7" w14:paraId="619DD526"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DD50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Foreign currency translation adjustments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0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0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0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0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1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1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1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1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1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1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1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1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1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1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1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1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1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1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1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1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2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2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2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2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2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25" w14:textId="77777777" w:rsidR="003D72E7" w:rsidRDefault="003D72E7">
            <w:pPr>
              <w:widowControl/>
              <w:jc w:val="right"/>
              <w:rPr>
                <w:rFonts w:ascii="Times New Roman" w:eastAsia="宋体" w:hAnsi="宋体" w:cs="宋体"/>
                <w:kern w:val="0"/>
                <w:sz w:val="24"/>
              </w:rPr>
            </w:pPr>
          </w:p>
        </w:tc>
      </w:tr>
      <w:tr w:rsidR="003D72E7" w14:paraId="619DD542"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D52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Cash flow hedges, net change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2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2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2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2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2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2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2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2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3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3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3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3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3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3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3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3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(197)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3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3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3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(197)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3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3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3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3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3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4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(198)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41" w14:textId="77777777" w:rsidR="003D72E7" w:rsidRDefault="003D72E7">
            <w:pPr>
              <w:widowControl/>
              <w:jc w:val="right"/>
              <w:rPr>
                <w:rFonts w:ascii="Times New Roman" w:eastAsia="宋体" w:hAnsi="宋体" w:cs="宋体"/>
                <w:kern w:val="0"/>
                <w:sz w:val="24"/>
              </w:rPr>
            </w:pPr>
          </w:p>
        </w:tc>
      </w:tr>
      <w:tr w:rsidR="003D72E7" w14:paraId="619DD55E"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DD54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Pension and other post-retirement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4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4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4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4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4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4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4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4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4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4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4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4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5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5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5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5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5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5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5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5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5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5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5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5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5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5D" w14:textId="77777777" w:rsidR="003D72E7" w:rsidRDefault="003D72E7">
            <w:pPr>
              <w:widowControl/>
              <w:jc w:val="right"/>
              <w:rPr>
                <w:rFonts w:ascii="Times New Roman" w:eastAsia="宋体" w:hAnsi="宋体" w:cs="宋体"/>
                <w:kern w:val="0"/>
                <w:sz w:val="24"/>
              </w:rPr>
            </w:pPr>
          </w:p>
        </w:tc>
      </w:tr>
      <w:tr w:rsidR="003D72E7" w14:paraId="619DD57A"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D55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Issuance of common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6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6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6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6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6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6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6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6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6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6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6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6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6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6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6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6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7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7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7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7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7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7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7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7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7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79" w14:textId="77777777" w:rsidR="003D72E7" w:rsidRDefault="003D72E7">
            <w:pPr>
              <w:widowControl/>
              <w:jc w:val="right"/>
              <w:rPr>
                <w:rFonts w:ascii="Times New Roman" w:eastAsia="宋体" w:hAnsi="宋体" w:cs="宋体"/>
                <w:kern w:val="0"/>
                <w:sz w:val="24"/>
              </w:rPr>
            </w:pPr>
          </w:p>
        </w:tc>
      </w:tr>
      <w:tr w:rsidR="003D72E7" w14:paraId="619DD596"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DD57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Stock-based compensation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7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7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7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7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8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8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8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8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8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8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8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8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8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8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8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8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8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8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8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8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9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9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577 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9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9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9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95" w14:textId="77777777" w:rsidR="003D72E7" w:rsidRDefault="003D72E7">
            <w:pPr>
              <w:widowControl/>
              <w:jc w:val="right"/>
              <w:rPr>
                <w:rFonts w:ascii="Times New Roman" w:eastAsia="宋体" w:hAnsi="宋体" w:cs="宋体"/>
                <w:kern w:val="0"/>
                <w:sz w:val="24"/>
              </w:rPr>
            </w:pPr>
          </w:p>
        </w:tc>
      </w:tr>
      <w:tr w:rsidR="003D72E7" w14:paraId="619DD5B2"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D59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Treasury stock repurchases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9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9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9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9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9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9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9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9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A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A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A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A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A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A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A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A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A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A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A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A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A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A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A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A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B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(240)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B1" w14:textId="77777777" w:rsidR="003D72E7" w:rsidRDefault="003D72E7">
            <w:pPr>
              <w:widowControl/>
              <w:jc w:val="right"/>
              <w:rPr>
                <w:rFonts w:ascii="Times New Roman" w:eastAsia="宋体" w:hAnsi="宋体" w:cs="宋体"/>
                <w:kern w:val="0"/>
                <w:sz w:val="24"/>
              </w:rPr>
            </w:pPr>
          </w:p>
        </w:tc>
      </w:tr>
      <w:tr w:rsidR="003D72E7" w14:paraId="619DD5CE"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DD5B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Revaluation of redeemable shares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B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B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B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B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B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B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B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B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B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B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B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B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C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C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C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C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C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C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C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C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C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C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C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5C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5C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5CD" w14:textId="77777777" w:rsidR="003D72E7" w:rsidRDefault="003D72E7">
            <w:pPr>
              <w:widowControl/>
              <w:jc w:val="right"/>
              <w:rPr>
                <w:rFonts w:ascii="Times New Roman" w:eastAsia="宋体" w:hAnsi="宋体" w:cs="宋体"/>
                <w:kern w:val="0"/>
                <w:sz w:val="24"/>
              </w:rPr>
            </w:pPr>
          </w:p>
        </w:tc>
      </w:tr>
      <w:tr w:rsidR="003D72E7" w14:paraId="619DD5EA"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D5C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Impact from equity transactions of 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D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D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D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D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D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D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D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D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D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D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D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D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D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D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D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D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E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E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E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E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E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E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E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5E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5E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(456)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5E9" w14:textId="77777777" w:rsidR="003D72E7" w:rsidRDefault="003D72E7">
            <w:pPr>
              <w:widowControl/>
              <w:jc w:val="right"/>
              <w:rPr>
                <w:rFonts w:ascii="Times New Roman" w:eastAsia="宋体" w:hAnsi="宋体" w:cs="宋体"/>
                <w:kern w:val="0"/>
                <w:sz w:val="24"/>
              </w:rPr>
            </w:pPr>
          </w:p>
        </w:tc>
      </w:tr>
      <w:tr w:rsidR="003D72E7" w14:paraId="619DD5FD" w14:textId="77777777">
        <w:trPr>
          <w:hidden/>
        </w:trPr>
        <w:tc>
          <w:tcPr>
            <w:tcW w:w="0" w:type="auto"/>
            <w:gridSpan w:val="3"/>
            <w:tcBorders>
              <w:top w:val="nil"/>
              <w:left w:val="nil"/>
              <w:bottom w:val="nil"/>
              <w:right w:val="nil"/>
            </w:tcBorders>
            <w:shd w:val="clear" w:color="auto" w:fill="auto"/>
            <w:vAlign w:val="bottom"/>
          </w:tcPr>
          <w:p w14:paraId="619DD5E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5E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5E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5E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5E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5F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5F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5F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5F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5F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5F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5F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5F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5F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5F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5F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5F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5FC" w14:textId="77777777" w:rsidR="003D72E7" w:rsidRDefault="003D72E7">
            <w:pPr>
              <w:widowControl/>
              <w:jc w:val="left"/>
              <w:rPr>
                <w:rFonts w:ascii="Times New Roman" w:eastAsia="宋体" w:hAnsi="宋体" w:cs="宋体"/>
                <w:vanish/>
                <w:kern w:val="0"/>
                <w:sz w:val="24"/>
              </w:rPr>
            </w:pPr>
          </w:p>
        </w:tc>
      </w:tr>
      <w:tr w:rsidR="00AD6774" w14:paraId="619DD62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D5F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16"/>
                <w:szCs w:val="16"/>
                <w:lang w:bidi="ar"/>
              </w:rPr>
              <w:t>Balances as of July 31, 2020</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5F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753 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60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601"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60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60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16,356 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60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605"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60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60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60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60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60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(305)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60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60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60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60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(15,810)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60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61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61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61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(660)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61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61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61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61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(419)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61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61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61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61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4,977 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61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61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61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61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4,558 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61F" w14:textId="77777777" w:rsidR="003D72E7" w:rsidRDefault="003D72E7">
            <w:pPr>
              <w:widowControl/>
              <w:jc w:val="right"/>
              <w:rPr>
                <w:rFonts w:ascii="Times New Roman" w:eastAsia="宋体" w:hAnsi="宋体" w:cs="宋体"/>
                <w:kern w:val="0"/>
                <w:sz w:val="24"/>
              </w:rPr>
            </w:pPr>
          </w:p>
        </w:tc>
      </w:tr>
    </w:tbl>
    <w:p w14:paraId="619DD62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2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The accompanyi</w:t>
      </w:r>
      <w:r>
        <w:rPr>
          <w:rFonts w:ascii="Times New Roman" w:eastAsia="宋体" w:hAnsi="Times New Roman" w:cs="Times New Roman"/>
          <w:color w:val="000000"/>
          <w:kern w:val="0"/>
          <w:sz w:val="20"/>
          <w:szCs w:val="20"/>
          <w:lang w:bidi="ar"/>
        </w:rPr>
        <w:t>ng notes are an integral part of these Condensed Consolidated Financial Statements.</w:t>
      </w:r>
    </w:p>
    <w:p w14:paraId="619DD62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62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w:t>
      </w:r>
    </w:p>
    <w:p w14:paraId="619DD625"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626" w14:textId="77777777" w:rsidR="003D72E7" w:rsidRDefault="00AD6774">
      <w:pPr>
        <w:widowControl/>
        <w:jc w:val="center"/>
      </w:pPr>
      <w:r>
        <w:rPr>
          <w:rFonts w:ascii="宋体" w:eastAsia="宋体" w:hAnsi="宋体" w:cs="宋体"/>
          <w:kern w:val="0"/>
          <w:sz w:val="24"/>
        </w:rPr>
        <w:pict w14:anchorId="619E0D75">
          <v:rect id="_x0000_i1034" style="width:6in;height:1.5pt" o:hralign="center" o:hrstd="t" o:hr="t" fillcolor="#a0a0a0" stroked="f"/>
        </w:pict>
      </w:r>
    </w:p>
    <w:p w14:paraId="619DD627"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D628"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D629"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 xml:space="preserve">NOTES TO THE CONDENSED CONSOLIDATED FINANCIAL STATEMENTS </w:t>
      </w:r>
    </w:p>
    <w:p w14:paraId="619DD62A"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D62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62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2D" w14:textId="77777777" w:rsidR="003D72E7" w:rsidRDefault="00AD6774">
      <w:pPr>
        <w:widowControl/>
        <w:spacing w:before="24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2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1 — BASIS OF PRESENTATION </w:t>
      </w:r>
    </w:p>
    <w:p w14:paraId="619DD62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3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References in these Notes to the Condensed Consolidated Financial Statements to the “Company” or “Dell Technologies” mean Dell Technologies Inc. i</w:t>
      </w:r>
      <w:r>
        <w:rPr>
          <w:rFonts w:ascii="Times New Roman" w:eastAsia="宋体" w:hAnsi="Times New Roman" w:cs="Times New Roman"/>
          <w:color w:val="000000"/>
          <w:kern w:val="0"/>
          <w:sz w:val="20"/>
          <w:szCs w:val="20"/>
          <w:lang w:bidi="ar"/>
        </w:rPr>
        <w:t>ndividually and together with its consolidated subsidiaries.</w:t>
      </w:r>
    </w:p>
    <w:p w14:paraId="619DD63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3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Basis of Presentation — </w:t>
      </w:r>
      <w:r>
        <w:rPr>
          <w:rFonts w:ascii="Times New Roman" w:eastAsia="宋体" w:hAnsi="Times New Roman" w:cs="Times New Roman"/>
          <w:color w:val="000000"/>
          <w:kern w:val="0"/>
          <w:sz w:val="20"/>
          <w:szCs w:val="20"/>
          <w:lang w:bidi="ar"/>
        </w:rPr>
        <w:t xml:space="preserve">The accompanying unaudited Condensed Consolidated Financial Statements should be read in conjunction with the audited Consolidated Financial Statements and accompanying </w:t>
      </w:r>
      <w:r>
        <w:rPr>
          <w:rFonts w:ascii="Times New Roman" w:eastAsia="宋体" w:hAnsi="Times New Roman" w:cs="Times New Roman"/>
          <w:color w:val="000000"/>
          <w:kern w:val="0"/>
          <w:sz w:val="20"/>
          <w:szCs w:val="20"/>
          <w:lang w:bidi="ar"/>
        </w:rPr>
        <w:t xml:space="preserve">Notes filed with the U.S. Securities and Exchange Commission (“SEC”) in the Company’s Annual Report on Form 10-K for the fiscal year ended January 29, 2021. These Condensed Consolidated Financial Statements have been prepared in accordance with accounting </w:t>
      </w:r>
      <w:r>
        <w:rPr>
          <w:rFonts w:ascii="Times New Roman" w:eastAsia="宋体" w:hAnsi="Times New Roman" w:cs="Times New Roman"/>
          <w:color w:val="000000"/>
          <w:kern w:val="0"/>
          <w:sz w:val="20"/>
          <w:szCs w:val="20"/>
          <w:lang w:bidi="ar"/>
        </w:rPr>
        <w:t>principles generally accepted in the United States of America (“GAAP”). In the opinion of management, the accompanying Condensed Consolidated Financial Statements reflect all adjustments of a normal recurring nature considered necessary to fairly state the</w:t>
      </w:r>
      <w:r>
        <w:rPr>
          <w:rFonts w:ascii="Times New Roman" w:eastAsia="宋体" w:hAnsi="Times New Roman" w:cs="Times New Roman"/>
          <w:color w:val="000000"/>
          <w:kern w:val="0"/>
          <w:sz w:val="20"/>
          <w:szCs w:val="20"/>
          <w:lang w:bidi="ar"/>
        </w:rPr>
        <w:t xml:space="preserve"> financial position of Dell Technologies Inc. as of July 30, 2021 and January 29, 2021, the results of its operations and corresponding comprehensive income (loss) for the three and six months ended July 30, 2021 and July 31, 2020, its cash flows for the s</w:t>
      </w:r>
      <w:r>
        <w:rPr>
          <w:rFonts w:ascii="Times New Roman" w:eastAsia="宋体" w:hAnsi="Times New Roman" w:cs="Times New Roman"/>
          <w:color w:val="000000"/>
          <w:kern w:val="0"/>
          <w:sz w:val="20"/>
          <w:szCs w:val="20"/>
          <w:lang w:bidi="ar"/>
        </w:rPr>
        <w:t>ix months ended July 30, 2021 and July 31, 2020, and its statements of stockholders’ equity for the three and six months ended July 30, 2021 and July 31, 2020.</w:t>
      </w:r>
    </w:p>
    <w:p w14:paraId="619DD63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3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preparation of financial statements in accordance with GAAP requires management to make es</w:t>
      </w:r>
      <w:r>
        <w:rPr>
          <w:rFonts w:ascii="Times New Roman" w:eastAsia="宋体" w:hAnsi="Times New Roman" w:cs="Times New Roman"/>
          <w:color w:val="000000"/>
          <w:kern w:val="0"/>
          <w:sz w:val="20"/>
          <w:szCs w:val="20"/>
          <w:lang w:bidi="ar"/>
        </w:rPr>
        <w:t>timates and assumptions that affect the amounts reported in the Condensed Consolidated Financial Statements and the accompanying Notes. Management has considered the actual and potential economic impacts of the coronavirus disease 2019 (“COVID-19”) pandemi</w:t>
      </w:r>
      <w:r>
        <w:rPr>
          <w:rFonts w:ascii="Times New Roman" w:eastAsia="宋体" w:hAnsi="Times New Roman" w:cs="Times New Roman"/>
          <w:color w:val="000000"/>
          <w:kern w:val="0"/>
          <w:sz w:val="20"/>
          <w:szCs w:val="20"/>
          <w:lang w:bidi="ar"/>
        </w:rPr>
        <w:t>c on the Company’s critical and significant accounting estimates. Actual results could differ materially from those estimates. The results of operations and comprehensive income (loss) for the three and six months ended July 30, 2021 and July 31, 2020, cas</w:t>
      </w:r>
      <w:r>
        <w:rPr>
          <w:rFonts w:ascii="Times New Roman" w:eastAsia="宋体" w:hAnsi="Times New Roman" w:cs="Times New Roman"/>
          <w:color w:val="000000"/>
          <w:kern w:val="0"/>
          <w:sz w:val="20"/>
          <w:szCs w:val="20"/>
          <w:lang w:bidi="ar"/>
        </w:rPr>
        <w:t>h flows for the six months ended July 30, 2021 and July 31, 2020, and statements of stockholders’ equity for the three and six months ended July 30, 2021 and July 31, 2020 are not necessarily indicative of the results to be expected for the full fiscal yea</w:t>
      </w:r>
      <w:r>
        <w:rPr>
          <w:rFonts w:ascii="Times New Roman" w:eastAsia="宋体" w:hAnsi="Times New Roman" w:cs="Times New Roman"/>
          <w:color w:val="000000"/>
          <w:kern w:val="0"/>
          <w:sz w:val="20"/>
          <w:szCs w:val="20"/>
          <w:lang w:bidi="ar"/>
        </w:rPr>
        <w:t>r or for any other fiscal period.</w:t>
      </w:r>
    </w:p>
    <w:p w14:paraId="619DD63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3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Company’s fiscal year is the 52- or 53-week period ending on the Friday nearest January 31. Both the fiscal year ending January 28, 2022 (“Fiscal 2022”) and fiscal year ended January 29, 2021 (“Fiscal 2021”) are </w:t>
      </w:r>
      <w:r>
        <w:rPr>
          <w:rFonts w:ascii="Times New Roman" w:eastAsia="宋体" w:hAnsi="Times New Roman" w:cs="Times New Roman"/>
          <w:color w:val="000000"/>
          <w:kern w:val="0"/>
          <w:sz w:val="20"/>
          <w:szCs w:val="20"/>
          <w:lang w:bidi="ar"/>
        </w:rPr>
        <w:t>52-week periods.</w:t>
      </w:r>
    </w:p>
    <w:p w14:paraId="619DD63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3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Principles of Consolidation </w:t>
      </w:r>
      <w:r>
        <w:rPr>
          <w:rFonts w:ascii="Times New Roman" w:eastAsia="宋体" w:hAnsi="Times New Roman" w:cs="Times New Roman"/>
          <w:color w:val="000000"/>
          <w:kern w:val="0"/>
          <w:sz w:val="20"/>
          <w:szCs w:val="20"/>
          <w:lang w:bidi="ar"/>
        </w:rPr>
        <w:t>— These Condensed Consolidated Financial Statements include the accounts of Dell Technologies and its wholly-owned subsidiaries, as well as the accounts of VMware, Inc. and SecureWorks Corp. (“Secureworks”), e</w:t>
      </w:r>
      <w:r>
        <w:rPr>
          <w:rFonts w:ascii="Times New Roman" w:eastAsia="宋体" w:hAnsi="Times New Roman" w:cs="Times New Roman"/>
          <w:color w:val="000000"/>
          <w:kern w:val="0"/>
          <w:sz w:val="20"/>
          <w:szCs w:val="20"/>
          <w:lang w:bidi="ar"/>
        </w:rPr>
        <w:t>ach of which is majority-owned by Dell Technologies. All intercompany transactions have been eliminated.</w:t>
      </w:r>
    </w:p>
    <w:p w14:paraId="619DD63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3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Unless the context indicates otherwise, references in these Notes to the Condensed Consolidated Financial Statements to “VMware” mean the VMware repo</w:t>
      </w:r>
      <w:r>
        <w:rPr>
          <w:rFonts w:ascii="Times New Roman" w:eastAsia="宋体" w:hAnsi="Times New Roman" w:cs="Times New Roman"/>
          <w:color w:val="000000"/>
          <w:kern w:val="0"/>
          <w:sz w:val="20"/>
          <w:szCs w:val="20"/>
          <w:lang w:bidi="ar"/>
        </w:rPr>
        <w:t>rtable segment, which reflects the operations of VMware, Inc. (NYSE: VMW) within Dell Technologies.</w:t>
      </w:r>
    </w:p>
    <w:p w14:paraId="619DD63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3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also consolidates Variable Interest Entities ("VIEs") where it has been determined that the Company is the primary beneficiary of the applicab</w:t>
      </w:r>
      <w:r>
        <w:rPr>
          <w:rFonts w:ascii="Times New Roman" w:eastAsia="宋体" w:hAnsi="Times New Roman" w:cs="Times New Roman"/>
          <w:color w:val="000000"/>
          <w:kern w:val="0"/>
          <w:sz w:val="20"/>
          <w:szCs w:val="20"/>
          <w:lang w:bidi="ar"/>
        </w:rPr>
        <w:t xml:space="preserve">le entities’ operations. For each VIE, the primary beneficiary is the party that has both the power to direct the activities that most significantly impact the VIE's economic performance and the obligation to absorb losses or the right to receive benefits </w:t>
      </w:r>
      <w:r>
        <w:rPr>
          <w:rFonts w:ascii="Times New Roman" w:eastAsia="宋体" w:hAnsi="Times New Roman" w:cs="Times New Roman"/>
          <w:color w:val="000000"/>
          <w:kern w:val="0"/>
          <w:sz w:val="20"/>
          <w:szCs w:val="20"/>
          <w:lang w:bidi="ar"/>
        </w:rPr>
        <w:t>of the VIE that could potentially be significant to such VIE. In evaluating whether the Company is the primary beneficiary of each entity, the Company evaluates its power to direct the most significant activities of the VIE by considering the purpose and d</w:t>
      </w:r>
      <w:r>
        <w:rPr>
          <w:rFonts w:ascii="Times New Roman" w:eastAsia="宋体" w:hAnsi="Times New Roman" w:cs="Times New Roman"/>
          <w:color w:val="000000"/>
          <w:kern w:val="0"/>
          <w:sz w:val="20"/>
          <w:szCs w:val="20"/>
          <w:lang w:bidi="ar"/>
        </w:rPr>
        <w:t>esign of each entity and the risks each entity was designed to create and pass through to its respective variable interest holders. The Company also evaluates its economic interests in each of the VIEs. See Note 3 of the Notes to the Condensed Consolidated</w:t>
      </w:r>
      <w:r>
        <w:rPr>
          <w:rFonts w:ascii="Times New Roman" w:eastAsia="宋体" w:hAnsi="Times New Roman" w:cs="Times New Roman"/>
          <w:color w:val="000000"/>
          <w:kern w:val="0"/>
          <w:sz w:val="20"/>
          <w:szCs w:val="20"/>
          <w:lang w:bidi="ar"/>
        </w:rPr>
        <w:t xml:space="preserve"> Financial Statements for more information regarding consolidated VIEs.</w:t>
      </w:r>
    </w:p>
    <w:p w14:paraId="619DD63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3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Boomi Divestiture </w:t>
      </w:r>
      <w:r>
        <w:rPr>
          <w:rFonts w:ascii="Times New Roman" w:eastAsia="宋体" w:hAnsi="Times New Roman" w:cs="Times New Roman"/>
          <w:color w:val="000000"/>
          <w:kern w:val="0"/>
          <w:sz w:val="20"/>
          <w:szCs w:val="20"/>
          <w:lang w:bidi="ar"/>
        </w:rPr>
        <w:t>— On May 1, 2021, Dell Technologies announced its entry into a definitive agreement with Francisco Partners and TPG Capital to sell Boomi and certain related assets</w:t>
      </w:r>
      <w:r>
        <w:rPr>
          <w:rFonts w:ascii="Times New Roman" w:eastAsia="宋体" w:hAnsi="Times New Roman" w:cs="Times New Roman"/>
          <w:color w:val="000000"/>
          <w:kern w:val="0"/>
          <w:sz w:val="20"/>
          <w:szCs w:val="20"/>
          <w:lang w:bidi="ar"/>
        </w:rPr>
        <w:t xml:space="preserve"> from the Company in a cash transaction valued at $4 billion, subject to certain closing adjustments. The transaction is expected to close in the third quarter of Fiscal 2022, subject to customary closing conditions. The transaction is intended to support </w:t>
      </w:r>
      <w:r>
        <w:rPr>
          <w:rFonts w:ascii="Times New Roman" w:eastAsia="宋体" w:hAnsi="Times New Roman" w:cs="Times New Roman"/>
          <w:color w:val="000000"/>
          <w:kern w:val="0"/>
          <w:sz w:val="20"/>
          <w:szCs w:val="20"/>
          <w:lang w:bidi="ar"/>
        </w:rPr>
        <w:t>the Company’s focus on fueling growth initiatives through targeted investments to modernize Dell Technologies’ core infrastructure and by expanding in high-priority areas, including hybrid and private cloud, edge, telecommunications solutions, and the Comp</w:t>
      </w:r>
      <w:r>
        <w:rPr>
          <w:rFonts w:ascii="Times New Roman" w:eastAsia="宋体" w:hAnsi="Times New Roman" w:cs="Times New Roman"/>
          <w:color w:val="000000"/>
          <w:kern w:val="0"/>
          <w:sz w:val="20"/>
          <w:szCs w:val="20"/>
          <w:lang w:bidi="ar"/>
        </w:rPr>
        <w:t>any’s Apex offerings.</w:t>
      </w:r>
    </w:p>
    <w:p w14:paraId="619DD63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4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accordance with applicable accounting guidance, the Company concluded that Boomi’s assets and liabilities have met the criteria to be classified as held-for-sale as of July 30, 2021. The Company reclassified the related assets an</w:t>
      </w:r>
      <w:r>
        <w:rPr>
          <w:rFonts w:ascii="Times New Roman" w:eastAsia="宋体" w:hAnsi="Times New Roman" w:cs="Times New Roman"/>
          <w:color w:val="000000"/>
          <w:kern w:val="0"/>
          <w:sz w:val="20"/>
          <w:szCs w:val="20"/>
          <w:lang w:bidi="ar"/>
        </w:rPr>
        <w:t xml:space="preserve">d liabilities as </w:t>
      </w:r>
    </w:p>
    <w:p w14:paraId="619DD641"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64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w:t>
      </w:r>
    </w:p>
    <w:p w14:paraId="619DD64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644" w14:textId="77777777" w:rsidR="003D72E7" w:rsidRDefault="00AD6774">
      <w:pPr>
        <w:widowControl/>
        <w:jc w:val="center"/>
      </w:pPr>
      <w:r>
        <w:rPr>
          <w:rFonts w:ascii="宋体" w:eastAsia="宋体" w:hAnsi="宋体" w:cs="宋体"/>
          <w:kern w:val="0"/>
          <w:sz w:val="24"/>
        </w:rPr>
        <w:pict w14:anchorId="619E0D76">
          <v:rect id="_x0000_i1035" style="width:6in;height:1.5pt" o:hralign="center" o:hrstd="t" o:hr="t" fillcolor="#a0a0a0" stroked="f"/>
        </w:pict>
      </w:r>
    </w:p>
    <w:p w14:paraId="619DD645"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D646"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D647"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D648"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D649"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64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Current assets held for sale and Current liabilities held for sale, respectively, in the accompanying Condensed Consolidated Statements of Financial Position as of July 30, 2021. </w:t>
      </w:r>
    </w:p>
    <w:p w14:paraId="619DD64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4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major classes of assets and liabilities a</w:t>
      </w:r>
      <w:r>
        <w:rPr>
          <w:rFonts w:ascii="Times New Roman" w:eastAsia="宋体" w:hAnsi="Times New Roman" w:cs="Times New Roman"/>
          <w:color w:val="000000"/>
          <w:kern w:val="0"/>
          <w:sz w:val="20"/>
          <w:szCs w:val="20"/>
          <w:lang w:bidi="ar"/>
        </w:rPr>
        <w:t>s of July 30, 2021 related to Boomi which were classified as held for sale as of the date indicated:</w:t>
      </w:r>
    </w:p>
    <w:p w14:paraId="619DD64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1"/>
        <w:gridCol w:w="6555"/>
        <w:gridCol w:w="37"/>
        <w:gridCol w:w="121"/>
        <w:gridCol w:w="1535"/>
        <w:gridCol w:w="37"/>
      </w:tblGrid>
      <w:tr w:rsidR="003D72E7" w14:paraId="619DD654" w14:textId="77777777">
        <w:tc>
          <w:tcPr>
            <w:tcW w:w="50" w:type="pct"/>
            <w:tcBorders>
              <w:top w:val="nil"/>
              <w:left w:val="nil"/>
              <w:bottom w:val="nil"/>
              <w:right w:val="nil"/>
            </w:tcBorders>
            <w:shd w:val="clear" w:color="auto" w:fill="auto"/>
            <w:vAlign w:val="bottom"/>
          </w:tcPr>
          <w:p w14:paraId="619DD64E" w14:textId="77777777" w:rsidR="003D72E7" w:rsidRDefault="003D72E7">
            <w:pPr>
              <w:widowControl/>
              <w:jc w:val="left"/>
              <w:rPr>
                <w:rFonts w:ascii="Times New Roman" w:eastAsia="宋体" w:hAnsi="宋体" w:cs="宋体"/>
                <w:kern w:val="0"/>
                <w:sz w:val="24"/>
              </w:rPr>
            </w:pPr>
          </w:p>
        </w:tc>
        <w:tc>
          <w:tcPr>
            <w:tcW w:w="3950" w:type="pct"/>
            <w:tcBorders>
              <w:top w:val="nil"/>
              <w:left w:val="nil"/>
              <w:bottom w:val="nil"/>
              <w:right w:val="nil"/>
            </w:tcBorders>
            <w:shd w:val="clear" w:color="auto" w:fill="auto"/>
            <w:vAlign w:val="bottom"/>
          </w:tcPr>
          <w:p w14:paraId="619DD64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650"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651" w14:textId="77777777" w:rsidR="003D72E7" w:rsidRDefault="003D72E7">
            <w:pPr>
              <w:widowControl/>
              <w:jc w:val="left"/>
              <w:rPr>
                <w:rFonts w:ascii="Times New Roman" w:eastAsia="宋体" w:hAnsi="宋体" w:cs="宋体"/>
                <w:kern w:val="0"/>
                <w:sz w:val="24"/>
              </w:rPr>
            </w:pPr>
          </w:p>
        </w:tc>
        <w:tc>
          <w:tcPr>
            <w:tcW w:w="939" w:type="pct"/>
            <w:tcBorders>
              <w:top w:val="nil"/>
              <w:left w:val="nil"/>
              <w:bottom w:val="nil"/>
              <w:right w:val="nil"/>
            </w:tcBorders>
            <w:shd w:val="clear" w:color="auto" w:fill="auto"/>
            <w:vAlign w:val="bottom"/>
          </w:tcPr>
          <w:p w14:paraId="619DD65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653" w14:textId="77777777" w:rsidR="003D72E7" w:rsidRDefault="003D72E7">
            <w:pPr>
              <w:widowControl/>
              <w:jc w:val="left"/>
              <w:rPr>
                <w:rFonts w:ascii="Times New Roman" w:eastAsia="宋体" w:hAnsi="宋体" w:cs="宋体"/>
                <w:kern w:val="0"/>
                <w:sz w:val="24"/>
              </w:rPr>
            </w:pPr>
          </w:p>
        </w:tc>
      </w:tr>
      <w:tr w:rsidR="003D72E7" w14:paraId="619DD65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65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65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3D72E7" w14:paraId="619DD65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658"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65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D65C" w14:textId="77777777">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619DD65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ASSETS</w:t>
            </w:r>
          </w:p>
        </w:tc>
      </w:tr>
      <w:tr w:rsidR="003D72E7" w14:paraId="619DD65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D65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 assets: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65E" w14:textId="77777777" w:rsidR="003D72E7" w:rsidRDefault="003D72E7">
            <w:pPr>
              <w:widowControl/>
              <w:jc w:val="left"/>
              <w:rPr>
                <w:rFonts w:ascii="Times New Roman" w:eastAsia="宋体" w:hAnsi="宋体" w:cs="宋体"/>
                <w:kern w:val="0"/>
                <w:sz w:val="24"/>
              </w:rPr>
            </w:pPr>
          </w:p>
        </w:tc>
      </w:tr>
      <w:tr w:rsidR="003D72E7" w14:paraId="619DD664" w14:textId="77777777">
        <w:tc>
          <w:tcPr>
            <w:tcW w:w="0" w:type="auto"/>
            <w:gridSpan w:val="3"/>
            <w:tcBorders>
              <w:top w:val="nil"/>
              <w:left w:val="nil"/>
              <w:bottom w:val="nil"/>
              <w:right w:val="nil"/>
            </w:tcBorders>
            <w:shd w:val="clear" w:color="auto" w:fill="auto"/>
            <w:tcMar>
              <w:top w:w="40" w:type="dxa"/>
              <w:left w:w="155" w:type="dxa"/>
              <w:bottom w:w="40" w:type="dxa"/>
              <w:right w:w="20" w:type="dxa"/>
            </w:tcMar>
            <w:vAlign w:val="bottom"/>
          </w:tcPr>
          <w:p w14:paraId="619DD66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Accounts receivable, net</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619DD66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619DD66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19DD663" w14:textId="77777777" w:rsidR="003D72E7" w:rsidRDefault="003D72E7">
            <w:pPr>
              <w:widowControl/>
              <w:jc w:val="right"/>
              <w:rPr>
                <w:rFonts w:ascii="Times New Roman" w:eastAsia="宋体" w:hAnsi="宋体" w:cs="宋体"/>
                <w:kern w:val="0"/>
                <w:sz w:val="24"/>
              </w:rPr>
            </w:pPr>
          </w:p>
        </w:tc>
      </w:tr>
      <w:tr w:rsidR="003D72E7" w14:paraId="619DD667" w14:textId="77777777">
        <w:trPr>
          <w:hidden/>
        </w:trPr>
        <w:tc>
          <w:tcPr>
            <w:tcW w:w="0" w:type="auto"/>
            <w:gridSpan w:val="3"/>
            <w:tcBorders>
              <w:top w:val="nil"/>
              <w:left w:val="nil"/>
              <w:bottom w:val="nil"/>
              <w:right w:val="nil"/>
            </w:tcBorders>
            <w:shd w:val="clear" w:color="auto" w:fill="auto"/>
            <w:vAlign w:val="bottom"/>
          </w:tcPr>
          <w:p w14:paraId="619DD66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666" w14:textId="77777777" w:rsidR="003D72E7" w:rsidRDefault="003D72E7">
            <w:pPr>
              <w:widowControl/>
              <w:jc w:val="left"/>
              <w:rPr>
                <w:rFonts w:ascii="Times New Roman" w:eastAsia="宋体" w:hAnsi="宋体" w:cs="宋体"/>
                <w:vanish/>
                <w:kern w:val="0"/>
                <w:sz w:val="24"/>
              </w:rPr>
            </w:pPr>
          </w:p>
        </w:tc>
      </w:tr>
      <w:tr w:rsidR="003D72E7" w14:paraId="619DD66B"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D66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current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66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66A" w14:textId="77777777" w:rsidR="003D72E7" w:rsidRDefault="003D72E7">
            <w:pPr>
              <w:widowControl/>
              <w:jc w:val="right"/>
              <w:rPr>
                <w:rFonts w:ascii="Times New Roman" w:eastAsia="宋体" w:hAnsi="宋体" w:cs="宋体"/>
                <w:kern w:val="0"/>
                <w:sz w:val="24"/>
              </w:rPr>
            </w:pPr>
          </w:p>
        </w:tc>
      </w:tr>
      <w:tr w:rsidR="003D72E7" w14:paraId="619DD66F" w14:textId="77777777">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619DD66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current </w:t>
            </w:r>
            <w:r>
              <w:rPr>
                <w:rFonts w:ascii="Times New Roman" w:eastAsia="宋体" w:hAnsi="Times New Roman" w:cs="Times New Roman"/>
                <w:color w:val="000000"/>
                <w:kern w:val="0"/>
                <w:sz w:val="20"/>
                <w:szCs w:val="20"/>
                <w:lang w:bidi="ar"/>
              </w:rPr>
              <w:t>assets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619DD66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619DD66E" w14:textId="77777777" w:rsidR="003D72E7" w:rsidRDefault="003D72E7">
            <w:pPr>
              <w:widowControl/>
              <w:jc w:val="right"/>
              <w:rPr>
                <w:rFonts w:ascii="Times New Roman" w:eastAsia="宋体" w:hAnsi="宋体" w:cs="宋体"/>
                <w:kern w:val="0"/>
                <w:sz w:val="24"/>
              </w:rPr>
            </w:pPr>
          </w:p>
        </w:tc>
      </w:tr>
      <w:tr w:rsidR="003D72E7" w14:paraId="619DD672" w14:textId="77777777">
        <w:trPr>
          <w:hidden/>
        </w:trPr>
        <w:tc>
          <w:tcPr>
            <w:tcW w:w="0" w:type="auto"/>
            <w:gridSpan w:val="3"/>
            <w:tcBorders>
              <w:top w:val="nil"/>
              <w:left w:val="nil"/>
              <w:bottom w:val="nil"/>
              <w:right w:val="nil"/>
            </w:tcBorders>
            <w:shd w:val="clear" w:color="auto" w:fill="auto"/>
            <w:vAlign w:val="bottom"/>
          </w:tcPr>
          <w:p w14:paraId="619DD67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671" w14:textId="77777777" w:rsidR="003D72E7" w:rsidRDefault="003D72E7">
            <w:pPr>
              <w:widowControl/>
              <w:jc w:val="left"/>
              <w:rPr>
                <w:rFonts w:ascii="Times New Roman" w:eastAsia="宋体" w:hAnsi="宋体" w:cs="宋体"/>
                <w:vanish/>
                <w:kern w:val="0"/>
                <w:sz w:val="24"/>
              </w:rPr>
            </w:pPr>
          </w:p>
        </w:tc>
      </w:tr>
      <w:tr w:rsidR="003D72E7" w14:paraId="619DD67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D67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Goodwill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67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675" w14:textId="77777777" w:rsidR="003D72E7" w:rsidRDefault="003D72E7">
            <w:pPr>
              <w:widowControl/>
              <w:jc w:val="right"/>
              <w:rPr>
                <w:rFonts w:ascii="Times New Roman" w:eastAsia="宋体" w:hAnsi="宋体" w:cs="宋体"/>
                <w:kern w:val="0"/>
                <w:sz w:val="24"/>
              </w:rPr>
            </w:pPr>
          </w:p>
        </w:tc>
      </w:tr>
      <w:tr w:rsidR="003D72E7" w14:paraId="619DD679" w14:textId="77777777">
        <w:trPr>
          <w:hidden/>
        </w:trPr>
        <w:tc>
          <w:tcPr>
            <w:tcW w:w="0" w:type="auto"/>
            <w:gridSpan w:val="3"/>
            <w:tcBorders>
              <w:top w:val="nil"/>
              <w:left w:val="nil"/>
              <w:bottom w:val="nil"/>
              <w:right w:val="nil"/>
            </w:tcBorders>
            <w:shd w:val="clear" w:color="auto" w:fill="auto"/>
            <w:vAlign w:val="bottom"/>
          </w:tcPr>
          <w:p w14:paraId="619DD67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678" w14:textId="77777777" w:rsidR="003D72E7" w:rsidRDefault="003D72E7">
            <w:pPr>
              <w:widowControl/>
              <w:jc w:val="left"/>
              <w:rPr>
                <w:rFonts w:ascii="Times New Roman" w:eastAsia="宋体" w:hAnsi="宋体" w:cs="宋体"/>
                <w:vanish/>
                <w:kern w:val="0"/>
                <w:sz w:val="24"/>
              </w:rPr>
            </w:pPr>
          </w:p>
        </w:tc>
      </w:tr>
      <w:tr w:rsidR="003D72E7" w14:paraId="619DD67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67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non-current assets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619DD67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19DD67C" w14:textId="77777777" w:rsidR="003D72E7" w:rsidRDefault="003D72E7">
            <w:pPr>
              <w:widowControl/>
              <w:jc w:val="right"/>
              <w:rPr>
                <w:rFonts w:ascii="Times New Roman" w:eastAsia="宋体" w:hAnsi="宋体" w:cs="宋体"/>
                <w:kern w:val="0"/>
                <w:sz w:val="24"/>
              </w:rPr>
            </w:pPr>
          </w:p>
        </w:tc>
      </w:tr>
      <w:tr w:rsidR="003D72E7" w14:paraId="619DD682"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D67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assets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D67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D68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D681" w14:textId="77777777" w:rsidR="003D72E7" w:rsidRDefault="003D72E7">
            <w:pPr>
              <w:widowControl/>
              <w:jc w:val="right"/>
              <w:rPr>
                <w:rFonts w:ascii="Times New Roman" w:eastAsia="宋体" w:hAnsi="宋体" w:cs="宋体"/>
                <w:kern w:val="0"/>
                <w:sz w:val="24"/>
              </w:rPr>
            </w:pPr>
          </w:p>
        </w:tc>
      </w:tr>
      <w:tr w:rsidR="003D72E7" w14:paraId="619DD685" w14:textId="77777777">
        <w:trPr>
          <w:hidden/>
        </w:trPr>
        <w:tc>
          <w:tcPr>
            <w:tcW w:w="0" w:type="auto"/>
            <w:gridSpan w:val="3"/>
            <w:tcBorders>
              <w:top w:val="nil"/>
              <w:left w:val="nil"/>
              <w:bottom w:val="nil"/>
              <w:right w:val="nil"/>
            </w:tcBorders>
            <w:shd w:val="clear" w:color="auto" w:fill="auto"/>
            <w:vAlign w:val="bottom"/>
          </w:tcPr>
          <w:p w14:paraId="619DD68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684" w14:textId="77777777" w:rsidR="003D72E7" w:rsidRDefault="003D72E7">
            <w:pPr>
              <w:widowControl/>
              <w:jc w:val="left"/>
              <w:rPr>
                <w:rFonts w:ascii="Times New Roman" w:eastAsia="宋体" w:hAnsi="宋体" w:cs="宋体"/>
                <w:vanish/>
                <w:kern w:val="0"/>
                <w:sz w:val="24"/>
              </w:rPr>
            </w:pPr>
          </w:p>
        </w:tc>
      </w:tr>
      <w:tr w:rsidR="003D72E7" w14:paraId="619DD687" w14:textId="77777777">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619DD68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LIABILITIES</w:t>
            </w:r>
          </w:p>
        </w:tc>
      </w:tr>
      <w:tr w:rsidR="003D72E7" w14:paraId="619DD68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D68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 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689" w14:textId="77777777" w:rsidR="003D72E7" w:rsidRDefault="003D72E7">
            <w:pPr>
              <w:widowControl/>
              <w:jc w:val="left"/>
              <w:rPr>
                <w:rFonts w:ascii="Times New Roman" w:eastAsia="宋体" w:hAnsi="宋体" w:cs="宋体"/>
                <w:kern w:val="0"/>
                <w:sz w:val="24"/>
              </w:rPr>
            </w:pPr>
          </w:p>
        </w:tc>
      </w:tr>
      <w:tr w:rsidR="003D72E7" w14:paraId="619DD68D" w14:textId="77777777">
        <w:trPr>
          <w:hidden/>
        </w:trPr>
        <w:tc>
          <w:tcPr>
            <w:tcW w:w="0" w:type="auto"/>
            <w:gridSpan w:val="3"/>
            <w:tcBorders>
              <w:top w:val="nil"/>
              <w:left w:val="nil"/>
              <w:bottom w:val="nil"/>
              <w:right w:val="nil"/>
            </w:tcBorders>
            <w:shd w:val="clear" w:color="auto" w:fill="auto"/>
            <w:vAlign w:val="bottom"/>
          </w:tcPr>
          <w:p w14:paraId="619DD68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68C" w14:textId="77777777" w:rsidR="003D72E7" w:rsidRDefault="003D72E7">
            <w:pPr>
              <w:widowControl/>
              <w:jc w:val="left"/>
              <w:rPr>
                <w:rFonts w:ascii="Times New Roman" w:eastAsia="宋体" w:hAnsi="宋体" w:cs="宋体"/>
                <w:vanish/>
                <w:kern w:val="0"/>
                <w:sz w:val="24"/>
              </w:rPr>
            </w:pPr>
          </w:p>
        </w:tc>
      </w:tr>
      <w:tr w:rsidR="003D72E7" w14:paraId="619DD690" w14:textId="77777777">
        <w:trPr>
          <w:hidden/>
        </w:trPr>
        <w:tc>
          <w:tcPr>
            <w:tcW w:w="0" w:type="auto"/>
            <w:gridSpan w:val="3"/>
            <w:tcBorders>
              <w:top w:val="nil"/>
              <w:left w:val="nil"/>
              <w:bottom w:val="nil"/>
              <w:right w:val="nil"/>
            </w:tcBorders>
            <w:shd w:val="clear" w:color="auto" w:fill="auto"/>
            <w:vAlign w:val="bottom"/>
          </w:tcPr>
          <w:p w14:paraId="619DD68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68F" w14:textId="77777777" w:rsidR="003D72E7" w:rsidRDefault="003D72E7">
            <w:pPr>
              <w:widowControl/>
              <w:jc w:val="left"/>
              <w:rPr>
                <w:rFonts w:ascii="Times New Roman" w:eastAsia="宋体" w:hAnsi="宋体" w:cs="宋体"/>
                <w:vanish/>
                <w:kern w:val="0"/>
                <w:sz w:val="24"/>
              </w:rPr>
            </w:pPr>
          </w:p>
        </w:tc>
      </w:tr>
      <w:tr w:rsidR="003D72E7" w14:paraId="619DD695" w14:textId="77777777">
        <w:tc>
          <w:tcPr>
            <w:tcW w:w="0" w:type="auto"/>
            <w:gridSpan w:val="3"/>
            <w:tcBorders>
              <w:top w:val="nil"/>
              <w:left w:val="nil"/>
              <w:bottom w:val="nil"/>
              <w:right w:val="nil"/>
            </w:tcBorders>
            <w:shd w:val="clear" w:color="auto" w:fill="auto"/>
            <w:tcMar>
              <w:top w:w="40" w:type="dxa"/>
              <w:left w:w="155" w:type="dxa"/>
              <w:bottom w:w="40" w:type="dxa"/>
              <w:right w:w="20" w:type="dxa"/>
            </w:tcMar>
            <w:vAlign w:val="bottom"/>
          </w:tcPr>
          <w:p w14:paraId="619DD69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Short-term deferred revenue</w:t>
            </w:r>
          </w:p>
        </w:tc>
        <w:tc>
          <w:tcPr>
            <w:tcW w:w="0" w:type="auto"/>
            <w:tcBorders>
              <w:top w:val="nil"/>
              <w:left w:val="nil"/>
              <w:bottom w:val="nil"/>
              <w:right w:val="nil"/>
            </w:tcBorders>
            <w:shd w:val="clear" w:color="auto" w:fill="auto"/>
            <w:tcMar>
              <w:top w:w="40" w:type="dxa"/>
              <w:left w:w="20" w:type="dxa"/>
              <w:bottom w:w="40" w:type="dxa"/>
              <w:right w:w="0" w:type="dxa"/>
            </w:tcMar>
            <w:vAlign w:val="bottom"/>
          </w:tcPr>
          <w:p w14:paraId="619DD69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auto"/>
            <w:tcMar>
              <w:top w:w="40" w:type="dxa"/>
              <w:left w:w="0" w:type="dxa"/>
              <w:bottom w:w="40" w:type="dxa"/>
              <w:right w:w="0" w:type="dxa"/>
            </w:tcMar>
            <w:vAlign w:val="bottom"/>
          </w:tcPr>
          <w:p w14:paraId="619DD69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619DD694" w14:textId="77777777" w:rsidR="003D72E7" w:rsidRDefault="003D72E7">
            <w:pPr>
              <w:widowControl/>
              <w:jc w:val="right"/>
              <w:rPr>
                <w:rFonts w:ascii="Times New Roman" w:eastAsia="宋体" w:hAnsi="宋体" w:cs="宋体"/>
                <w:kern w:val="0"/>
                <w:sz w:val="24"/>
              </w:rPr>
            </w:pPr>
          </w:p>
        </w:tc>
      </w:tr>
      <w:tr w:rsidR="003D72E7" w14:paraId="619DD699"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D69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current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69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698" w14:textId="77777777" w:rsidR="003D72E7" w:rsidRDefault="003D72E7">
            <w:pPr>
              <w:widowControl/>
              <w:jc w:val="right"/>
              <w:rPr>
                <w:rFonts w:ascii="Times New Roman" w:eastAsia="宋体" w:hAnsi="宋体" w:cs="宋体"/>
                <w:kern w:val="0"/>
                <w:sz w:val="24"/>
              </w:rPr>
            </w:pPr>
          </w:p>
        </w:tc>
      </w:tr>
      <w:tr w:rsidR="003D72E7" w14:paraId="619DD69D" w14:textId="77777777">
        <w:tc>
          <w:tcPr>
            <w:tcW w:w="0" w:type="auto"/>
            <w:gridSpan w:val="3"/>
            <w:tcBorders>
              <w:top w:val="nil"/>
              <w:left w:val="nil"/>
              <w:bottom w:val="nil"/>
              <w:right w:val="nil"/>
            </w:tcBorders>
            <w:shd w:val="clear" w:color="auto" w:fill="auto"/>
            <w:tcMar>
              <w:top w:w="40" w:type="dxa"/>
              <w:left w:w="245" w:type="dxa"/>
              <w:bottom w:w="40" w:type="dxa"/>
              <w:right w:w="20" w:type="dxa"/>
            </w:tcMar>
            <w:vAlign w:val="bottom"/>
          </w:tcPr>
          <w:p w14:paraId="619DD69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current liabilities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619DD69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619DD69C" w14:textId="77777777" w:rsidR="003D72E7" w:rsidRDefault="003D72E7">
            <w:pPr>
              <w:widowControl/>
              <w:jc w:val="right"/>
              <w:rPr>
                <w:rFonts w:ascii="Times New Roman" w:eastAsia="宋体" w:hAnsi="宋体" w:cs="宋体"/>
                <w:kern w:val="0"/>
                <w:sz w:val="24"/>
              </w:rPr>
            </w:pPr>
          </w:p>
        </w:tc>
      </w:tr>
      <w:tr w:rsidR="003D72E7" w14:paraId="619DD6A0" w14:textId="77777777">
        <w:trPr>
          <w:hidden/>
        </w:trPr>
        <w:tc>
          <w:tcPr>
            <w:tcW w:w="0" w:type="auto"/>
            <w:gridSpan w:val="3"/>
            <w:tcBorders>
              <w:top w:val="nil"/>
              <w:left w:val="nil"/>
              <w:bottom w:val="nil"/>
              <w:right w:val="nil"/>
            </w:tcBorders>
            <w:shd w:val="clear" w:color="auto" w:fill="auto"/>
            <w:vAlign w:val="bottom"/>
          </w:tcPr>
          <w:p w14:paraId="619DD69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69F" w14:textId="77777777" w:rsidR="003D72E7" w:rsidRDefault="003D72E7">
            <w:pPr>
              <w:widowControl/>
              <w:jc w:val="left"/>
              <w:rPr>
                <w:rFonts w:ascii="Times New Roman" w:eastAsia="宋体" w:hAnsi="宋体" w:cs="宋体"/>
                <w:vanish/>
                <w:kern w:val="0"/>
                <w:sz w:val="24"/>
              </w:rPr>
            </w:pPr>
          </w:p>
        </w:tc>
      </w:tr>
      <w:tr w:rsidR="003D72E7" w14:paraId="619DD6A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D6A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Other </w:t>
            </w:r>
            <w:r>
              <w:rPr>
                <w:rFonts w:ascii="Times New Roman" w:eastAsia="宋体" w:hAnsi="Times New Roman" w:cs="Times New Roman"/>
                <w:color w:val="000000"/>
                <w:kern w:val="0"/>
                <w:sz w:val="20"/>
                <w:szCs w:val="20"/>
                <w:lang w:bidi="ar"/>
              </w:rPr>
              <w:t>non-current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6A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6A3" w14:textId="77777777" w:rsidR="003D72E7" w:rsidRDefault="003D72E7">
            <w:pPr>
              <w:widowControl/>
              <w:jc w:val="right"/>
              <w:rPr>
                <w:rFonts w:ascii="Times New Roman" w:eastAsia="宋体" w:hAnsi="宋体" w:cs="宋体"/>
                <w:kern w:val="0"/>
                <w:sz w:val="24"/>
              </w:rPr>
            </w:pPr>
          </w:p>
        </w:tc>
      </w:tr>
      <w:tr w:rsidR="003D72E7" w14:paraId="619DD6A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D6A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liabilities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6A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6A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6A8" w14:textId="77777777" w:rsidR="003D72E7" w:rsidRDefault="003D72E7">
            <w:pPr>
              <w:widowControl/>
              <w:jc w:val="right"/>
              <w:rPr>
                <w:rFonts w:ascii="Times New Roman" w:eastAsia="宋体" w:hAnsi="宋体" w:cs="宋体"/>
                <w:kern w:val="0"/>
                <w:sz w:val="24"/>
              </w:rPr>
            </w:pPr>
          </w:p>
        </w:tc>
      </w:tr>
      <w:tr w:rsidR="003D72E7" w14:paraId="619DD6AC" w14:textId="77777777">
        <w:trPr>
          <w:hidden/>
        </w:trPr>
        <w:tc>
          <w:tcPr>
            <w:tcW w:w="0" w:type="auto"/>
            <w:gridSpan w:val="3"/>
            <w:tcBorders>
              <w:top w:val="nil"/>
              <w:left w:val="nil"/>
              <w:bottom w:val="nil"/>
              <w:right w:val="nil"/>
            </w:tcBorders>
            <w:shd w:val="clear" w:color="auto" w:fill="auto"/>
            <w:vAlign w:val="bottom"/>
          </w:tcPr>
          <w:p w14:paraId="619DD6A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6AB" w14:textId="77777777" w:rsidR="003D72E7" w:rsidRDefault="003D72E7">
            <w:pPr>
              <w:widowControl/>
              <w:jc w:val="left"/>
              <w:rPr>
                <w:rFonts w:ascii="Times New Roman" w:eastAsia="宋体" w:hAnsi="宋体" w:cs="宋体"/>
                <w:vanish/>
                <w:kern w:val="0"/>
                <w:sz w:val="24"/>
              </w:rPr>
            </w:pPr>
          </w:p>
        </w:tc>
      </w:tr>
    </w:tbl>
    <w:p w14:paraId="619DD6A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A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Boomi does not meet the criteria for discontinued operations reporting, and as a result its operating results and cash flows are not separately stated as a discontinued operation in the </w:t>
      </w:r>
      <w:r>
        <w:rPr>
          <w:rFonts w:ascii="Times New Roman" w:eastAsia="宋体" w:hAnsi="Times New Roman" w:cs="Times New Roman"/>
          <w:color w:val="000000"/>
          <w:kern w:val="0"/>
          <w:sz w:val="20"/>
          <w:szCs w:val="20"/>
          <w:lang w:bidi="ar"/>
        </w:rPr>
        <w:t>accompanying Condensed Consolidated Financial Statements. Boomi does not meet the requirements for a reportable segment and, consequently, its operating results are included within Other businesses.</w:t>
      </w:r>
    </w:p>
    <w:p w14:paraId="619DD6A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B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Spin-off of VMware, Inc.</w:t>
      </w:r>
      <w:r>
        <w:rPr>
          <w:rFonts w:ascii="Times New Roman" w:eastAsia="宋体" w:hAnsi="Times New Roman" w:cs="Times New Roman"/>
          <w:color w:val="000000"/>
          <w:kern w:val="0"/>
          <w:sz w:val="20"/>
          <w:szCs w:val="20"/>
          <w:lang w:bidi="ar"/>
        </w:rPr>
        <w:t xml:space="preserve"> — On April 14, 2021, Dell Tech</w:t>
      </w:r>
      <w:r>
        <w:rPr>
          <w:rFonts w:ascii="Times New Roman" w:eastAsia="宋体" w:hAnsi="Times New Roman" w:cs="Times New Roman"/>
          <w:color w:val="000000"/>
          <w:kern w:val="0"/>
          <w:sz w:val="20"/>
          <w:szCs w:val="20"/>
          <w:lang w:bidi="ar"/>
        </w:rPr>
        <w:t>nologies entered into a Separation and Distribution Agreement with VMware, Inc, in which Dell Technologies owns a majority equity stake. Subject to the terms and conditions set forth in the Separation and Distribution Agreement, the businesses of VMware, I</w:t>
      </w:r>
      <w:r>
        <w:rPr>
          <w:rFonts w:ascii="Times New Roman" w:eastAsia="宋体" w:hAnsi="Times New Roman" w:cs="Times New Roman"/>
          <w:color w:val="000000"/>
          <w:kern w:val="0"/>
          <w:sz w:val="20"/>
          <w:szCs w:val="20"/>
          <w:lang w:bidi="ar"/>
        </w:rPr>
        <w:t>nc. will be separated from the remaining businesses of Dell Technologies through a series of transactions that will result in the pre-transaction stockholders of Dell Technologies owning shares in two, separate public companies: (1) VMware, Inc., which wil</w:t>
      </w:r>
      <w:r>
        <w:rPr>
          <w:rFonts w:ascii="Times New Roman" w:eastAsia="宋体" w:hAnsi="Times New Roman" w:cs="Times New Roman"/>
          <w:color w:val="000000"/>
          <w:kern w:val="0"/>
          <w:sz w:val="20"/>
          <w:szCs w:val="20"/>
          <w:lang w:bidi="ar"/>
        </w:rPr>
        <w:t>l own the businesses of VMware, Inc. and its subsidiaries, and (2) Dell Technologies, which will own Dell Technologies’ other businesses and subsidiaries (the “VMware Spin-off”).</w:t>
      </w:r>
    </w:p>
    <w:p w14:paraId="619DD6B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B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VMware, Inc. will pay a cash dividend, pro rata, to each of the holders of </w:t>
      </w:r>
      <w:r>
        <w:rPr>
          <w:rFonts w:ascii="Times New Roman" w:eastAsia="宋体" w:hAnsi="Times New Roman" w:cs="Times New Roman"/>
          <w:color w:val="000000"/>
          <w:kern w:val="0"/>
          <w:sz w:val="20"/>
          <w:szCs w:val="20"/>
          <w:lang w:bidi="ar"/>
        </w:rPr>
        <w:t>VMware, Inc. common stock in an aggregate amount equal to an amount to be mutually agreed by the Company and VMware, Inc. between $11.5 billion and $12.0 billion, subject to the satisfaction of certain conditions of payment. Immediately following such paym</w:t>
      </w:r>
      <w:r>
        <w:rPr>
          <w:rFonts w:ascii="Times New Roman" w:eastAsia="宋体" w:hAnsi="Times New Roman" w:cs="Times New Roman"/>
          <w:color w:val="000000"/>
          <w:kern w:val="0"/>
          <w:sz w:val="20"/>
          <w:szCs w:val="20"/>
          <w:lang w:bidi="ar"/>
        </w:rPr>
        <w:t xml:space="preserve">ent, the separation of VMware, Inc. from the Company will occur, including through the termination or settlement of certain intercompany accounts and intercompany contracts and the other transactions. Upon the closing of the transaction, Dell Technologies </w:t>
      </w:r>
      <w:r>
        <w:rPr>
          <w:rFonts w:ascii="Times New Roman" w:eastAsia="宋体" w:hAnsi="Times New Roman" w:cs="Times New Roman"/>
          <w:color w:val="000000"/>
          <w:kern w:val="0"/>
          <w:sz w:val="20"/>
          <w:szCs w:val="20"/>
          <w:lang w:bidi="ar"/>
        </w:rPr>
        <w:t>intends to use net proceeds from its pro rata share of the cash dividend to repay debt.</w:t>
      </w:r>
    </w:p>
    <w:p w14:paraId="619DD6B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B4"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6B5"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w:t>
      </w:r>
    </w:p>
    <w:p w14:paraId="619DD6B6"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6B7" w14:textId="77777777" w:rsidR="003D72E7" w:rsidRDefault="00AD6774">
      <w:pPr>
        <w:widowControl/>
        <w:jc w:val="center"/>
      </w:pPr>
      <w:r>
        <w:rPr>
          <w:rFonts w:ascii="宋体" w:eastAsia="宋体" w:hAnsi="宋体" w:cs="宋体"/>
          <w:kern w:val="0"/>
          <w:sz w:val="24"/>
        </w:rPr>
        <w:pict w14:anchorId="619E0D77">
          <v:rect id="_x0000_i1036" style="width:6in;height:1.5pt" o:hralign="center" o:hrstd="t" o:hr="t" fillcolor="#a0a0a0" stroked="f"/>
        </w:pict>
      </w:r>
    </w:p>
    <w:p w14:paraId="619DD6B8"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D6B9"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D6BA"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 xml:space="preserve">NOTES TO THE CONDENSED CONSOLIDATED FINANCIAL </w:t>
      </w:r>
      <w:r>
        <w:rPr>
          <w:rFonts w:ascii="Times New Roman" w:eastAsia="宋体" w:hAnsi="Times New Roman" w:cs="Times New Roman"/>
          <w:b/>
          <w:bCs/>
          <w:color w:val="000000"/>
          <w:kern w:val="0"/>
          <w:sz w:val="20"/>
          <w:szCs w:val="20"/>
          <w:shd w:val="clear" w:color="auto" w:fill="FFFFFF"/>
          <w:lang w:bidi="ar"/>
        </w:rPr>
        <w:t>STATEMENTS (Continued)</w:t>
      </w:r>
    </w:p>
    <w:p w14:paraId="619DD6BB"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D6BC"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6B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transaction is expected to close during the fourth quarter of calendar year 2021, subject to certain closing conditions, including receipt of a favorable private letter ruling from the Internal Revenue Service that </w:t>
      </w:r>
      <w:r>
        <w:rPr>
          <w:rFonts w:ascii="Times New Roman" w:eastAsia="宋体" w:hAnsi="Times New Roman" w:cs="Times New Roman"/>
          <w:color w:val="000000"/>
          <w:kern w:val="0"/>
          <w:sz w:val="20"/>
          <w:szCs w:val="20"/>
          <w:lang w:bidi="ar"/>
        </w:rPr>
        <w:t>the transaction will qualify as tax-free for Dell Technologies stockholders for U.S. federal income tax purposes. Either Dell Technologies or VMware, Inc. may terminate the Separation and Distribution Agreement if the VMware Spin-off is not completed on or</w:t>
      </w:r>
      <w:r>
        <w:rPr>
          <w:rFonts w:ascii="Times New Roman" w:eastAsia="宋体" w:hAnsi="Times New Roman" w:cs="Times New Roman"/>
          <w:color w:val="000000"/>
          <w:kern w:val="0"/>
          <w:sz w:val="20"/>
          <w:szCs w:val="20"/>
          <w:lang w:bidi="ar"/>
        </w:rPr>
        <w:t xml:space="preserve"> before January 28, 2022, among other termination rights.</w:t>
      </w:r>
    </w:p>
    <w:p w14:paraId="619DD6B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B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connection with and upon consummation of the VMware Spin-off, Dell Technologies and VMware, Inc. will enter into a Commercial Framework Agreement (the “CFA”). The CFA will provide a framework u</w:t>
      </w:r>
      <w:r>
        <w:rPr>
          <w:rFonts w:ascii="Times New Roman" w:eastAsia="宋体" w:hAnsi="Times New Roman" w:cs="Times New Roman"/>
          <w:color w:val="000000"/>
          <w:kern w:val="0"/>
          <w:sz w:val="20"/>
          <w:szCs w:val="20"/>
          <w:lang w:bidi="ar"/>
        </w:rPr>
        <w:t>nder which Dell Technologies and VMware, Inc. can continue their strategic commercial relationship after the transaction. The CFA will have an initial term of five years, with automatic one-year renewals occurring annually thereafter, subject to certain te</w:t>
      </w:r>
      <w:r>
        <w:rPr>
          <w:rFonts w:ascii="Times New Roman" w:eastAsia="宋体" w:hAnsi="Times New Roman" w:cs="Times New Roman"/>
          <w:color w:val="000000"/>
          <w:kern w:val="0"/>
          <w:sz w:val="20"/>
          <w:szCs w:val="20"/>
          <w:lang w:bidi="ar"/>
        </w:rPr>
        <w:t>rms and conditions.</w:t>
      </w:r>
    </w:p>
    <w:p w14:paraId="619DD6C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C1"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announcement of the planned VMware Spin-off did not have any impact to the Company’s Condensed Consolidated Financial Statements or segment reporting. The Company will report VMware results as discontinued operations upon the </w:t>
      </w:r>
      <w:r>
        <w:rPr>
          <w:rFonts w:ascii="Times New Roman" w:eastAsia="宋体" w:hAnsi="Times New Roman" w:cs="Times New Roman"/>
          <w:color w:val="000000"/>
          <w:kern w:val="0"/>
          <w:sz w:val="20"/>
          <w:szCs w:val="20"/>
          <w:lang w:bidi="ar"/>
        </w:rPr>
        <w:t>closing of the transaction.</w:t>
      </w:r>
    </w:p>
    <w:p w14:paraId="619DD6C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C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RSA Security Divestiture</w:t>
      </w:r>
      <w:r>
        <w:rPr>
          <w:rFonts w:ascii="Times New Roman" w:eastAsia="宋体" w:hAnsi="Times New Roman" w:cs="Times New Roman"/>
          <w:color w:val="000000"/>
          <w:kern w:val="0"/>
          <w:sz w:val="20"/>
          <w:szCs w:val="20"/>
          <w:lang w:bidi="ar"/>
        </w:rPr>
        <w:t xml:space="preserve"> — On September 1, 2020, Dell Technologies completed the sale of RSA Security to a consortium led by Symphony Technology Group, Ontario Teachers’ Pension Plan Board and AlpInvest Partners for total cash</w:t>
      </w:r>
      <w:r>
        <w:rPr>
          <w:rFonts w:ascii="Times New Roman" w:eastAsia="宋体" w:hAnsi="Times New Roman" w:cs="Times New Roman"/>
          <w:color w:val="000000"/>
          <w:kern w:val="0"/>
          <w:sz w:val="20"/>
          <w:szCs w:val="20"/>
          <w:lang w:bidi="ar"/>
        </w:rPr>
        <w:t xml:space="preserve"> consideration of approximately $2.082 billion, resulting in a pre-tax gain on sale of $338 million. The Company ultimately recorded a $21 million loss, net of $359 million in tax expense due to the relatively low tax basis for the assets sold, particularl</w:t>
      </w:r>
      <w:r>
        <w:rPr>
          <w:rFonts w:ascii="Times New Roman" w:eastAsia="宋体" w:hAnsi="Times New Roman" w:cs="Times New Roman"/>
          <w:color w:val="000000"/>
          <w:kern w:val="0"/>
          <w:sz w:val="20"/>
          <w:szCs w:val="20"/>
          <w:lang w:bidi="ar"/>
        </w:rPr>
        <w:t xml:space="preserve">y goodwill. The transaction included the sale of RSA Archer, RSA NetWitness Platform, RSA SecurID, RSA Fraud and Risk Intelligence, and RSA Conference and was intended to further simplify Dell Technologies’ product portfolio and corporate structure. Prior </w:t>
      </w:r>
      <w:r>
        <w:rPr>
          <w:rFonts w:ascii="Times New Roman" w:eastAsia="宋体" w:hAnsi="Times New Roman" w:cs="Times New Roman"/>
          <w:color w:val="000000"/>
          <w:kern w:val="0"/>
          <w:sz w:val="20"/>
          <w:szCs w:val="20"/>
          <w:lang w:bidi="ar"/>
        </w:rPr>
        <w:t>to the divestiture, RSA Security’s operating results were included within Other businesses and did not qualify for presentation as a discontinued operation.</w:t>
      </w:r>
    </w:p>
    <w:p w14:paraId="619DD6C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C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VMware, Inc. Acquisition of Pivotal </w:t>
      </w:r>
      <w:r>
        <w:rPr>
          <w:rFonts w:ascii="Times New Roman" w:eastAsia="宋体" w:hAnsi="Times New Roman" w:cs="Times New Roman"/>
          <w:color w:val="000000"/>
          <w:kern w:val="0"/>
          <w:sz w:val="20"/>
          <w:szCs w:val="20"/>
          <w:lang w:bidi="ar"/>
        </w:rPr>
        <w:t>— On December 30, 2019, VMware, Inc. completed its acquisitio</w:t>
      </w:r>
      <w:r>
        <w:rPr>
          <w:rFonts w:ascii="Times New Roman" w:eastAsia="宋体" w:hAnsi="Times New Roman" w:cs="Times New Roman"/>
          <w:color w:val="000000"/>
          <w:kern w:val="0"/>
          <w:sz w:val="20"/>
          <w:szCs w:val="20"/>
          <w:lang w:bidi="ar"/>
        </w:rPr>
        <w:t>n of Pivotal Software, Inc. (“Pivotal”) from the Company by merger (the “Pivotal acquisition”). As of the transaction date, Pivotal’s Class A common stock (NYSE: PVTL) ceased to be listed and traded on the New York Stock Exchange (“NYSE”). Due to the Compa</w:t>
      </w:r>
      <w:r>
        <w:rPr>
          <w:rFonts w:ascii="Times New Roman" w:eastAsia="宋体" w:hAnsi="Times New Roman" w:cs="Times New Roman"/>
          <w:color w:val="000000"/>
          <w:kern w:val="0"/>
          <w:sz w:val="20"/>
          <w:szCs w:val="20"/>
          <w:lang w:bidi="ar"/>
        </w:rPr>
        <w:t>ny’s ownership of a controlling interest in Pivotal, the Company and VMware, Inc. accounted for the acquisition of the controlling interest in Pivotal as a transaction between entities under common control, and, consequently, the transaction had no net eff</w:t>
      </w:r>
      <w:r>
        <w:rPr>
          <w:rFonts w:ascii="Times New Roman" w:eastAsia="宋体" w:hAnsi="Times New Roman" w:cs="Times New Roman"/>
          <w:color w:val="000000"/>
          <w:kern w:val="0"/>
          <w:sz w:val="20"/>
          <w:szCs w:val="20"/>
          <w:lang w:bidi="ar"/>
        </w:rPr>
        <w:t>ect on the Company’s consolidated financial statements. Subsequent to the Pivotal acquisition, Pivotal operates as a wholly-owned subsidiary of VMware, Inc. and Dell Technologies reports Pivotal results within the VMware reportable segment. Prior to the Pi</w:t>
      </w:r>
      <w:r>
        <w:rPr>
          <w:rFonts w:ascii="Times New Roman" w:eastAsia="宋体" w:hAnsi="Times New Roman" w:cs="Times New Roman"/>
          <w:color w:val="000000"/>
          <w:kern w:val="0"/>
          <w:sz w:val="20"/>
          <w:szCs w:val="20"/>
          <w:lang w:bidi="ar"/>
        </w:rPr>
        <w:t>votal acquisition, Pivotal results were reported within Other businesses. This change in Pivotal segment classification was reflected retrospectively in the Company’s reportable segment results.</w:t>
      </w:r>
    </w:p>
    <w:p w14:paraId="619DD6C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C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Class V Transaction</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On December 28, 2018, the Company com</w:t>
      </w:r>
      <w:r>
        <w:rPr>
          <w:rFonts w:ascii="Times New Roman" w:eastAsia="宋体" w:hAnsi="Times New Roman" w:cs="Times New Roman"/>
          <w:color w:val="000000"/>
          <w:kern w:val="0"/>
          <w:sz w:val="20"/>
          <w:szCs w:val="20"/>
          <w:lang w:bidi="ar"/>
        </w:rPr>
        <w:t>pleted a transaction (the “Class V transaction”) in which it paid $14.0 billion in cash and issued 149,387,617 shares of its Class C Common Stock to holders of its Class V Common Stock in exchange for all outstanding shares of Class V Common Stock. The non</w:t>
      </w:r>
      <w:r>
        <w:rPr>
          <w:rFonts w:ascii="Times New Roman" w:eastAsia="宋体" w:hAnsi="Times New Roman" w:cs="Times New Roman"/>
          <w:color w:val="000000"/>
          <w:kern w:val="0"/>
          <w:sz w:val="20"/>
          <w:szCs w:val="20"/>
          <w:lang w:bidi="ar"/>
        </w:rPr>
        <w:t>-cash consideration portion of the Class V transaction totaled $6.9 billion. As a result of the Class V transaction, the tracking stock feature of the Company’s capital structure associated with the Class V Common Stock was terminated. The Class C Common S</w:t>
      </w:r>
      <w:r>
        <w:rPr>
          <w:rFonts w:ascii="Times New Roman" w:eastAsia="宋体" w:hAnsi="Times New Roman" w:cs="Times New Roman"/>
          <w:color w:val="000000"/>
          <w:kern w:val="0"/>
          <w:sz w:val="20"/>
          <w:szCs w:val="20"/>
          <w:lang w:bidi="ar"/>
        </w:rPr>
        <w:t xml:space="preserve">tock is traded on the NYSE. </w:t>
      </w:r>
    </w:p>
    <w:p w14:paraId="619DD6C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C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EMC Merger Transaction</w:t>
      </w:r>
      <w:r>
        <w:rPr>
          <w:rFonts w:ascii="Times New Roman" w:eastAsia="宋体" w:hAnsi="Times New Roman" w:cs="Times New Roman"/>
          <w:color w:val="000000"/>
          <w:kern w:val="0"/>
          <w:sz w:val="20"/>
          <w:szCs w:val="20"/>
          <w:lang w:bidi="ar"/>
        </w:rPr>
        <w:t xml:space="preserve"> — On September 7, 2016, the Company completed its acquisition of EMC Corporation (“EMC”) by merger (the “EMC merger transaction”). </w:t>
      </w:r>
    </w:p>
    <w:p w14:paraId="619DD6C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C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6CC"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p w14:paraId="619DD6C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6CE" w14:textId="77777777" w:rsidR="003D72E7" w:rsidRDefault="00AD6774">
      <w:pPr>
        <w:widowControl/>
        <w:jc w:val="center"/>
      </w:pPr>
      <w:r>
        <w:rPr>
          <w:rFonts w:ascii="宋体" w:eastAsia="宋体" w:hAnsi="宋体" w:cs="宋体"/>
          <w:kern w:val="0"/>
          <w:sz w:val="24"/>
        </w:rPr>
        <w:pict w14:anchorId="619E0D78">
          <v:rect id="_x0000_i1037" style="width:6in;height:1.5pt" o:hralign="center" o:hrstd="t" o:hr="t" fillcolor="#a0a0a0" stroked="f"/>
        </w:pict>
      </w:r>
    </w:p>
    <w:p w14:paraId="619DD6CF"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D6D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D6D1"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D6D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D6D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6D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Recently Issued Accounting Pronouncements</w:t>
      </w:r>
    </w:p>
    <w:p w14:paraId="619DD6D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D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Reference Rate Reform </w:t>
      </w:r>
      <w:r>
        <w:rPr>
          <w:rFonts w:ascii="Times New Roman" w:eastAsia="宋体" w:hAnsi="Times New Roman" w:cs="Times New Roman"/>
          <w:color w:val="000000"/>
          <w:kern w:val="0"/>
          <w:sz w:val="20"/>
          <w:szCs w:val="20"/>
          <w:lang w:bidi="ar"/>
        </w:rPr>
        <w:t>— In Ma</w:t>
      </w:r>
      <w:r>
        <w:rPr>
          <w:rFonts w:ascii="Times New Roman" w:eastAsia="宋体" w:hAnsi="Times New Roman" w:cs="Times New Roman"/>
          <w:color w:val="000000"/>
          <w:kern w:val="0"/>
          <w:sz w:val="20"/>
          <w:szCs w:val="20"/>
          <w:lang w:bidi="ar"/>
        </w:rPr>
        <w:t>rch 2020, the Financial Accounting Standards Board (“FASB”) issued guidance which provides temporary optional expedients and exceptions to GAAP guidance on contract modifications and certain hedging relationships to ease the financial reporting burdens rel</w:t>
      </w:r>
      <w:r>
        <w:rPr>
          <w:rFonts w:ascii="Times New Roman" w:eastAsia="宋体" w:hAnsi="Times New Roman" w:cs="Times New Roman"/>
          <w:color w:val="000000"/>
          <w:kern w:val="0"/>
          <w:sz w:val="20"/>
          <w:szCs w:val="20"/>
          <w:lang w:bidi="ar"/>
        </w:rPr>
        <w:t>ated to the expected market transition from the London Interbank Offered Rate to alternative reference rates. The Company may elect to apply the amendments prospectively through December 31, 2022. Adoption of the new guidance is not expected to have a mate</w:t>
      </w:r>
      <w:r>
        <w:rPr>
          <w:rFonts w:ascii="Times New Roman" w:eastAsia="宋体" w:hAnsi="Times New Roman" w:cs="Times New Roman"/>
          <w:color w:val="000000"/>
          <w:kern w:val="0"/>
          <w:sz w:val="20"/>
          <w:szCs w:val="20"/>
          <w:lang w:bidi="ar"/>
        </w:rPr>
        <w:t>rial impact on the Company’s financial results.</w:t>
      </w:r>
    </w:p>
    <w:p w14:paraId="619DD6D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D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Recently Adopted Accounting Pronouncements</w:t>
      </w:r>
    </w:p>
    <w:p w14:paraId="619DD6D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D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Accounting for Convertible Instruments and Contracts in an Entity’s Own Equity </w:t>
      </w: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In August 2020, the FASB issued guidance to simplify the accounting for convertible debt instruments and convertible preferred stock, and the derivatives scope exception for contracts in an entity's own equity. In addition, the guidance on calculating dilu</w:t>
      </w:r>
      <w:r>
        <w:rPr>
          <w:rFonts w:ascii="Times New Roman" w:eastAsia="宋体" w:hAnsi="Times New Roman" w:cs="Times New Roman"/>
          <w:color w:val="000000"/>
          <w:kern w:val="0"/>
          <w:sz w:val="20"/>
          <w:szCs w:val="20"/>
          <w:lang w:bidi="ar"/>
        </w:rPr>
        <w:t>ted earnings per share has been simplified and made more internally consistent. The Company early adopted this standard as of January 30, 2021. There was no impact on the Condensed Consolidated Financial Statements or to diluted earnings per share as of th</w:t>
      </w:r>
      <w:r>
        <w:rPr>
          <w:rFonts w:ascii="Times New Roman" w:eastAsia="宋体" w:hAnsi="Times New Roman" w:cs="Times New Roman"/>
          <w:color w:val="000000"/>
          <w:kern w:val="0"/>
          <w:sz w:val="20"/>
          <w:szCs w:val="20"/>
          <w:lang w:bidi="ar"/>
        </w:rPr>
        <w:t xml:space="preserve">e adoption date. </w:t>
      </w:r>
    </w:p>
    <w:p w14:paraId="619DD6D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D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Simplifying Accounting for Income Taxes </w:t>
      </w: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In December 2019, the FASB issued guidance to simplify the accounting for income taxes by removing certain exceptions to the general principles in Topic 740, </w:t>
      </w:r>
      <w:r>
        <w:rPr>
          <w:rFonts w:ascii="Times New Roman" w:eastAsia="宋体" w:hAnsi="Times New Roman" w:cs="Times New Roman"/>
          <w:i/>
          <w:iCs/>
          <w:color w:val="000000"/>
          <w:kern w:val="0"/>
          <w:sz w:val="20"/>
          <w:szCs w:val="20"/>
          <w:lang w:bidi="ar"/>
        </w:rPr>
        <w:t>Income Taxes</w:t>
      </w:r>
      <w:r>
        <w:rPr>
          <w:rFonts w:ascii="Times New Roman" w:eastAsia="宋体" w:hAnsi="Times New Roman" w:cs="Times New Roman"/>
          <w:color w:val="000000"/>
          <w:kern w:val="0"/>
          <w:sz w:val="20"/>
          <w:szCs w:val="20"/>
          <w:lang w:bidi="ar"/>
        </w:rPr>
        <w:t xml:space="preserve">, and by clarifying and </w:t>
      </w:r>
      <w:r>
        <w:rPr>
          <w:rFonts w:ascii="Times New Roman" w:eastAsia="宋体" w:hAnsi="Times New Roman" w:cs="Times New Roman"/>
          <w:color w:val="000000"/>
          <w:kern w:val="0"/>
          <w:sz w:val="20"/>
          <w:szCs w:val="20"/>
          <w:lang w:bidi="ar"/>
        </w:rPr>
        <w:t>amending existing guidance in order to improve consistent application of GAAP for other areas of Topic 740. The Company adopted the standard during the three months ended April 30, 2021. The impact of the adoption of this standard was immaterial to the Con</w:t>
      </w:r>
      <w:r>
        <w:rPr>
          <w:rFonts w:ascii="Times New Roman" w:eastAsia="宋体" w:hAnsi="Times New Roman" w:cs="Times New Roman"/>
          <w:color w:val="000000"/>
          <w:kern w:val="0"/>
          <w:sz w:val="20"/>
          <w:szCs w:val="20"/>
          <w:lang w:bidi="ar"/>
        </w:rPr>
        <w:t>densed Consolidated Financial Statements.</w:t>
      </w:r>
    </w:p>
    <w:p w14:paraId="619DD6D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6D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w:t>
      </w:r>
    </w:p>
    <w:p w14:paraId="619DD6D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6E0" w14:textId="77777777" w:rsidR="003D72E7" w:rsidRDefault="00AD6774">
      <w:pPr>
        <w:widowControl/>
        <w:jc w:val="center"/>
      </w:pPr>
      <w:r>
        <w:rPr>
          <w:rFonts w:ascii="宋体" w:eastAsia="宋体" w:hAnsi="宋体" w:cs="宋体"/>
          <w:kern w:val="0"/>
          <w:sz w:val="24"/>
        </w:rPr>
        <w:pict w14:anchorId="619E0D79">
          <v:rect id="_x0000_i1038" style="width:6in;height:1.5pt" o:hralign="center" o:hrstd="t" o:hr="t" fillcolor="#a0a0a0" stroked="f"/>
        </w:pict>
      </w:r>
    </w:p>
    <w:p w14:paraId="619DD6E1"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D6E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D6E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D6E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D6E5"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6E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2 — FAIR VALUE MEASUREMENTS AND INVESTMENTS </w:t>
      </w:r>
    </w:p>
    <w:p w14:paraId="619DD6E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6E8"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Company’s hierarchy for its assets and liabilities measured and recorded at fair value on a recurring basis as of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0"/>
        <w:gridCol w:w="1055"/>
        <w:gridCol w:w="38"/>
        <w:gridCol w:w="121"/>
        <w:gridCol w:w="599"/>
        <w:gridCol w:w="36"/>
        <w:gridCol w:w="36"/>
        <w:gridCol w:w="36"/>
        <w:gridCol w:w="36"/>
        <w:gridCol w:w="121"/>
        <w:gridCol w:w="768"/>
        <w:gridCol w:w="36"/>
        <w:gridCol w:w="36"/>
        <w:gridCol w:w="36"/>
        <w:gridCol w:w="36"/>
        <w:gridCol w:w="122"/>
        <w:gridCol w:w="937"/>
        <w:gridCol w:w="36"/>
        <w:gridCol w:w="36"/>
        <w:gridCol w:w="36"/>
        <w:gridCol w:w="36"/>
        <w:gridCol w:w="120"/>
        <w:gridCol w:w="500"/>
        <w:gridCol w:w="36"/>
        <w:gridCol w:w="36"/>
        <w:gridCol w:w="36"/>
        <w:gridCol w:w="36"/>
        <w:gridCol w:w="121"/>
        <w:gridCol w:w="599"/>
        <w:gridCol w:w="36"/>
        <w:gridCol w:w="36"/>
        <w:gridCol w:w="36"/>
        <w:gridCol w:w="36"/>
        <w:gridCol w:w="121"/>
        <w:gridCol w:w="768"/>
        <w:gridCol w:w="36"/>
        <w:gridCol w:w="36"/>
        <w:gridCol w:w="36"/>
        <w:gridCol w:w="36"/>
        <w:gridCol w:w="122"/>
        <w:gridCol w:w="937"/>
        <w:gridCol w:w="36"/>
        <w:gridCol w:w="36"/>
        <w:gridCol w:w="36"/>
        <w:gridCol w:w="36"/>
        <w:gridCol w:w="120"/>
        <w:gridCol w:w="500"/>
        <w:gridCol w:w="36"/>
      </w:tblGrid>
      <w:tr w:rsidR="003D72E7" w14:paraId="619DD719" w14:textId="77777777">
        <w:tc>
          <w:tcPr>
            <w:tcW w:w="50" w:type="pct"/>
            <w:tcBorders>
              <w:top w:val="nil"/>
              <w:left w:val="nil"/>
              <w:bottom w:val="nil"/>
              <w:right w:val="nil"/>
            </w:tcBorders>
            <w:shd w:val="clear" w:color="auto" w:fill="auto"/>
            <w:vAlign w:val="bottom"/>
          </w:tcPr>
          <w:p w14:paraId="619DD6E9" w14:textId="77777777" w:rsidR="003D72E7" w:rsidRDefault="003D72E7">
            <w:pPr>
              <w:widowControl/>
              <w:jc w:val="left"/>
              <w:rPr>
                <w:rFonts w:ascii="Times New Roman" w:eastAsia="宋体" w:hAnsi="宋体" w:cs="宋体"/>
                <w:kern w:val="0"/>
                <w:sz w:val="24"/>
              </w:rPr>
            </w:pPr>
          </w:p>
        </w:tc>
        <w:tc>
          <w:tcPr>
            <w:tcW w:w="1070" w:type="pct"/>
            <w:tcBorders>
              <w:top w:val="nil"/>
              <w:left w:val="nil"/>
              <w:bottom w:val="nil"/>
              <w:right w:val="nil"/>
            </w:tcBorders>
            <w:shd w:val="clear" w:color="auto" w:fill="auto"/>
            <w:vAlign w:val="bottom"/>
          </w:tcPr>
          <w:p w14:paraId="619DD6E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6E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6EC" w14:textId="77777777" w:rsidR="003D72E7" w:rsidRDefault="003D72E7">
            <w:pPr>
              <w:widowControl/>
              <w:jc w:val="left"/>
              <w:rPr>
                <w:rFonts w:ascii="Times New Roman" w:eastAsia="宋体" w:hAnsi="宋体" w:cs="宋体"/>
                <w:kern w:val="0"/>
                <w:sz w:val="24"/>
              </w:rPr>
            </w:pPr>
          </w:p>
        </w:tc>
        <w:tc>
          <w:tcPr>
            <w:tcW w:w="390" w:type="pct"/>
            <w:tcBorders>
              <w:top w:val="nil"/>
              <w:left w:val="nil"/>
              <w:bottom w:val="nil"/>
              <w:right w:val="nil"/>
            </w:tcBorders>
            <w:shd w:val="clear" w:color="auto" w:fill="auto"/>
            <w:vAlign w:val="bottom"/>
          </w:tcPr>
          <w:p w14:paraId="619DD6E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6E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6E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6F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6F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6F2" w14:textId="77777777" w:rsidR="003D72E7" w:rsidRDefault="003D72E7">
            <w:pPr>
              <w:widowControl/>
              <w:jc w:val="left"/>
              <w:rPr>
                <w:rFonts w:ascii="Times New Roman" w:eastAsia="宋体" w:hAnsi="宋体" w:cs="宋体"/>
                <w:kern w:val="0"/>
                <w:sz w:val="24"/>
              </w:rPr>
            </w:pPr>
          </w:p>
        </w:tc>
        <w:tc>
          <w:tcPr>
            <w:tcW w:w="405" w:type="pct"/>
            <w:tcBorders>
              <w:top w:val="nil"/>
              <w:left w:val="nil"/>
              <w:bottom w:val="nil"/>
              <w:right w:val="nil"/>
            </w:tcBorders>
            <w:shd w:val="clear" w:color="auto" w:fill="auto"/>
            <w:vAlign w:val="bottom"/>
          </w:tcPr>
          <w:p w14:paraId="619DD6F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6F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6F5"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6F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6F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6F8" w14:textId="77777777" w:rsidR="003D72E7" w:rsidRDefault="003D72E7">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619DD6F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6F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6FB"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6F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6F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6FE" w14:textId="77777777" w:rsidR="003D72E7" w:rsidRDefault="003D72E7">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619DD6F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70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701"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70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70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704" w14:textId="77777777" w:rsidR="003D72E7" w:rsidRDefault="003D72E7">
            <w:pPr>
              <w:widowControl/>
              <w:jc w:val="left"/>
              <w:rPr>
                <w:rFonts w:ascii="Times New Roman" w:eastAsia="宋体" w:hAnsi="宋体" w:cs="宋体"/>
                <w:kern w:val="0"/>
                <w:sz w:val="24"/>
              </w:rPr>
            </w:pPr>
          </w:p>
        </w:tc>
        <w:tc>
          <w:tcPr>
            <w:tcW w:w="390" w:type="pct"/>
            <w:tcBorders>
              <w:top w:val="nil"/>
              <w:left w:val="nil"/>
              <w:bottom w:val="nil"/>
              <w:right w:val="nil"/>
            </w:tcBorders>
            <w:shd w:val="clear" w:color="auto" w:fill="auto"/>
            <w:vAlign w:val="bottom"/>
          </w:tcPr>
          <w:p w14:paraId="619DD70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70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707"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70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70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70A" w14:textId="77777777" w:rsidR="003D72E7" w:rsidRDefault="003D72E7">
            <w:pPr>
              <w:widowControl/>
              <w:jc w:val="left"/>
              <w:rPr>
                <w:rFonts w:ascii="Times New Roman" w:eastAsia="宋体" w:hAnsi="宋体" w:cs="宋体"/>
                <w:kern w:val="0"/>
                <w:sz w:val="24"/>
              </w:rPr>
            </w:pPr>
          </w:p>
        </w:tc>
        <w:tc>
          <w:tcPr>
            <w:tcW w:w="405" w:type="pct"/>
            <w:tcBorders>
              <w:top w:val="nil"/>
              <w:left w:val="nil"/>
              <w:bottom w:val="nil"/>
              <w:right w:val="nil"/>
            </w:tcBorders>
            <w:shd w:val="clear" w:color="auto" w:fill="auto"/>
            <w:vAlign w:val="bottom"/>
          </w:tcPr>
          <w:p w14:paraId="619DD70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70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70D"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70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70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710" w14:textId="77777777" w:rsidR="003D72E7" w:rsidRDefault="003D72E7">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619DD71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71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71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71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71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716" w14:textId="77777777" w:rsidR="003D72E7" w:rsidRDefault="003D72E7">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619DD71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718" w14:textId="77777777" w:rsidR="003D72E7" w:rsidRDefault="003D72E7">
            <w:pPr>
              <w:widowControl/>
              <w:jc w:val="left"/>
              <w:rPr>
                <w:rFonts w:ascii="Times New Roman" w:eastAsia="宋体" w:hAnsi="宋体" w:cs="宋体"/>
                <w:kern w:val="0"/>
                <w:sz w:val="24"/>
              </w:rPr>
            </w:pPr>
          </w:p>
        </w:tc>
      </w:tr>
      <w:tr w:rsidR="003D72E7" w14:paraId="619DD71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71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19DD71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71C" w14:textId="77777777" w:rsidR="003D72E7" w:rsidRDefault="003D72E7">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19DD71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D72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71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2"/>
                <w:szCs w:val="12"/>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72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72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72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72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72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Level 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725"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72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72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72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72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72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72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72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Level 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72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72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3D72E7" w14:paraId="619DD74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73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2"/>
                <w:szCs w:val="12"/>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73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7"/>
                <w:szCs w:val="17"/>
                <w:lang w:bidi="ar"/>
              </w:rPr>
              <w:t>Quoted Prices in Active Markets for Identical Assets</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732"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73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7"/>
                <w:szCs w:val="17"/>
                <w:lang w:bidi="ar"/>
              </w:rPr>
              <w:t>Significant Other Observable Inputs</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734"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73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7"/>
                <w:szCs w:val="17"/>
                <w:lang w:bidi="ar"/>
              </w:rPr>
              <w:t>Significant Unobservable Inputs</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736"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73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7"/>
                <w:szCs w:val="17"/>
                <w:lang w:bidi="ar"/>
              </w:rPr>
              <w:t> </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738"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73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7"/>
                <w:szCs w:val="17"/>
                <w:lang w:bidi="ar"/>
              </w:rPr>
              <w:t xml:space="preserve">Quoted Prices in Active </w:t>
            </w:r>
            <w:r>
              <w:rPr>
                <w:rFonts w:ascii="Times New Roman" w:eastAsia="宋体" w:hAnsi="Times New Roman" w:cs="Times New Roman"/>
                <w:b/>
                <w:bCs/>
                <w:color w:val="000000"/>
                <w:kern w:val="0"/>
                <w:sz w:val="17"/>
                <w:szCs w:val="17"/>
                <w:lang w:bidi="ar"/>
              </w:rPr>
              <w:t>Markets for Identical Assets</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73A"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73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7"/>
                <w:szCs w:val="17"/>
                <w:lang w:bidi="ar"/>
              </w:rPr>
              <w:t>Significant Other Observable Inputs</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73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73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7"/>
                <w:szCs w:val="17"/>
                <w:lang w:bidi="ar"/>
              </w:rPr>
              <w:t>Significant Unobservable Inputs</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73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73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7"/>
                <w:szCs w:val="17"/>
                <w:lang w:bidi="ar"/>
              </w:rPr>
              <w:t> </w:t>
            </w:r>
          </w:p>
        </w:tc>
      </w:tr>
      <w:tr w:rsidR="003D72E7" w14:paraId="619DD74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19DD741"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45"/>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D742"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D75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74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Assets: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74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74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74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74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74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74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74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74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74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74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74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75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75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75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75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3D72E7" w14:paraId="619DD765" w14:textId="77777777">
        <w:trPr>
          <w:hidden/>
        </w:trPr>
        <w:tc>
          <w:tcPr>
            <w:tcW w:w="0" w:type="auto"/>
            <w:gridSpan w:val="3"/>
            <w:tcBorders>
              <w:top w:val="nil"/>
              <w:left w:val="nil"/>
              <w:bottom w:val="nil"/>
              <w:right w:val="nil"/>
            </w:tcBorders>
            <w:shd w:val="clear" w:color="auto" w:fill="auto"/>
            <w:vAlign w:val="bottom"/>
          </w:tcPr>
          <w:p w14:paraId="619DD75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5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5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5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5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5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5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5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5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5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5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6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6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6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6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64" w14:textId="77777777" w:rsidR="003D72E7" w:rsidRDefault="003D72E7">
            <w:pPr>
              <w:widowControl/>
              <w:jc w:val="left"/>
              <w:rPr>
                <w:rFonts w:ascii="Times New Roman" w:eastAsia="宋体" w:hAnsi="宋体" w:cs="宋体"/>
                <w:vanish/>
                <w:kern w:val="0"/>
                <w:sz w:val="24"/>
              </w:rPr>
            </w:pPr>
          </w:p>
        </w:tc>
      </w:tr>
      <w:tr w:rsidR="003D72E7" w14:paraId="619DD78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D76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Money market funds</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76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76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6,442 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76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76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76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76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76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76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76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77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77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77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77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77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6,442 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77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77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77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77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8,846 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77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77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77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77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77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77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77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78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78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78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78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78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8,846 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785" w14:textId="77777777" w:rsidR="003D72E7" w:rsidRDefault="003D72E7">
            <w:pPr>
              <w:widowControl/>
              <w:jc w:val="right"/>
              <w:rPr>
                <w:rFonts w:ascii="Times New Roman" w:eastAsia="宋体" w:hAnsi="宋体" w:cs="宋体"/>
                <w:kern w:val="0"/>
                <w:sz w:val="24"/>
              </w:rPr>
            </w:pPr>
          </w:p>
        </w:tc>
      </w:tr>
      <w:tr w:rsidR="003D72E7" w14:paraId="619DD797" w14:textId="77777777">
        <w:trPr>
          <w:hidden/>
        </w:trPr>
        <w:tc>
          <w:tcPr>
            <w:tcW w:w="0" w:type="auto"/>
            <w:gridSpan w:val="3"/>
            <w:tcBorders>
              <w:top w:val="nil"/>
              <w:left w:val="nil"/>
              <w:bottom w:val="nil"/>
              <w:right w:val="nil"/>
            </w:tcBorders>
            <w:shd w:val="clear" w:color="auto" w:fill="auto"/>
            <w:vAlign w:val="bottom"/>
          </w:tcPr>
          <w:p w14:paraId="619DD78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8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8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8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8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8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8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8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8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9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9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9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9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9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9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96" w14:textId="77777777" w:rsidR="003D72E7" w:rsidRDefault="003D72E7">
            <w:pPr>
              <w:widowControl/>
              <w:jc w:val="left"/>
              <w:rPr>
                <w:rFonts w:ascii="Times New Roman" w:eastAsia="宋体" w:hAnsi="宋体" w:cs="宋体"/>
                <w:vanish/>
                <w:kern w:val="0"/>
                <w:sz w:val="24"/>
              </w:rPr>
            </w:pPr>
          </w:p>
        </w:tc>
      </w:tr>
      <w:tr w:rsidR="003D72E7" w14:paraId="619DD7A8" w14:textId="77777777">
        <w:trPr>
          <w:hidden/>
        </w:trPr>
        <w:tc>
          <w:tcPr>
            <w:tcW w:w="0" w:type="auto"/>
            <w:gridSpan w:val="3"/>
            <w:tcBorders>
              <w:top w:val="nil"/>
              <w:left w:val="nil"/>
              <w:bottom w:val="nil"/>
              <w:right w:val="nil"/>
            </w:tcBorders>
            <w:shd w:val="clear" w:color="auto" w:fill="auto"/>
            <w:vAlign w:val="bottom"/>
          </w:tcPr>
          <w:p w14:paraId="619DD79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9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9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9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9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9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9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9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A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A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A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A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A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A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A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A7" w14:textId="77777777" w:rsidR="003D72E7" w:rsidRDefault="003D72E7">
            <w:pPr>
              <w:widowControl/>
              <w:jc w:val="left"/>
              <w:rPr>
                <w:rFonts w:ascii="Times New Roman" w:eastAsia="宋体" w:hAnsi="宋体" w:cs="宋体"/>
                <w:vanish/>
                <w:kern w:val="0"/>
                <w:sz w:val="24"/>
              </w:rPr>
            </w:pPr>
          </w:p>
        </w:tc>
      </w:tr>
      <w:tr w:rsidR="003D72E7" w14:paraId="619DD7B9" w14:textId="77777777">
        <w:trPr>
          <w:hidden/>
        </w:trPr>
        <w:tc>
          <w:tcPr>
            <w:tcW w:w="0" w:type="auto"/>
            <w:gridSpan w:val="3"/>
            <w:tcBorders>
              <w:top w:val="nil"/>
              <w:left w:val="nil"/>
              <w:bottom w:val="nil"/>
              <w:right w:val="nil"/>
            </w:tcBorders>
            <w:shd w:val="clear" w:color="auto" w:fill="auto"/>
            <w:vAlign w:val="bottom"/>
          </w:tcPr>
          <w:p w14:paraId="619DD7A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A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A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A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A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A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A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B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B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B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B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B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B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B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B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B8" w14:textId="77777777" w:rsidR="003D72E7" w:rsidRDefault="003D72E7">
            <w:pPr>
              <w:widowControl/>
              <w:jc w:val="left"/>
              <w:rPr>
                <w:rFonts w:ascii="Times New Roman" w:eastAsia="宋体" w:hAnsi="宋体" w:cs="宋体"/>
                <w:vanish/>
                <w:kern w:val="0"/>
                <w:sz w:val="24"/>
              </w:rPr>
            </w:pPr>
          </w:p>
        </w:tc>
      </w:tr>
      <w:tr w:rsidR="003D72E7" w14:paraId="619DD7CA" w14:textId="77777777">
        <w:trPr>
          <w:hidden/>
        </w:trPr>
        <w:tc>
          <w:tcPr>
            <w:tcW w:w="0" w:type="auto"/>
            <w:gridSpan w:val="3"/>
            <w:tcBorders>
              <w:top w:val="nil"/>
              <w:left w:val="nil"/>
              <w:bottom w:val="nil"/>
              <w:right w:val="nil"/>
            </w:tcBorders>
            <w:shd w:val="clear" w:color="auto" w:fill="auto"/>
            <w:vAlign w:val="bottom"/>
          </w:tcPr>
          <w:p w14:paraId="619DD7B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B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B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B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B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B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C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C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C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C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C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C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C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C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C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C9" w14:textId="77777777" w:rsidR="003D72E7" w:rsidRDefault="003D72E7">
            <w:pPr>
              <w:widowControl/>
              <w:jc w:val="left"/>
              <w:rPr>
                <w:rFonts w:ascii="Times New Roman" w:eastAsia="宋体" w:hAnsi="宋体" w:cs="宋体"/>
                <w:vanish/>
                <w:kern w:val="0"/>
                <w:sz w:val="24"/>
              </w:rPr>
            </w:pPr>
          </w:p>
        </w:tc>
      </w:tr>
      <w:tr w:rsidR="003D72E7" w14:paraId="619DD7DB" w14:textId="77777777">
        <w:trPr>
          <w:hidden/>
        </w:trPr>
        <w:tc>
          <w:tcPr>
            <w:tcW w:w="0" w:type="auto"/>
            <w:gridSpan w:val="3"/>
            <w:tcBorders>
              <w:top w:val="nil"/>
              <w:left w:val="nil"/>
              <w:bottom w:val="nil"/>
              <w:right w:val="nil"/>
            </w:tcBorders>
            <w:shd w:val="clear" w:color="auto" w:fill="auto"/>
            <w:vAlign w:val="bottom"/>
          </w:tcPr>
          <w:p w14:paraId="619DD7C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C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C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C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C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D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D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D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D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D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D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D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D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D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D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DA" w14:textId="77777777" w:rsidR="003D72E7" w:rsidRDefault="003D72E7">
            <w:pPr>
              <w:widowControl/>
              <w:jc w:val="left"/>
              <w:rPr>
                <w:rFonts w:ascii="Times New Roman" w:eastAsia="宋体" w:hAnsi="宋体" w:cs="宋体"/>
                <w:vanish/>
                <w:kern w:val="0"/>
                <w:sz w:val="24"/>
              </w:rPr>
            </w:pPr>
          </w:p>
        </w:tc>
      </w:tr>
      <w:tr w:rsidR="003D72E7" w14:paraId="619DD7EC" w14:textId="77777777">
        <w:trPr>
          <w:hidden/>
        </w:trPr>
        <w:tc>
          <w:tcPr>
            <w:tcW w:w="0" w:type="auto"/>
            <w:gridSpan w:val="3"/>
            <w:tcBorders>
              <w:top w:val="nil"/>
              <w:left w:val="nil"/>
              <w:bottom w:val="nil"/>
              <w:right w:val="nil"/>
            </w:tcBorders>
            <w:shd w:val="clear" w:color="auto" w:fill="auto"/>
            <w:vAlign w:val="bottom"/>
          </w:tcPr>
          <w:p w14:paraId="619DD7D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D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D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D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E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E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E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E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E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E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E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E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E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E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E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7EB" w14:textId="77777777" w:rsidR="003D72E7" w:rsidRDefault="003D72E7">
            <w:pPr>
              <w:widowControl/>
              <w:jc w:val="left"/>
              <w:rPr>
                <w:rFonts w:ascii="Times New Roman" w:eastAsia="宋体" w:hAnsi="宋体" w:cs="宋体"/>
                <w:vanish/>
                <w:kern w:val="0"/>
                <w:sz w:val="24"/>
              </w:rPr>
            </w:pPr>
          </w:p>
        </w:tc>
      </w:tr>
      <w:tr w:rsidR="003D72E7" w14:paraId="619DD805"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D7E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Equity and other securities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7E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7E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7F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7F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7F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7F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7F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7F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7F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7F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7F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7F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7F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7F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7F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7F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7F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7F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80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80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0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80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804" w14:textId="77777777" w:rsidR="003D72E7" w:rsidRDefault="003D72E7">
            <w:pPr>
              <w:widowControl/>
              <w:jc w:val="right"/>
              <w:rPr>
                <w:rFonts w:ascii="Times New Roman" w:eastAsia="宋体" w:hAnsi="宋体" w:cs="宋体"/>
                <w:kern w:val="0"/>
                <w:sz w:val="24"/>
              </w:rPr>
            </w:pPr>
          </w:p>
        </w:tc>
      </w:tr>
      <w:tr w:rsidR="003D72E7" w14:paraId="619DD81E"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D80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Derivative instruments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80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80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0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80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80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0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80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80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0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81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81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1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81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81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1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81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81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1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81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81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1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81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81D" w14:textId="77777777" w:rsidR="003D72E7" w:rsidRDefault="003D72E7">
            <w:pPr>
              <w:widowControl/>
              <w:jc w:val="right"/>
              <w:rPr>
                <w:rFonts w:ascii="Times New Roman" w:eastAsia="宋体" w:hAnsi="宋体" w:cs="宋体"/>
                <w:kern w:val="0"/>
                <w:sz w:val="24"/>
              </w:rPr>
            </w:pPr>
          </w:p>
        </w:tc>
      </w:tr>
      <w:tr w:rsidR="003D72E7" w14:paraId="619DD83F"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center"/>
          </w:tcPr>
          <w:p w14:paraId="619DD81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assets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D82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D82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6,741 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D82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2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D82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D82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D82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2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D82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D82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D82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2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D82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D82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6,816 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D82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2F"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D83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D83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9,295 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D83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3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D83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D83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D83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3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D83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D83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D83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3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D83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D83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9,399 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D83E" w14:textId="77777777" w:rsidR="003D72E7" w:rsidRDefault="003D72E7">
            <w:pPr>
              <w:widowControl/>
              <w:jc w:val="right"/>
              <w:rPr>
                <w:rFonts w:ascii="Times New Roman" w:eastAsia="宋体" w:hAnsi="宋体" w:cs="宋体"/>
                <w:kern w:val="0"/>
                <w:sz w:val="24"/>
              </w:rPr>
            </w:pPr>
          </w:p>
        </w:tc>
      </w:tr>
      <w:tr w:rsidR="003D72E7" w14:paraId="619DD85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D84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Liabilities:</w:t>
            </w:r>
          </w:p>
        </w:tc>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center"/>
          </w:tcPr>
          <w:p w14:paraId="619DD84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42"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center"/>
          </w:tcPr>
          <w:p w14:paraId="619DD84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44"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center"/>
          </w:tcPr>
          <w:p w14:paraId="619DD84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46"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center"/>
          </w:tcPr>
          <w:p w14:paraId="619DD84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48"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center"/>
          </w:tcPr>
          <w:p w14:paraId="619DD84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4A"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center"/>
          </w:tcPr>
          <w:p w14:paraId="619DD84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4C"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center"/>
          </w:tcPr>
          <w:p w14:paraId="619DD84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4E"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center"/>
          </w:tcPr>
          <w:p w14:paraId="619DD84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3D72E7" w14:paraId="619DD871"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center"/>
          </w:tcPr>
          <w:p w14:paraId="619DD85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Derivative instruments</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85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85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85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5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85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85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85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5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85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85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85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5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85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85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86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6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86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86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86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6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86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86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86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6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86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86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86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6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86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86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870" w14:textId="77777777" w:rsidR="003D72E7" w:rsidRDefault="003D72E7">
            <w:pPr>
              <w:widowControl/>
              <w:jc w:val="right"/>
              <w:rPr>
                <w:rFonts w:ascii="Times New Roman" w:eastAsia="宋体" w:hAnsi="宋体" w:cs="宋体"/>
                <w:kern w:val="0"/>
                <w:sz w:val="24"/>
              </w:rPr>
            </w:pPr>
          </w:p>
        </w:tc>
      </w:tr>
      <w:tr w:rsidR="003D72E7" w14:paraId="619DD892"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center"/>
          </w:tcPr>
          <w:p w14:paraId="619DD87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liabilities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87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87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87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76"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87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87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87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7A"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87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87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87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7E"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87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88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88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8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88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88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88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86"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88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88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88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8A"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88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88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88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8E"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88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89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891" w14:textId="77777777" w:rsidR="003D72E7" w:rsidRDefault="003D72E7">
            <w:pPr>
              <w:widowControl/>
              <w:jc w:val="right"/>
              <w:rPr>
                <w:rFonts w:ascii="Times New Roman" w:eastAsia="宋体" w:hAnsi="宋体" w:cs="宋体"/>
                <w:kern w:val="0"/>
                <w:sz w:val="24"/>
              </w:rPr>
            </w:pPr>
          </w:p>
        </w:tc>
      </w:tr>
    </w:tbl>
    <w:p w14:paraId="619DD89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89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The following section describes the valuation</w:t>
      </w:r>
      <w:r>
        <w:rPr>
          <w:rFonts w:ascii="Times New Roman" w:eastAsia="宋体" w:hAnsi="Times New Roman" w:cs="Times New Roman"/>
          <w:color w:val="000000"/>
          <w:kern w:val="0"/>
          <w:sz w:val="20"/>
          <w:szCs w:val="20"/>
          <w:shd w:val="clear" w:color="auto" w:fill="FFFFFF"/>
          <w:lang w:bidi="ar"/>
        </w:rPr>
        <w:t xml:space="preserve"> methodologies the Company uses to measure financial instruments at fair value:</w:t>
      </w:r>
    </w:p>
    <w:p w14:paraId="619DD89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89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Money Market Funds </w:t>
      </w:r>
      <w:r>
        <w:rPr>
          <w:rFonts w:ascii="Times New Roman" w:eastAsia="宋体" w:hAnsi="Times New Roman" w:cs="Times New Roman"/>
          <w:color w:val="000000"/>
          <w:kern w:val="0"/>
          <w:sz w:val="20"/>
          <w:szCs w:val="20"/>
          <w:lang w:bidi="ar"/>
        </w:rPr>
        <w:t>— The Company’s investments in money market funds that are classified as cash equivalents hold underlying investments with a weighted average maturity of 9</w:t>
      </w:r>
      <w:r>
        <w:rPr>
          <w:rFonts w:ascii="Times New Roman" w:eastAsia="宋体" w:hAnsi="Times New Roman" w:cs="Times New Roman"/>
          <w:color w:val="000000"/>
          <w:kern w:val="0"/>
          <w:sz w:val="20"/>
          <w:szCs w:val="20"/>
          <w:lang w:bidi="ar"/>
        </w:rPr>
        <w:t>0 days or less and are recognized at fair value. The valuations of these securities are based on quoted prices in active markets for identical assets, when available, or pricing models whereby all significant inputs are observable or can be derived from or</w:t>
      </w:r>
      <w:r>
        <w:rPr>
          <w:rFonts w:ascii="Times New Roman" w:eastAsia="宋体" w:hAnsi="Times New Roman" w:cs="Times New Roman"/>
          <w:color w:val="000000"/>
          <w:kern w:val="0"/>
          <w:sz w:val="20"/>
          <w:szCs w:val="20"/>
          <w:lang w:bidi="ar"/>
        </w:rPr>
        <w:t xml:space="preserve"> corroborated by observable market data. The Company reviews security pricing and assesses liquidity on a quarterly basis. As of July 30, 2021, the Company’s U.S. portfolio had no material exposure to money market funds with a fluctuating net asset value.</w:t>
      </w:r>
    </w:p>
    <w:p w14:paraId="619DD89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89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Equity and Other Securities </w:t>
      </w:r>
      <w:r>
        <w:rPr>
          <w:rFonts w:ascii="Times New Roman" w:eastAsia="宋体" w:hAnsi="Times New Roman" w:cs="Times New Roman"/>
          <w:color w:val="000000"/>
          <w:kern w:val="0"/>
          <w:sz w:val="20"/>
          <w:szCs w:val="20"/>
          <w:lang w:bidi="ar"/>
        </w:rPr>
        <w:t>— The majority of the Company’s investments in equity and other securities that are measured at fair value on a recurring basis consist of strategic investments in publicly-traded companies. The valuation of these securities is based on quoted prices in ac</w:t>
      </w:r>
      <w:r>
        <w:rPr>
          <w:rFonts w:ascii="Times New Roman" w:eastAsia="宋体" w:hAnsi="Times New Roman" w:cs="Times New Roman"/>
          <w:color w:val="000000"/>
          <w:kern w:val="0"/>
          <w:sz w:val="20"/>
          <w:szCs w:val="20"/>
          <w:lang w:bidi="ar"/>
        </w:rPr>
        <w:t xml:space="preserve">tive markets. </w:t>
      </w:r>
    </w:p>
    <w:p w14:paraId="619DD89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89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Derivative Instruments</w:t>
      </w:r>
      <w:r>
        <w:rPr>
          <w:rFonts w:ascii="Times New Roman" w:eastAsia="宋体" w:hAnsi="Times New Roman" w:cs="Times New Roman"/>
          <w:color w:val="000000"/>
          <w:kern w:val="0"/>
          <w:sz w:val="20"/>
          <w:szCs w:val="20"/>
          <w:lang w:bidi="ar"/>
        </w:rPr>
        <w:t xml:space="preserve"> — The Company’s derivative financial instruments consist primarily of foreign currency forward and purchased option contracts and interest rate swaps. The fair value of the portfolio is determined using valuation mod</w:t>
      </w:r>
      <w:r>
        <w:rPr>
          <w:rFonts w:ascii="Times New Roman" w:eastAsia="宋体" w:hAnsi="Times New Roman" w:cs="Times New Roman"/>
          <w:color w:val="000000"/>
          <w:kern w:val="0"/>
          <w:sz w:val="20"/>
          <w:szCs w:val="20"/>
          <w:lang w:bidi="ar"/>
        </w:rPr>
        <w:t>els based on market observable inputs, including interest rate curves, forward and spot prices for currencies, and implied volatilities. Credit risk is also factored into the fair value calculation of the Company’s derivative financial instrument portfolio</w:t>
      </w:r>
      <w:r>
        <w:rPr>
          <w:rFonts w:ascii="Times New Roman" w:eastAsia="宋体" w:hAnsi="Times New Roman" w:cs="Times New Roman"/>
          <w:color w:val="000000"/>
          <w:kern w:val="0"/>
          <w:sz w:val="20"/>
          <w:szCs w:val="20"/>
          <w:lang w:bidi="ar"/>
        </w:rPr>
        <w:t>. See Note 6 of the Notes to the Condensed Consolidated Financial Statements for a description of the Company’s derivative financial instrument activities.</w:t>
      </w:r>
    </w:p>
    <w:p w14:paraId="619DD89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89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Deferred Compensation Plans</w:t>
      </w:r>
      <w:r>
        <w:rPr>
          <w:rFonts w:ascii="Times New Roman" w:eastAsia="宋体" w:hAnsi="Times New Roman" w:cs="Times New Roman"/>
          <w:color w:val="000000"/>
          <w:kern w:val="0"/>
          <w:sz w:val="20"/>
          <w:szCs w:val="20"/>
          <w:lang w:bidi="ar"/>
        </w:rPr>
        <w:t xml:space="preserve"> — The Company offers deferred compensation plans for eligible employee</w:t>
      </w:r>
      <w:r>
        <w:rPr>
          <w:rFonts w:ascii="Times New Roman" w:eastAsia="宋体" w:hAnsi="Times New Roman" w:cs="Times New Roman"/>
          <w:color w:val="000000"/>
          <w:kern w:val="0"/>
          <w:sz w:val="20"/>
          <w:szCs w:val="20"/>
          <w:lang w:bidi="ar"/>
        </w:rPr>
        <w:t>s, which allow participants to defer payment for a portion of their compensation. Assets were the same as liabilities associated with the plans at approximately $355 million and $308 million as of July 30, 2021 and January 29, 2021, respectively, and are i</w:t>
      </w:r>
      <w:r>
        <w:rPr>
          <w:rFonts w:ascii="Times New Roman" w:eastAsia="宋体" w:hAnsi="Times New Roman" w:cs="Times New Roman"/>
          <w:color w:val="000000"/>
          <w:kern w:val="0"/>
          <w:sz w:val="20"/>
          <w:szCs w:val="20"/>
          <w:lang w:bidi="ar"/>
        </w:rPr>
        <w:t>ncluded in other assets and other liabilities on the Condensed Consolidated Statements of Financial Position. The net impact to the Condensed Consolidated Statements of Income is not material since changes in the fair value of the assets substantially offs</w:t>
      </w:r>
      <w:r>
        <w:rPr>
          <w:rFonts w:ascii="Times New Roman" w:eastAsia="宋体" w:hAnsi="Times New Roman" w:cs="Times New Roman"/>
          <w:color w:val="000000"/>
          <w:kern w:val="0"/>
          <w:sz w:val="20"/>
          <w:szCs w:val="20"/>
          <w:lang w:bidi="ar"/>
        </w:rPr>
        <w:t xml:space="preserve">et changes in the fair value of the liabilities. As such, assets and liabilities associated with these plans have not been included in the recurring fair value table above. </w:t>
      </w:r>
    </w:p>
    <w:p w14:paraId="619DD89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89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89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8A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w:t>
      </w:r>
    </w:p>
    <w:p w14:paraId="619DD8A1"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8A2" w14:textId="77777777" w:rsidR="003D72E7" w:rsidRDefault="00AD6774">
      <w:pPr>
        <w:widowControl/>
        <w:jc w:val="center"/>
      </w:pPr>
      <w:r>
        <w:rPr>
          <w:rFonts w:ascii="宋体" w:eastAsia="宋体" w:hAnsi="宋体" w:cs="宋体"/>
          <w:kern w:val="0"/>
          <w:sz w:val="24"/>
        </w:rPr>
        <w:pict w14:anchorId="619E0D7A">
          <v:rect id="_x0000_i1039" style="width:6in;height:1.5pt" o:hralign="center" o:hrstd="t" o:hr="t" fillcolor="#a0a0a0" stroked="f"/>
        </w:pict>
      </w:r>
    </w:p>
    <w:p w14:paraId="619DD8A3"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D8A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D8A5"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D8A6"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D8A7"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8A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Assets and Liabilities Measured at Fair Value on a Nonrecurring Basis</w:t>
      </w:r>
      <w:r>
        <w:rPr>
          <w:rFonts w:ascii="Times New Roman" w:eastAsia="宋体" w:hAnsi="Times New Roman" w:cs="Times New Roman"/>
          <w:color w:val="000000"/>
          <w:kern w:val="0"/>
          <w:sz w:val="20"/>
          <w:szCs w:val="20"/>
          <w:lang w:bidi="ar"/>
        </w:rPr>
        <w:t xml:space="preserve"> — Certain assets are measured at fair value on a nonrecurring basis and therefore are not included in the recurring fair value table above. These assets consist primarily of non-financial assets such as goodwill and intangible assets. See Note 7 of the No</w:t>
      </w:r>
      <w:r>
        <w:rPr>
          <w:rFonts w:ascii="Times New Roman" w:eastAsia="宋体" w:hAnsi="Times New Roman" w:cs="Times New Roman"/>
          <w:color w:val="000000"/>
          <w:kern w:val="0"/>
          <w:sz w:val="20"/>
          <w:szCs w:val="20"/>
          <w:lang w:bidi="ar"/>
        </w:rPr>
        <w:t>tes to the Condensed Consolidated Financial Statements for additional information about goodwill and intangible assets.</w:t>
      </w:r>
    </w:p>
    <w:p w14:paraId="619DD8A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8A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30, 2021 and January 29, 2021, the Company held private strategic investments of $1.2 billion and $1.0 billion, respectivel</w:t>
      </w:r>
      <w:r>
        <w:rPr>
          <w:rFonts w:ascii="Times New Roman" w:eastAsia="宋体" w:hAnsi="Times New Roman" w:cs="Times New Roman"/>
          <w:color w:val="000000"/>
          <w:kern w:val="0"/>
          <w:sz w:val="20"/>
          <w:szCs w:val="20"/>
          <w:lang w:bidi="ar"/>
        </w:rPr>
        <w:t>y. As these investments represent early-stage companies without readily determinable fair values, they are not included in the recurring fair value table above.</w:t>
      </w:r>
    </w:p>
    <w:p w14:paraId="619DD8A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8A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has elected to apply the measurement alternative for these investments. Under the</w:t>
      </w:r>
      <w:r>
        <w:rPr>
          <w:rFonts w:ascii="Times New Roman" w:eastAsia="宋体" w:hAnsi="Times New Roman" w:cs="Times New Roman"/>
          <w:color w:val="000000"/>
          <w:kern w:val="0"/>
          <w:sz w:val="20"/>
          <w:szCs w:val="20"/>
          <w:lang w:bidi="ar"/>
        </w:rPr>
        <w:t xml:space="preserve"> alternative, the Company measures investments without readily determinable fair values at cost, less impairment, adjusted by observable price changes. The Company must make a separate election to use the alternative for each eligible investment and is req</w:t>
      </w:r>
      <w:r>
        <w:rPr>
          <w:rFonts w:ascii="Times New Roman" w:eastAsia="宋体" w:hAnsi="Times New Roman" w:cs="Times New Roman"/>
          <w:color w:val="000000"/>
          <w:kern w:val="0"/>
          <w:sz w:val="20"/>
          <w:szCs w:val="20"/>
          <w:lang w:bidi="ar"/>
        </w:rPr>
        <w:t>uired to reassess at each reporting period whether an investment qualifies for the alternative. In evaluating these investments for impairment or observable price changes, the Company uses inputs including pre- and post-money valuations of recent financing</w:t>
      </w:r>
      <w:r>
        <w:rPr>
          <w:rFonts w:ascii="Times New Roman" w:eastAsia="宋体" w:hAnsi="Times New Roman" w:cs="Times New Roman"/>
          <w:color w:val="000000"/>
          <w:kern w:val="0"/>
          <w:sz w:val="20"/>
          <w:szCs w:val="20"/>
          <w:lang w:bidi="ar"/>
        </w:rPr>
        <w:t xml:space="preserve"> events and the impact of those events on its fully diluted ownership percentages, as well as other available information regarding the issuer’s historical and forecasted performance.</w:t>
      </w:r>
    </w:p>
    <w:p w14:paraId="619DD8A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8AE"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Carrying Value and Estimated Fair Value of Outstanding Debt </w:t>
      </w:r>
      <w:r>
        <w:rPr>
          <w:rFonts w:ascii="Times New Roman" w:eastAsia="宋体" w:hAnsi="Times New Roman" w:cs="Times New Roman"/>
          <w:color w:val="000000"/>
          <w:kern w:val="0"/>
          <w:sz w:val="20"/>
          <w:szCs w:val="20"/>
          <w:lang w:bidi="ar"/>
        </w:rPr>
        <w:t>— The foll</w:t>
      </w:r>
      <w:r>
        <w:rPr>
          <w:rFonts w:ascii="Times New Roman" w:eastAsia="宋体" w:hAnsi="Times New Roman" w:cs="Times New Roman"/>
          <w:color w:val="000000"/>
          <w:kern w:val="0"/>
          <w:sz w:val="20"/>
          <w:szCs w:val="20"/>
          <w:lang w:bidi="ar"/>
        </w:rPr>
        <w:t>owing table presents the carrying value and estimated fair value of the Company’s outstanding debt as described in Note 5 of the Notes to the Condensed Consolidated Financial Statements, including the current portion,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08"/>
        <w:gridCol w:w="37"/>
        <w:gridCol w:w="121"/>
        <w:gridCol w:w="1000"/>
        <w:gridCol w:w="36"/>
        <w:gridCol w:w="36"/>
        <w:gridCol w:w="36"/>
        <w:gridCol w:w="36"/>
        <w:gridCol w:w="120"/>
        <w:gridCol w:w="1001"/>
        <w:gridCol w:w="36"/>
        <w:gridCol w:w="36"/>
        <w:gridCol w:w="36"/>
        <w:gridCol w:w="36"/>
        <w:gridCol w:w="121"/>
        <w:gridCol w:w="1001"/>
        <w:gridCol w:w="36"/>
        <w:gridCol w:w="36"/>
        <w:gridCol w:w="36"/>
        <w:gridCol w:w="36"/>
        <w:gridCol w:w="120"/>
        <w:gridCol w:w="1001"/>
        <w:gridCol w:w="36"/>
      </w:tblGrid>
      <w:tr w:rsidR="003D72E7" w14:paraId="619DD8C7" w14:textId="77777777">
        <w:trPr>
          <w:jc w:val="center"/>
        </w:trPr>
        <w:tc>
          <w:tcPr>
            <w:tcW w:w="50" w:type="pct"/>
            <w:tcBorders>
              <w:top w:val="nil"/>
              <w:left w:val="nil"/>
              <w:bottom w:val="nil"/>
              <w:right w:val="nil"/>
            </w:tcBorders>
            <w:shd w:val="clear" w:color="auto" w:fill="auto"/>
            <w:vAlign w:val="bottom"/>
          </w:tcPr>
          <w:p w14:paraId="619DD8AF" w14:textId="77777777" w:rsidR="003D72E7" w:rsidRDefault="003D72E7">
            <w:pPr>
              <w:widowControl/>
              <w:jc w:val="left"/>
              <w:rPr>
                <w:rFonts w:ascii="Times New Roman" w:eastAsia="宋体" w:hAnsi="宋体" w:cs="宋体"/>
                <w:kern w:val="0"/>
                <w:sz w:val="24"/>
              </w:rPr>
            </w:pPr>
          </w:p>
        </w:tc>
        <w:tc>
          <w:tcPr>
            <w:tcW w:w="2050" w:type="pct"/>
            <w:tcBorders>
              <w:top w:val="nil"/>
              <w:left w:val="nil"/>
              <w:bottom w:val="nil"/>
              <w:right w:val="nil"/>
            </w:tcBorders>
            <w:shd w:val="clear" w:color="auto" w:fill="auto"/>
            <w:vAlign w:val="bottom"/>
          </w:tcPr>
          <w:p w14:paraId="619DD8B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8B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8B2" w14:textId="77777777" w:rsidR="003D72E7" w:rsidRDefault="003D72E7">
            <w:pPr>
              <w:widowControl/>
              <w:jc w:val="left"/>
              <w:rPr>
                <w:rFonts w:ascii="Times New Roman" w:eastAsia="宋体" w:hAnsi="宋体" w:cs="宋体"/>
                <w:kern w:val="0"/>
                <w:sz w:val="24"/>
              </w:rPr>
            </w:pPr>
          </w:p>
        </w:tc>
        <w:tc>
          <w:tcPr>
            <w:tcW w:w="646" w:type="pct"/>
            <w:tcBorders>
              <w:top w:val="nil"/>
              <w:left w:val="nil"/>
              <w:bottom w:val="nil"/>
              <w:right w:val="nil"/>
            </w:tcBorders>
            <w:shd w:val="clear" w:color="auto" w:fill="auto"/>
            <w:vAlign w:val="bottom"/>
          </w:tcPr>
          <w:p w14:paraId="619DD8B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8B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8B5"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8B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8B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8B8" w14:textId="77777777" w:rsidR="003D72E7" w:rsidRDefault="003D72E7">
            <w:pPr>
              <w:widowControl/>
              <w:jc w:val="left"/>
              <w:rPr>
                <w:rFonts w:ascii="Times New Roman" w:eastAsia="宋体" w:hAnsi="宋体" w:cs="宋体"/>
                <w:kern w:val="0"/>
                <w:sz w:val="24"/>
              </w:rPr>
            </w:pPr>
          </w:p>
        </w:tc>
        <w:tc>
          <w:tcPr>
            <w:tcW w:w="646" w:type="pct"/>
            <w:tcBorders>
              <w:top w:val="nil"/>
              <w:left w:val="nil"/>
              <w:bottom w:val="nil"/>
              <w:right w:val="nil"/>
            </w:tcBorders>
            <w:shd w:val="clear" w:color="auto" w:fill="auto"/>
            <w:vAlign w:val="bottom"/>
          </w:tcPr>
          <w:p w14:paraId="619DD8B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8B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8BB"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8B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8B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8BE" w14:textId="77777777" w:rsidR="003D72E7" w:rsidRDefault="003D72E7">
            <w:pPr>
              <w:widowControl/>
              <w:jc w:val="left"/>
              <w:rPr>
                <w:rFonts w:ascii="Times New Roman" w:eastAsia="宋体" w:hAnsi="宋体" w:cs="宋体"/>
                <w:kern w:val="0"/>
                <w:sz w:val="24"/>
              </w:rPr>
            </w:pPr>
          </w:p>
        </w:tc>
        <w:tc>
          <w:tcPr>
            <w:tcW w:w="646" w:type="pct"/>
            <w:tcBorders>
              <w:top w:val="nil"/>
              <w:left w:val="nil"/>
              <w:bottom w:val="nil"/>
              <w:right w:val="nil"/>
            </w:tcBorders>
            <w:shd w:val="clear" w:color="auto" w:fill="auto"/>
            <w:vAlign w:val="bottom"/>
          </w:tcPr>
          <w:p w14:paraId="619DD8B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8C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8C1"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8C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8C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8C4" w14:textId="77777777" w:rsidR="003D72E7" w:rsidRDefault="003D72E7">
            <w:pPr>
              <w:widowControl/>
              <w:jc w:val="left"/>
              <w:rPr>
                <w:rFonts w:ascii="Times New Roman" w:eastAsia="宋体" w:hAnsi="宋体" w:cs="宋体"/>
                <w:kern w:val="0"/>
                <w:sz w:val="24"/>
              </w:rPr>
            </w:pPr>
          </w:p>
        </w:tc>
        <w:tc>
          <w:tcPr>
            <w:tcW w:w="646" w:type="pct"/>
            <w:tcBorders>
              <w:top w:val="nil"/>
              <w:left w:val="nil"/>
              <w:bottom w:val="nil"/>
              <w:right w:val="nil"/>
            </w:tcBorders>
            <w:shd w:val="clear" w:color="auto" w:fill="auto"/>
            <w:vAlign w:val="bottom"/>
          </w:tcPr>
          <w:p w14:paraId="619DD8C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8C6" w14:textId="77777777" w:rsidR="003D72E7" w:rsidRDefault="003D72E7">
            <w:pPr>
              <w:widowControl/>
              <w:jc w:val="left"/>
              <w:rPr>
                <w:rFonts w:ascii="Times New Roman" w:eastAsia="宋体" w:hAnsi="宋体" w:cs="宋体"/>
                <w:kern w:val="0"/>
                <w:sz w:val="24"/>
              </w:rPr>
            </w:pPr>
          </w:p>
        </w:tc>
      </w:tr>
      <w:tr w:rsidR="003D72E7" w14:paraId="619DD8C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8C8"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D8C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8CA"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D8C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D8D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8C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8C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Carrying Value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8C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8D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Fair Value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8D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8D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Carrying Value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8D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8D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Fair Value</w:t>
            </w:r>
          </w:p>
        </w:tc>
      </w:tr>
      <w:tr w:rsidR="003D72E7" w14:paraId="619DD8D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8D6" w14:textId="77777777" w:rsidR="003D72E7" w:rsidRDefault="003D72E7">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D8D7"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billions)</w:t>
            </w:r>
          </w:p>
        </w:tc>
      </w:tr>
      <w:tr w:rsidR="003D72E7" w14:paraId="619DD8E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8D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Senior Secured Credit Facilities</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8D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8D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8D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D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8D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8D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8E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E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8E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8E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8E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E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8E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8E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8E8" w14:textId="77777777" w:rsidR="003D72E7" w:rsidRDefault="003D72E7">
            <w:pPr>
              <w:widowControl/>
              <w:jc w:val="right"/>
              <w:rPr>
                <w:rFonts w:ascii="Times New Roman" w:eastAsia="宋体" w:hAnsi="宋体" w:cs="宋体"/>
                <w:kern w:val="0"/>
                <w:sz w:val="24"/>
              </w:rPr>
            </w:pPr>
          </w:p>
        </w:tc>
      </w:tr>
      <w:tr w:rsidR="003D72E7" w14:paraId="619DD8F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D8E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First Lien Notes</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8E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8E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8E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E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8E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8F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23.1 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8F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F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8F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8F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8F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8F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8F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8F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8F9" w14:textId="77777777" w:rsidR="003D72E7" w:rsidRDefault="003D72E7">
            <w:pPr>
              <w:widowControl/>
              <w:jc w:val="right"/>
              <w:rPr>
                <w:rFonts w:ascii="Times New Roman" w:eastAsia="宋体" w:hAnsi="宋体" w:cs="宋体"/>
                <w:kern w:val="0"/>
                <w:sz w:val="24"/>
              </w:rPr>
            </w:pPr>
          </w:p>
        </w:tc>
      </w:tr>
      <w:tr w:rsidR="003D72E7" w14:paraId="619DD90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8F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Unsecured Notes and Debentures</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8F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8F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0.8 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8F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8F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0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0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0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0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0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0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0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0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0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0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0A" w14:textId="77777777" w:rsidR="003D72E7" w:rsidRDefault="003D72E7">
            <w:pPr>
              <w:widowControl/>
              <w:jc w:val="right"/>
              <w:rPr>
                <w:rFonts w:ascii="Times New Roman" w:eastAsia="宋体" w:hAnsi="宋体" w:cs="宋体"/>
                <w:kern w:val="0"/>
                <w:sz w:val="24"/>
              </w:rPr>
            </w:pPr>
          </w:p>
        </w:tc>
      </w:tr>
      <w:tr w:rsidR="003D72E7" w14:paraId="619DD91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D90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Senior Notes</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90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90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90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91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91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91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91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91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91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91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91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91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91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91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91B" w14:textId="77777777" w:rsidR="003D72E7" w:rsidRDefault="003D72E7">
            <w:pPr>
              <w:widowControl/>
              <w:jc w:val="right"/>
              <w:rPr>
                <w:rFonts w:ascii="Times New Roman" w:eastAsia="宋体" w:hAnsi="宋体" w:cs="宋体"/>
                <w:kern w:val="0"/>
                <w:sz w:val="24"/>
              </w:rPr>
            </w:pPr>
          </w:p>
        </w:tc>
      </w:tr>
      <w:tr w:rsidR="003D72E7" w14:paraId="619DD92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91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EMC Notes</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1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1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2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2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2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2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2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2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2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2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2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2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2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2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2C" w14:textId="77777777" w:rsidR="003D72E7" w:rsidRDefault="003D72E7">
            <w:pPr>
              <w:widowControl/>
              <w:jc w:val="right"/>
              <w:rPr>
                <w:rFonts w:ascii="Times New Roman" w:eastAsia="宋体" w:hAnsi="宋体" w:cs="宋体"/>
                <w:kern w:val="0"/>
                <w:sz w:val="24"/>
              </w:rPr>
            </w:pPr>
          </w:p>
        </w:tc>
      </w:tr>
      <w:tr w:rsidR="003D72E7" w14:paraId="619DD93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D92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VMware Notes</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92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93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93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93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93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93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93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93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93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93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93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93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93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93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93D" w14:textId="77777777" w:rsidR="003D72E7" w:rsidRDefault="003D72E7">
            <w:pPr>
              <w:widowControl/>
              <w:jc w:val="right"/>
              <w:rPr>
                <w:rFonts w:ascii="Times New Roman" w:eastAsia="宋体" w:hAnsi="宋体" w:cs="宋体"/>
                <w:kern w:val="0"/>
                <w:sz w:val="24"/>
              </w:rPr>
            </w:pPr>
          </w:p>
        </w:tc>
      </w:tr>
      <w:tr w:rsidR="003D72E7" w14:paraId="619DD94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93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Margin Loan Facility</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4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4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4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4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4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4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4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4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4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4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4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4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4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4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4E" w14:textId="77777777" w:rsidR="003D72E7" w:rsidRDefault="003D72E7">
            <w:pPr>
              <w:widowControl/>
              <w:jc w:val="right"/>
              <w:rPr>
                <w:rFonts w:ascii="Times New Roman" w:eastAsia="宋体" w:hAnsi="宋体" w:cs="宋体"/>
                <w:kern w:val="0"/>
                <w:sz w:val="24"/>
              </w:rPr>
            </w:pPr>
          </w:p>
        </w:tc>
      </w:tr>
    </w:tbl>
    <w:p w14:paraId="619DD95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951"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fair values of the outstanding debt shown in the table above, as well as the debt of Dell Financial Services and its affiliates (“DFS”</w:t>
      </w:r>
      <w:r>
        <w:rPr>
          <w:rFonts w:ascii="Times New Roman" w:eastAsia="宋体" w:hAnsi="Times New Roman" w:cs="Times New Roman"/>
          <w:color w:val="000000"/>
          <w:kern w:val="0"/>
          <w:sz w:val="20"/>
          <w:szCs w:val="20"/>
          <w:lang w:bidi="ar"/>
        </w:rPr>
        <w:t xml:space="preserve">) described in Note 3 of the Notes to the Condensed Consolidated Financial Statements, were determined based on observable market prices in a less active market or based on valuation methodologies using observable inputs and were categorized as Level 2 in </w:t>
      </w:r>
      <w:r>
        <w:rPr>
          <w:rFonts w:ascii="Times New Roman" w:eastAsia="宋体" w:hAnsi="Times New Roman" w:cs="Times New Roman"/>
          <w:color w:val="000000"/>
          <w:kern w:val="0"/>
          <w:sz w:val="20"/>
          <w:szCs w:val="20"/>
          <w:lang w:bidi="ar"/>
        </w:rPr>
        <w:t xml:space="preserve">the fair value hierarchy. The carrying value of DFS debt approximates fair value. Outstanding debt is recorded at carrying value and, as such, is not included in the recurring fair value table above. </w:t>
      </w:r>
    </w:p>
    <w:p w14:paraId="619DD95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95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95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p w14:paraId="619DD955"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956" w14:textId="77777777" w:rsidR="003D72E7" w:rsidRDefault="00AD6774">
      <w:pPr>
        <w:widowControl/>
        <w:jc w:val="center"/>
      </w:pPr>
      <w:r>
        <w:rPr>
          <w:rFonts w:ascii="宋体" w:eastAsia="宋体" w:hAnsi="宋体" w:cs="宋体"/>
          <w:kern w:val="0"/>
          <w:sz w:val="24"/>
        </w:rPr>
        <w:pict w14:anchorId="619E0D7B">
          <v:rect id="_x0000_i1040" style="width:6in;height:1.5pt" o:hralign="center" o:hrstd="t" o:hr="t" fillcolor="#a0a0a0" stroked="f"/>
        </w:pict>
      </w:r>
    </w:p>
    <w:p w14:paraId="619DD957"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D958"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D959"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D95A"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D95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95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Investments</w:t>
      </w:r>
    </w:p>
    <w:p w14:paraId="619DD95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95E"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carrying value of the </w:t>
      </w:r>
      <w:r>
        <w:rPr>
          <w:rFonts w:ascii="Times New Roman" w:eastAsia="宋体" w:hAnsi="Times New Roman" w:cs="Times New Roman"/>
          <w:color w:val="000000"/>
          <w:kern w:val="0"/>
          <w:sz w:val="20"/>
          <w:szCs w:val="20"/>
          <w:lang w:bidi="ar"/>
        </w:rPr>
        <w:t>Company’s investments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984"/>
        <w:gridCol w:w="37"/>
        <w:gridCol w:w="120"/>
        <w:gridCol w:w="500"/>
        <w:gridCol w:w="36"/>
        <w:gridCol w:w="36"/>
        <w:gridCol w:w="36"/>
        <w:gridCol w:w="36"/>
        <w:gridCol w:w="121"/>
        <w:gridCol w:w="776"/>
        <w:gridCol w:w="36"/>
        <w:gridCol w:w="36"/>
        <w:gridCol w:w="36"/>
        <w:gridCol w:w="36"/>
        <w:gridCol w:w="121"/>
        <w:gridCol w:w="776"/>
        <w:gridCol w:w="36"/>
        <w:gridCol w:w="36"/>
        <w:gridCol w:w="36"/>
        <w:gridCol w:w="36"/>
        <w:gridCol w:w="121"/>
        <w:gridCol w:w="656"/>
        <w:gridCol w:w="36"/>
        <w:gridCol w:w="36"/>
        <w:gridCol w:w="36"/>
        <w:gridCol w:w="36"/>
        <w:gridCol w:w="120"/>
        <w:gridCol w:w="350"/>
        <w:gridCol w:w="36"/>
        <w:gridCol w:w="36"/>
        <w:gridCol w:w="36"/>
        <w:gridCol w:w="36"/>
        <w:gridCol w:w="121"/>
        <w:gridCol w:w="776"/>
        <w:gridCol w:w="36"/>
        <w:gridCol w:w="36"/>
        <w:gridCol w:w="36"/>
        <w:gridCol w:w="36"/>
        <w:gridCol w:w="121"/>
        <w:gridCol w:w="776"/>
        <w:gridCol w:w="36"/>
        <w:gridCol w:w="36"/>
        <w:gridCol w:w="36"/>
        <w:gridCol w:w="36"/>
        <w:gridCol w:w="121"/>
        <w:gridCol w:w="656"/>
        <w:gridCol w:w="36"/>
      </w:tblGrid>
      <w:tr w:rsidR="003D72E7" w14:paraId="619DD98F" w14:textId="77777777">
        <w:trPr>
          <w:jc w:val="center"/>
        </w:trPr>
        <w:tc>
          <w:tcPr>
            <w:tcW w:w="50" w:type="pct"/>
            <w:tcBorders>
              <w:top w:val="nil"/>
              <w:left w:val="nil"/>
              <w:bottom w:val="nil"/>
              <w:right w:val="nil"/>
            </w:tcBorders>
            <w:shd w:val="clear" w:color="auto" w:fill="auto"/>
            <w:vAlign w:val="bottom"/>
          </w:tcPr>
          <w:p w14:paraId="619DD95F" w14:textId="77777777" w:rsidR="003D72E7" w:rsidRDefault="003D72E7">
            <w:pPr>
              <w:widowControl/>
              <w:jc w:val="left"/>
              <w:rPr>
                <w:rFonts w:ascii="Times New Roman" w:eastAsia="宋体" w:hAnsi="宋体" w:cs="宋体"/>
                <w:kern w:val="0"/>
                <w:sz w:val="24"/>
              </w:rPr>
            </w:pPr>
          </w:p>
        </w:tc>
        <w:tc>
          <w:tcPr>
            <w:tcW w:w="1128" w:type="pct"/>
            <w:tcBorders>
              <w:top w:val="nil"/>
              <w:left w:val="nil"/>
              <w:bottom w:val="nil"/>
              <w:right w:val="nil"/>
            </w:tcBorders>
            <w:shd w:val="clear" w:color="auto" w:fill="auto"/>
            <w:vAlign w:val="bottom"/>
          </w:tcPr>
          <w:p w14:paraId="619DD96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6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962" w14:textId="77777777" w:rsidR="003D72E7" w:rsidRDefault="003D72E7">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619DD96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6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65"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96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6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968" w14:textId="77777777" w:rsidR="003D72E7" w:rsidRDefault="003D72E7">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vAlign w:val="bottom"/>
          </w:tcPr>
          <w:p w14:paraId="619DD96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6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6B"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96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6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96E" w14:textId="77777777" w:rsidR="003D72E7" w:rsidRDefault="003D72E7">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vAlign w:val="bottom"/>
          </w:tcPr>
          <w:p w14:paraId="619DD96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7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71"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97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7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974" w14:textId="77777777" w:rsidR="003D72E7" w:rsidRDefault="003D72E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619DD97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7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77"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97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7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97A" w14:textId="77777777" w:rsidR="003D72E7" w:rsidRDefault="003D72E7">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619DD97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7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7D"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97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7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980" w14:textId="77777777" w:rsidR="003D72E7" w:rsidRDefault="003D72E7">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vAlign w:val="bottom"/>
          </w:tcPr>
          <w:p w14:paraId="619DD98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8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8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98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8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986" w14:textId="77777777" w:rsidR="003D72E7" w:rsidRDefault="003D72E7">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vAlign w:val="bottom"/>
          </w:tcPr>
          <w:p w14:paraId="619DD98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8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8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98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8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98C" w14:textId="77777777" w:rsidR="003D72E7" w:rsidRDefault="003D72E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619DD98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98E" w14:textId="77777777" w:rsidR="003D72E7" w:rsidRDefault="003D72E7">
            <w:pPr>
              <w:widowControl/>
              <w:jc w:val="left"/>
              <w:rPr>
                <w:rFonts w:ascii="Times New Roman" w:eastAsia="宋体" w:hAnsi="宋体" w:cs="宋体"/>
                <w:kern w:val="0"/>
                <w:sz w:val="24"/>
              </w:rPr>
            </w:pPr>
          </w:p>
        </w:tc>
      </w:tr>
      <w:tr w:rsidR="003D72E7" w14:paraId="619DD99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990" w14:textId="77777777" w:rsidR="003D72E7" w:rsidRDefault="003D72E7">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19DD99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992" w14:textId="77777777" w:rsidR="003D72E7" w:rsidRDefault="003D72E7">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19DD99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D9A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995"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99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Cost</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99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99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Unrealized Gain</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99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99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Unrealized (Loss)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99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99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Carrying Value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99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99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Cost</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99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9A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Unrealized Gain</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9A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9A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Unrealized (Loss)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9A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9A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Carrying Value</w:t>
            </w:r>
          </w:p>
        </w:tc>
      </w:tr>
      <w:tr w:rsidR="003D72E7" w14:paraId="619DD9A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9A6" w14:textId="77777777" w:rsidR="003D72E7" w:rsidRDefault="003D72E7">
            <w:pPr>
              <w:widowControl/>
              <w:jc w:val="left"/>
              <w:rPr>
                <w:rFonts w:ascii="Times New Roman" w:eastAsia="宋体" w:hAnsi="宋体" w:cs="宋体"/>
                <w:kern w:val="0"/>
                <w:sz w:val="24"/>
              </w:rPr>
            </w:pPr>
          </w:p>
        </w:tc>
        <w:tc>
          <w:tcPr>
            <w:tcW w:w="0" w:type="auto"/>
            <w:gridSpan w:val="45"/>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D9A7"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D9C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9A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Equity and other securities</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A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A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1,312 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A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A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A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A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380 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B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B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B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B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(150)</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B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B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B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B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1,542 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B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B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B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B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907 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B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B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B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B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677 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C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C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C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C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(145)</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C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C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9C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9C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1,439 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9C8" w14:textId="77777777" w:rsidR="003D72E7" w:rsidRDefault="003D72E7">
            <w:pPr>
              <w:widowControl/>
              <w:jc w:val="right"/>
              <w:rPr>
                <w:rFonts w:ascii="Times New Roman" w:eastAsia="宋体" w:hAnsi="宋体" w:cs="宋体"/>
                <w:kern w:val="0"/>
                <w:sz w:val="24"/>
              </w:rPr>
            </w:pPr>
          </w:p>
        </w:tc>
      </w:tr>
      <w:tr w:rsidR="003D72E7" w14:paraId="619DD9E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D9C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Fixed income debt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9C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332 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9C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9C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9C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9C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9D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9D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9D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9D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9D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333 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9D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9D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9D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9D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9D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9D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9D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9D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9D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9D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9D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9E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9E1" w14:textId="77777777" w:rsidR="003D72E7" w:rsidRDefault="003D72E7">
            <w:pPr>
              <w:widowControl/>
              <w:jc w:val="right"/>
              <w:rPr>
                <w:rFonts w:ascii="Times New Roman" w:eastAsia="宋体" w:hAnsi="宋体" w:cs="宋体"/>
                <w:kern w:val="0"/>
                <w:sz w:val="24"/>
              </w:rPr>
            </w:pPr>
          </w:p>
        </w:tc>
      </w:tr>
      <w:tr w:rsidR="003D72E7" w14:paraId="619DD9F7"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vAlign w:val="center"/>
          </w:tcPr>
          <w:p w14:paraId="619DD9E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securities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E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E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E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E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E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E9"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D9E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D9E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1,875 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D9E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E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E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E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F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F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F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9F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D9F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D9F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1,624 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D9F6" w14:textId="77777777" w:rsidR="003D72E7" w:rsidRDefault="003D72E7">
            <w:pPr>
              <w:widowControl/>
              <w:jc w:val="right"/>
              <w:rPr>
                <w:rFonts w:ascii="Times New Roman" w:eastAsia="宋体" w:hAnsi="宋体" w:cs="宋体"/>
                <w:kern w:val="0"/>
                <w:sz w:val="24"/>
              </w:rPr>
            </w:pPr>
          </w:p>
        </w:tc>
      </w:tr>
    </w:tbl>
    <w:p w14:paraId="619DD9F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9F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Equity and other securities </w:t>
      </w:r>
      <w:r>
        <w:rPr>
          <w:rFonts w:ascii="Times New Roman" w:eastAsia="宋体" w:hAnsi="Times New Roman" w:cs="Times New Roman"/>
          <w:color w:val="000000"/>
          <w:kern w:val="0"/>
          <w:sz w:val="20"/>
          <w:szCs w:val="20"/>
          <w:lang w:bidi="ar"/>
        </w:rPr>
        <w:t xml:space="preserve">— The Company has strategic investments in publicly-traded and privately-held companies. For the six </w:t>
      </w:r>
      <w:r>
        <w:rPr>
          <w:rFonts w:ascii="Times New Roman" w:eastAsia="宋体" w:hAnsi="Times New Roman" w:cs="Times New Roman"/>
          <w:color w:val="000000"/>
          <w:kern w:val="0"/>
          <w:sz w:val="20"/>
          <w:szCs w:val="20"/>
          <w:lang w:bidi="ar"/>
        </w:rPr>
        <w:t>months ended July 30, 2021, the equity and other securities without readily determinable fair values of $1.2 billion increased by $340 million, primarily due to upward adjustments for observable price changes, partially offset by $26 million of downward ad</w:t>
      </w:r>
      <w:r>
        <w:rPr>
          <w:rFonts w:ascii="Times New Roman" w:eastAsia="宋体" w:hAnsi="Times New Roman" w:cs="Times New Roman"/>
          <w:color w:val="000000"/>
          <w:kern w:val="0"/>
          <w:sz w:val="20"/>
          <w:szCs w:val="20"/>
          <w:lang w:bidi="ar"/>
        </w:rPr>
        <w:t>justments that were primarily attributable to observable price changes. The remainder of equity and other securities consists of publicly-traded investments that are measured at fair value on a recurring basis.</w:t>
      </w:r>
    </w:p>
    <w:p w14:paraId="619DD9F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9F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Fixed income debt securities </w:t>
      </w:r>
      <w:r>
        <w:rPr>
          <w:rFonts w:ascii="Times New Roman" w:eastAsia="宋体" w:hAnsi="Times New Roman" w:cs="Times New Roman"/>
          <w:color w:val="000000"/>
          <w:kern w:val="0"/>
          <w:sz w:val="20"/>
          <w:szCs w:val="20"/>
          <w:lang w:bidi="ar"/>
        </w:rPr>
        <w:t xml:space="preserve">— The Company </w:t>
      </w:r>
      <w:r>
        <w:rPr>
          <w:rFonts w:ascii="Times New Roman" w:eastAsia="宋体" w:hAnsi="Times New Roman" w:cs="Times New Roman"/>
          <w:color w:val="000000"/>
          <w:kern w:val="0"/>
          <w:sz w:val="20"/>
          <w:szCs w:val="20"/>
          <w:lang w:bidi="ar"/>
        </w:rPr>
        <w:t>has fixed income debt securities carried at amortized cost. The debt securities are held as collateral for borrowings. The Company intends to hold the investments to maturity. Unrealized gains relate to foreign currency impacts.</w:t>
      </w:r>
    </w:p>
    <w:p w14:paraId="619DD9F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9F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9F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w:t>
      </w:r>
    </w:p>
    <w:p w14:paraId="619DD9F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A00" w14:textId="77777777" w:rsidR="003D72E7" w:rsidRDefault="00AD6774">
      <w:pPr>
        <w:widowControl/>
        <w:jc w:val="center"/>
      </w:pPr>
      <w:r>
        <w:rPr>
          <w:rFonts w:ascii="宋体" w:eastAsia="宋体" w:hAnsi="宋体" w:cs="宋体"/>
          <w:kern w:val="0"/>
          <w:sz w:val="24"/>
        </w:rPr>
        <w:pict w14:anchorId="619E0D7C">
          <v:rect id="_x0000_i1041" style="width:6in;height:1.5pt" o:hralign="center" o:hrstd="t" o:hr="t" fillcolor="#a0a0a0" stroked="f"/>
        </w:pict>
      </w:r>
    </w:p>
    <w:p w14:paraId="619DDA01"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DA0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DA0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DA0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DA05"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A0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3 — FINANCIAL SERVICES </w:t>
      </w:r>
    </w:p>
    <w:p w14:paraId="619DDA0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A0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Company offers or arranges various financing </w:t>
      </w:r>
      <w:r>
        <w:rPr>
          <w:rFonts w:ascii="Times New Roman" w:eastAsia="宋体" w:hAnsi="Times New Roman" w:cs="Times New Roman"/>
          <w:color w:val="000000"/>
          <w:kern w:val="0"/>
          <w:sz w:val="20"/>
          <w:szCs w:val="20"/>
          <w:lang w:bidi="ar"/>
        </w:rPr>
        <w:t>options, services, and alternative payment structures for its customers in North America, Europe, Australia, and New Zealand through Dell Financial Services and its affiliates (“DFS”). The Company also arranges financing for some of its customers in variou</w:t>
      </w:r>
      <w:r>
        <w:rPr>
          <w:rFonts w:ascii="Times New Roman" w:eastAsia="宋体" w:hAnsi="Times New Roman" w:cs="Times New Roman"/>
          <w:color w:val="000000"/>
          <w:kern w:val="0"/>
          <w:sz w:val="20"/>
          <w:szCs w:val="20"/>
          <w:lang w:bidi="ar"/>
        </w:rPr>
        <w:t>s countries where DFS does not currently operate as a captive enterprise. The Company further strengthens customer relationships through flexible consumption models, which enable the Company to offer its customers the option to pay over time and, in certai</w:t>
      </w:r>
      <w:r>
        <w:rPr>
          <w:rFonts w:ascii="Times New Roman" w:eastAsia="宋体" w:hAnsi="Times New Roman" w:cs="Times New Roman"/>
          <w:color w:val="000000"/>
          <w:kern w:val="0"/>
          <w:sz w:val="20"/>
          <w:szCs w:val="20"/>
          <w:lang w:bidi="ar"/>
        </w:rPr>
        <w:t>n cases, based on utilization, to provide them with financial flexibility to meet their changing technological requirements. The key activities of DFS include originating, collecting, and servicing customer financing arrangements primarily related to the p</w:t>
      </w:r>
      <w:r>
        <w:rPr>
          <w:rFonts w:ascii="Times New Roman" w:eastAsia="宋体" w:hAnsi="Times New Roman" w:cs="Times New Roman"/>
          <w:color w:val="000000"/>
          <w:kern w:val="0"/>
          <w:sz w:val="20"/>
          <w:szCs w:val="20"/>
          <w:lang w:bidi="ar"/>
        </w:rPr>
        <w:t>urchase or use of Dell Technologies products and services. In some cases, DFS also offers financing on the purchase of third-party technology products that complement the Dell Technologies portfolio of products and services. New financing originations were</w:t>
      </w:r>
      <w:r>
        <w:rPr>
          <w:rFonts w:ascii="Times New Roman" w:eastAsia="宋体" w:hAnsi="Times New Roman" w:cs="Times New Roman"/>
          <w:color w:val="000000"/>
          <w:kern w:val="0"/>
          <w:sz w:val="20"/>
          <w:szCs w:val="20"/>
          <w:lang w:bidi="ar"/>
        </w:rPr>
        <w:t xml:space="preserve"> $1.9 billion and $2.6 billion for the three months ended July 30, 2021 and July 31, 2020, respectively, and $3.8 billion and $4.4 billion for the six months ended July 30, 2021 and July 31, 2020, respectively.</w:t>
      </w:r>
    </w:p>
    <w:p w14:paraId="619DDA0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A0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Company’s loan and lease arrangements w</w:t>
      </w:r>
      <w:r>
        <w:rPr>
          <w:rFonts w:ascii="Times New Roman" w:eastAsia="宋体" w:hAnsi="Times New Roman" w:cs="Times New Roman"/>
          <w:color w:val="000000"/>
          <w:kern w:val="0"/>
          <w:sz w:val="20"/>
          <w:szCs w:val="20"/>
          <w:lang w:bidi="ar"/>
        </w:rPr>
        <w:t>ith customers are aggregated into the following categories:</w:t>
      </w:r>
    </w:p>
    <w:p w14:paraId="619DDA0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A0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Revolving loans</w:t>
      </w:r>
      <w:r>
        <w:rPr>
          <w:rFonts w:ascii="Times New Roman" w:eastAsia="宋体" w:hAnsi="Times New Roman" w:cs="Times New Roman"/>
          <w:color w:val="000000"/>
          <w:kern w:val="0"/>
          <w:sz w:val="20"/>
          <w:szCs w:val="20"/>
          <w:lang w:bidi="ar"/>
        </w:rPr>
        <w:t xml:space="preserve"> — Revolving loans offered under private label credit financing programs provide qualified customers with a revolving credit line for the purchase of products and services offered</w:t>
      </w:r>
      <w:r>
        <w:rPr>
          <w:rFonts w:ascii="Times New Roman" w:eastAsia="宋体" w:hAnsi="Times New Roman" w:cs="Times New Roman"/>
          <w:color w:val="000000"/>
          <w:kern w:val="0"/>
          <w:sz w:val="20"/>
          <w:szCs w:val="20"/>
          <w:lang w:bidi="ar"/>
        </w:rPr>
        <w:t xml:space="preserve"> by Dell Technologies. These private label credit financing programs are referred to as Dell Preferred Account (“DPA”) and Dell Business Credit (“DBC”). The DPA product is primarily offered to individual consumer customers, and the DBC product is primarily</w:t>
      </w:r>
      <w:r>
        <w:rPr>
          <w:rFonts w:ascii="Times New Roman" w:eastAsia="宋体" w:hAnsi="Times New Roman" w:cs="Times New Roman"/>
          <w:color w:val="000000"/>
          <w:kern w:val="0"/>
          <w:sz w:val="20"/>
          <w:szCs w:val="20"/>
          <w:lang w:bidi="ar"/>
        </w:rPr>
        <w:t xml:space="preserve"> offered to small and medium-sized commercial customers. Revolving loans in the United States bear interest at a variable annual percentage rate that is tied to the prime rate. Based on historical payment patterns, revolving loan transactions are typically</w:t>
      </w:r>
      <w:r>
        <w:rPr>
          <w:rFonts w:ascii="Times New Roman" w:eastAsia="宋体" w:hAnsi="Times New Roman" w:cs="Times New Roman"/>
          <w:color w:val="000000"/>
          <w:kern w:val="0"/>
          <w:sz w:val="20"/>
          <w:szCs w:val="20"/>
          <w:lang w:bidi="ar"/>
        </w:rPr>
        <w:t xml:space="preserve"> repaid within twelve months on average. Due to the short-term nature of the revolving loan portfolio, the carrying value of the portfolio approximates fair value.</w:t>
      </w:r>
    </w:p>
    <w:p w14:paraId="619DDA0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A0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Fixed-term leases and loans </w:t>
      </w:r>
      <w:r>
        <w:rPr>
          <w:rFonts w:ascii="Times New Roman" w:eastAsia="宋体" w:hAnsi="Times New Roman" w:cs="Times New Roman"/>
          <w:color w:val="000000"/>
          <w:kern w:val="0"/>
          <w:sz w:val="20"/>
          <w:szCs w:val="20"/>
          <w:lang w:bidi="ar"/>
        </w:rPr>
        <w:t>— The Company enters into financing arrangements with customers who seek lease financing for equipment. DFS leases are classified as sales-type leases, direct financing leases, or operating leases. Direct financing leases are immaterial. Leases that commen</w:t>
      </w:r>
      <w:r>
        <w:rPr>
          <w:rFonts w:ascii="Times New Roman" w:eastAsia="宋体" w:hAnsi="Times New Roman" w:cs="Times New Roman"/>
          <w:color w:val="000000"/>
          <w:kern w:val="0"/>
          <w:sz w:val="20"/>
          <w:szCs w:val="20"/>
          <w:lang w:bidi="ar"/>
        </w:rPr>
        <w:t xml:space="preserve">ced prior to the effective date of the current lease accounting standard continue to be accounted for under previous lease accounting guidance. Leases with business customers have fixed terms of generally two to four years. </w:t>
      </w:r>
    </w:p>
    <w:p w14:paraId="619DDA0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A1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also offers fixed</w:t>
      </w:r>
      <w:r>
        <w:rPr>
          <w:rFonts w:ascii="Times New Roman" w:eastAsia="宋体" w:hAnsi="Times New Roman" w:cs="Times New Roman"/>
          <w:color w:val="000000"/>
          <w:kern w:val="0"/>
          <w:sz w:val="20"/>
          <w:szCs w:val="20"/>
          <w:lang w:bidi="ar"/>
        </w:rPr>
        <w:t>-term loans to qualified small businesses, large commercial accounts, governmental organizations, educational entities, and certain individual consumer customers. These loans are repaid in equal payments including interest and have defined terms of general</w:t>
      </w:r>
      <w:r>
        <w:rPr>
          <w:rFonts w:ascii="Times New Roman" w:eastAsia="宋体" w:hAnsi="Times New Roman" w:cs="Times New Roman"/>
          <w:color w:val="000000"/>
          <w:kern w:val="0"/>
          <w:sz w:val="20"/>
          <w:szCs w:val="20"/>
          <w:lang w:bidi="ar"/>
        </w:rPr>
        <w:t xml:space="preserve">ly three to five years. The fair value of the fixed-term loan portfolio is determined using market observable inputs.  The carrying value of these loans approximates fair value.  </w:t>
      </w:r>
    </w:p>
    <w:p w14:paraId="619DDA1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A12"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A1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w:t>
      </w:r>
    </w:p>
    <w:p w14:paraId="619DDA14"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A15" w14:textId="77777777" w:rsidR="003D72E7" w:rsidRDefault="00AD6774">
      <w:pPr>
        <w:widowControl/>
        <w:jc w:val="center"/>
      </w:pPr>
      <w:r>
        <w:rPr>
          <w:rFonts w:ascii="宋体" w:eastAsia="宋体" w:hAnsi="宋体" w:cs="宋体"/>
          <w:kern w:val="0"/>
          <w:sz w:val="24"/>
        </w:rPr>
        <w:pict w14:anchorId="619E0D7D">
          <v:rect id="_x0000_i1042" style="width:6in;height:1.5pt" o:hralign="center" o:hrstd="t" o:hr="t" fillcolor="#a0a0a0" stroked="f"/>
        </w:pict>
      </w:r>
    </w:p>
    <w:p w14:paraId="619DDA16"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 xml:space="preserve">Table of </w:t>
        </w:r>
        <w:r>
          <w:rPr>
            <w:rStyle w:val="a4"/>
            <w:rFonts w:ascii="Times New Roman" w:eastAsia="宋体" w:hAnsi="Times New Roman" w:cs="Times New Roman"/>
            <w:sz w:val="20"/>
            <w:szCs w:val="20"/>
          </w:rPr>
          <w:t>Contents</w:t>
        </w:r>
      </w:hyperlink>
    </w:p>
    <w:p w14:paraId="619DDA17"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DA18"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DA19"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DA1A"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A1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Financing Receivables</w:t>
      </w:r>
    </w:p>
    <w:p w14:paraId="619DDA1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A1D"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components of the Company’s financing receivables segregated by </w:t>
      </w:r>
      <w:r>
        <w:rPr>
          <w:rFonts w:ascii="Times New Roman" w:eastAsia="宋体" w:hAnsi="Times New Roman" w:cs="Times New Roman"/>
          <w:color w:val="000000"/>
          <w:kern w:val="0"/>
          <w:sz w:val="20"/>
          <w:szCs w:val="20"/>
          <w:lang w:bidi="ar"/>
        </w:rPr>
        <w:t>portfolio segment as of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2189"/>
        <w:gridCol w:w="39"/>
        <w:gridCol w:w="121"/>
        <w:gridCol w:w="802"/>
        <w:gridCol w:w="36"/>
        <w:gridCol w:w="36"/>
        <w:gridCol w:w="36"/>
        <w:gridCol w:w="36"/>
        <w:gridCol w:w="121"/>
        <w:gridCol w:w="892"/>
        <w:gridCol w:w="36"/>
        <w:gridCol w:w="36"/>
        <w:gridCol w:w="36"/>
        <w:gridCol w:w="36"/>
        <w:gridCol w:w="120"/>
        <w:gridCol w:w="600"/>
        <w:gridCol w:w="36"/>
        <w:gridCol w:w="36"/>
        <w:gridCol w:w="36"/>
        <w:gridCol w:w="36"/>
        <w:gridCol w:w="121"/>
        <w:gridCol w:w="802"/>
        <w:gridCol w:w="36"/>
        <w:gridCol w:w="36"/>
        <w:gridCol w:w="36"/>
        <w:gridCol w:w="36"/>
        <w:gridCol w:w="121"/>
        <w:gridCol w:w="892"/>
        <w:gridCol w:w="36"/>
        <w:gridCol w:w="36"/>
        <w:gridCol w:w="36"/>
        <w:gridCol w:w="36"/>
        <w:gridCol w:w="120"/>
        <w:gridCol w:w="600"/>
        <w:gridCol w:w="36"/>
      </w:tblGrid>
      <w:tr w:rsidR="003D72E7" w14:paraId="619DDA42" w14:textId="77777777">
        <w:tc>
          <w:tcPr>
            <w:tcW w:w="50" w:type="pct"/>
            <w:tcBorders>
              <w:top w:val="nil"/>
              <w:left w:val="nil"/>
              <w:bottom w:val="nil"/>
              <w:right w:val="nil"/>
            </w:tcBorders>
            <w:shd w:val="clear" w:color="auto" w:fill="auto"/>
            <w:vAlign w:val="bottom"/>
          </w:tcPr>
          <w:p w14:paraId="619DDA1E" w14:textId="77777777" w:rsidR="003D72E7" w:rsidRDefault="003D72E7">
            <w:pPr>
              <w:widowControl/>
              <w:jc w:val="left"/>
              <w:rPr>
                <w:rFonts w:ascii="Times New Roman" w:eastAsia="宋体" w:hAnsi="宋体" w:cs="宋体"/>
                <w:kern w:val="0"/>
                <w:sz w:val="24"/>
              </w:rPr>
            </w:pPr>
          </w:p>
        </w:tc>
        <w:tc>
          <w:tcPr>
            <w:tcW w:w="1757" w:type="pct"/>
            <w:tcBorders>
              <w:top w:val="nil"/>
              <w:left w:val="nil"/>
              <w:bottom w:val="nil"/>
              <w:right w:val="nil"/>
            </w:tcBorders>
            <w:shd w:val="clear" w:color="auto" w:fill="auto"/>
            <w:vAlign w:val="bottom"/>
          </w:tcPr>
          <w:p w14:paraId="619DDA1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A20"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A21"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DDA2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A2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A24"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A2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A26"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A27"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DDA2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A2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A2A"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A2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A2C"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A2D" w14:textId="77777777" w:rsidR="003D72E7" w:rsidRDefault="003D72E7">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vAlign w:val="bottom"/>
          </w:tcPr>
          <w:p w14:paraId="619DDA2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A2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A30"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A3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A32"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A33"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DDA3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A3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A36"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A3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A38"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A39"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DDA3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A3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A3C"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A3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A3E"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A3F" w14:textId="77777777" w:rsidR="003D72E7" w:rsidRDefault="003D72E7">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vAlign w:val="bottom"/>
          </w:tcPr>
          <w:p w14:paraId="619DDA4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A41" w14:textId="77777777" w:rsidR="003D72E7" w:rsidRDefault="003D72E7">
            <w:pPr>
              <w:widowControl/>
              <w:jc w:val="left"/>
              <w:rPr>
                <w:rFonts w:ascii="Times New Roman" w:eastAsia="宋体" w:hAnsi="宋体" w:cs="宋体"/>
                <w:kern w:val="0"/>
                <w:sz w:val="24"/>
              </w:rPr>
            </w:pPr>
          </w:p>
        </w:tc>
      </w:tr>
      <w:tr w:rsidR="003D72E7" w14:paraId="619DDA4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A4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19DDA4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A45" w14:textId="77777777" w:rsidR="003D72E7" w:rsidRDefault="003D72E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19DDA4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DA5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A48"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A4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A4A"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A4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Fixed-term</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A4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A4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A4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A4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A5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A5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Fixed-term</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A52"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A5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3D72E7" w14:paraId="619DDA5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19DDA55"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DA56"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DA6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A5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Financing receivables, net:</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A5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5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A5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5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5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5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5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6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6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6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63" w14:textId="77777777" w:rsidR="003D72E7" w:rsidRDefault="003D72E7">
            <w:pPr>
              <w:widowControl/>
              <w:jc w:val="left"/>
              <w:rPr>
                <w:rFonts w:ascii="Times New Roman" w:eastAsia="宋体" w:hAnsi="宋体" w:cs="宋体"/>
                <w:kern w:val="0"/>
                <w:sz w:val="24"/>
              </w:rPr>
            </w:pPr>
          </w:p>
        </w:tc>
      </w:tr>
      <w:tr w:rsidR="003D72E7" w14:paraId="619DDA7D"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center"/>
          </w:tcPr>
          <w:p w14:paraId="619DDA6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Customer receivables, gross (a)</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A6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A6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726 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A6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6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A6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A6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9,527 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A6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6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A6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A6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10,253 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A7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7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A7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A7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796 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A7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7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A7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A7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9,595 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A7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7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A7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A7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10,391 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A7C" w14:textId="77777777" w:rsidR="003D72E7" w:rsidRDefault="003D72E7">
            <w:pPr>
              <w:widowControl/>
              <w:jc w:val="right"/>
              <w:rPr>
                <w:rFonts w:ascii="Times New Roman" w:eastAsia="宋体" w:hAnsi="宋体" w:cs="宋体"/>
                <w:kern w:val="0"/>
                <w:sz w:val="24"/>
              </w:rPr>
            </w:pPr>
          </w:p>
        </w:tc>
      </w:tr>
      <w:tr w:rsidR="003D72E7" w14:paraId="619DDA90"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vAlign w:val="center"/>
          </w:tcPr>
          <w:p w14:paraId="619DDA7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Allowances for losses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A7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(126)</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A8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8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A8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(161)</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A8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8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A8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(287)</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A8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8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A8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(148)</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A8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8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A8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(173)</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A8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8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A8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(321)</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A8F" w14:textId="77777777" w:rsidR="003D72E7" w:rsidRDefault="003D72E7">
            <w:pPr>
              <w:widowControl/>
              <w:jc w:val="right"/>
              <w:rPr>
                <w:rFonts w:ascii="Times New Roman" w:eastAsia="宋体" w:hAnsi="宋体" w:cs="宋体"/>
                <w:kern w:val="0"/>
                <w:sz w:val="24"/>
              </w:rPr>
            </w:pPr>
          </w:p>
        </w:tc>
      </w:tr>
      <w:tr w:rsidR="003D72E7" w14:paraId="619DDAA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19DDA9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Customer receivables, net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DA9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DA9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94"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DA9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9,366 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DA9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97"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DA9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9,966 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DA9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9A"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DA9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648 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DA9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9D"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DA9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9,422 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DA9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A0"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DAA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10,070 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DAA2" w14:textId="77777777" w:rsidR="003D72E7" w:rsidRDefault="003D72E7">
            <w:pPr>
              <w:widowControl/>
              <w:jc w:val="right"/>
              <w:rPr>
                <w:rFonts w:ascii="Times New Roman" w:eastAsia="宋体" w:hAnsi="宋体" w:cs="宋体"/>
                <w:kern w:val="0"/>
                <w:sz w:val="24"/>
              </w:rPr>
            </w:pPr>
          </w:p>
        </w:tc>
      </w:tr>
      <w:tr w:rsidR="003D72E7" w14:paraId="619DDAB6"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vAlign w:val="center"/>
          </w:tcPr>
          <w:p w14:paraId="619DDAA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Residual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AA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AA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A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AA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AA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A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AA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AA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A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AA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AA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B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AB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AB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B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AB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AB5" w14:textId="77777777" w:rsidR="003D72E7" w:rsidRDefault="003D72E7">
            <w:pPr>
              <w:widowControl/>
              <w:jc w:val="right"/>
              <w:rPr>
                <w:rFonts w:ascii="Times New Roman" w:eastAsia="宋体" w:hAnsi="宋体" w:cs="宋体"/>
                <w:kern w:val="0"/>
                <w:sz w:val="24"/>
              </w:rPr>
            </w:pPr>
          </w:p>
        </w:tc>
      </w:tr>
      <w:tr w:rsidR="003D72E7" w14:paraId="619DDACF" w14:textId="77777777">
        <w:tc>
          <w:tcPr>
            <w:tcW w:w="0" w:type="auto"/>
            <w:gridSpan w:val="3"/>
            <w:tcBorders>
              <w:top w:val="nil"/>
              <w:left w:val="nil"/>
              <w:bottom w:val="nil"/>
              <w:right w:val="nil"/>
            </w:tcBorders>
            <w:shd w:val="clear" w:color="auto" w:fill="FFFFFF"/>
            <w:tcMar>
              <w:top w:w="40" w:type="dxa"/>
              <w:left w:w="395" w:type="dxa"/>
              <w:bottom w:w="40" w:type="dxa"/>
              <w:right w:w="20" w:type="dxa"/>
            </w:tcMar>
            <w:vAlign w:val="center"/>
          </w:tcPr>
          <w:p w14:paraId="619DDAB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Financing receivables, net</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DAB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center"/>
          </w:tcPr>
          <w:p w14:paraId="619DDAB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DAB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B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DAB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center"/>
          </w:tcPr>
          <w:p w14:paraId="619DDAB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9,685 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DAB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BF"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DAC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center"/>
          </w:tcPr>
          <w:p w14:paraId="619DDAC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10,285 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DAC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C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DAC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center"/>
          </w:tcPr>
          <w:p w14:paraId="619DDAC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648 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DAC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C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DAC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center"/>
          </w:tcPr>
          <w:p w14:paraId="619DDAC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9,846 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DAC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C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DAC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center"/>
          </w:tcPr>
          <w:p w14:paraId="619DDAC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10,494 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DACE" w14:textId="77777777" w:rsidR="003D72E7" w:rsidRDefault="003D72E7">
            <w:pPr>
              <w:widowControl/>
              <w:jc w:val="right"/>
              <w:rPr>
                <w:rFonts w:ascii="Times New Roman" w:eastAsia="宋体" w:hAnsi="宋体" w:cs="宋体"/>
                <w:kern w:val="0"/>
                <w:sz w:val="24"/>
              </w:rPr>
            </w:pPr>
          </w:p>
        </w:tc>
      </w:tr>
      <w:tr w:rsidR="003D72E7" w14:paraId="619DDAE8" w14:textId="77777777">
        <w:tc>
          <w:tcPr>
            <w:tcW w:w="0" w:type="auto"/>
            <w:gridSpan w:val="3"/>
            <w:tcBorders>
              <w:top w:val="nil"/>
              <w:left w:val="nil"/>
              <w:bottom w:val="nil"/>
              <w:right w:val="nil"/>
            </w:tcBorders>
            <w:shd w:val="clear" w:color="auto" w:fill="CCEEFF"/>
            <w:tcMar>
              <w:top w:w="40" w:type="dxa"/>
              <w:left w:w="500" w:type="dxa"/>
              <w:bottom w:w="40" w:type="dxa"/>
              <w:right w:w="20" w:type="dxa"/>
            </w:tcMar>
            <w:vAlign w:val="center"/>
          </w:tcPr>
          <w:p w14:paraId="619DDAD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Short-term</w:t>
            </w: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center"/>
          </w:tcPr>
          <w:p w14:paraId="619DDAD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center"/>
          </w:tcPr>
          <w:p w14:paraId="619DDAD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600 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center"/>
          </w:tcPr>
          <w:p w14:paraId="619DDAD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D4" w14:textId="77777777" w:rsidR="003D72E7" w:rsidRDefault="003D72E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center"/>
          </w:tcPr>
          <w:p w14:paraId="619DDAD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center"/>
          </w:tcPr>
          <w:p w14:paraId="619DDAD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4,355 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center"/>
          </w:tcPr>
          <w:p w14:paraId="619DDAD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D8" w14:textId="77777777" w:rsidR="003D72E7" w:rsidRDefault="003D72E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center"/>
          </w:tcPr>
          <w:p w14:paraId="619DDAD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center"/>
          </w:tcPr>
          <w:p w14:paraId="619DDAD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w:t>
            </w:r>
            <w:r>
              <w:rPr>
                <w:rFonts w:ascii="Times New Roman" w:eastAsia="宋体" w:hAnsi="Times New Roman" w:cs="Times New Roman"/>
                <w:color w:val="000000"/>
                <w:kern w:val="0"/>
                <w:sz w:val="20"/>
                <w:szCs w:val="20"/>
                <w:lang w:bidi="ar"/>
              </w:rPr>
              <w:t>,955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center"/>
          </w:tcPr>
          <w:p w14:paraId="619DDAD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DC" w14:textId="77777777" w:rsidR="003D72E7" w:rsidRDefault="003D72E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center"/>
          </w:tcPr>
          <w:p w14:paraId="619DDAD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center"/>
          </w:tcPr>
          <w:p w14:paraId="619DDAD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648 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center"/>
          </w:tcPr>
          <w:p w14:paraId="619DDAD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E0" w14:textId="77777777" w:rsidR="003D72E7" w:rsidRDefault="003D72E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center"/>
          </w:tcPr>
          <w:p w14:paraId="619DDAE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center"/>
          </w:tcPr>
          <w:p w14:paraId="619DDAE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4,507 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center"/>
          </w:tcPr>
          <w:p w14:paraId="619DDAE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AE4" w14:textId="77777777" w:rsidR="003D72E7" w:rsidRDefault="003D72E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center"/>
          </w:tcPr>
          <w:p w14:paraId="619DDAE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center"/>
          </w:tcPr>
          <w:p w14:paraId="619DDAE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5,155 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center"/>
          </w:tcPr>
          <w:p w14:paraId="619DDAE7" w14:textId="77777777" w:rsidR="003D72E7" w:rsidRDefault="003D72E7">
            <w:pPr>
              <w:widowControl/>
              <w:jc w:val="right"/>
              <w:rPr>
                <w:rFonts w:ascii="Times New Roman" w:eastAsia="宋体" w:hAnsi="宋体" w:cs="宋体"/>
                <w:kern w:val="0"/>
                <w:sz w:val="24"/>
              </w:rPr>
            </w:pPr>
          </w:p>
        </w:tc>
      </w:tr>
      <w:tr w:rsidR="003D72E7" w14:paraId="619DDB01" w14:textId="77777777">
        <w:tc>
          <w:tcPr>
            <w:tcW w:w="0" w:type="auto"/>
            <w:gridSpan w:val="3"/>
            <w:tcBorders>
              <w:top w:val="nil"/>
              <w:left w:val="nil"/>
              <w:bottom w:val="nil"/>
              <w:right w:val="nil"/>
            </w:tcBorders>
            <w:shd w:val="clear" w:color="auto" w:fill="FFFFFF"/>
            <w:tcMar>
              <w:top w:w="40" w:type="dxa"/>
              <w:left w:w="500" w:type="dxa"/>
              <w:bottom w:w="40" w:type="dxa"/>
              <w:right w:w="20" w:type="dxa"/>
            </w:tcMar>
            <w:vAlign w:val="center"/>
          </w:tcPr>
          <w:p w14:paraId="619DDAE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Long-term</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AE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AE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AE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E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AE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AE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5,330 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AF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F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AF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AF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5,33</w:t>
            </w:r>
            <w:r>
              <w:rPr>
                <w:rFonts w:ascii="Times New Roman" w:eastAsia="宋体" w:hAnsi="Times New Roman" w:cs="Times New Roman"/>
                <w:color w:val="000000"/>
                <w:kern w:val="0"/>
                <w:sz w:val="20"/>
                <w:szCs w:val="20"/>
                <w:lang w:bidi="ar"/>
              </w:rPr>
              <w:t>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AF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F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AF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AF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AF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F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AF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AF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5,339 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AF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AF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DAF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DAF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5,339 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B00" w14:textId="77777777" w:rsidR="003D72E7" w:rsidRDefault="003D72E7">
            <w:pPr>
              <w:widowControl/>
              <w:jc w:val="right"/>
              <w:rPr>
                <w:rFonts w:ascii="Times New Roman" w:eastAsia="宋体" w:hAnsi="宋体" w:cs="宋体"/>
                <w:kern w:val="0"/>
                <w:sz w:val="24"/>
              </w:rPr>
            </w:pPr>
          </w:p>
        </w:tc>
      </w:tr>
    </w:tbl>
    <w:p w14:paraId="619DDB0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619DDB03"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    Customer receivables, gross includes amounts due from customers under revolving loans, fixed-term loans, fixed-term sales-type or direct financing leases, and accrued interest. </w:t>
      </w:r>
    </w:p>
    <w:p w14:paraId="619DDB0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B05"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w:t>
      </w:r>
      <w:r>
        <w:rPr>
          <w:rFonts w:ascii="Times New Roman" w:eastAsia="宋体" w:hAnsi="Times New Roman" w:cs="Times New Roman"/>
          <w:color w:val="000000"/>
          <w:kern w:val="0"/>
          <w:sz w:val="20"/>
          <w:szCs w:val="20"/>
          <w:lang w:bidi="ar"/>
        </w:rPr>
        <w:t>ables present the changes in allowance for financing receivable losses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498"/>
        <w:gridCol w:w="37"/>
        <w:gridCol w:w="121"/>
        <w:gridCol w:w="802"/>
        <w:gridCol w:w="36"/>
        <w:gridCol w:w="36"/>
        <w:gridCol w:w="36"/>
        <w:gridCol w:w="36"/>
        <w:gridCol w:w="121"/>
        <w:gridCol w:w="892"/>
        <w:gridCol w:w="36"/>
        <w:gridCol w:w="36"/>
        <w:gridCol w:w="36"/>
        <w:gridCol w:w="36"/>
        <w:gridCol w:w="120"/>
        <w:gridCol w:w="447"/>
        <w:gridCol w:w="36"/>
        <w:gridCol w:w="36"/>
        <w:gridCol w:w="36"/>
        <w:gridCol w:w="36"/>
        <w:gridCol w:w="121"/>
        <w:gridCol w:w="802"/>
        <w:gridCol w:w="36"/>
        <w:gridCol w:w="36"/>
        <w:gridCol w:w="36"/>
        <w:gridCol w:w="36"/>
        <w:gridCol w:w="121"/>
        <w:gridCol w:w="892"/>
        <w:gridCol w:w="36"/>
        <w:gridCol w:w="36"/>
        <w:gridCol w:w="36"/>
        <w:gridCol w:w="36"/>
        <w:gridCol w:w="120"/>
        <w:gridCol w:w="448"/>
        <w:gridCol w:w="36"/>
      </w:tblGrid>
      <w:tr w:rsidR="003D72E7" w14:paraId="619DDB2A" w14:textId="77777777">
        <w:tc>
          <w:tcPr>
            <w:tcW w:w="50" w:type="pct"/>
            <w:tcBorders>
              <w:top w:val="nil"/>
              <w:left w:val="nil"/>
              <w:bottom w:val="nil"/>
              <w:right w:val="nil"/>
            </w:tcBorders>
            <w:shd w:val="clear" w:color="auto" w:fill="auto"/>
            <w:vAlign w:val="bottom"/>
          </w:tcPr>
          <w:p w14:paraId="619DDB06" w14:textId="77777777" w:rsidR="003D72E7" w:rsidRDefault="003D72E7">
            <w:pPr>
              <w:widowControl/>
              <w:jc w:val="left"/>
              <w:rPr>
                <w:rFonts w:ascii="Times New Roman" w:eastAsia="宋体" w:hAnsi="宋体" w:cs="宋体"/>
                <w:kern w:val="0"/>
                <w:sz w:val="24"/>
              </w:rPr>
            </w:pPr>
          </w:p>
        </w:tc>
        <w:tc>
          <w:tcPr>
            <w:tcW w:w="1757" w:type="pct"/>
            <w:tcBorders>
              <w:top w:val="nil"/>
              <w:left w:val="nil"/>
              <w:bottom w:val="nil"/>
              <w:right w:val="nil"/>
            </w:tcBorders>
            <w:shd w:val="clear" w:color="auto" w:fill="auto"/>
            <w:vAlign w:val="bottom"/>
          </w:tcPr>
          <w:p w14:paraId="619DDB0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08"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B09"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DDB0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0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0C"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B0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0E"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B0F"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DDB1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1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12"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B1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14"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B15" w14:textId="77777777" w:rsidR="003D72E7" w:rsidRDefault="003D72E7">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vAlign w:val="bottom"/>
          </w:tcPr>
          <w:p w14:paraId="619DDB1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1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18"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B1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1A"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B1B"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DDB1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1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1E"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B1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20"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B21"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DDB2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2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24"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B2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26"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B27" w14:textId="77777777" w:rsidR="003D72E7" w:rsidRDefault="003D72E7">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vAlign w:val="bottom"/>
          </w:tcPr>
          <w:p w14:paraId="619DDB2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29" w14:textId="77777777" w:rsidR="003D72E7" w:rsidRDefault="003D72E7">
            <w:pPr>
              <w:widowControl/>
              <w:jc w:val="left"/>
              <w:rPr>
                <w:rFonts w:ascii="Times New Roman" w:eastAsia="宋体" w:hAnsi="宋体" w:cs="宋体"/>
                <w:kern w:val="0"/>
                <w:sz w:val="24"/>
              </w:rPr>
            </w:pPr>
          </w:p>
        </w:tc>
      </w:tr>
      <w:tr w:rsidR="003D72E7" w14:paraId="619DDB2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B2B" w14:textId="77777777" w:rsidR="003D72E7" w:rsidRDefault="003D72E7">
            <w:pPr>
              <w:widowControl/>
              <w:jc w:val="left"/>
              <w:rPr>
                <w:rFonts w:ascii="Times New Roman" w:eastAsia="宋体" w:hAnsi="宋体" w:cs="宋体"/>
                <w:kern w:val="0"/>
                <w:sz w:val="24"/>
              </w:rPr>
            </w:pPr>
          </w:p>
        </w:tc>
        <w:tc>
          <w:tcPr>
            <w:tcW w:w="0" w:type="auto"/>
            <w:gridSpan w:val="33"/>
            <w:tcBorders>
              <w:top w:val="nil"/>
              <w:left w:val="nil"/>
              <w:bottom w:val="single" w:sz="8" w:space="0" w:color="000000"/>
              <w:right w:val="nil"/>
            </w:tcBorders>
            <w:shd w:val="clear" w:color="auto" w:fill="auto"/>
            <w:tcMar>
              <w:top w:w="40" w:type="dxa"/>
              <w:left w:w="20" w:type="dxa"/>
              <w:bottom w:w="40" w:type="dxa"/>
              <w:right w:w="20" w:type="dxa"/>
            </w:tcMar>
            <w:vAlign w:val="center"/>
          </w:tcPr>
          <w:p w14:paraId="619DDB2C"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r>
      <w:tr w:rsidR="003D72E7" w14:paraId="619DDB3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B2E" w14:textId="77777777" w:rsidR="003D72E7" w:rsidRDefault="003D72E7">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DB2F"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B30" w14:textId="77777777" w:rsidR="003D72E7" w:rsidRDefault="003D72E7">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DB31"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DB3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B3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DB34"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B35"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619DDB36"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Fixed-term</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B3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619DDB38"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B3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619DDB3A"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B3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619DDB3C"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Fixed-term</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B3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619DDB3E"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3D72E7" w14:paraId="619DDB4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B40" w14:textId="77777777" w:rsidR="003D72E7" w:rsidRDefault="003D72E7">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B4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DB4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DB4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Allowance for financing receivable losses: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4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4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4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4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4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4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4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4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4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4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4E" w14:textId="77777777" w:rsidR="003D72E7" w:rsidRDefault="003D72E7">
            <w:pPr>
              <w:widowControl/>
              <w:jc w:val="left"/>
              <w:rPr>
                <w:rFonts w:ascii="Times New Roman" w:eastAsia="宋体" w:hAnsi="宋体" w:cs="宋体"/>
                <w:kern w:val="0"/>
                <w:sz w:val="24"/>
              </w:rPr>
            </w:pPr>
          </w:p>
        </w:tc>
      </w:tr>
      <w:tr w:rsidR="003D72E7" w14:paraId="619DDB6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DB5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Balances at beginning of period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DB5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DB5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B5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B5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DB5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DB5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B5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B5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DB5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DB5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B5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B5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DB5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DB5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B5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B6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DB6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DB6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B6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B6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DB6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DB6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B67" w14:textId="77777777" w:rsidR="003D72E7" w:rsidRDefault="003D72E7">
            <w:pPr>
              <w:widowControl/>
              <w:jc w:val="right"/>
              <w:rPr>
                <w:rFonts w:ascii="Times New Roman" w:eastAsia="宋体" w:hAnsi="宋体" w:cs="宋体"/>
                <w:kern w:val="0"/>
                <w:sz w:val="24"/>
              </w:rPr>
            </w:pPr>
          </w:p>
        </w:tc>
      </w:tr>
      <w:tr w:rsidR="003D72E7" w14:paraId="619DDB7B"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DB6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Charge-offs, net of recoveries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B6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B6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6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B6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B6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6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B7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B7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7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B7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B7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7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B7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B7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7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B7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B7A" w14:textId="77777777" w:rsidR="003D72E7" w:rsidRDefault="003D72E7">
            <w:pPr>
              <w:widowControl/>
              <w:jc w:val="right"/>
              <w:rPr>
                <w:rFonts w:ascii="Times New Roman" w:eastAsia="宋体" w:hAnsi="宋体" w:cs="宋体"/>
                <w:kern w:val="0"/>
                <w:sz w:val="24"/>
              </w:rPr>
            </w:pPr>
          </w:p>
        </w:tc>
      </w:tr>
      <w:tr w:rsidR="003D72E7" w14:paraId="619DDB8E"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DB7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Provision charged to income statement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B7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B7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B7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B8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B8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B8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B8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B8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B8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B8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B8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B8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B8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B8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B8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B8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B8D" w14:textId="77777777" w:rsidR="003D72E7" w:rsidRDefault="003D72E7">
            <w:pPr>
              <w:widowControl/>
              <w:jc w:val="right"/>
              <w:rPr>
                <w:rFonts w:ascii="Times New Roman" w:eastAsia="宋体" w:hAnsi="宋体" w:cs="宋体"/>
                <w:kern w:val="0"/>
                <w:sz w:val="24"/>
              </w:rPr>
            </w:pPr>
          </w:p>
        </w:tc>
      </w:tr>
      <w:tr w:rsidR="003D72E7" w14:paraId="619DDBA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DB8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Balances at end of period</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DB9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DB9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DB9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9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DB9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DB9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DB9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9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DB9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DB9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DB9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9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DB9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DB9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DB9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9F"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DBA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DBA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DBA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A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DBA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DBA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DBA6" w14:textId="77777777" w:rsidR="003D72E7" w:rsidRDefault="003D72E7">
            <w:pPr>
              <w:widowControl/>
              <w:jc w:val="right"/>
              <w:rPr>
                <w:rFonts w:ascii="Times New Roman" w:eastAsia="宋体" w:hAnsi="宋体" w:cs="宋体"/>
                <w:kern w:val="0"/>
                <w:sz w:val="24"/>
              </w:rPr>
            </w:pPr>
          </w:p>
        </w:tc>
      </w:tr>
    </w:tbl>
    <w:p w14:paraId="619DDBA8" w14:textId="77777777" w:rsidR="003D72E7" w:rsidRDefault="00AD6774">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2707"/>
        <w:gridCol w:w="38"/>
        <w:gridCol w:w="121"/>
        <w:gridCol w:w="782"/>
        <w:gridCol w:w="36"/>
        <w:gridCol w:w="36"/>
        <w:gridCol w:w="36"/>
        <w:gridCol w:w="36"/>
        <w:gridCol w:w="121"/>
        <w:gridCol w:w="832"/>
        <w:gridCol w:w="36"/>
        <w:gridCol w:w="36"/>
        <w:gridCol w:w="36"/>
        <w:gridCol w:w="36"/>
        <w:gridCol w:w="120"/>
        <w:gridCol w:w="422"/>
        <w:gridCol w:w="36"/>
        <w:gridCol w:w="36"/>
        <w:gridCol w:w="36"/>
        <w:gridCol w:w="36"/>
        <w:gridCol w:w="121"/>
        <w:gridCol w:w="782"/>
        <w:gridCol w:w="36"/>
        <w:gridCol w:w="36"/>
        <w:gridCol w:w="36"/>
        <w:gridCol w:w="36"/>
        <w:gridCol w:w="121"/>
        <w:gridCol w:w="832"/>
        <w:gridCol w:w="36"/>
        <w:gridCol w:w="36"/>
        <w:gridCol w:w="36"/>
        <w:gridCol w:w="36"/>
        <w:gridCol w:w="120"/>
        <w:gridCol w:w="422"/>
        <w:gridCol w:w="36"/>
      </w:tblGrid>
      <w:tr w:rsidR="003D72E7" w14:paraId="619DDBCD" w14:textId="77777777">
        <w:tc>
          <w:tcPr>
            <w:tcW w:w="50" w:type="pct"/>
            <w:tcBorders>
              <w:top w:val="nil"/>
              <w:left w:val="nil"/>
              <w:bottom w:val="nil"/>
              <w:right w:val="nil"/>
            </w:tcBorders>
            <w:shd w:val="clear" w:color="auto" w:fill="auto"/>
            <w:vAlign w:val="bottom"/>
          </w:tcPr>
          <w:p w14:paraId="619DDBA9" w14:textId="77777777" w:rsidR="003D72E7" w:rsidRDefault="003D72E7">
            <w:pPr>
              <w:widowControl/>
              <w:jc w:val="left"/>
              <w:rPr>
                <w:rFonts w:ascii="Times New Roman" w:eastAsia="宋体" w:hAnsi="宋体" w:cs="宋体"/>
                <w:kern w:val="0"/>
                <w:sz w:val="24"/>
              </w:rPr>
            </w:pPr>
          </w:p>
        </w:tc>
        <w:tc>
          <w:tcPr>
            <w:tcW w:w="1757" w:type="pct"/>
            <w:tcBorders>
              <w:top w:val="nil"/>
              <w:left w:val="nil"/>
              <w:bottom w:val="nil"/>
              <w:right w:val="nil"/>
            </w:tcBorders>
            <w:shd w:val="clear" w:color="auto" w:fill="auto"/>
            <w:vAlign w:val="bottom"/>
          </w:tcPr>
          <w:p w14:paraId="619DDBA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A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BAC"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DDBA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A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A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BB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B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BB2"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DDBB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B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B5"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BB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B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BB8" w14:textId="77777777" w:rsidR="003D72E7" w:rsidRDefault="003D72E7">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vAlign w:val="bottom"/>
          </w:tcPr>
          <w:p w14:paraId="619DDBB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B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BB"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BB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B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BBE"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DDBB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C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C1"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BC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C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BC4"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DDBC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C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C7"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BC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C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BCA" w14:textId="77777777" w:rsidR="003D72E7" w:rsidRDefault="003D72E7">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vAlign w:val="bottom"/>
          </w:tcPr>
          <w:p w14:paraId="619DDBC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BCC" w14:textId="77777777" w:rsidR="003D72E7" w:rsidRDefault="003D72E7">
            <w:pPr>
              <w:widowControl/>
              <w:jc w:val="left"/>
              <w:rPr>
                <w:rFonts w:ascii="Times New Roman" w:eastAsia="宋体" w:hAnsi="宋体" w:cs="宋体"/>
                <w:kern w:val="0"/>
                <w:sz w:val="24"/>
              </w:rPr>
            </w:pPr>
          </w:p>
        </w:tc>
      </w:tr>
      <w:tr w:rsidR="003D72E7" w14:paraId="619DDBD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BCE" w14:textId="77777777" w:rsidR="003D72E7" w:rsidRDefault="003D72E7">
            <w:pPr>
              <w:widowControl/>
              <w:jc w:val="left"/>
              <w:rPr>
                <w:rFonts w:ascii="Times New Roman" w:eastAsia="宋体" w:hAnsi="宋体" w:cs="宋体"/>
                <w:kern w:val="0"/>
                <w:sz w:val="24"/>
              </w:rPr>
            </w:pPr>
          </w:p>
        </w:tc>
        <w:tc>
          <w:tcPr>
            <w:tcW w:w="0" w:type="auto"/>
            <w:gridSpan w:val="33"/>
            <w:tcBorders>
              <w:top w:val="nil"/>
              <w:left w:val="nil"/>
              <w:bottom w:val="single" w:sz="8" w:space="0" w:color="000000"/>
              <w:right w:val="nil"/>
            </w:tcBorders>
            <w:shd w:val="clear" w:color="auto" w:fill="auto"/>
            <w:tcMar>
              <w:top w:w="40" w:type="dxa"/>
              <w:left w:w="20" w:type="dxa"/>
              <w:bottom w:w="40" w:type="dxa"/>
              <w:right w:w="20" w:type="dxa"/>
            </w:tcMar>
            <w:vAlign w:val="center"/>
          </w:tcPr>
          <w:p w14:paraId="619DDBCF"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DBD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BD1" w14:textId="77777777" w:rsidR="003D72E7" w:rsidRDefault="003D72E7">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DBD2"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BD3" w14:textId="77777777" w:rsidR="003D72E7" w:rsidRDefault="003D72E7">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DBD4"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DBE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BD6"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DBD7"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Revolving</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BD8"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619DDBD9"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Fixed-term</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BDA"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619DDBDB"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BD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619DDBDD"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Revolving</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BD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619DDBDF"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Fixed-term</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BE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center"/>
          </w:tcPr>
          <w:p w14:paraId="619DDBE1"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r>
      <w:tr w:rsidR="003D72E7" w14:paraId="619DDBE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BE3" w14:textId="77777777" w:rsidR="003D72E7" w:rsidRDefault="003D72E7">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BE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DBF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DBE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Allowance for financing receivable losses: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E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E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E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E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E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E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E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E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E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F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BF1" w14:textId="77777777" w:rsidR="003D72E7" w:rsidRDefault="003D72E7">
            <w:pPr>
              <w:widowControl/>
              <w:jc w:val="left"/>
              <w:rPr>
                <w:rFonts w:ascii="Times New Roman" w:eastAsia="宋体" w:hAnsi="宋体" w:cs="宋体"/>
                <w:kern w:val="0"/>
                <w:sz w:val="24"/>
              </w:rPr>
            </w:pPr>
          </w:p>
        </w:tc>
      </w:tr>
      <w:tr w:rsidR="003D72E7" w14:paraId="619DDC0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DBF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Balances at beginning of period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DBF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DBF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BF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BF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DBF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DBF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BF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BF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DBF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DBF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BF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BF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DC0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DC0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C0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0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DC0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DC0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C0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0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DC0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DC0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C0A" w14:textId="77777777" w:rsidR="003D72E7" w:rsidRDefault="003D72E7">
            <w:pPr>
              <w:widowControl/>
              <w:jc w:val="right"/>
              <w:rPr>
                <w:rFonts w:ascii="Times New Roman" w:eastAsia="宋体" w:hAnsi="宋体" w:cs="宋体"/>
                <w:kern w:val="0"/>
                <w:sz w:val="24"/>
              </w:rPr>
            </w:pPr>
          </w:p>
        </w:tc>
      </w:tr>
      <w:tr w:rsidR="003D72E7" w14:paraId="619DDC1E"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DC0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Adjustment for adoption of accounting standard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C0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C0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0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C1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C1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1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C1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C1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1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C1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C1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1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C1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C1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1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C1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C1D" w14:textId="77777777" w:rsidR="003D72E7" w:rsidRDefault="003D72E7">
            <w:pPr>
              <w:widowControl/>
              <w:jc w:val="right"/>
              <w:rPr>
                <w:rFonts w:ascii="Times New Roman" w:eastAsia="宋体" w:hAnsi="宋体" w:cs="宋体"/>
                <w:kern w:val="0"/>
                <w:sz w:val="24"/>
              </w:rPr>
            </w:pPr>
          </w:p>
        </w:tc>
      </w:tr>
      <w:tr w:rsidR="003D72E7" w14:paraId="619DDC31"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DC1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Charge-offs, net of recoveries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C2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C2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2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C2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C2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2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C2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C2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2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C2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C2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2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C2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C2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2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DC2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DC30" w14:textId="77777777" w:rsidR="003D72E7" w:rsidRDefault="003D72E7">
            <w:pPr>
              <w:widowControl/>
              <w:jc w:val="right"/>
              <w:rPr>
                <w:rFonts w:ascii="Times New Roman" w:eastAsia="宋体" w:hAnsi="宋体" w:cs="宋体"/>
                <w:kern w:val="0"/>
                <w:sz w:val="24"/>
              </w:rPr>
            </w:pPr>
          </w:p>
        </w:tc>
      </w:tr>
      <w:tr w:rsidR="003D72E7" w14:paraId="619DDC44"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DC3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Provision charged to income statement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C3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C3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3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C3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C3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3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C3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C3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3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C3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C3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3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C3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C4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4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C4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C43" w14:textId="77777777" w:rsidR="003D72E7" w:rsidRDefault="003D72E7">
            <w:pPr>
              <w:widowControl/>
              <w:jc w:val="right"/>
              <w:rPr>
                <w:rFonts w:ascii="Times New Roman" w:eastAsia="宋体" w:hAnsi="宋体" w:cs="宋体"/>
                <w:kern w:val="0"/>
                <w:sz w:val="24"/>
              </w:rPr>
            </w:pPr>
          </w:p>
        </w:tc>
      </w:tr>
      <w:tr w:rsidR="003D72E7" w14:paraId="619DDC5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DC4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Balances at end of period</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C4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C4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C4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49"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C4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C4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C4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4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C4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C4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C5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51"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C5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C5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C5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55"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C5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C5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C5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59"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DC5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DC5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DC5C" w14:textId="77777777" w:rsidR="003D72E7" w:rsidRDefault="003D72E7">
            <w:pPr>
              <w:widowControl/>
              <w:jc w:val="right"/>
              <w:rPr>
                <w:rFonts w:ascii="Times New Roman" w:eastAsia="宋体" w:hAnsi="宋体" w:cs="宋体"/>
                <w:kern w:val="0"/>
                <w:sz w:val="24"/>
              </w:rPr>
            </w:pPr>
          </w:p>
        </w:tc>
      </w:tr>
      <w:tr w:rsidR="003D72E7" w14:paraId="619DDC6A" w14:textId="77777777">
        <w:trPr>
          <w:hidden/>
        </w:trPr>
        <w:tc>
          <w:tcPr>
            <w:tcW w:w="0" w:type="auto"/>
            <w:gridSpan w:val="3"/>
            <w:tcBorders>
              <w:top w:val="nil"/>
              <w:left w:val="nil"/>
              <w:bottom w:val="nil"/>
              <w:right w:val="nil"/>
            </w:tcBorders>
            <w:shd w:val="clear" w:color="auto" w:fill="auto"/>
            <w:vAlign w:val="bottom"/>
          </w:tcPr>
          <w:p w14:paraId="619DDC5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C5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C6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C6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C6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C6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C6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C6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C6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C6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C6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C69" w14:textId="77777777" w:rsidR="003D72E7" w:rsidRDefault="003D72E7">
            <w:pPr>
              <w:widowControl/>
              <w:jc w:val="left"/>
              <w:rPr>
                <w:rFonts w:ascii="Times New Roman" w:eastAsia="宋体" w:hAnsi="宋体" w:cs="宋体"/>
                <w:vanish/>
                <w:kern w:val="0"/>
                <w:sz w:val="24"/>
              </w:rPr>
            </w:pPr>
          </w:p>
        </w:tc>
      </w:tr>
    </w:tbl>
    <w:p w14:paraId="619DDC6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C6C"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19</w:t>
      </w:r>
    </w:p>
    <w:p w14:paraId="619DDC6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C6E" w14:textId="77777777" w:rsidR="003D72E7" w:rsidRDefault="00AD6774">
      <w:pPr>
        <w:widowControl/>
        <w:jc w:val="center"/>
      </w:pPr>
      <w:r>
        <w:rPr>
          <w:rFonts w:ascii="宋体" w:eastAsia="宋体" w:hAnsi="宋体" w:cs="宋体"/>
          <w:kern w:val="0"/>
          <w:sz w:val="24"/>
        </w:rPr>
        <w:pict w14:anchorId="619E0D7E">
          <v:rect id="_x0000_i1043" style="width:6in;height:1.5pt" o:hralign="center" o:hrstd="t" o:hr="t" fillcolor="#a0a0a0" stroked="f"/>
        </w:pict>
      </w:r>
    </w:p>
    <w:p w14:paraId="619DDC6F"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DC7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DC71"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DC7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DC7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C7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Aging</w:t>
      </w:r>
    </w:p>
    <w:p w14:paraId="619DDC7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C76"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aging of the Company’s </w:t>
      </w:r>
      <w:r>
        <w:rPr>
          <w:rFonts w:ascii="Times New Roman" w:eastAsia="宋体" w:hAnsi="Times New Roman" w:cs="Times New Roman"/>
          <w:color w:val="000000"/>
          <w:kern w:val="0"/>
          <w:sz w:val="20"/>
          <w:szCs w:val="20"/>
          <w:lang w:bidi="ar"/>
        </w:rPr>
        <w:t>customer financing receivables, gross, including accrued interest, segregated by class, as of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2233"/>
        <w:gridCol w:w="38"/>
        <w:gridCol w:w="121"/>
        <w:gridCol w:w="647"/>
        <w:gridCol w:w="36"/>
        <w:gridCol w:w="36"/>
        <w:gridCol w:w="36"/>
        <w:gridCol w:w="36"/>
        <w:gridCol w:w="120"/>
        <w:gridCol w:w="396"/>
        <w:gridCol w:w="36"/>
        <w:gridCol w:w="36"/>
        <w:gridCol w:w="36"/>
        <w:gridCol w:w="36"/>
        <w:gridCol w:w="121"/>
        <w:gridCol w:w="396"/>
        <w:gridCol w:w="36"/>
        <w:gridCol w:w="36"/>
        <w:gridCol w:w="36"/>
        <w:gridCol w:w="36"/>
        <w:gridCol w:w="120"/>
        <w:gridCol w:w="600"/>
        <w:gridCol w:w="36"/>
        <w:gridCol w:w="36"/>
        <w:gridCol w:w="36"/>
        <w:gridCol w:w="36"/>
        <w:gridCol w:w="121"/>
        <w:gridCol w:w="647"/>
        <w:gridCol w:w="36"/>
        <w:gridCol w:w="36"/>
        <w:gridCol w:w="36"/>
        <w:gridCol w:w="36"/>
        <w:gridCol w:w="120"/>
        <w:gridCol w:w="350"/>
        <w:gridCol w:w="36"/>
        <w:gridCol w:w="36"/>
        <w:gridCol w:w="36"/>
        <w:gridCol w:w="36"/>
        <w:gridCol w:w="120"/>
        <w:gridCol w:w="383"/>
        <w:gridCol w:w="36"/>
        <w:gridCol w:w="36"/>
        <w:gridCol w:w="36"/>
        <w:gridCol w:w="36"/>
        <w:gridCol w:w="120"/>
        <w:gridCol w:w="600"/>
        <w:gridCol w:w="36"/>
      </w:tblGrid>
      <w:tr w:rsidR="003D72E7" w14:paraId="619DDCA7" w14:textId="77777777">
        <w:tc>
          <w:tcPr>
            <w:tcW w:w="50" w:type="pct"/>
            <w:tcBorders>
              <w:top w:val="nil"/>
              <w:left w:val="nil"/>
              <w:bottom w:val="nil"/>
              <w:right w:val="nil"/>
            </w:tcBorders>
            <w:shd w:val="clear" w:color="auto" w:fill="auto"/>
            <w:vAlign w:val="bottom"/>
          </w:tcPr>
          <w:p w14:paraId="619DDC77" w14:textId="77777777" w:rsidR="003D72E7" w:rsidRDefault="003D72E7">
            <w:pPr>
              <w:widowControl/>
              <w:jc w:val="left"/>
              <w:rPr>
                <w:rFonts w:ascii="Times New Roman" w:eastAsia="宋体" w:hAnsi="宋体" w:cs="宋体"/>
                <w:kern w:val="0"/>
                <w:sz w:val="24"/>
              </w:rPr>
            </w:pPr>
          </w:p>
        </w:tc>
        <w:tc>
          <w:tcPr>
            <w:tcW w:w="1472" w:type="pct"/>
            <w:tcBorders>
              <w:top w:val="nil"/>
              <w:left w:val="nil"/>
              <w:bottom w:val="nil"/>
              <w:right w:val="nil"/>
            </w:tcBorders>
            <w:shd w:val="clear" w:color="auto" w:fill="auto"/>
            <w:vAlign w:val="bottom"/>
          </w:tcPr>
          <w:p w14:paraId="619DDC7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7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C7A" w14:textId="77777777" w:rsidR="003D72E7" w:rsidRDefault="003D72E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619DDC7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7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7D"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C7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7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C80" w14:textId="77777777" w:rsidR="003D72E7" w:rsidRDefault="003D72E7">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619DDC8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8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8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C8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8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C86" w14:textId="77777777" w:rsidR="003D72E7" w:rsidRDefault="003D72E7">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619DDC8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8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8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C8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8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C8C" w14:textId="77777777" w:rsidR="003D72E7" w:rsidRDefault="003D72E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619DDC8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8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8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C9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9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C92" w14:textId="77777777" w:rsidR="003D72E7" w:rsidRDefault="003D72E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619DDC9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9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95"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C9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9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C98" w14:textId="77777777" w:rsidR="003D72E7" w:rsidRDefault="003D72E7">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619DDC9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9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9B"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C9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9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C9E" w14:textId="77777777" w:rsidR="003D72E7" w:rsidRDefault="003D72E7">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619DDC9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A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A1"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CA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A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CA4" w14:textId="77777777" w:rsidR="003D72E7" w:rsidRDefault="003D72E7">
            <w:pPr>
              <w:widowControl/>
              <w:jc w:val="left"/>
              <w:rPr>
                <w:rFonts w:ascii="Times New Roman" w:eastAsia="宋体" w:hAnsi="宋体" w:cs="宋体"/>
                <w:kern w:val="0"/>
                <w:sz w:val="24"/>
              </w:rPr>
            </w:pPr>
          </w:p>
        </w:tc>
        <w:tc>
          <w:tcPr>
            <w:tcW w:w="375" w:type="pct"/>
            <w:tcBorders>
              <w:top w:val="nil"/>
              <w:left w:val="nil"/>
              <w:bottom w:val="nil"/>
              <w:right w:val="nil"/>
            </w:tcBorders>
            <w:shd w:val="clear" w:color="auto" w:fill="auto"/>
            <w:vAlign w:val="bottom"/>
          </w:tcPr>
          <w:p w14:paraId="619DDCA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CA6" w14:textId="77777777" w:rsidR="003D72E7" w:rsidRDefault="003D72E7">
            <w:pPr>
              <w:widowControl/>
              <w:jc w:val="left"/>
              <w:rPr>
                <w:rFonts w:ascii="Times New Roman" w:eastAsia="宋体" w:hAnsi="宋体" w:cs="宋体"/>
                <w:kern w:val="0"/>
                <w:sz w:val="24"/>
              </w:rPr>
            </w:pPr>
          </w:p>
        </w:tc>
      </w:tr>
      <w:tr w:rsidR="003D72E7" w14:paraId="619DDCA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CA8" w14:textId="77777777" w:rsidR="003D72E7" w:rsidRDefault="003D72E7">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19DDCA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CAA" w14:textId="77777777" w:rsidR="003D72E7" w:rsidRDefault="003D72E7">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619DDCA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DCB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CA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CA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Current</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CA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CB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Past Due</w:t>
            </w:r>
            <w:r>
              <w:rPr>
                <w:rFonts w:ascii="Times New Roman" w:eastAsia="宋体" w:hAnsi="Times New Roman" w:cs="Times New Roman"/>
                <w:b/>
                <w:bCs/>
                <w:color w:val="000000"/>
                <w:kern w:val="0"/>
                <w:sz w:val="20"/>
                <w:szCs w:val="20"/>
                <w:lang w:bidi="ar"/>
              </w:rPr>
              <w:br/>
              <w:t>1 — 90 Days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CB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CB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Past Due</w:t>
            </w:r>
            <w:r>
              <w:rPr>
                <w:rFonts w:ascii="Times New Roman" w:eastAsia="宋体" w:hAnsi="Times New Roman" w:cs="Times New Roman"/>
                <w:b/>
                <w:bCs/>
                <w:color w:val="000000"/>
                <w:kern w:val="0"/>
                <w:sz w:val="20"/>
                <w:szCs w:val="20"/>
                <w:lang w:bidi="ar"/>
              </w:rPr>
              <w:br/>
              <w:t>&gt;90 Days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CB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CB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CB5"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CB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Current</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CB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CB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Past Due</w:t>
            </w:r>
            <w:r>
              <w:rPr>
                <w:rFonts w:ascii="Times New Roman" w:eastAsia="宋体" w:hAnsi="Times New Roman" w:cs="Times New Roman"/>
                <w:b/>
                <w:bCs/>
                <w:color w:val="000000"/>
                <w:kern w:val="0"/>
                <w:sz w:val="20"/>
                <w:szCs w:val="20"/>
                <w:lang w:bidi="ar"/>
              </w:rPr>
              <w:br/>
              <w:t>1 — 90 Days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CB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CB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Past Due</w:t>
            </w:r>
            <w:r>
              <w:rPr>
                <w:rFonts w:ascii="Times New Roman" w:eastAsia="宋体" w:hAnsi="Times New Roman" w:cs="Times New Roman"/>
                <w:b/>
                <w:bCs/>
                <w:color w:val="000000"/>
                <w:kern w:val="0"/>
                <w:sz w:val="20"/>
                <w:szCs w:val="20"/>
                <w:lang w:bidi="ar"/>
              </w:rPr>
              <w:br/>
              <w:t>&gt;90 Days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CB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CB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3D72E7" w14:paraId="619DDCC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CBE" w14:textId="77777777" w:rsidR="003D72E7" w:rsidRDefault="003D72E7">
            <w:pPr>
              <w:widowControl/>
              <w:jc w:val="left"/>
              <w:rPr>
                <w:rFonts w:ascii="Times New Roman" w:eastAsia="宋体" w:hAnsi="宋体" w:cs="宋体"/>
                <w:kern w:val="0"/>
                <w:sz w:val="24"/>
              </w:rPr>
            </w:pPr>
          </w:p>
        </w:tc>
        <w:tc>
          <w:tcPr>
            <w:tcW w:w="0" w:type="auto"/>
            <w:gridSpan w:val="45"/>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DCBF"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AD6774" w14:paraId="619DDCE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CC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Revolving — DPA</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CC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CC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515 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CC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C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CC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CC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CC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C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CC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CC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CC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C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CC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CC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555 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CD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D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CD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CD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578 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CD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D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CD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CD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CD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D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CD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CD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CD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D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CD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CD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621 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CE0" w14:textId="77777777" w:rsidR="003D72E7" w:rsidRDefault="003D72E7">
            <w:pPr>
              <w:widowControl/>
              <w:jc w:val="right"/>
              <w:rPr>
                <w:rFonts w:ascii="Times New Roman" w:eastAsia="宋体" w:hAnsi="宋体" w:cs="宋体"/>
                <w:kern w:val="0"/>
                <w:sz w:val="24"/>
              </w:rPr>
            </w:pPr>
          </w:p>
        </w:tc>
      </w:tr>
      <w:tr w:rsidR="003D72E7" w14:paraId="619DDCF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DCE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Revolving — DBC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CE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CE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E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CE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CE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E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CE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CE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E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CE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CE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E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CE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CF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F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CF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CF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F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CF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CF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CF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CF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CF9" w14:textId="77777777" w:rsidR="003D72E7" w:rsidRDefault="003D72E7">
            <w:pPr>
              <w:widowControl/>
              <w:jc w:val="right"/>
              <w:rPr>
                <w:rFonts w:ascii="Times New Roman" w:eastAsia="宋体" w:hAnsi="宋体" w:cs="宋体"/>
                <w:kern w:val="0"/>
                <w:sz w:val="24"/>
              </w:rPr>
            </w:pPr>
          </w:p>
        </w:tc>
      </w:tr>
      <w:tr w:rsidR="003D72E7" w14:paraId="619DDD1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DCF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Fixed-term — Consumer and Commercial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CF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CF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CF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CF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D0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D0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D0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D0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D0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D0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D0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D0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D0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9,192 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D0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D0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D0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D0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D0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D0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D0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D1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DD1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DD12" w14:textId="77777777" w:rsidR="003D72E7" w:rsidRDefault="003D72E7">
            <w:pPr>
              <w:widowControl/>
              <w:jc w:val="right"/>
              <w:rPr>
                <w:rFonts w:ascii="Times New Roman" w:eastAsia="宋体" w:hAnsi="宋体" w:cs="宋体"/>
                <w:kern w:val="0"/>
                <w:sz w:val="24"/>
              </w:rPr>
            </w:pPr>
          </w:p>
        </w:tc>
      </w:tr>
      <w:tr w:rsidR="003D72E7" w14:paraId="619DDD34"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DD1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customer receivables, gross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D1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D1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9,934 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D1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D1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D1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D1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D1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D1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D1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D1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D1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D2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center"/>
          </w:tcPr>
          <w:p w14:paraId="619DDD2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0" w:type="dxa"/>
            </w:tcMar>
            <w:vAlign w:val="center"/>
          </w:tcPr>
          <w:p w14:paraId="619DDD2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10,253 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center"/>
          </w:tcPr>
          <w:p w14:paraId="619DDD2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D2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D2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D2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9,927 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D2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D2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D2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D2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360 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D2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D2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D2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D2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D2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D3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D3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D3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10,391 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D33" w14:textId="77777777" w:rsidR="003D72E7" w:rsidRDefault="003D72E7">
            <w:pPr>
              <w:widowControl/>
              <w:jc w:val="right"/>
              <w:rPr>
                <w:rFonts w:ascii="Times New Roman" w:eastAsia="宋体" w:hAnsi="宋体" w:cs="宋体"/>
                <w:kern w:val="0"/>
                <w:sz w:val="24"/>
              </w:rPr>
            </w:pPr>
          </w:p>
        </w:tc>
      </w:tr>
      <w:tr w:rsidR="003D72E7" w14:paraId="619DDD45" w14:textId="77777777">
        <w:trPr>
          <w:hidden/>
        </w:trPr>
        <w:tc>
          <w:tcPr>
            <w:tcW w:w="0" w:type="auto"/>
            <w:gridSpan w:val="3"/>
            <w:tcBorders>
              <w:top w:val="nil"/>
              <w:left w:val="nil"/>
              <w:bottom w:val="nil"/>
              <w:right w:val="nil"/>
            </w:tcBorders>
            <w:shd w:val="clear" w:color="auto" w:fill="auto"/>
            <w:vAlign w:val="bottom"/>
          </w:tcPr>
          <w:p w14:paraId="619DDD3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3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3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3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3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3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3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3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3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3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3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4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4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4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4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44" w14:textId="77777777" w:rsidR="003D72E7" w:rsidRDefault="003D72E7">
            <w:pPr>
              <w:widowControl/>
              <w:jc w:val="left"/>
              <w:rPr>
                <w:rFonts w:ascii="Times New Roman" w:eastAsia="宋体" w:hAnsi="宋体" w:cs="宋体"/>
                <w:vanish/>
                <w:kern w:val="0"/>
                <w:sz w:val="24"/>
              </w:rPr>
            </w:pPr>
          </w:p>
        </w:tc>
      </w:tr>
      <w:tr w:rsidR="003D72E7" w14:paraId="619DDD56" w14:textId="77777777">
        <w:trPr>
          <w:hidden/>
        </w:trPr>
        <w:tc>
          <w:tcPr>
            <w:tcW w:w="0" w:type="auto"/>
            <w:gridSpan w:val="3"/>
            <w:tcBorders>
              <w:top w:val="nil"/>
              <w:left w:val="nil"/>
              <w:bottom w:val="nil"/>
              <w:right w:val="nil"/>
            </w:tcBorders>
            <w:shd w:val="clear" w:color="auto" w:fill="auto"/>
            <w:vAlign w:val="bottom"/>
          </w:tcPr>
          <w:p w14:paraId="619DDD4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4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4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4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4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4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4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4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4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4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5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5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5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5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5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DD55" w14:textId="77777777" w:rsidR="003D72E7" w:rsidRDefault="003D72E7">
            <w:pPr>
              <w:widowControl/>
              <w:jc w:val="left"/>
              <w:rPr>
                <w:rFonts w:ascii="Times New Roman" w:eastAsia="宋体" w:hAnsi="宋体" w:cs="宋体"/>
                <w:vanish/>
                <w:kern w:val="0"/>
                <w:sz w:val="24"/>
              </w:rPr>
            </w:pPr>
          </w:p>
        </w:tc>
      </w:tr>
    </w:tbl>
    <w:p w14:paraId="619DDD5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D5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Aging is </w:t>
      </w:r>
      <w:r>
        <w:rPr>
          <w:rFonts w:ascii="Times New Roman" w:eastAsia="宋体" w:hAnsi="Times New Roman" w:cs="Times New Roman"/>
          <w:color w:val="000000"/>
          <w:kern w:val="0"/>
          <w:sz w:val="20"/>
          <w:szCs w:val="20"/>
          <w:lang w:bidi="ar"/>
        </w:rPr>
        <w:t>likely to fluctuate as a result of the variability in volume of large transactions entered into over the period, and the administrative processes that accompany those larger transactions. Aging is also impacted by the timing of the Dell Technologies fiscal</w:t>
      </w:r>
      <w:r>
        <w:rPr>
          <w:rFonts w:ascii="Times New Roman" w:eastAsia="宋体" w:hAnsi="Times New Roman" w:cs="Times New Roman"/>
          <w:color w:val="000000"/>
          <w:kern w:val="0"/>
          <w:sz w:val="20"/>
          <w:szCs w:val="20"/>
          <w:lang w:bidi="ar"/>
        </w:rPr>
        <w:t xml:space="preserve"> period end date, relative to calendar month-end customer payment due dates. As a result of these factors, fluctuations in aging from period to period do not necessarily indicate a material change in the collectibility of the portfolio.</w:t>
      </w:r>
    </w:p>
    <w:p w14:paraId="619DDD5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D5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Fixed-term consumer and commercial customer receivables are placed on non-accrual status if principal or interest is past due and considered delinquent, or if there is concern about collectibility of a specific customer receivable. These receivables identi</w:t>
      </w:r>
      <w:r>
        <w:rPr>
          <w:rFonts w:ascii="Times New Roman" w:eastAsia="宋体" w:hAnsi="Times New Roman" w:cs="Times New Roman"/>
          <w:color w:val="000000"/>
          <w:kern w:val="0"/>
          <w:sz w:val="20"/>
          <w:szCs w:val="20"/>
          <w:lang w:bidi="ar"/>
        </w:rPr>
        <w:t>fied as doubtful for collectibility may be classified as current for aging purposes. Aged revolving portfolio customer receivables identified as delinquent are charged off. Receivables are moved back to accrual status when the collection of interest is pro</w:t>
      </w:r>
      <w:r>
        <w:rPr>
          <w:rFonts w:ascii="Times New Roman" w:eastAsia="宋体" w:hAnsi="Times New Roman" w:cs="Times New Roman"/>
          <w:color w:val="000000"/>
          <w:kern w:val="0"/>
          <w:sz w:val="20"/>
          <w:szCs w:val="20"/>
          <w:lang w:bidi="ar"/>
        </w:rPr>
        <w:t>bable, or the collection of the net investment is no longer doubtful.</w:t>
      </w:r>
    </w:p>
    <w:p w14:paraId="619DDD5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D5C"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D5D"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w:t>
      </w:r>
    </w:p>
    <w:p w14:paraId="619DDD5E"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D5F" w14:textId="77777777" w:rsidR="003D72E7" w:rsidRDefault="00AD6774">
      <w:pPr>
        <w:widowControl/>
        <w:jc w:val="center"/>
      </w:pPr>
      <w:r>
        <w:rPr>
          <w:rFonts w:ascii="宋体" w:eastAsia="宋体" w:hAnsi="宋体" w:cs="宋体"/>
          <w:kern w:val="0"/>
          <w:sz w:val="24"/>
        </w:rPr>
        <w:pict w14:anchorId="619E0D7F">
          <v:rect id="_x0000_i1044" style="width:6in;height:1.5pt" o:hralign="center" o:hrstd="t" o:hr="t" fillcolor="#a0a0a0" stroked="f"/>
        </w:pict>
      </w:r>
    </w:p>
    <w:p w14:paraId="619DDD60"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DD61"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DD6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 xml:space="preserve">NOTES TO THE CONDENSED CONSOLIDATED FINANCIAL STATEMENTS </w:t>
      </w:r>
      <w:r>
        <w:rPr>
          <w:rFonts w:ascii="Times New Roman" w:eastAsia="宋体" w:hAnsi="Times New Roman" w:cs="Times New Roman"/>
          <w:b/>
          <w:bCs/>
          <w:color w:val="000000"/>
          <w:kern w:val="0"/>
          <w:sz w:val="20"/>
          <w:szCs w:val="20"/>
          <w:shd w:val="clear" w:color="auto" w:fill="FFFFFF"/>
          <w:lang w:bidi="ar"/>
        </w:rPr>
        <w:t>(Continued)</w:t>
      </w:r>
    </w:p>
    <w:p w14:paraId="619DDD6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DD64"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D6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Credit Quality</w:t>
      </w:r>
    </w:p>
    <w:p w14:paraId="619DDD6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D67"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tables present customer receivables, gross, including accrued interest, by credit quality indicator segregated by class and year of origination,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834"/>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457"/>
        <w:gridCol w:w="36"/>
        <w:gridCol w:w="36"/>
        <w:gridCol w:w="36"/>
        <w:gridCol w:w="36"/>
        <w:gridCol w:w="120"/>
        <w:gridCol w:w="481"/>
        <w:gridCol w:w="36"/>
        <w:gridCol w:w="36"/>
        <w:gridCol w:w="36"/>
        <w:gridCol w:w="36"/>
        <w:gridCol w:w="121"/>
        <w:gridCol w:w="481"/>
        <w:gridCol w:w="36"/>
        <w:gridCol w:w="36"/>
        <w:gridCol w:w="36"/>
        <w:gridCol w:w="36"/>
        <w:gridCol w:w="121"/>
        <w:gridCol w:w="815"/>
        <w:gridCol w:w="36"/>
        <w:gridCol w:w="36"/>
        <w:gridCol w:w="36"/>
        <w:gridCol w:w="36"/>
        <w:gridCol w:w="121"/>
        <w:gridCol w:w="815"/>
        <w:gridCol w:w="36"/>
        <w:gridCol w:w="36"/>
        <w:gridCol w:w="36"/>
        <w:gridCol w:w="36"/>
        <w:gridCol w:w="120"/>
        <w:gridCol w:w="600"/>
        <w:gridCol w:w="36"/>
      </w:tblGrid>
      <w:tr w:rsidR="003D72E7" w14:paraId="619DDD9E" w14:textId="77777777">
        <w:trPr>
          <w:jc w:val="center"/>
        </w:trPr>
        <w:tc>
          <w:tcPr>
            <w:tcW w:w="50" w:type="pct"/>
            <w:tcBorders>
              <w:top w:val="nil"/>
              <w:left w:val="nil"/>
              <w:bottom w:val="nil"/>
              <w:right w:val="nil"/>
            </w:tcBorders>
            <w:shd w:val="clear" w:color="auto" w:fill="auto"/>
            <w:vAlign w:val="bottom"/>
          </w:tcPr>
          <w:p w14:paraId="619DDD68" w14:textId="77777777" w:rsidR="003D72E7" w:rsidRDefault="003D72E7">
            <w:pPr>
              <w:widowControl/>
              <w:jc w:val="left"/>
              <w:rPr>
                <w:rFonts w:ascii="Times New Roman" w:eastAsia="宋体" w:hAnsi="宋体" w:cs="宋体"/>
                <w:kern w:val="0"/>
                <w:sz w:val="24"/>
              </w:rPr>
            </w:pPr>
          </w:p>
        </w:tc>
        <w:tc>
          <w:tcPr>
            <w:tcW w:w="602" w:type="pct"/>
            <w:tcBorders>
              <w:top w:val="nil"/>
              <w:left w:val="nil"/>
              <w:bottom w:val="nil"/>
              <w:right w:val="nil"/>
            </w:tcBorders>
            <w:shd w:val="clear" w:color="auto" w:fill="auto"/>
            <w:vAlign w:val="bottom"/>
          </w:tcPr>
          <w:p w14:paraId="619DDD6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6A"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D6B" w14:textId="77777777" w:rsidR="003D72E7" w:rsidRDefault="003D72E7">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619DDD6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6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6E"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D6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70"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D71" w14:textId="77777777" w:rsidR="003D72E7" w:rsidRDefault="003D72E7">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619DDD7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7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74"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D7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76"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D77" w14:textId="77777777" w:rsidR="003D72E7" w:rsidRDefault="003D72E7">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619DDD7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7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7A"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D7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7C"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D7D" w14:textId="77777777" w:rsidR="003D72E7" w:rsidRDefault="003D72E7">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619DDD7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7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80"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D8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82"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D83" w14:textId="77777777" w:rsidR="003D72E7" w:rsidRDefault="003D72E7">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619DDD8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8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86"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D8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88"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D89" w14:textId="77777777" w:rsidR="003D72E7" w:rsidRDefault="003D72E7">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619DDD8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8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8C"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D8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8E"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D8F" w14:textId="77777777" w:rsidR="003D72E7" w:rsidRDefault="003D72E7">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619DDD9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9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92"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D9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94"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D95" w14:textId="77777777" w:rsidR="003D72E7" w:rsidRDefault="003D72E7">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619DDD9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9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98"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D9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9A"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D9B" w14:textId="77777777" w:rsidR="003D72E7" w:rsidRDefault="003D72E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619DDD9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D9D" w14:textId="77777777" w:rsidR="003D72E7" w:rsidRDefault="003D72E7">
            <w:pPr>
              <w:widowControl/>
              <w:jc w:val="left"/>
              <w:rPr>
                <w:rFonts w:ascii="Times New Roman" w:eastAsia="宋体" w:hAnsi="宋体" w:cs="宋体"/>
                <w:kern w:val="0"/>
                <w:sz w:val="24"/>
              </w:rPr>
            </w:pPr>
          </w:p>
        </w:tc>
      </w:tr>
      <w:tr w:rsidR="003D72E7" w14:paraId="619DDDA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D9F" w14:textId="77777777" w:rsidR="003D72E7" w:rsidRDefault="003D72E7">
            <w:pPr>
              <w:widowControl/>
              <w:jc w:val="left"/>
              <w:rPr>
                <w:rFonts w:ascii="Times New Roman" w:eastAsia="宋体" w:hAnsi="宋体" w:cs="宋体"/>
                <w:kern w:val="0"/>
                <w:sz w:val="24"/>
              </w:rPr>
            </w:pPr>
          </w:p>
        </w:tc>
        <w:tc>
          <w:tcPr>
            <w:tcW w:w="0" w:type="auto"/>
            <w:gridSpan w:val="51"/>
            <w:tcBorders>
              <w:top w:val="nil"/>
              <w:left w:val="nil"/>
              <w:bottom w:val="nil"/>
              <w:right w:val="nil"/>
            </w:tcBorders>
            <w:shd w:val="clear" w:color="auto" w:fill="auto"/>
            <w:tcMar>
              <w:top w:w="40" w:type="dxa"/>
              <w:left w:w="20" w:type="dxa"/>
              <w:bottom w:w="40" w:type="dxa"/>
              <w:right w:w="20" w:type="dxa"/>
            </w:tcMar>
            <w:vAlign w:val="bottom"/>
          </w:tcPr>
          <w:p w14:paraId="619DDDA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3D72E7" w14:paraId="619DDDA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DA2" w14:textId="77777777" w:rsidR="003D72E7" w:rsidRDefault="003D72E7">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DA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Fixed-term — Consumer and Commercial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DA4"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DA5"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DA6"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DA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DA8"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DA9" w14:textId="77777777" w:rsidR="003D72E7" w:rsidRDefault="003D72E7">
            <w:pPr>
              <w:widowControl/>
              <w:jc w:val="left"/>
              <w:rPr>
                <w:rFonts w:ascii="Times New Roman" w:eastAsia="宋体" w:hAnsi="宋体" w:cs="宋体"/>
                <w:kern w:val="0"/>
                <w:sz w:val="24"/>
              </w:rPr>
            </w:pPr>
          </w:p>
        </w:tc>
      </w:tr>
      <w:tr w:rsidR="003D72E7" w14:paraId="619DDDB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DAB" w14:textId="77777777" w:rsidR="003D72E7" w:rsidRDefault="003D72E7">
            <w:pPr>
              <w:widowControl/>
              <w:jc w:val="left"/>
              <w:rPr>
                <w:rFonts w:ascii="Times New Roman" w:eastAsia="宋体" w:hAnsi="宋体" w:cs="宋体"/>
                <w:kern w:val="0"/>
                <w:sz w:val="24"/>
              </w:rPr>
            </w:pPr>
          </w:p>
        </w:tc>
        <w:tc>
          <w:tcPr>
            <w:tcW w:w="0" w:type="auto"/>
            <w:gridSpan w:val="33"/>
            <w:tcBorders>
              <w:top w:val="nil"/>
              <w:left w:val="nil"/>
              <w:bottom w:val="nil"/>
              <w:right w:val="nil"/>
            </w:tcBorders>
            <w:shd w:val="clear" w:color="auto" w:fill="auto"/>
            <w:tcMar>
              <w:top w:w="40" w:type="dxa"/>
              <w:left w:w="20" w:type="dxa"/>
              <w:bottom w:w="40" w:type="dxa"/>
              <w:right w:w="20" w:type="dxa"/>
            </w:tcMar>
            <w:vAlign w:val="bottom"/>
          </w:tcPr>
          <w:p w14:paraId="619DDDA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Fiscal Year of Origination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DA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DA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DA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DB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DB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DB2" w14:textId="77777777" w:rsidR="003D72E7" w:rsidRDefault="003D72E7">
            <w:pPr>
              <w:widowControl/>
              <w:jc w:val="left"/>
              <w:rPr>
                <w:rFonts w:ascii="Times New Roman" w:eastAsia="宋体" w:hAnsi="宋体" w:cs="宋体"/>
                <w:kern w:val="0"/>
                <w:sz w:val="24"/>
              </w:rPr>
            </w:pPr>
          </w:p>
        </w:tc>
      </w:tr>
      <w:tr w:rsidR="003D72E7" w14:paraId="619DDDC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DB4"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DB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2022</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DB6"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DB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DB8"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DB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2020</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DBA"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DB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2019</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DB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DB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2018</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DB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DB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Years Prior</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DC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DDC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 — DPA</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DC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DDC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 — DBC</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DC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DDC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3D72E7" w14:paraId="619DDDC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DC7" w14:textId="77777777" w:rsidR="003D72E7" w:rsidRDefault="003D72E7">
            <w:pPr>
              <w:widowControl/>
              <w:jc w:val="left"/>
              <w:rPr>
                <w:rFonts w:ascii="Times New Roman" w:eastAsia="宋体" w:hAnsi="宋体" w:cs="宋体"/>
                <w:kern w:val="0"/>
                <w:sz w:val="24"/>
              </w:rPr>
            </w:pPr>
          </w:p>
        </w:tc>
        <w:tc>
          <w:tcPr>
            <w:tcW w:w="0" w:type="auto"/>
            <w:gridSpan w:val="51"/>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DDC8"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AD6774" w14:paraId="619DDDE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DC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Higher</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DC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DC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1,806 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DC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DC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DC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DD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2,362 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DD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DD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DD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DD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1,330 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DD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DD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DD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DD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DD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DD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DD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DD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DD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DD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DD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DE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DE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DE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DE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DE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DE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DE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DE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DE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DE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DE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DE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DE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6,146 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DED" w14:textId="77777777" w:rsidR="003D72E7" w:rsidRDefault="003D72E7">
            <w:pPr>
              <w:widowControl/>
              <w:jc w:val="right"/>
              <w:rPr>
                <w:rFonts w:ascii="Times New Roman" w:eastAsia="宋体" w:hAnsi="宋体" w:cs="宋体"/>
                <w:kern w:val="0"/>
                <w:sz w:val="24"/>
              </w:rPr>
            </w:pPr>
          </w:p>
        </w:tc>
      </w:tr>
      <w:tr w:rsidR="003D72E7" w14:paraId="619DDE0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DDE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Mid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DF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520 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DF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DF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DF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925 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DF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DF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DF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487 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DF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DF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DF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DF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DF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DF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DF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DF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DF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E0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0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E0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E0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0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E0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E0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0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E0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2,351 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E09" w14:textId="77777777" w:rsidR="003D72E7" w:rsidRDefault="003D72E7">
            <w:pPr>
              <w:widowControl/>
              <w:jc w:val="right"/>
              <w:rPr>
                <w:rFonts w:ascii="Times New Roman" w:eastAsia="宋体" w:hAnsi="宋体" w:cs="宋体"/>
                <w:kern w:val="0"/>
                <w:sz w:val="24"/>
              </w:rPr>
            </w:pPr>
          </w:p>
        </w:tc>
      </w:tr>
      <w:tr w:rsidR="003D72E7" w14:paraId="619DDE2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E0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Lower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E0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0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0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E0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634 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1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1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E1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1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1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E1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1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1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E1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1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1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E1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1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1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E1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234 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1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2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E2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2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2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E2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1,756 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25" w14:textId="77777777" w:rsidR="003D72E7" w:rsidRDefault="003D72E7">
            <w:pPr>
              <w:widowControl/>
              <w:jc w:val="right"/>
              <w:rPr>
                <w:rFonts w:ascii="Times New Roman" w:eastAsia="宋体" w:hAnsi="宋体" w:cs="宋体"/>
                <w:kern w:val="0"/>
                <w:sz w:val="24"/>
              </w:rPr>
            </w:pPr>
          </w:p>
        </w:tc>
      </w:tr>
      <w:tr w:rsidR="00AD6774" w14:paraId="619DDE4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DE2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E2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E2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2,702 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E2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2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E2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E2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3,921 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E2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2F"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E3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E3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2,144 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E3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3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E3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E3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627 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E3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3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E3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E3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E3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3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E3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E3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E3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3F"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E4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E4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555 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E4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4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E4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E4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E4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4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E4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E4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10,253 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E4A" w14:textId="77777777" w:rsidR="003D72E7" w:rsidRDefault="003D72E7">
            <w:pPr>
              <w:widowControl/>
              <w:jc w:val="right"/>
              <w:rPr>
                <w:rFonts w:ascii="Times New Roman" w:eastAsia="宋体" w:hAnsi="宋体" w:cs="宋体"/>
                <w:kern w:val="0"/>
                <w:sz w:val="24"/>
              </w:rPr>
            </w:pPr>
          </w:p>
        </w:tc>
      </w:tr>
    </w:tbl>
    <w:p w14:paraId="619DDE4C" w14:textId="77777777" w:rsidR="003D72E7" w:rsidRDefault="00AD677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6"/>
        <w:gridCol w:w="833"/>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457"/>
        <w:gridCol w:w="36"/>
        <w:gridCol w:w="36"/>
        <w:gridCol w:w="36"/>
        <w:gridCol w:w="36"/>
        <w:gridCol w:w="121"/>
        <w:gridCol w:w="481"/>
        <w:gridCol w:w="36"/>
        <w:gridCol w:w="36"/>
        <w:gridCol w:w="36"/>
        <w:gridCol w:w="36"/>
        <w:gridCol w:w="121"/>
        <w:gridCol w:w="481"/>
        <w:gridCol w:w="36"/>
        <w:gridCol w:w="36"/>
        <w:gridCol w:w="36"/>
        <w:gridCol w:w="36"/>
        <w:gridCol w:w="121"/>
        <w:gridCol w:w="815"/>
        <w:gridCol w:w="36"/>
        <w:gridCol w:w="36"/>
        <w:gridCol w:w="36"/>
        <w:gridCol w:w="36"/>
        <w:gridCol w:w="121"/>
        <w:gridCol w:w="815"/>
        <w:gridCol w:w="36"/>
        <w:gridCol w:w="36"/>
        <w:gridCol w:w="36"/>
        <w:gridCol w:w="36"/>
        <w:gridCol w:w="120"/>
        <w:gridCol w:w="600"/>
        <w:gridCol w:w="36"/>
      </w:tblGrid>
      <w:tr w:rsidR="003D72E7" w14:paraId="619DDE83" w14:textId="77777777">
        <w:tc>
          <w:tcPr>
            <w:tcW w:w="50" w:type="pct"/>
            <w:tcBorders>
              <w:top w:val="nil"/>
              <w:left w:val="nil"/>
              <w:bottom w:val="nil"/>
              <w:right w:val="nil"/>
            </w:tcBorders>
            <w:shd w:val="clear" w:color="auto" w:fill="auto"/>
            <w:vAlign w:val="bottom"/>
          </w:tcPr>
          <w:p w14:paraId="619DDE4D" w14:textId="77777777" w:rsidR="003D72E7" w:rsidRDefault="003D72E7">
            <w:pPr>
              <w:widowControl/>
              <w:jc w:val="left"/>
              <w:rPr>
                <w:rFonts w:ascii="Times New Roman" w:eastAsia="宋体" w:hAnsi="宋体" w:cs="宋体"/>
                <w:kern w:val="0"/>
                <w:sz w:val="24"/>
              </w:rPr>
            </w:pPr>
          </w:p>
        </w:tc>
        <w:tc>
          <w:tcPr>
            <w:tcW w:w="602" w:type="pct"/>
            <w:tcBorders>
              <w:top w:val="nil"/>
              <w:left w:val="nil"/>
              <w:bottom w:val="nil"/>
              <w:right w:val="nil"/>
            </w:tcBorders>
            <w:shd w:val="clear" w:color="auto" w:fill="auto"/>
            <w:vAlign w:val="bottom"/>
          </w:tcPr>
          <w:p w14:paraId="619DDE4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4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E50" w14:textId="77777777" w:rsidR="003D72E7" w:rsidRDefault="003D72E7">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619DDE5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5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5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E5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5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E56" w14:textId="77777777" w:rsidR="003D72E7" w:rsidRDefault="003D72E7">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619DDE5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5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5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E5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5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E5C" w14:textId="77777777" w:rsidR="003D72E7" w:rsidRDefault="003D72E7">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619DDE5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5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5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E6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6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E62" w14:textId="77777777" w:rsidR="003D72E7" w:rsidRDefault="003D72E7">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619DDE6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6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65"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E6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6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E68" w14:textId="77777777" w:rsidR="003D72E7" w:rsidRDefault="003D72E7">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619DDE6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6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6B"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E6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6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E6E" w14:textId="77777777" w:rsidR="003D72E7" w:rsidRDefault="003D72E7">
            <w:pPr>
              <w:widowControl/>
              <w:jc w:val="left"/>
              <w:rPr>
                <w:rFonts w:ascii="Times New Roman" w:eastAsia="宋体" w:hAnsi="宋体" w:cs="宋体"/>
                <w:kern w:val="0"/>
                <w:sz w:val="24"/>
              </w:rPr>
            </w:pPr>
          </w:p>
        </w:tc>
        <w:tc>
          <w:tcPr>
            <w:tcW w:w="354" w:type="pct"/>
            <w:tcBorders>
              <w:top w:val="nil"/>
              <w:left w:val="nil"/>
              <w:bottom w:val="nil"/>
              <w:right w:val="nil"/>
            </w:tcBorders>
            <w:shd w:val="clear" w:color="auto" w:fill="auto"/>
            <w:vAlign w:val="bottom"/>
          </w:tcPr>
          <w:p w14:paraId="619DDE6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7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71"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E7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7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E74" w14:textId="77777777" w:rsidR="003D72E7" w:rsidRDefault="003D72E7">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619DDE7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7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77"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E7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7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E7A" w14:textId="77777777" w:rsidR="003D72E7" w:rsidRDefault="003D72E7">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619DDE7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7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7D"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E7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7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E80" w14:textId="77777777" w:rsidR="003D72E7" w:rsidRDefault="003D72E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619DDE8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E82" w14:textId="77777777" w:rsidR="003D72E7" w:rsidRDefault="003D72E7">
            <w:pPr>
              <w:widowControl/>
              <w:jc w:val="left"/>
              <w:rPr>
                <w:rFonts w:ascii="Times New Roman" w:eastAsia="宋体" w:hAnsi="宋体" w:cs="宋体"/>
                <w:kern w:val="0"/>
                <w:sz w:val="24"/>
              </w:rPr>
            </w:pPr>
          </w:p>
        </w:tc>
      </w:tr>
      <w:tr w:rsidR="003D72E7" w14:paraId="619DDE8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E84" w14:textId="77777777" w:rsidR="003D72E7" w:rsidRDefault="003D72E7">
            <w:pPr>
              <w:widowControl/>
              <w:jc w:val="left"/>
              <w:rPr>
                <w:rFonts w:ascii="Times New Roman" w:eastAsia="宋体" w:hAnsi="宋体" w:cs="宋体"/>
                <w:kern w:val="0"/>
                <w:sz w:val="24"/>
              </w:rPr>
            </w:pPr>
          </w:p>
        </w:tc>
        <w:tc>
          <w:tcPr>
            <w:tcW w:w="0" w:type="auto"/>
            <w:gridSpan w:val="51"/>
            <w:tcBorders>
              <w:top w:val="nil"/>
              <w:left w:val="nil"/>
              <w:bottom w:val="nil"/>
              <w:right w:val="nil"/>
            </w:tcBorders>
            <w:shd w:val="clear" w:color="auto" w:fill="auto"/>
            <w:tcMar>
              <w:top w:w="40" w:type="dxa"/>
              <w:left w:w="20" w:type="dxa"/>
              <w:bottom w:w="40" w:type="dxa"/>
              <w:right w:w="20" w:type="dxa"/>
            </w:tcMar>
            <w:vAlign w:val="bottom"/>
          </w:tcPr>
          <w:p w14:paraId="619DDE8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DE8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E87" w14:textId="77777777" w:rsidR="003D72E7" w:rsidRDefault="003D72E7">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E8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Fixed-term — Consumer and Commercial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E8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E8A"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E8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E8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E8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DE8E" w14:textId="77777777" w:rsidR="003D72E7" w:rsidRDefault="003D72E7">
            <w:pPr>
              <w:widowControl/>
              <w:jc w:val="left"/>
              <w:rPr>
                <w:rFonts w:ascii="Times New Roman" w:eastAsia="宋体" w:hAnsi="宋体" w:cs="宋体"/>
                <w:kern w:val="0"/>
                <w:sz w:val="24"/>
              </w:rPr>
            </w:pPr>
          </w:p>
        </w:tc>
      </w:tr>
      <w:tr w:rsidR="003D72E7" w14:paraId="619DDE9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E90" w14:textId="77777777" w:rsidR="003D72E7" w:rsidRDefault="003D72E7">
            <w:pPr>
              <w:widowControl/>
              <w:jc w:val="left"/>
              <w:rPr>
                <w:rFonts w:ascii="Times New Roman" w:eastAsia="宋体" w:hAnsi="宋体" w:cs="宋体"/>
                <w:kern w:val="0"/>
                <w:sz w:val="24"/>
              </w:rPr>
            </w:pPr>
          </w:p>
        </w:tc>
        <w:tc>
          <w:tcPr>
            <w:tcW w:w="0" w:type="auto"/>
            <w:gridSpan w:val="33"/>
            <w:tcBorders>
              <w:top w:val="nil"/>
              <w:left w:val="nil"/>
              <w:bottom w:val="nil"/>
              <w:right w:val="nil"/>
            </w:tcBorders>
            <w:shd w:val="clear" w:color="auto" w:fill="auto"/>
            <w:tcMar>
              <w:top w:w="40" w:type="dxa"/>
              <w:left w:w="20" w:type="dxa"/>
              <w:bottom w:w="40" w:type="dxa"/>
              <w:right w:w="20" w:type="dxa"/>
            </w:tcMar>
            <w:vAlign w:val="bottom"/>
          </w:tcPr>
          <w:p w14:paraId="619DDE9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Fiscal Year of Origination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E9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E9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E9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E9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E9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E97" w14:textId="77777777" w:rsidR="003D72E7" w:rsidRDefault="003D72E7">
            <w:pPr>
              <w:widowControl/>
              <w:jc w:val="left"/>
              <w:rPr>
                <w:rFonts w:ascii="Times New Roman" w:eastAsia="宋体" w:hAnsi="宋体" w:cs="宋体"/>
                <w:kern w:val="0"/>
                <w:sz w:val="24"/>
              </w:rPr>
            </w:pPr>
          </w:p>
        </w:tc>
      </w:tr>
      <w:tr w:rsidR="003D72E7" w14:paraId="619DDEA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E9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E9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E9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E9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2020</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E9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E9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2019</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E9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EA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2018</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EA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EA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2017</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EA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EA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Years Prior</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EA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DEA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 — DPA</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EA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DEA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Revolving — DBC</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EA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DEA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3D72E7" w14:paraId="619DDEA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EAC" w14:textId="77777777" w:rsidR="003D72E7" w:rsidRDefault="003D72E7">
            <w:pPr>
              <w:widowControl/>
              <w:jc w:val="left"/>
              <w:rPr>
                <w:rFonts w:ascii="Times New Roman" w:eastAsia="宋体" w:hAnsi="宋体" w:cs="宋体"/>
                <w:kern w:val="0"/>
                <w:sz w:val="24"/>
              </w:rPr>
            </w:pPr>
          </w:p>
        </w:tc>
        <w:tc>
          <w:tcPr>
            <w:tcW w:w="0" w:type="auto"/>
            <w:gridSpan w:val="51"/>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DEAD"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AD6774" w14:paraId="619DDED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EA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Higher</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EB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EB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3,125 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B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B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EB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EB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1,802 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B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B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EB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EB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661 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B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B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EB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EB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B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B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EC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EC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C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C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EC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EC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C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C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EC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EC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C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C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EC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EC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C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C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ED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ED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5,999 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D2" w14:textId="77777777" w:rsidR="003D72E7" w:rsidRDefault="003D72E7">
            <w:pPr>
              <w:widowControl/>
              <w:jc w:val="right"/>
              <w:rPr>
                <w:rFonts w:ascii="Times New Roman" w:eastAsia="宋体" w:hAnsi="宋体" w:cs="宋体"/>
                <w:kern w:val="0"/>
                <w:sz w:val="24"/>
              </w:rPr>
            </w:pPr>
          </w:p>
        </w:tc>
      </w:tr>
      <w:tr w:rsidR="003D72E7" w14:paraId="619DDEE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DED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Mid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ED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1,121 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ED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D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ED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671 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ED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D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ED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ED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D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ED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ED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E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EE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EE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E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EE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EE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E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EE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EE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E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EE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EE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EE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EE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2,401 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EEE" w14:textId="77777777" w:rsidR="003D72E7" w:rsidRDefault="003D72E7">
            <w:pPr>
              <w:widowControl/>
              <w:jc w:val="right"/>
              <w:rPr>
                <w:rFonts w:ascii="Times New Roman" w:eastAsia="宋体" w:hAnsi="宋体" w:cs="宋体"/>
                <w:kern w:val="0"/>
                <w:sz w:val="24"/>
              </w:rPr>
            </w:pPr>
          </w:p>
        </w:tc>
      </w:tr>
      <w:tr w:rsidR="003D72E7" w14:paraId="619DDF0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EF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Lower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EF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865 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F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F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EF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499 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F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F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EF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243 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F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F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EF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F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F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EF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EF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EF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F0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F0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F0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F0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F0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F0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F0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F0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F0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F0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1,991 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F0A" w14:textId="77777777" w:rsidR="003D72E7" w:rsidRDefault="003D72E7">
            <w:pPr>
              <w:widowControl/>
              <w:jc w:val="right"/>
              <w:rPr>
                <w:rFonts w:ascii="Times New Roman" w:eastAsia="宋体" w:hAnsi="宋体" w:cs="宋体"/>
                <w:kern w:val="0"/>
                <w:sz w:val="24"/>
              </w:rPr>
            </w:pPr>
          </w:p>
        </w:tc>
      </w:tr>
      <w:tr w:rsidR="00AD6774" w14:paraId="619DDF30"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DF0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F0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F0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5,111 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F0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F1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F1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F1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2,972 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F1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F1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F1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F1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1,191 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F1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F1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F1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F1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F1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F1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F1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F1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F1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F2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F2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F2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F2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F2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F2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F2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621 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F2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F2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F2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F2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F2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F2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F2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F2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10,391 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F2F" w14:textId="77777777" w:rsidR="003D72E7" w:rsidRDefault="003D72E7">
            <w:pPr>
              <w:widowControl/>
              <w:jc w:val="right"/>
              <w:rPr>
                <w:rFonts w:ascii="Times New Roman" w:eastAsia="宋体" w:hAnsi="宋体" w:cs="宋体"/>
                <w:kern w:val="0"/>
                <w:sz w:val="24"/>
              </w:rPr>
            </w:pPr>
          </w:p>
        </w:tc>
      </w:tr>
    </w:tbl>
    <w:p w14:paraId="619DDF3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F3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categories shown in the tables above segregate customer receivables based on the relative degrees of credit risk. The credit quality indicators for DPA revolving accounts are measured primarily as of each quarter-end date, while all other indicators ar</w:t>
      </w:r>
      <w:r>
        <w:rPr>
          <w:rFonts w:ascii="Times New Roman" w:eastAsia="宋体" w:hAnsi="Times New Roman" w:cs="Times New Roman"/>
          <w:color w:val="000000"/>
          <w:kern w:val="0"/>
          <w:sz w:val="20"/>
          <w:szCs w:val="20"/>
          <w:lang w:bidi="ar"/>
        </w:rPr>
        <w:t xml:space="preserve">e generally updated on a periodic basis. </w:t>
      </w:r>
    </w:p>
    <w:p w14:paraId="619DDF3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F3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For DPA revolving receivables shown in the table above, the Company makes credit decisions based on proprietary scorecards, which include the customer’s credit history, payment history, credit usage, and other cr</w:t>
      </w:r>
      <w:r>
        <w:rPr>
          <w:rFonts w:ascii="Times New Roman" w:eastAsia="宋体" w:hAnsi="Times New Roman" w:cs="Times New Roman"/>
          <w:color w:val="000000"/>
          <w:kern w:val="0"/>
          <w:sz w:val="20"/>
          <w:szCs w:val="20"/>
          <w:lang w:bidi="ar"/>
        </w:rPr>
        <w:t>edit agency-related elements. The higher quality category includes prime accounts generally of a higher credit quality that are comparable to U.S. customer FICO scores of 720 or above. The mid-category represents the mid-tier accounts that are comparable t</w:t>
      </w:r>
      <w:r>
        <w:rPr>
          <w:rFonts w:ascii="Times New Roman" w:eastAsia="宋体" w:hAnsi="Times New Roman" w:cs="Times New Roman"/>
          <w:color w:val="000000"/>
          <w:kern w:val="0"/>
          <w:sz w:val="20"/>
          <w:szCs w:val="20"/>
          <w:lang w:bidi="ar"/>
        </w:rPr>
        <w:t>o U.S. customer FICO scores from 660 to 719. The lower category is generally sub-prime and represents lower credit quality accounts that are comparable to U.S. customer FICO scores below 660. For the DBC revolving receivables and fixed-term commercial rece</w:t>
      </w:r>
      <w:r>
        <w:rPr>
          <w:rFonts w:ascii="Times New Roman" w:eastAsia="宋体" w:hAnsi="Times New Roman" w:cs="Times New Roman"/>
          <w:color w:val="000000"/>
          <w:kern w:val="0"/>
          <w:sz w:val="20"/>
          <w:szCs w:val="20"/>
          <w:lang w:bidi="ar"/>
        </w:rPr>
        <w:t>ivables shown in the table above, an internal grading system is utilized that assigns a credit level score based on a number of considerations, including liquidity, operating performance, and industry outlook. The grading criteria and classifications for t</w:t>
      </w:r>
      <w:r>
        <w:rPr>
          <w:rFonts w:ascii="Times New Roman" w:eastAsia="宋体" w:hAnsi="Times New Roman" w:cs="Times New Roman"/>
          <w:color w:val="000000"/>
          <w:kern w:val="0"/>
          <w:sz w:val="20"/>
          <w:szCs w:val="20"/>
          <w:lang w:bidi="ar"/>
        </w:rPr>
        <w:t xml:space="preserve">he fixed-term products differ from those for the revolving products as loss experience varies between these product and customer groups. The credit quality categories cannot be compared between the different classes as loss experience varies substantially </w:t>
      </w:r>
      <w:r>
        <w:rPr>
          <w:rFonts w:ascii="Times New Roman" w:eastAsia="宋体" w:hAnsi="Times New Roman" w:cs="Times New Roman"/>
          <w:color w:val="000000"/>
          <w:kern w:val="0"/>
          <w:sz w:val="20"/>
          <w:szCs w:val="20"/>
          <w:lang w:bidi="ar"/>
        </w:rPr>
        <w:t>between the classes.</w:t>
      </w:r>
    </w:p>
    <w:p w14:paraId="619DDF3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F36"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F37"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p w14:paraId="619DDF38"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F39" w14:textId="77777777" w:rsidR="003D72E7" w:rsidRDefault="00AD6774">
      <w:pPr>
        <w:widowControl/>
        <w:jc w:val="center"/>
      </w:pPr>
      <w:r>
        <w:rPr>
          <w:rFonts w:ascii="宋体" w:eastAsia="宋体" w:hAnsi="宋体" w:cs="宋体"/>
          <w:kern w:val="0"/>
          <w:sz w:val="24"/>
        </w:rPr>
        <w:pict w14:anchorId="619E0D80">
          <v:rect id="_x0000_i1045" style="width:6in;height:1.5pt" o:hralign="center" o:hrstd="t" o:hr="t" fillcolor="#a0a0a0" stroked="f"/>
        </w:pict>
      </w:r>
    </w:p>
    <w:p w14:paraId="619DDF3A"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DF3B"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DF3C"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DF3D"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DF3E"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DF3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Leases</w:t>
      </w:r>
    </w:p>
    <w:p w14:paraId="619DDF4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F41"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Interest income on sales-type lease receivables was $63 million and $66 million for the three months ended July 30, 2021 and July 31, 2020, respectively, and $127 million and $131 million for the six months ended July 30, 2021, and July 31, 2020, respectiv</w:t>
      </w:r>
      <w:r>
        <w:rPr>
          <w:rFonts w:ascii="Times New Roman" w:eastAsia="宋体" w:hAnsi="Times New Roman" w:cs="Times New Roman"/>
          <w:color w:val="000000"/>
          <w:kern w:val="0"/>
          <w:sz w:val="20"/>
          <w:szCs w:val="20"/>
          <w:lang w:bidi="ar"/>
        </w:rPr>
        <w:t xml:space="preserve">ely. </w:t>
      </w:r>
    </w:p>
    <w:p w14:paraId="619DDF4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F43"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net revenue, cost of net revenue, and gross margin recognized at the commencement date of sales-type leases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2580"/>
        <w:gridCol w:w="36"/>
        <w:gridCol w:w="120"/>
        <w:gridCol w:w="1183"/>
        <w:gridCol w:w="36"/>
        <w:gridCol w:w="36"/>
        <w:gridCol w:w="36"/>
        <w:gridCol w:w="36"/>
        <w:gridCol w:w="120"/>
        <w:gridCol w:w="1184"/>
        <w:gridCol w:w="36"/>
        <w:gridCol w:w="36"/>
        <w:gridCol w:w="36"/>
        <w:gridCol w:w="36"/>
        <w:gridCol w:w="120"/>
        <w:gridCol w:w="1184"/>
        <w:gridCol w:w="36"/>
        <w:gridCol w:w="36"/>
        <w:gridCol w:w="36"/>
        <w:gridCol w:w="36"/>
        <w:gridCol w:w="120"/>
        <w:gridCol w:w="1184"/>
        <w:gridCol w:w="36"/>
      </w:tblGrid>
      <w:tr w:rsidR="003D72E7" w14:paraId="619DDF5C" w14:textId="77777777">
        <w:tc>
          <w:tcPr>
            <w:tcW w:w="50" w:type="pct"/>
            <w:tcBorders>
              <w:top w:val="nil"/>
              <w:left w:val="nil"/>
              <w:bottom w:val="nil"/>
              <w:right w:val="nil"/>
            </w:tcBorders>
            <w:shd w:val="clear" w:color="auto" w:fill="auto"/>
            <w:vAlign w:val="bottom"/>
          </w:tcPr>
          <w:p w14:paraId="619DDF44" w14:textId="77777777" w:rsidR="003D72E7" w:rsidRDefault="003D72E7">
            <w:pPr>
              <w:widowControl/>
              <w:jc w:val="left"/>
              <w:rPr>
                <w:rFonts w:ascii="Times New Roman" w:eastAsia="宋体" w:hAnsi="宋体" w:cs="宋体"/>
                <w:kern w:val="0"/>
                <w:sz w:val="24"/>
              </w:rPr>
            </w:pPr>
          </w:p>
        </w:tc>
        <w:tc>
          <w:tcPr>
            <w:tcW w:w="1611" w:type="pct"/>
            <w:tcBorders>
              <w:top w:val="nil"/>
              <w:left w:val="nil"/>
              <w:bottom w:val="nil"/>
              <w:right w:val="nil"/>
            </w:tcBorders>
            <w:shd w:val="clear" w:color="auto" w:fill="auto"/>
            <w:vAlign w:val="bottom"/>
          </w:tcPr>
          <w:p w14:paraId="619DDF4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46"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F47"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DF4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4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4A"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F4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4C"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F4D"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DF4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4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50"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F5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52"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F53"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DF5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5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56"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F5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58"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F59"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DF5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5B" w14:textId="77777777" w:rsidR="003D72E7" w:rsidRDefault="003D72E7">
            <w:pPr>
              <w:widowControl/>
              <w:jc w:val="left"/>
              <w:rPr>
                <w:rFonts w:ascii="Times New Roman" w:eastAsia="宋体" w:hAnsi="宋体" w:cs="宋体"/>
                <w:kern w:val="0"/>
                <w:sz w:val="24"/>
              </w:rPr>
            </w:pPr>
          </w:p>
        </w:tc>
      </w:tr>
      <w:tr w:rsidR="003D72E7" w14:paraId="619DDF6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F5D"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DF5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F5F"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DF6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DF6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F62"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DF6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F64"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F6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F66"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F6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DF68"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DF6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DF6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F6B" w14:textId="77777777" w:rsidR="003D72E7" w:rsidRDefault="003D72E7">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DF6C"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3D72E7" w14:paraId="619DDF7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F6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Net revenue </w:t>
            </w: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color w:val="000000"/>
                <w:kern w:val="0"/>
                <w:sz w:val="20"/>
                <w:szCs w:val="20"/>
                <w:lang w:bidi="ar"/>
              </w:rPr>
              <w:t xml:space="preserve"> products</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F6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F7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194 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F7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F7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F7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F7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249 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F7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F7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F7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F7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F7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F7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F7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F7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464 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F7D" w14:textId="77777777" w:rsidR="003D72E7" w:rsidRDefault="003D72E7">
            <w:pPr>
              <w:widowControl/>
              <w:jc w:val="right"/>
              <w:rPr>
                <w:rFonts w:ascii="Times New Roman" w:eastAsia="宋体" w:hAnsi="宋体" w:cs="宋体"/>
                <w:kern w:val="0"/>
                <w:sz w:val="24"/>
              </w:rPr>
            </w:pPr>
          </w:p>
        </w:tc>
      </w:tr>
      <w:tr w:rsidR="003D72E7" w14:paraId="619DDF8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DF7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Cost of net revenue </w:t>
            </w: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color w:val="000000"/>
                <w:kern w:val="0"/>
                <w:sz w:val="20"/>
                <w:szCs w:val="20"/>
                <w:lang w:bidi="ar"/>
              </w:rPr>
              <w:t xml:space="preserve"> products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F8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F8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F8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F8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F8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F8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F8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305 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F8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DF8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F8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333 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F8A" w14:textId="77777777" w:rsidR="003D72E7" w:rsidRDefault="003D72E7">
            <w:pPr>
              <w:widowControl/>
              <w:jc w:val="right"/>
              <w:rPr>
                <w:rFonts w:ascii="Times New Roman" w:eastAsia="宋体" w:hAnsi="宋体" w:cs="宋体"/>
                <w:kern w:val="0"/>
                <w:sz w:val="24"/>
              </w:rPr>
            </w:pPr>
          </w:p>
        </w:tc>
      </w:tr>
      <w:tr w:rsidR="003D72E7" w14:paraId="619DDF9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F8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Gross margin </w:t>
            </w: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color w:val="000000"/>
                <w:kern w:val="0"/>
                <w:sz w:val="20"/>
                <w:szCs w:val="20"/>
                <w:lang w:bidi="ar"/>
              </w:rPr>
              <w:t xml:space="preserve"> products</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DF8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DF8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DF8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F9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DF9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DF9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DF9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F9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DF9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DF9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DF9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F9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DF9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DF9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DF9B" w14:textId="77777777" w:rsidR="003D72E7" w:rsidRDefault="003D72E7">
            <w:pPr>
              <w:widowControl/>
              <w:jc w:val="right"/>
              <w:rPr>
                <w:rFonts w:ascii="Times New Roman" w:eastAsia="宋体" w:hAnsi="宋体" w:cs="宋体"/>
                <w:kern w:val="0"/>
                <w:sz w:val="24"/>
              </w:rPr>
            </w:pPr>
          </w:p>
        </w:tc>
      </w:tr>
    </w:tbl>
    <w:p w14:paraId="619DDF9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F9E"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future maturity of the Company’s fixed-term customer leases and associated financing payments, and reconciles the undiscounted cash flows to the customer receivables, gross recognized on the Condensed Consolidated Statement</w:t>
      </w:r>
      <w:r>
        <w:rPr>
          <w:rFonts w:ascii="Times New Roman" w:eastAsia="宋体" w:hAnsi="Times New Roman" w:cs="Times New Roman"/>
          <w:color w:val="000000"/>
          <w:kern w:val="0"/>
          <w:sz w:val="20"/>
          <w:szCs w:val="20"/>
          <w:lang w:bidi="ar"/>
        </w:rPr>
        <w:t xml:space="preserve">s of Financial Position as of the date indicated: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1"/>
        <w:gridCol w:w="6861"/>
        <w:gridCol w:w="37"/>
        <w:gridCol w:w="121"/>
        <w:gridCol w:w="1229"/>
        <w:gridCol w:w="37"/>
      </w:tblGrid>
      <w:tr w:rsidR="003D72E7" w14:paraId="619DDFA5" w14:textId="77777777">
        <w:tc>
          <w:tcPr>
            <w:tcW w:w="50" w:type="pct"/>
            <w:tcBorders>
              <w:top w:val="nil"/>
              <w:left w:val="nil"/>
              <w:bottom w:val="nil"/>
              <w:right w:val="nil"/>
            </w:tcBorders>
            <w:shd w:val="clear" w:color="auto" w:fill="auto"/>
            <w:vAlign w:val="bottom"/>
          </w:tcPr>
          <w:p w14:paraId="619DDF9F" w14:textId="77777777" w:rsidR="003D72E7" w:rsidRDefault="003D72E7">
            <w:pPr>
              <w:widowControl/>
              <w:jc w:val="left"/>
              <w:rPr>
                <w:rFonts w:ascii="Times New Roman" w:eastAsia="宋体" w:hAnsi="宋体" w:cs="宋体"/>
                <w:kern w:val="0"/>
                <w:sz w:val="24"/>
              </w:rPr>
            </w:pPr>
          </w:p>
        </w:tc>
        <w:tc>
          <w:tcPr>
            <w:tcW w:w="4133" w:type="pct"/>
            <w:tcBorders>
              <w:top w:val="nil"/>
              <w:left w:val="nil"/>
              <w:bottom w:val="nil"/>
              <w:right w:val="nil"/>
            </w:tcBorders>
            <w:shd w:val="clear" w:color="auto" w:fill="auto"/>
            <w:vAlign w:val="bottom"/>
          </w:tcPr>
          <w:p w14:paraId="619DDFA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A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FA2"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DFA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A4" w14:textId="77777777" w:rsidR="003D72E7" w:rsidRDefault="003D72E7">
            <w:pPr>
              <w:widowControl/>
              <w:jc w:val="left"/>
              <w:rPr>
                <w:rFonts w:ascii="Times New Roman" w:eastAsia="宋体" w:hAnsi="宋体" w:cs="宋体"/>
                <w:kern w:val="0"/>
                <w:sz w:val="24"/>
              </w:rPr>
            </w:pPr>
          </w:p>
        </w:tc>
      </w:tr>
      <w:tr w:rsidR="003D72E7" w14:paraId="619DDFA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FA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FA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3D72E7" w14:paraId="619DDFA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FA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DFAA"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DFB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FA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Fiscal 2022 (remaining six months)</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FA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FA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1,479 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FAF" w14:textId="77777777" w:rsidR="003D72E7" w:rsidRDefault="003D72E7">
            <w:pPr>
              <w:widowControl/>
              <w:jc w:val="right"/>
              <w:rPr>
                <w:rFonts w:ascii="Times New Roman" w:eastAsia="宋体" w:hAnsi="宋体" w:cs="宋体"/>
                <w:kern w:val="0"/>
                <w:sz w:val="24"/>
              </w:rPr>
            </w:pPr>
          </w:p>
        </w:tc>
      </w:tr>
      <w:tr w:rsidR="003D72E7" w14:paraId="619DDFB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DFB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Fiscal 2023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FB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2,052 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FB3" w14:textId="77777777" w:rsidR="003D72E7" w:rsidRDefault="003D72E7">
            <w:pPr>
              <w:widowControl/>
              <w:jc w:val="right"/>
              <w:rPr>
                <w:rFonts w:ascii="Times New Roman" w:eastAsia="宋体" w:hAnsi="宋体" w:cs="宋体"/>
                <w:kern w:val="0"/>
                <w:sz w:val="24"/>
              </w:rPr>
            </w:pPr>
          </w:p>
        </w:tc>
      </w:tr>
      <w:tr w:rsidR="003D72E7" w14:paraId="619DDFB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FB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Fiscal 2024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FB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1,303 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FB7" w14:textId="77777777" w:rsidR="003D72E7" w:rsidRDefault="003D72E7">
            <w:pPr>
              <w:widowControl/>
              <w:jc w:val="right"/>
              <w:rPr>
                <w:rFonts w:ascii="Times New Roman" w:eastAsia="宋体" w:hAnsi="宋体" w:cs="宋体"/>
                <w:kern w:val="0"/>
                <w:sz w:val="24"/>
              </w:rPr>
            </w:pPr>
          </w:p>
        </w:tc>
      </w:tr>
      <w:tr w:rsidR="003D72E7" w14:paraId="619DDFB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DFB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Fiscal 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FB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592 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FBB" w14:textId="77777777" w:rsidR="003D72E7" w:rsidRDefault="003D72E7">
            <w:pPr>
              <w:widowControl/>
              <w:jc w:val="right"/>
              <w:rPr>
                <w:rFonts w:ascii="Times New Roman" w:eastAsia="宋体" w:hAnsi="宋体" w:cs="宋体"/>
                <w:kern w:val="0"/>
                <w:sz w:val="24"/>
              </w:rPr>
            </w:pPr>
          </w:p>
        </w:tc>
      </w:tr>
      <w:tr w:rsidR="003D72E7" w14:paraId="619DDFC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FB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Fiscal 2026 and beyond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FB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FBF" w14:textId="77777777" w:rsidR="003D72E7" w:rsidRDefault="003D72E7">
            <w:pPr>
              <w:widowControl/>
              <w:jc w:val="right"/>
              <w:rPr>
                <w:rFonts w:ascii="Times New Roman" w:eastAsia="宋体" w:hAnsi="宋体" w:cs="宋体"/>
                <w:kern w:val="0"/>
                <w:sz w:val="24"/>
              </w:rPr>
            </w:pPr>
          </w:p>
        </w:tc>
      </w:tr>
      <w:tr w:rsidR="003D72E7" w14:paraId="619DDFC4"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DFC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w:t>
            </w:r>
            <w:r>
              <w:rPr>
                <w:rFonts w:ascii="Times New Roman" w:eastAsia="宋体" w:hAnsi="Times New Roman" w:cs="Times New Roman"/>
                <w:color w:val="000000"/>
                <w:kern w:val="0"/>
                <w:sz w:val="20"/>
                <w:szCs w:val="20"/>
                <w:lang w:bidi="ar"/>
              </w:rPr>
              <w:t>undiscounted cash flows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DFC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5,678 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DFC3" w14:textId="77777777" w:rsidR="003D72E7" w:rsidRDefault="003D72E7">
            <w:pPr>
              <w:widowControl/>
              <w:jc w:val="right"/>
              <w:rPr>
                <w:rFonts w:ascii="Times New Roman" w:eastAsia="宋体" w:hAnsi="宋体" w:cs="宋体"/>
                <w:kern w:val="0"/>
                <w:sz w:val="24"/>
              </w:rPr>
            </w:pPr>
          </w:p>
        </w:tc>
      </w:tr>
      <w:tr w:rsidR="003D72E7" w14:paraId="619DDFC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FC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Fixed-term loans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FC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4,493 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FC7" w14:textId="77777777" w:rsidR="003D72E7" w:rsidRDefault="003D72E7">
            <w:pPr>
              <w:widowControl/>
              <w:jc w:val="right"/>
              <w:rPr>
                <w:rFonts w:ascii="Times New Roman" w:eastAsia="宋体" w:hAnsi="宋体" w:cs="宋体"/>
                <w:kern w:val="0"/>
                <w:sz w:val="24"/>
              </w:rPr>
            </w:pPr>
          </w:p>
        </w:tc>
      </w:tr>
      <w:tr w:rsidR="003D72E7" w14:paraId="619DDFC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DFC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Revolving loans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DFC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726 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DFCB" w14:textId="77777777" w:rsidR="003D72E7" w:rsidRDefault="003D72E7">
            <w:pPr>
              <w:widowControl/>
              <w:jc w:val="right"/>
              <w:rPr>
                <w:rFonts w:ascii="Times New Roman" w:eastAsia="宋体" w:hAnsi="宋体" w:cs="宋体"/>
                <w:kern w:val="0"/>
                <w:sz w:val="24"/>
              </w:rPr>
            </w:pPr>
          </w:p>
        </w:tc>
      </w:tr>
      <w:tr w:rsidR="003D72E7" w14:paraId="619DDFD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FC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Less: unearned income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DFC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(644)</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FCF" w14:textId="77777777" w:rsidR="003D72E7" w:rsidRDefault="003D72E7">
            <w:pPr>
              <w:widowControl/>
              <w:jc w:val="right"/>
              <w:rPr>
                <w:rFonts w:ascii="Times New Roman" w:eastAsia="宋体" w:hAnsi="宋体" w:cs="宋体"/>
                <w:kern w:val="0"/>
                <w:sz w:val="24"/>
              </w:rPr>
            </w:pPr>
          </w:p>
        </w:tc>
      </w:tr>
      <w:tr w:rsidR="003D72E7" w14:paraId="619DDFD5"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DFD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customer receivables, gross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DFD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DFD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10,253 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DFD4" w14:textId="77777777" w:rsidR="003D72E7" w:rsidRDefault="003D72E7">
            <w:pPr>
              <w:widowControl/>
              <w:jc w:val="right"/>
              <w:rPr>
                <w:rFonts w:ascii="Times New Roman" w:eastAsia="宋体" w:hAnsi="宋体" w:cs="宋体"/>
                <w:kern w:val="0"/>
                <w:sz w:val="24"/>
              </w:rPr>
            </w:pPr>
          </w:p>
        </w:tc>
      </w:tr>
    </w:tbl>
    <w:p w14:paraId="619DDFD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DFD7" w14:textId="77777777" w:rsidR="003D72E7" w:rsidRDefault="00AD6774">
      <w:pPr>
        <w:widowControl/>
        <w:rPr>
          <w:rFonts w:ascii="宋体" w:eastAsia="宋体" w:hAnsi="宋体" w:cs="宋体"/>
          <w:kern w:val="0"/>
          <w:sz w:val="24"/>
        </w:rPr>
      </w:pPr>
      <w:r>
        <w:rPr>
          <w:rFonts w:ascii="Times New Roman" w:eastAsia="宋体" w:hAnsi="Times New Roman" w:cs="Times New Roman"/>
          <w:b/>
          <w:bCs/>
          <w:color w:val="000000"/>
          <w:kern w:val="0"/>
          <w:sz w:val="20"/>
          <w:szCs w:val="20"/>
          <w:lang w:bidi="ar"/>
        </w:rPr>
        <w:t>Operating Leases</w:t>
      </w:r>
    </w:p>
    <w:p w14:paraId="619DDFD8" w14:textId="77777777" w:rsidR="003D72E7" w:rsidRDefault="00AD6774">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619DDFD9"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components of the Company’s operating lease portfolio included in property, plant, and equipment, net as of the dates indicated: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5427"/>
        <w:gridCol w:w="37"/>
        <w:gridCol w:w="120"/>
        <w:gridCol w:w="1206"/>
        <w:gridCol w:w="36"/>
        <w:gridCol w:w="36"/>
        <w:gridCol w:w="36"/>
        <w:gridCol w:w="36"/>
        <w:gridCol w:w="121"/>
        <w:gridCol w:w="1207"/>
        <w:gridCol w:w="36"/>
      </w:tblGrid>
      <w:tr w:rsidR="003D72E7" w14:paraId="619DDFE6" w14:textId="77777777">
        <w:tc>
          <w:tcPr>
            <w:tcW w:w="50" w:type="pct"/>
            <w:tcBorders>
              <w:top w:val="nil"/>
              <w:left w:val="nil"/>
              <w:bottom w:val="nil"/>
              <w:right w:val="nil"/>
            </w:tcBorders>
            <w:shd w:val="clear" w:color="auto" w:fill="auto"/>
            <w:vAlign w:val="bottom"/>
          </w:tcPr>
          <w:p w14:paraId="619DDFDA" w14:textId="77777777" w:rsidR="003D72E7" w:rsidRDefault="003D72E7">
            <w:pPr>
              <w:widowControl/>
              <w:jc w:val="left"/>
              <w:rPr>
                <w:rFonts w:ascii="Times New Roman" w:eastAsia="宋体" w:hAnsi="宋体" w:cs="宋体"/>
                <w:kern w:val="0"/>
                <w:sz w:val="24"/>
              </w:rPr>
            </w:pPr>
          </w:p>
        </w:tc>
        <w:tc>
          <w:tcPr>
            <w:tcW w:w="3292" w:type="pct"/>
            <w:tcBorders>
              <w:top w:val="nil"/>
              <w:left w:val="nil"/>
              <w:bottom w:val="nil"/>
              <w:right w:val="nil"/>
            </w:tcBorders>
            <w:shd w:val="clear" w:color="auto" w:fill="auto"/>
            <w:vAlign w:val="bottom"/>
          </w:tcPr>
          <w:p w14:paraId="619DDFD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DC"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FDD"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DFD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D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E0"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DFE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E2"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DFE3"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DFE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DFE5" w14:textId="77777777" w:rsidR="003D72E7" w:rsidRDefault="003D72E7">
            <w:pPr>
              <w:widowControl/>
              <w:jc w:val="left"/>
              <w:rPr>
                <w:rFonts w:ascii="Times New Roman" w:eastAsia="宋体" w:hAnsi="宋体" w:cs="宋体"/>
                <w:kern w:val="0"/>
                <w:sz w:val="24"/>
              </w:rPr>
            </w:pPr>
          </w:p>
        </w:tc>
      </w:tr>
      <w:tr w:rsidR="003D72E7" w14:paraId="619DDFE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FE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DFE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DFE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DFE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DFE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FEC"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DFED"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DFF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DFE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Equipment under </w:t>
            </w:r>
            <w:r>
              <w:rPr>
                <w:rFonts w:ascii="Times New Roman" w:eastAsia="宋体" w:hAnsi="Times New Roman" w:cs="Times New Roman"/>
                <w:color w:val="000000"/>
                <w:kern w:val="0"/>
                <w:sz w:val="20"/>
                <w:szCs w:val="20"/>
                <w:lang w:bidi="ar"/>
              </w:rPr>
              <w:t>operating lease, gross</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FF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FF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2,094 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FF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DFF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DFF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DFF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1,746 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DFF6" w14:textId="77777777" w:rsidR="003D72E7" w:rsidRDefault="003D72E7">
            <w:pPr>
              <w:widowControl/>
              <w:jc w:val="right"/>
              <w:rPr>
                <w:rFonts w:ascii="Times New Roman" w:eastAsia="宋体" w:hAnsi="宋体" w:cs="宋体"/>
                <w:kern w:val="0"/>
                <w:sz w:val="24"/>
              </w:rPr>
            </w:pPr>
          </w:p>
        </w:tc>
      </w:tr>
      <w:tr w:rsidR="003D72E7" w14:paraId="619DDFF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19DDFF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Less: accumulated depreciation</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center"/>
          </w:tcPr>
          <w:p w14:paraId="619DDFF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(657)</w:t>
            </w:r>
          </w:p>
        </w:tc>
        <w:tc>
          <w:tcPr>
            <w:tcW w:w="0" w:type="auto"/>
            <w:tcBorders>
              <w:top w:val="nil"/>
              <w:left w:val="nil"/>
              <w:bottom w:val="nil"/>
              <w:right w:val="nil"/>
            </w:tcBorders>
            <w:shd w:val="clear" w:color="auto" w:fill="auto"/>
            <w:tcMar>
              <w:top w:w="40" w:type="dxa"/>
              <w:left w:w="0" w:type="dxa"/>
              <w:bottom w:w="40" w:type="dxa"/>
              <w:right w:w="20" w:type="dxa"/>
            </w:tcMar>
            <w:vAlign w:val="center"/>
          </w:tcPr>
          <w:p w14:paraId="619DDFF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DFF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center"/>
          </w:tcPr>
          <w:p w14:paraId="619DDFF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(432)</w:t>
            </w:r>
          </w:p>
        </w:tc>
        <w:tc>
          <w:tcPr>
            <w:tcW w:w="0" w:type="auto"/>
            <w:tcBorders>
              <w:top w:val="nil"/>
              <w:left w:val="nil"/>
              <w:bottom w:val="nil"/>
              <w:right w:val="nil"/>
            </w:tcBorders>
            <w:shd w:val="clear" w:color="auto" w:fill="auto"/>
            <w:tcMar>
              <w:top w:w="40" w:type="dxa"/>
              <w:left w:w="0" w:type="dxa"/>
              <w:bottom w:w="40" w:type="dxa"/>
              <w:right w:w="20" w:type="dxa"/>
            </w:tcMar>
            <w:vAlign w:val="center"/>
          </w:tcPr>
          <w:p w14:paraId="619DDFFD" w14:textId="77777777" w:rsidR="003D72E7" w:rsidRDefault="003D72E7">
            <w:pPr>
              <w:widowControl/>
              <w:jc w:val="right"/>
              <w:rPr>
                <w:rFonts w:ascii="Times New Roman" w:eastAsia="宋体" w:hAnsi="宋体" w:cs="宋体"/>
                <w:kern w:val="0"/>
                <w:sz w:val="24"/>
              </w:rPr>
            </w:pPr>
          </w:p>
        </w:tc>
      </w:tr>
      <w:tr w:rsidR="003D72E7" w14:paraId="619DE007"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DDFF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Equipment under operating lease, net</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E00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00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1,437 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00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00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E00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00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1,314 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006" w14:textId="77777777" w:rsidR="003D72E7" w:rsidRDefault="003D72E7">
            <w:pPr>
              <w:widowControl/>
              <w:jc w:val="right"/>
              <w:rPr>
                <w:rFonts w:ascii="Times New Roman" w:eastAsia="宋体" w:hAnsi="宋体" w:cs="宋体"/>
                <w:kern w:val="0"/>
                <w:sz w:val="24"/>
              </w:rPr>
            </w:pPr>
          </w:p>
        </w:tc>
      </w:tr>
    </w:tbl>
    <w:p w14:paraId="619DE008" w14:textId="77777777" w:rsidR="003D72E7" w:rsidRDefault="00AD6774">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619DE00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income relating to lease payments was $167 million and $103 million for the three months ended July 30, 2021 and July 31, 2020, respectively, and $323 million and $190 million for the six months ended July 30, 2021, and July 31, 2020, respe</w:t>
      </w:r>
      <w:r>
        <w:rPr>
          <w:rFonts w:ascii="Times New Roman" w:eastAsia="宋体" w:hAnsi="Times New Roman" w:cs="Times New Roman"/>
          <w:color w:val="000000"/>
          <w:kern w:val="0"/>
          <w:sz w:val="20"/>
          <w:szCs w:val="20"/>
          <w:lang w:bidi="ar"/>
        </w:rPr>
        <w:t xml:space="preserve">ctively. Depreciation expense was $127 million and $74 million for the three months ended July 30, 2021 and July 31, 2020, respectively, and $243 million and $136 million for the six months ended July 30, 2021, and July 31, 2020, respectively. </w:t>
      </w:r>
    </w:p>
    <w:p w14:paraId="619DE00A" w14:textId="77777777" w:rsidR="003D72E7" w:rsidRDefault="00AD6774">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619DE00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00C"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w:t>
      </w:r>
    </w:p>
    <w:p w14:paraId="619DE00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00E" w14:textId="77777777" w:rsidR="003D72E7" w:rsidRDefault="00AD6774">
      <w:pPr>
        <w:widowControl/>
        <w:jc w:val="center"/>
      </w:pPr>
      <w:r>
        <w:rPr>
          <w:rFonts w:ascii="宋体" w:eastAsia="宋体" w:hAnsi="宋体" w:cs="宋体"/>
          <w:kern w:val="0"/>
          <w:sz w:val="24"/>
        </w:rPr>
        <w:pict w14:anchorId="619E0D81">
          <v:rect id="_x0000_i1046" style="width:6in;height:1.5pt" o:hralign="center" o:hrstd="t" o:hr="t" fillcolor="#a0a0a0" stroked="f"/>
        </w:pict>
      </w:r>
    </w:p>
    <w:p w14:paraId="619DE00F"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01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011"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E01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01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014"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future payments to be received by the </w:t>
      </w:r>
      <w:r>
        <w:rPr>
          <w:rFonts w:ascii="Times New Roman" w:eastAsia="宋体" w:hAnsi="Times New Roman" w:cs="Times New Roman"/>
          <w:color w:val="000000"/>
          <w:kern w:val="0"/>
          <w:sz w:val="20"/>
          <w:szCs w:val="20"/>
          <w:lang w:bidi="ar"/>
        </w:rPr>
        <w:t>Company as lessor in operating lease contracts as of the date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861"/>
        <w:gridCol w:w="36"/>
        <w:gridCol w:w="121"/>
        <w:gridCol w:w="1229"/>
        <w:gridCol w:w="37"/>
      </w:tblGrid>
      <w:tr w:rsidR="003D72E7" w14:paraId="619DE01B" w14:textId="77777777">
        <w:trPr>
          <w:jc w:val="center"/>
        </w:trPr>
        <w:tc>
          <w:tcPr>
            <w:tcW w:w="50" w:type="pct"/>
            <w:tcBorders>
              <w:top w:val="nil"/>
              <w:left w:val="nil"/>
              <w:bottom w:val="nil"/>
              <w:right w:val="nil"/>
            </w:tcBorders>
            <w:shd w:val="clear" w:color="auto" w:fill="auto"/>
            <w:vAlign w:val="bottom"/>
          </w:tcPr>
          <w:p w14:paraId="619DE015" w14:textId="77777777" w:rsidR="003D72E7" w:rsidRDefault="003D72E7">
            <w:pPr>
              <w:widowControl/>
              <w:jc w:val="left"/>
              <w:rPr>
                <w:rFonts w:ascii="Times New Roman" w:eastAsia="宋体" w:hAnsi="宋体" w:cs="宋体"/>
                <w:kern w:val="0"/>
                <w:sz w:val="24"/>
              </w:rPr>
            </w:pPr>
          </w:p>
        </w:tc>
        <w:tc>
          <w:tcPr>
            <w:tcW w:w="4133" w:type="pct"/>
            <w:tcBorders>
              <w:top w:val="nil"/>
              <w:left w:val="nil"/>
              <w:bottom w:val="nil"/>
              <w:right w:val="nil"/>
            </w:tcBorders>
            <w:shd w:val="clear" w:color="auto" w:fill="auto"/>
            <w:vAlign w:val="bottom"/>
          </w:tcPr>
          <w:p w14:paraId="619DE01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01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018"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E01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01A" w14:textId="77777777" w:rsidR="003D72E7" w:rsidRDefault="003D72E7">
            <w:pPr>
              <w:widowControl/>
              <w:jc w:val="left"/>
              <w:rPr>
                <w:rFonts w:ascii="Times New Roman" w:eastAsia="宋体" w:hAnsi="宋体" w:cs="宋体"/>
                <w:kern w:val="0"/>
                <w:sz w:val="24"/>
              </w:rPr>
            </w:pPr>
          </w:p>
        </w:tc>
      </w:tr>
      <w:tr w:rsidR="003D72E7" w14:paraId="619DE01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01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01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3D72E7" w14:paraId="619DE02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01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E020"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E02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02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Fiscal 2022 (remaining six months)</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02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02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025" w14:textId="77777777" w:rsidR="003D72E7" w:rsidRDefault="003D72E7">
            <w:pPr>
              <w:widowControl/>
              <w:jc w:val="right"/>
              <w:rPr>
                <w:rFonts w:ascii="Times New Roman" w:eastAsia="宋体" w:hAnsi="宋体" w:cs="宋体"/>
                <w:kern w:val="0"/>
                <w:sz w:val="24"/>
              </w:rPr>
            </w:pPr>
          </w:p>
        </w:tc>
      </w:tr>
      <w:tr w:rsidR="003D72E7" w14:paraId="619DE02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E02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Fiscal 2023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02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600 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029" w14:textId="77777777" w:rsidR="003D72E7" w:rsidRDefault="003D72E7">
            <w:pPr>
              <w:widowControl/>
              <w:jc w:val="right"/>
              <w:rPr>
                <w:rFonts w:ascii="Times New Roman" w:eastAsia="宋体" w:hAnsi="宋体" w:cs="宋体"/>
                <w:kern w:val="0"/>
                <w:sz w:val="24"/>
              </w:rPr>
            </w:pPr>
          </w:p>
        </w:tc>
      </w:tr>
      <w:tr w:rsidR="003D72E7" w14:paraId="619DE02E"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02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Fiscal 2024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02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338 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02D" w14:textId="77777777" w:rsidR="003D72E7" w:rsidRDefault="003D72E7">
            <w:pPr>
              <w:widowControl/>
              <w:jc w:val="right"/>
              <w:rPr>
                <w:rFonts w:ascii="Times New Roman" w:eastAsia="宋体" w:hAnsi="宋体" w:cs="宋体"/>
                <w:kern w:val="0"/>
                <w:sz w:val="24"/>
              </w:rPr>
            </w:pPr>
          </w:p>
        </w:tc>
      </w:tr>
      <w:tr w:rsidR="003D72E7" w14:paraId="619DE03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E02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Fiscal 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03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031" w14:textId="77777777" w:rsidR="003D72E7" w:rsidRDefault="003D72E7">
            <w:pPr>
              <w:widowControl/>
              <w:jc w:val="right"/>
              <w:rPr>
                <w:rFonts w:ascii="Times New Roman" w:eastAsia="宋体" w:hAnsi="宋体" w:cs="宋体"/>
                <w:kern w:val="0"/>
                <w:sz w:val="24"/>
              </w:rPr>
            </w:pPr>
          </w:p>
        </w:tc>
      </w:tr>
      <w:tr w:rsidR="003D72E7" w14:paraId="619DE03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03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Fiscal 2026 and beyond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03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035" w14:textId="77777777" w:rsidR="003D72E7" w:rsidRDefault="003D72E7">
            <w:pPr>
              <w:widowControl/>
              <w:jc w:val="right"/>
              <w:rPr>
                <w:rFonts w:ascii="Times New Roman" w:eastAsia="宋体" w:hAnsi="宋体" w:cs="宋体"/>
                <w:kern w:val="0"/>
                <w:sz w:val="24"/>
              </w:rPr>
            </w:pPr>
          </w:p>
        </w:tc>
      </w:tr>
      <w:tr w:rsidR="003D72E7" w14:paraId="619DE03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E03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E03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E03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1,435 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E03A" w14:textId="77777777" w:rsidR="003D72E7" w:rsidRDefault="003D72E7">
            <w:pPr>
              <w:widowControl/>
              <w:jc w:val="right"/>
              <w:rPr>
                <w:rFonts w:ascii="Times New Roman" w:eastAsia="宋体" w:hAnsi="宋体" w:cs="宋体"/>
                <w:kern w:val="0"/>
                <w:sz w:val="24"/>
              </w:rPr>
            </w:pPr>
          </w:p>
        </w:tc>
      </w:tr>
    </w:tbl>
    <w:p w14:paraId="619DE03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03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03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23</w:t>
      </w:r>
    </w:p>
    <w:p w14:paraId="619DE03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040" w14:textId="77777777" w:rsidR="003D72E7" w:rsidRDefault="00AD6774">
      <w:pPr>
        <w:widowControl/>
        <w:jc w:val="center"/>
      </w:pPr>
      <w:r>
        <w:rPr>
          <w:rFonts w:ascii="宋体" w:eastAsia="宋体" w:hAnsi="宋体" w:cs="宋体"/>
          <w:kern w:val="0"/>
          <w:sz w:val="24"/>
        </w:rPr>
        <w:pict w14:anchorId="619E0D82">
          <v:rect id="_x0000_i1047" style="width:6in;height:1.5pt" o:hralign="center" o:hrstd="t" o:hr="t" fillcolor="#a0a0a0" stroked="f"/>
        </w:pict>
      </w:r>
    </w:p>
    <w:p w14:paraId="619DE041"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04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04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E04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045"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046" w14:textId="77777777" w:rsidR="003D72E7" w:rsidRDefault="00AD6774">
      <w:pPr>
        <w:widowControl/>
        <w:rPr>
          <w:rFonts w:ascii="宋体" w:eastAsia="宋体" w:hAnsi="宋体" w:cs="宋体"/>
          <w:kern w:val="0"/>
          <w:sz w:val="24"/>
        </w:rPr>
      </w:pPr>
      <w:r>
        <w:rPr>
          <w:rFonts w:ascii="Times New Roman" w:eastAsia="宋体" w:hAnsi="Times New Roman" w:cs="Times New Roman"/>
          <w:b/>
          <w:bCs/>
          <w:color w:val="000000"/>
          <w:kern w:val="0"/>
          <w:sz w:val="20"/>
          <w:szCs w:val="20"/>
          <w:lang w:bidi="ar"/>
        </w:rPr>
        <w:t>DFS Debt</w:t>
      </w:r>
    </w:p>
    <w:p w14:paraId="619DE047" w14:textId="77777777" w:rsidR="003D72E7" w:rsidRDefault="00AD6774">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619DE048"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Company maintains programs that </w:t>
      </w:r>
      <w:r>
        <w:rPr>
          <w:rFonts w:ascii="Times New Roman" w:eastAsia="宋体" w:hAnsi="Times New Roman" w:cs="Times New Roman"/>
          <w:color w:val="000000"/>
          <w:kern w:val="0"/>
          <w:sz w:val="20"/>
          <w:szCs w:val="20"/>
          <w:lang w:bidi="ar"/>
        </w:rPr>
        <w:t>facilitate the funding of leases, loans, and other alternative payment structures in the capital markets. The majority of DFS debt is non-recourse to Dell Technologies and represents borrowings under securitization programs and structured financing program</w:t>
      </w:r>
      <w:r>
        <w:rPr>
          <w:rFonts w:ascii="Times New Roman" w:eastAsia="宋体" w:hAnsi="Times New Roman" w:cs="Times New Roman"/>
          <w:color w:val="000000"/>
          <w:kern w:val="0"/>
          <w:sz w:val="20"/>
          <w:szCs w:val="20"/>
          <w:lang w:bidi="ar"/>
        </w:rPr>
        <w:t>s, for which the Company’s risk of loss is limited to transferred loan and lease payments and associated equipment. The following table presents DFS debt as of the dates indicated. The table excludes the allocated portion of the Company’s other borrowings,</w:t>
      </w:r>
      <w:r>
        <w:rPr>
          <w:rFonts w:ascii="Times New Roman" w:eastAsia="宋体" w:hAnsi="Times New Roman" w:cs="Times New Roman"/>
          <w:color w:val="000000"/>
          <w:kern w:val="0"/>
          <w:sz w:val="20"/>
          <w:szCs w:val="20"/>
          <w:lang w:bidi="ar"/>
        </w:rPr>
        <w:t xml:space="preserve"> which represents the additional amount considered to fund the DFS business.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889"/>
        <w:gridCol w:w="38"/>
        <w:gridCol w:w="120"/>
        <w:gridCol w:w="1474"/>
        <w:gridCol w:w="36"/>
        <w:gridCol w:w="36"/>
        <w:gridCol w:w="36"/>
        <w:gridCol w:w="36"/>
        <w:gridCol w:w="121"/>
        <w:gridCol w:w="1475"/>
        <w:gridCol w:w="36"/>
      </w:tblGrid>
      <w:tr w:rsidR="003D72E7" w14:paraId="619DE055" w14:textId="77777777">
        <w:tc>
          <w:tcPr>
            <w:tcW w:w="50" w:type="pct"/>
            <w:tcBorders>
              <w:top w:val="nil"/>
              <w:left w:val="nil"/>
              <w:bottom w:val="nil"/>
              <w:right w:val="nil"/>
            </w:tcBorders>
            <w:shd w:val="clear" w:color="auto" w:fill="auto"/>
            <w:vAlign w:val="bottom"/>
          </w:tcPr>
          <w:p w14:paraId="619DE049" w14:textId="77777777" w:rsidR="003D72E7" w:rsidRDefault="003D72E7">
            <w:pPr>
              <w:widowControl/>
              <w:jc w:val="left"/>
              <w:rPr>
                <w:rFonts w:ascii="Times New Roman" w:eastAsia="宋体" w:hAnsi="宋体" w:cs="宋体"/>
                <w:kern w:val="0"/>
                <w:sz w:val="24"/>
              </w:rPr>
            </w:pPr>
          </w:p>
        </w:tc>
        <w:tc>
          <w:tcPr>
            <w:tcW w:w="2971" w:type="pct"/>
            <w:tcBorders>
              <w:top w:val="nil"/>
              <w:left w:val="nil"/>
              <w:bottom w:val="nil"/>
              <w:right w:val="nil"/>
            </w:tcBorders>
            <w:shd w:val="clear" w:color="auto" w:fill="auto"/>
            <w:vAlign w:val="bottom"/>
          </w:tcPr>
          <w:p w14:paraId="619DE04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04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04C" w14:textId="77777777" w:rsidR="003D72E7" w:rsidRDefault="003D72E7">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619DE04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04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04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05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05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052" w14:textId="77777777" w:rsidR="003D72E7" w:rsidRDefault="003D72E7">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619DE05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054" w14:textId="77777777" w:rsidR="003D72E7" w:rsidRDefault="003D72E7">
            <w:pPr>
              <w:widowControl/>
              <w:jc w:val="left"/>
              <w:rPr>
                <w:rFonts w:ascii="Times New Roman" w:eastAsia="宋体" w:hAnsi="宋体" w:cs="宋体"/>
                <w:kern w:val="0"/>
                <w:sz w:val="24"/>
              </w:rPr>
            </w:pPr>
          </w:p>
        </w:tc>
      </w:tr>
      <w:tr w:rsidR="003D72E7" w14:paraId="619DE05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05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05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05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E05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E05D"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05B"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E05C"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E06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05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DFS U.S. debt: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05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06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061" w14:textId="77777777" w:rsidR="003D72E7" w:rsidRDefault="003D72E7">
            <w:pPr>
              <w:widowControl/>
              <w:jc w:val="left"/>
              <w:rPr>
                <w:rFonts w:ascii="Times New Roman" w:eastAsia="宋体" w:hAnsi="宋体" w:cs="宋体"/>
                <w:kern w:val="0"/>
                <w:sz w:val="24"/>
              </w:rPr>
            </w:pPr>
          </w:p>
        </w:tc>
      </w:tr>
      <w:tr w:rsidR="003D72E7" w14:paraId="619DE06B"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E06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Asset-based financing and securitization facilities</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06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06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3,182 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06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06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06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06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3,311 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06A" w14:textId="77777777" w:rsidR="003D72E7" w:rsidRDefault="003D72E7">
            <w:pPr>
              <w:widowControl/>
              <w:jc w:val="right"/>
              <w:rPr>
                <w:rFonts w:ascii="Times New Roman" w:eastAsia="宋体" w:hAnsi="宋体" w:cs="宋体"/>
                <w:kern w:val="0"/>
                <w:sz w:val="24"/>
              </w:rPr>
            </w:pPr>
          </w:p>
        </w:tc>
      </w:tr>
      <w:tr w:rsidR="003D72E7" w14:paraId="619DE072"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DE06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Fixed-term securitization offerings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06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2,929 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06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06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07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2,961 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071" w14:textId="77777777" w:rsidR="003D72E7" w:rsidRDefault="003D72E7">
            <w:pPr>
              <w:widowControl/>
              <w:jc w:val="right"/>
              <w:rPr>
                <w:rFonts w:ascii="Times New Roman" w:eastAsia="宋体" w:hAnsi="宋体" w:cs="宋体"/>
                <w:kern w:val="0"/>
                <w:sz w:val="24"/>
              </w:rPr>
            </w:pPr>
          </w:p>
        </w:tc>
      </w:tr>
      <w:tr w:rsidR="003D72E7" w14:paraId="619DE079"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E07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07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07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07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07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078" w14:textId="77777777" w:rsidR="003D72E7" w:rsidRDefault="003D72E7">
            <w:pPr>
              <w:widowControl/>
              <w:jc w:val="right"/>
              <w:rPr>
                <w:rFonts w:ascii="Times New Roman" w:eastAsia="宋体" w:hAnsi="宋体" w:cs="宋体"/>
                <w:kern w:val="0"/>
                <w:sz w:val="24"/>
              </w:rPr>
            </w:pPr>
          </w:p>
        </w:tc>
      </w:tr>
      <w:tr w:rsidR="003D72E7" w14:paraId="619DE080"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center"/>
          </w:tcPr>
          <w:p w14:paraId="619DE07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DFS U.S. debt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E07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6,287 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DE07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07D"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E07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6,412 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DE07F" w14:textId="77777777" w:rsidR="003D72E7" w:rsidRDefault="003D72E7">
            <w:pPr>
              <w:widowControl/>
              <w:jc w:val="right"/>
              <w:rPr>
                <w:rFonts w:ascii="Times New Roman" w:eastAsia="宋体" w:hAnsi="宋体" w:cs="宋体"/>
                <w:kern w:val="0"/>
                <w:sz w:val="24"/>
              </w:rPr>
            </w:pPr>
          </w:p>
        </w:tc>
      </w:tr>
      <w:tr w:rsidR="003D72E7" w14:paraId="619DE08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E08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DFS international debt: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08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08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084" w14:textId="77777777" w:rsidR="003D72E7" w:rsidRDefault="003D72E7">
            <w:pPr>
              <w:widowControl/>
              <w:jc w:val="left"/>
              <w:rPr>
                <w:rFonts w:ascii="Times New Roman" w:eastAsia="宋体" w:hAnsi="宋体" w:cs="宋体"/>
                <w:kern w:val="0"/>
                <w:sz w:val="24"/>
              </w:rPr>
            </w:pPr>
          </w:p>
        </w:tc>
      </w:tr>
      <w:tr w:rsidR="003D72E7" w14:paraId="619DE08C"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DE08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Securitization facility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08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768 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08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08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08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786 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08B" w14:textId="77777777" w:rsidR="003D72E7" w:rsidRDefault="003D72E7">
            <w:pPr>
              <w:widowControl/>
              <w:jc w:val="right"/>
              <w:rPr>
                <w:rFonts w:ascii="Times New Roman" w:eastAsia="宋体" w:hAnsi="宋体" w:cs="宋体"/>
                <w:kern w:val="0"/>
                <w:sz w:val="24"/>
              </w:rPr>
            </w:pPr>
          </w:p>
        </w:tc>
      </w:tr>
      <w:tr w:rsidR="003D72E7" w14:paraId="619DE093"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E08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Other borrowings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08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1,063 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08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09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09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1,006 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092" w14:textId="77777777" w:rsidR="003D72E7" w:rsidRDefault="003D72E7">
            <w:pPr>
              <w:widowControl/>
              <w:jc w:val="right"/>
              <w:rPr>
                <w:rFonts w:ascii="Times New Roman" w:eastAsia="宋体" w:hAnsi="宋体" w:cs="宋体"/>
                <w:kern w:val="0"/>
                <w:sz w:val="24"/>
              </w:rPr>
            </w:pPr>
          </w:p>
        </w:tc>
      </w:tr>
      <w:tr w:rsidR="003D72E7" w14:paraId="619DE09A"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DE09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Note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09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09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09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09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099" w14:textId="77777777" w:rsidR="003D72E7" w:rsidRDefault="003D72E7">
            <w:pPr>
              <w:widowControl/>
              <w:jc w:val="right"/>
              <w:rPr>
                <w:rFonts w:ascii="Times New Roman" w:eastAsia="宋体" w:hAnsi="宋体" w:cs="宋体"/>
                <w:kern w:val="0"/>
                <w:sz w:val="24"/>
              </w:rPr>
            </w:pPr>
          </w:p>
        </w:tc>
      </w:tr>
      <w:tr w:rsidR="003D72E7" w14:paraId="619DE0A1"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E09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Dell Bank </w:t>
            </w:r>
            <w:r>
              <w:rPr>
                <w:rFonts w:ascii="Times New Roman" w:eastAsia="宋体" w:hAnsi="Times New Roman" w:cs="Times New Roman"/>
                <w:color w:val="000000"/>
                <w:kern w:val="0"/>
                <w:sz w:val="20"/>
                <w:szCs w:val="20"/>
                <w:lang w:bidi="ar"/>
              </w:rPr>
              <w:t>Senior Unsecured Eurobonds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09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1,189 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09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09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09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1,212 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0A0" w14:textId="77777777" w:rsidR="003D72E7" w:rsidRDefault="003D72E7">
            <w:pPr>
              <w:widowControl/>
              <w:jc w:val="right"/>
              <w:rPr>
                <w:rFonts w:ascii="Times New Roman" w:eastAsia="宋体" w:hAnsi="宋体" w:cs="宋体"/>
                <w:kern w:val="0"/>
                <w:sz w:val="24"/>
              </w:rPr>
            </w:pPr>
          </w:p>
        </w:tc>
      </w:tr>
      <w:tr w:rsidR="003D72E7" w14:paraId="619DE0A8"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center"/>
          </w:tcPr>
          <w:p w14:paraId="619DE0A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DFS international debt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E0A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3,270 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DE0A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0A5"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E0A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DE0A7" w14:textId="77777777" w:rsidR="003D72E7" w:rsidRDefault="003D72E7">
            <w:pPr>
              <w:widowControl/>
              <w:jc w:val="right"/>
              <w:rPr>
                <w:rFonts w:ascii="Times New Roman" w:eastAsia="宋体" w:hAnsi="宋体" w:cs="宋体"/>
                <w:kern w:val="0"/>
                <w:sz w:val="24"/>
              </w:rPr>
            </w:pPr>
          </w:p>
        </w:tc>
      </w:tr>
      <w:tr w:rsidR="003D72E7" w14:paraId="619DE0B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19DE0A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DFS debt</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0A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center"/>
          </w:tcPr>
          <w:p w14:paraId="619DE0A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9,557 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0A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0A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0A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center"/>
          </w:tcPr>
          <w:p w14:paraId="619DE0A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9,666 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0B0" w14:textId="77777777" w:rsidR="003D72E7" w:rsidRDefault="003D72E7">
            <w:pPr>
              <w:widowControl/>
              <w:jc w:val="right"/>
              <w:rPr>
                <w:rFonts w:ascii="Times New Roman" w:eastAsia="宋体" w:hAnsi="宋体" w:cs="宋体"/>
                <w:kern w:val="0"/>
                <w:sz w:val="24"/>
              </w:rPr>
            </w:pPr>
          </w:p>
        </w:tc>
      </w:tr>
      <w:tr w:rsidR="003D72E7" w14:paraId="619DE0BA" w14:textId="77777777">
        <w:tc>
          <w:tcPr>
            <w:tcW w:w="0" w:type="auto"/>
            <w:gridSpan w:val="3"/>
            <w:tcBorders>
              <w:top w:val="nil"/>
              <w:left w:val="nil"/>
              <w:bottom w:val="nil"/>
              <w:right w:val="nil"/>
            </w:tcBorders>
            <w:shd w:val="clear" w:color="auto" w:fill="CCEEFF"/>
            <w:tcMar>
              <w:top w:w="40" w:type="dxa"/>
              <w:left w:w="515" w:type="dxa"/>
              <w:bottom w:w="40" w:type="dxa"/>
              <w:right w:w="20" w:type="dxa"/>
            </w:tcMar>
            <w:vAlign w:val="center"/>
          </w:tcPr>
          <w:p w14:paraId="619DE0B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short-term DFS debt</w:t>
            </w: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center"/>
          </w:tcPr>
          <w:p w14:paraId="619DE0B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center"/>
          </w:tcPr>
          <w:p w14:paraId="619DE0B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5,281 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center"/>
          </w:tcPr>
          <w:p w14:paraId="619DE0B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0B6" w14:textId="77777777" w:rsidR="003D72E7" w:rsidRDefault="003D72E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center"/>
          </w:tcPr>
          <w:p w14:paraId="619DE0B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center"/>
          </w:tcPr>
          <w:p w14:paraId="619DE0B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4,888 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center"/>
          </w:tcPr>
          <w:p w14:paraId="619DE0B9" w14:textId="77777777" w:rsidR="003D72E7" w:rsidRDefault="003D72E7">
            <w:pPr>
              <w:widowControl/>
              <w:jc w:val="right"/>
              <w:rPr>
                <w:rFonts w:ascii="Times New Roman" w:eastAsia="宋体" w:hAnsi="宋体" w:cs="宋体"/>
                <w:kern w:val="0"/>
                <w:sz w:val="24"/>
              </w:rPr>
            </w:pPr>
          </w:p>
        </w:tc>
      </w:tr>
      <w:tr w:rsidR="003D72E7" w14:paraId="619DE0C3"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center"/>
          </w:tcPr>
          <w:p w14:paraId="619DE0B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long-term DFS debt</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0B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0B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4,276 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0B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0B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0C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0C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4,778 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0C2" w14:textId="77777777" w:rsidR="003D72E7" w:rsidRDefault="003D72E7">
            <w:pPr>
              <w:widowControl/>
              <w:jc w:val="right"/>
              <w:rPr>
                <w:rFonts w:ascii="Times New Roman" w:eastAsia="宋体" w:hAnsi="宋体" w:cs="宋体"/>
                <w:kern w:val="0"/>
                <w:sz w:val="24"/>
              </w:rPr>
            </w:pPr>
          </w:p>
        </w:tc>
      </w:tr>
    </w:tbl>
    <w:p w14:paraId="619DE0C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0C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DFS U.S. Debt</w:t>
      </w:r>
    </w:p>
    <w:p w14:paraId="619DE0C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0C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Asset-Based Financing and Securitization Facilities </w:t>
      </w: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The Company maintains separate asset-based financing facilities and a </w:t>
      </w:r>
      <w:r>
        <w:rPr>
          <w:rFonts w:ascii="Times New Roman" w:eastAsia="宋体" w:hAnsi="Times New Roman" w:cs="Times New Roman"/>
          <w:color w:val="000000"/>
          <w:kern w:val="0"/>
          <w:sz w:val="20"/>
          <w:szCs w:val="20"/>
          <w:lang w:bidi="ar"/>
        </w:rPr>
        <w:t>securitization facility in the United States, which are revolving facilities for fixed-term leases and loans and for revolving loans, respectively. This debt is collateralized solely by the U.S. loan and lease payments and associated equipment in the facil</w:t>
      </w:r>
      <w:r>
        <w:rPr>
          <w:rFonts w:ascii="Times New Roman" w:eastAsia="宋体" w:hAnsi="Times New Roman" w:cs="Times New Roman"/>
          <w:color w:val="000000"/>
          <w:kern w:val="0"/>
          <w:sz w:val="20"/>
          <w:szCs w:val="20"/>
          <w:lang w:bidi="ar"/>
        </w:rPr>
        <w:t>ities. The debt has a variable interest rate and the duration of the debt is based on the terms of the underlying loan and lease payment streams. As of July 30, 2021, the total debt capacity related to the U.S. asset-based financing and securitization faci</w:t>
      </w:r>
      <w:r>
        <w:rPr>
          <w:rFonts w:ascii="Times New Roman" w:eastAsia="宋体" w:hAnsi="Times New Roman" w:cs="Times New Roman"/>
          <w:color w:val="000000"/>
          <w:kern w:val="0"/>
          <w:sz w:val="20"/>
          <w:szCs w:val="20"/>
          <w:lang w:bidi="ar"/>
        </w:rPr>
        <w:t>lities was $4.5 billion. The Company enters into interest swap agreements to effectively convert a portion of this debt from a floating rate to a fixed rate. See Note 6 of the Notes to the Condensed Consolidated Financial Statements for additional informat</w:t>
      </w:r>
      <w:r>
        <w:rPr>
          <w:rFonts w:ascii="Times New Roman" w:eastAsia="宋体" w:hAnsi="Times New Roman" w:cs="Times New Roman"/>
          <w:color w:val="000000"/>
          <w:kern w:val="0"/>
          <w:sz w:val="20"/>
          <w:szCs w:val="20"/>
          <w:lang w:bidi="ar"/>
        </w:rPr>
        <w:t>ion about interest rate swaps.</w:t>
      </w:r>
    </w:p>
    <w:p w14:paraId="619DE0C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0C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Company’s U.S. securitization facility for revolving loans is effective through June 25, 2022. The Company’s two U.S. asset-based financing facilities for fixed-term leases and loans are effective through July 10, 2023 </w:t>
      </w:r>
      <w:r>
        <w:rPr>
          <w:rFonts w:ascii="Times New Roman" w:eastAsia="宋体" w:hAnsi="Times New Roman" w:cs="Times New Roman"/>
          <w:color w:val="000000"/>
          <w:kern w:val="0"/>
          <w:sz w:val="20"/>
          <w:szCs w:val="20"/>
          <w:lang w:bidi="ar"/>
        </w:rPr>
        <w:t>and July 26, 2022, respectively.</w:t>
      </w:r>
    </w:p>
    <w:p w14:paraId="619DE0C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0C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asset-based financing and securitization facilities contain standard structural features related to the performance of the funded receivables, which include defined credit losses, delinquencies, average credit scores,</w:t>
      </w:r>
      <w:r>
        <w:rPr>
          <w:rFonts w:ascii="Times New Roman" w:eastAsia="宋体" w:hAnsi="Times New Roman" w:cs="Times New Roman"/>
          <w:color w:val="000000"/>
          <w:kern w:val="0"/>
          <w:sz w:val="20"/>
          <w:szCs w:val="20"/>
          <w:lang w:bidi="ar"/>
        </w:rPr>
        <w:t xml:space="preserve"> and minimum collection requirements. In the event one or more of these criteria are not met and the Company is unable to restructure the facility, no further funding of receivables will be permitted and the timing of the Company’s expected cash flows from</w:t>
      </w:r>
      <w:r>
        <w:rPr>
          <w:rFonts w:ascii="Times New Roman" w:eastAsia="宋体" w:hAnsi="Times New Roman" w:cs="Times New Roman"/>
          <w:color w:val="000000"/>
          <w:kern w:val="0"/>
          <w:sz w:val="20"/>
          <w:szCs w:val="20"/>
          <w:lang w:bidi="ar"/>
        </w:rPr>
        <w:t xml:space="preserve"> over-collateralization will be delayed. As of July 30, 2021, these criteria were met.</w:t>
      </w:r>
    </w:p>
    <w:p w14:paraId="619DE0C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0C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Fixed-Term Securitization Offerings </w:t>
      </w: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The Company periodically issues asset-backed debt securities under fixed-term securitization programs to private investors. The a</w:t>
      </w:r>
      <w:r>
        <w:rPr>
          <w:rFonts w:ascii="Times New Roman" w:eastAsia="宋体" w:hAnsi="Times New Roman" w:cs="Times New Roman"/>
          <w:color w:val="000000"/>
          <w:kern w:val="0"/>
          <w:sz w:val="20"/>
          <w:szCs w:val="20"/>
          <w:lang w:bidi="ar"/>
        </w:rPr>
        <w:t>sset-backed debt securities are collateralized solely by the U.S. fixed-term leases and loans in the offerings, which are held by Special Purpose Entities (“SPEs”), as discussed below. The interest rate on these securities is fixed and ranges from 0.21% to</w:t>
      </w:r>
      <w:r>
        <w:rPr>
          <w:rFonts w:ascii="Times New Roman" w:eastAsia="宋体" w:hAnsi="Times New Roman" w:cs="Times New Roman"/>
          <w:color w:val="000000"/>
          <w:kern w:val="0"/>
          <w:sz w:val="20"/>
          <w:szCs w:val="20"/>
          <w:lang w:bidi="ar"/>
        </w:rPr>
        <w:t xml:space="preserve"> 5.92% per annum, and the duration of these securities is based on the terms of the underlying loan and lease payment streams.</w:t>
      </w:r>
    </w:p>
    <w:p w14:paraId="619DE0CE"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0CF"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24</w:t>
      </w:r>
    </w:p>
    <w:p w14:paraId="619DE0D0"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0D1" w14:textId="77777777" w:rsidR="003D72E7" w:rsidRDefault="00AD6774">
      <w:pPr>
        <w:widowControl/>
        <w:jc w:val="center"/>
      </w:pPr>
      <w:r>
        <w:rPr>
          <w:rFonts w:ascii="宋体" w:eastAsia="宋体" w:hAnsi="宋体" w:cs="宋体"/>
          <w:kern w:val="0"/>
          <w:sz w:val="24"/>
        </w:rPr>
        <w:pict w14:anchorId="619E0D83">
          <v:rect id="_x0000_i1048" style="width:6in;height:1.5pt" o:hralign="center" o:hrstd="t" o:hr="t" fillcolor="#a0a0a0" stroked="f"/>
        </w:pict>
      </w:r>
    </w:p>
    <w:p w14:paraId="619DE0D2"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0D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0D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 xml:space="preserve">NOTES TO THE </w:t>
      </w:r>
      <w:r>
        <w:rPr>
          <w:rFonts w:ascii="Times New Roman" w:eastAsia="宋体" w:hAnsi="Times New Roman" w:cs="Times New Roman"/>
          <w:b/>
          <w:bCs/>
          <w:color w:val="000000"/>
          <w:kern w:val="0"/>
          <w:sz w:val="20"/>
          <w:szCs w:val="20"/>
          <w:shd w:val="clear" w:color="auto" w:fill="FFFFFF"/>
          <w:lang w:bidi="ar"/>
        </w:rPr>
        <w:t>CONDENSED CONSOLIDATED FINANCIAL STATEMENTS (Continued)</w:t>
      </w:r>
    </w:p>
    <w:p w14:paraId="619DE0D5"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0D6"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0D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DFS International Debt</w:t>
      </w:r>
    </w:p>
    <w:p w14:paraId="619DE0D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0D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Securitization Facility </w:t>
      </w: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The Company maintains a securitization facility in Europe for fixed-term leases and loans. This facility is effective through </w:t>
      </w:r>
      <w:r>
        <w:rPr>
          <w:rFonts w:ascii="Times New Roman" w:eastAsia="宋体" w:hAnsi="Times New Roman" w:cs="Times New Roman"/>
          <w:color w:val="000000"/>
          <w:kern w:val="0"/>
          <w:sz w:val="20"/>
          <w:szCs w:val="20"/>
          <w:lang w:bidi="ar"/>
        </w:rPr>
        <w:t>December 21, 2022 and had a total debt capacity of $951 million as of July 30, 2021.</w:t>
      </w:r>
    </w:p>
    <w:p w14:paraId="619DE0D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0D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securitization facility contains standard structural features related to the performance of the securitized receivables, which include defined credit losses, delinqu</w:t>
      </w:r>
      <w:r>
        <w:rPr>
          <w:rFonts w:ascii="Times New Roman" w:eastAsia="宋体" w:hAnsi="Times New Roman" w:cs="Times New Roman"/>
          <w:color w:val="000000"/>
          <w:kern w:val="0"/>
          <w:sz w:val="20"/>
          <w:szCs w:val="20"/>
          <w:lang w:bidi="ar"/>
        </w:rPr>
        <w:t>encies, average credit scores, and minimum collection requirements. In the event one or more of these criteria are not met and the Company is unable to restructure the program, no further funding of receivables will be permitted and the timing of the Compa</w:t>
      </w:r>
      <w:r>
        <w:rPr>
          <w:rFonts w:ascii="Times New Roman" w:eastAsia="宋体" w:hAnsi="Times New Roman" w:cs="Times New Roman"/>
          <w:color w:val="000000"/>
          <w:kern w:val="0"/>
          <w:sz w:val="20"/>
          <w:szCs w:val="20"/>
          <w:lang w:bidi="ar"/>
        </w:rPr>
        <w:t>ny’s expected cash flows from over-collateralization will be delayed. As of July 30, 2021, these criteria were met.</w:t>
      </w:r>
    </w:p>
    <w:p w14:paraId="619DE0D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0D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Other Borrowings </w:t>
      </w:r>
      <w:r>
        <w:rPr>
          <w:rFonts w:ascii="Times New Roman" w:eastAsia="宋体" w:hAnsi="Times New Roman" w:cs="Times New Roman"/>
          <w:color w:val="000000"/>
          <w:kern w:val="0"/>
          <w:sz w:val="20"/>
          <w:szCs w:val="20"/>
          <w:lang w:bidi="ar"/>
        </w:rPr>
        <w:t>—</w:t>
      </w:r>
      <w:r>
        <w:rPr>
          <w:rFonts w:ascii="Times New Roman" w:eastAsia="宋体" w:hAnsi="Times New Roman" w:cs="Times New Roman"/>
          <w:b/>
          <w:bCs/>
          <w:color w:val="000000"/>
          <w:kern w:val="0"/>
          <w:sz w:val="20"/>
          <w:szCs w:val="20"/>
          <w:lang w:bidi="ar"/>
        </w:rPr>
        <w:t xml:space="preserve"> </w:t>
      </w:r>
      <w:r>
        <w:rPr>
          <w:rFonts w:ascii="Times New Roman" w:eastAsia="宋体" w:hAnsi="Times New Roman" w:cs="Times New Roman"/>
          <w:color w:val="000000"/>
          <w:kern w:val="0"/>
          <w:sz w:val="20"/>
          <w:szCs w:val="20"/>
          <w:lang w:bidi="ar"/>
        </w:rPr>
        <w:t>In connection with the Company’s international financing operations, the Company enters into revolving structured finan</w:t>
      </w:r>
      <w:r>
        <w:rPr>
          <w:rFonts w:ascii="Times New Roman" w:eastAsia="宋体" w:hAnsi="Times New Roman" w:cs="Times New Roman"/>
          <w:color w:val="000000"/>
          <w:kern w:val="0"/>
          <w:sz w:val="20"/>
          <w:szCs w:val="20"/>
          <w:lang w:bidi="ar"/>
        </w:rPr>
        <w:t>cing debt programs related to its fixed-term lease and loan products sold in Canada, Europe, Australia, and New Zealand. The Canadian facility, which is collateralized solely by Canadian loan and lease payments and associated equipment, had a total debt ca</w:t>
      </w:r>
      <w:r>
        <w:rPr>
          <w:rFonts w:ascii="Times New Roman" w:eastAsia="宋体" w:hAnsi="Times New Roman" w:cs="Times New Roman"/>
          <w:color w:val="000000"/>
          <w:kern w:val="0"/>
          <w:sz w:val="20"/>
          <w:szCs w:val="20"/>
          <w:lang w:bidi="ar"/>
        </w:rPr>
        <w:t xml:space="preserve">pacity of $362 million as of July 30, 2021, and is effective through January 16, 2025. The European facility, which is collateralized solely by European loan and lease payments and associated equipment, had a total debt capacity of $713 million as of July </w:t>
      </w:r>
      <w:r>
        <w:rPr>
          <w:rFonts w:ascii="Times New Roman" w:eastAsia="宋体" w:hAnsi="Times New Roman" w:cs="Times New Roman"/>
          <w:color w:val="000000"/>
          <w:kern w:val="0"/>
          <w:sz w:val="20"/>
          <w:szCs w:val="20"/>
          <w:lang w:bidi="ar"/>
        </w:rPr>
        <w:t>30, 2021, and is effective through December 14, 2023. The Australia and New Zealand facility, which is collateralized solely by Australia and New Zealand loan and lease payments and associated equipment, had a total debt capacity of $333 million as of July</w:t>
      </w:r>
      <w:r>
        <w:rPr>
          <w:rFonts w:ascii="Times New Roman" w:eastAsia="宋体" w:hAnsi="Times New Roman" w:cs="Times New Roman"/>
          <w:color w:val="000000"/>
          <w:kern w:val="0"/>
          <w:sz w:val="20"/>
          <w:szCs w:val="20"/>
          <w:lang w:bidi="ar"/>
        </w:rPr>
        <w:t xml:space="preserve"> 30, 2021, and is effective through April 20, 2023.</w:t>
      </w:r>
    </w:p>
    <w:p w14:paraId="619DE0D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0D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Note Payable </w:t>
      </w:r>
      <w:r>
        <w:rPr>
          <w:rFonts w:ascii="Times New Roman" w:eastAsia="宋体" w:hAnsi="Times New Roman" w:cs="Times New Roman"/>
          <w:color w:val="000000"/>
          <w:kern w:val="0"/>
          <w:sz w:val="20"/>
          <w:szCs w:val="20"/>
          <w:lang w:bidi="ar"/>
        </w:rPr>
        <w:t>— On August 7, 2020, the Company entered into two new unsecured credit agreements to fund receivables in Mexico. As of July 30, 2021, the aggregate principal amount of the notes payable was</w:t>
      </w:r>
      <w:r>
        <w:rPr>
          <w:rFonts w:ascii="Times New Roman" w:eastAsia="宋体" w:hAnsi="Times New Roman" w:cs="Times New Roman"/>
          <w:color w:val="000000"/>
          <w:kern w:val="0"/>
          <w:sz w:val="20"/>
          <w:szCs w:val="20"/>
          <w:lang w:bidi="ar"/>
        </w:rPr>
        <w:t xml:space="preserve"> $250 million. The notes bear interest at an annual rate of 3.37% and will mature on June 1, 2022.</w:t>
      </w:r>
    </w:p>
    <w:p w14:paraId="619DE0E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0E1"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Dell Bank Senior Unsecured Eurobonds </w:t>
      </w: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xml:space="preserve"> On October 17, 2019, Dell Bank International D.A.C., a wholly-owned subsidiary of Dell Technologies Inc., issued 500</w:t>
      </w:r>
      <w:r>
        <w:rPr>
          <w:rFonts w:ascii="Times New Roman" w:eastAsia="宋体" w:hAnsi="Times New Roman" w:cs="Times New Roman"/>
          <w:color w:val="000000"/>
          <w:kern w:val="0"/>
          <w:sz w:val="20"/>
          <w:szCs w:val="20"/>
          <w:lang w:bidi="ar"/>
        </w:rPr>
        <w:t xml:space="preserve"> million Euro of 0.625% senior unsecured three year eurobonds due October 2022. On June 24, 2020, Dell Bank International D.A.C. issued an additional 500 million Euro of 1.625% senior unsecured four year eurobonds due June 2024. The issuances of the senior</w:t>
      </w:r>
      <w:r>
        <w:rPr>
          <w:rFonts w:ascii="Times New Roman" w:eastAsia="宋体" w:hAnsi="Times New Roman" w:cs="Times New Roman"/>
          <w:color w:val="000000"/>
          <w:kern w:val="0"/>
          <w:sz w:val="20"/>
          <w:szCs w:val="20"/>
          <w:lang w:bidi="ar"/>
        </w:rPr>
        <w:t xml:space="preserve"> unsecured eurobonds support the expansion of the financing operations in Europe.</w:t>
      </w:r>
    </w:p>
    <w:p w14:paraId="619DE0E2"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0E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w:t>
      </w:r>
    </w:p>
    <w:p w14:paraId="619DE0E4"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0E5" w14:textId="77777777" w:rsidR="003D72E7" w:rsidRDefault="00AD6774">
      <w:pPr>
        <w:widowControl/>
        <w:jc w:val="center"/>
      </w:pPr>
      <w:r>
        <w:rPr>
          <w:rFonts w:ascii="宋体" w:eastAsia="宋体" w:hAnsi="宋体" w:cs="宋体"/>
          <w:kern w:val="0"/>
          <w:sz w:val="24"/>
        </w:rPr>
        <w:pict w14:anchorId="619E0D84">
          <v:rect id="_x0000_i1049" style="width:6in;height:1.5pt" o:hralign="center" o:hrstd="t" o:hr="t" fillcolor="#a0a0a0" stroked="f"/>
        </w:pict>
      </w:r>
    </w:p>
    <w:p w14:paraId="619DE0E6"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0E7"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0E8"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 xml:space="preserve">NOTES TO THE CONDENSED CONSOLIDATED FINANCIAL </w:t>
      </w:r>
      <w:r>
        <w:rPr>
          <w:rFonts w:ascii="Times New Roman" w:eastAsia="宋体" w:hAnsi="Times New Roman" w:cs="Times New Roman"/>
          <w:b/>
          <w:bCs/>
          <w:color w:val="000000"/>
          <w:kern w:val="0"/>
          <w:sz w:val="20"/>
          <w:szCs w:val="20"/>
          <w:shd w:val="clear" w:color="auto" w:fill="FFFFFF"/>
          <w:lang w:bidi="ar"/>
        </w:rPr>
        <w:t>STATEMENTS (Continued)</w:t>
      </w:r>
    </w:p>
    <w:p w14:paraId="619DE0E9"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0EA"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0E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Variable Interest Entities</w:t>
      </w:r>
    </w:p>
    <w:p w14:paraId="619DE0E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0E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connection with the asset-based financing facilities, securitization facilities, and fixed-term securitization offerings discussed above, the Company transfers certain U.S. and European l</w:t>
      </w:r>
      <w:r>
        <w:rPr>
          <w:rFonts w:ascii="Times New Roman" w:eastAsia="宋体" w:hAnsi="Times New Roman" w:cs="Times New Roman"/>
          <w:color w:val="000000"/>
          <w:kern w:val="0"/>
          <w:sz w:val="20"/>
          <w:szCs w:val="20"/>
          <w:lang w:bidi="ar"/>
        </w:rPr>
        <w:t>oan and lease payments and associated equipment to SPEs that meet the definition of a Variable Interest Entity (“VIE”) and are consolidated, along with the associated debt detailed above, into the Condensed Consolidated Financial Statements, as the Company</w:t>
      </w:r>
      <w:r>
        <w:rPr>
          <w:rFonts w:ascii="Times New Roman" w:eastAsia="宋体" w:hAnsi="Times New Roman" w:cs="Times New Roman"/>
          <w:color w:val="000000"/>
          <w:kern w:val="0"/>
          <w:sz w:val="20"/>
          <w:szCs w:val="20"/>
          <w:lang w:bidi="ar"/>
        </w:rPr>
        <w:t xml:space="preserve"> is the primary beneficiary of those VIEs. The SPEs are bankruptcy-remote legal entities with separate assets and liabilities. The purpose of the SPEs is to facilitate the funding of customer loan and lease payments and associated equipment in the capital </w:t>
      </w:r>
      <w:r>
        <w:rPr>
          <w:rFonts w:ascii="Times New Roman" w:eastAsia="宋体" w:hAnsi="Times New Roman" w:cs="Times New Roman"/>
          <w:color w:val="000000"/>
          <w:kern w:val="0"/>
          <w:sz w:val="20"/>
          <w:szCs w:val="20"/>
          <w:lang w:bidi="ar"/>
        </w:rPr>
        <w:t>markets.</w:t>
      </w:r>
    </w:p>
    <w:p w14:paraId="619DE0E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0E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Some of the SPEs have entered into financing arrangements with multi-seller conduits that, in turn, issue asset-backed debt securities in the capital markets. DFS debt outstanding held by the consolidated VIEs is collateralized by the loan and l</w:t>
      </w:r>
      <w:r>
        <w:rPr>
          <w:rFonts w:ascii="Times New Roman" w:eastAsia="宋体" w:hAnsi="Times New Roman" w:cs="Times New Roman"/>
          <w:color w:val="000000"/>
          <w:kern w:val="0"/>
          <w:sz w:val="20"/>
          <w:szCs w:val="20"/>
          <w:lang w:bidi="ar"/>
        </w:rPr>
        <w:t>ease payments and associated equipment. The Company’s risk of loss related to securitized receivables is limited to the amount by which the Company’s right to receive collections for assets securitized exceeds the amount required to pay interest, principal</w:t>
      </w:r>
      <w:r>
        <w:rPr>
          <w:rFonts w:ascii="Times New Roman" w:eastAsia="宋体" w:hAnsi="Times New Roman" w:cs="Times New Roman"/>
          <w:color w:val="000000"/>
          <w:kern w:val="0"/>
          <w:sz w:val="20"/>
          <w:szCs w:val="20"/>
          <w:lang w:bidi="ar"/>
        </w:rPr>
        <w:t>, and fees and expenses related to the asset-backed securities. The Company provides credit enhancement to the securitization in the form of over-collateralization.</w:t>
      </w:r>
    </w:p>
    <w:p w14:paraId="619DE0F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0F1"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financing receivables and equipment under operating leases, </w:t>
      </w:r>
      <w:r>
        <w:rPr>
          <w:rFonts w:ascii="Times New Roman" w:eastAsia="宋体" w:hAnsi="Times New Roman" w:cs="Times New Roman"/>
          <w:color w:val="000000"/>
          <w:kern w:val="0"/>
          <w:sz w:val="20"/>
          <w:szCs w:val="20"/>
          <w:lang w:bidi="ar"/>
        </w:rPr>
        <w:t>net held by the consolidated VIEs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892"/>
        <w:gridCol w:w="36"/>
        <w:gridCol w:w="120"/>
        <w:gridCol w:w="1475"/>
        <w:gridCol w:w="36"/>
        <w:gridCol w:w="36"/>
        <w:gridCol w:w="36"/>
        <w:gridCol w:w="36"/>
        <w:gridCol w:w="121"/>
        <w:gridCol w:w="1475"/>
        <w:gridCol w:w="36"/>
      </w:tblGrid>
      <w:tr w:rsidR="003D72E7" w14:paraId="619DE0FE" w14:textId="77777777">
        <w:trPr>
          <w:jc w:val="center"/>
        </w:trPr>
        <w:tc>
          <w:tcPr>
            <w:tcW w:w="50" w:type="pct"/>
            <w:tcBorders>
              <w:top w:val="nil"/>
              <w:left w:val="nil"/>
              <w:bottom w:val="nil"/>
              <w:right w:val="nil"/>
            </w:tcBorders>
            <w:shd w:val="clear" w:color="auto" w:fill="auto"/>
            <w:vAlign w:val="bottom"/>
          </w:tcPr>
          <w:p w14:paraId="619DE0F2" w14:textId="77777777" w:rsidR="003D72E7" w:rsidRDefault="003D72E7">
            <w:pPr>
              <w:widowControl/>
              <w:jc w:val="left"/>
              <w:rPr>
                <w:rFonts w:ascii="Times New Roman" w:eastAsia="宋体" w:hAnsi="宋体" w:cs="宋体"/>
                <w:kern w:val="0"/>
                <w:sz w:val="24"/>
              </w:rPr>
            </w:pPr>
          </w:p>
        </w:tc>
        <w:tc>
          <w:tcPr>
            <w:tcW w:w="2971" w:type="pct"/>
            <w:tcBorders>
              <w:top w:val="nil"/>
              <w:left w:val="nil"/>
              <w:bottom w:val="nil"/>
              <w:right w:val="nil"/>
            </w:tcBorders>
            <w:shd w:val="clear" w:color="auto" w:fill="auto"/>
            <w:vAlign w:val="bottom"/>
          </w:tcPr>
          <w:p w14:paraId="619DE0F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0F4"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0F5" w14:textId="77777777" w:rsidR="003D72E7" w:rsidRDefault="003D72E7">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619DE0F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0F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0F8"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0F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0FA"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0FB" w14:textId="77777777" w:rsidR="003D72E7" w:rsidRDefault="003D72E7">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619DE0F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0FD" w14:textId="77777777" w:rsidR="003D72E7" w:rsidRDefault="003D72E7">
            <w:pPr>
              <w:widowControl/>
              <w:jc w:val="left"/>
              <w:rPr>
                <w:rFonts w:ascii="Times New Roman" w:eastAsia="宋体" w:hAnsi="宋体" w:cs="宋体"/>
                <w:kern w:val="0"/>
                <w:sz w:val="24"/>
              </w:rPr>
            </w:pPr>
          </w:p>
        </w:tc>
      </w:tr>
      <w:tr w:rsidR="003D72E7" w14:paraId="619DE10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0F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10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10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E10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E10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19DE104"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E105"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E10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10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Assets held by consolidated VIEs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10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10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10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3D72E7" w14:paraId="619DE11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E10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Other current assets</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10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10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770 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10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11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11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11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838 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113" w14:textId="77777777" w:rsidR="003D72E7" w:rsidRDefault="003D72E7">
            <w:pPr>
              <w:widowControl/>
              <w:jc w:val="right"/>
              <w:rPr>
                <w:rFonts w:ascii="Times New Roman" w:eastAsia="宋体" w:hAnsi="宋体" w:cs="宋体"/>
                <w:kern w:val="0"/>
                <w:sz w:val="24"/>
              </w:rPr>
            </w:pPr>
          </w:p>
        </w:tc>
      </w:tr>
      <w:tr w:rsidR="003D72E7" w14:paraId="619DE11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11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Financing receivables, net of allowance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11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11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118" w14:textId="77777777" w:rsidR="003D72E7" w:rsidRDefault="003D72E7">
            <w:pPr>
              <w:widowControl/>
              <w:jc w:val="left"/>
              <w:rPr>
                <w:rFonts w:ascii="Times New Roman" w:eastAsia="宋体" w:hAnsi="宋体" w:cs="宋体"/>
                <w:kern w:val="0"/>
                <w:sz w:val="24"/>
              </w:rPr>
            </w:pPr>
          </w:p>
        </w:tc>
      </w:tr>
      <w:tr w:rsidR="003D72E7" w14:paraId="619DE122"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vAlign w:val="center"/>
          </w:tcPr>
          <w:p w14:paraId="619DE11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Short-term</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11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11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3,457 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11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11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11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12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3,534 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121" w14:textId="77777777" w:rsidR="003D72E7" w:rsidRDefault="003D72E7">
            <w:pPr>
              <w:widowControl/>
              <w:jc w:val="right"/>
              <w:rPr>
                <w:rFonts w:ascii="Times New Roman" w:eastAsia="宋体" w:hAnsi="宋体" w:cs="宋体"/>
                <w:kern w:val="0"/>
                <w:sz w:val="24"/>
              </w:rPr>
            </w:pPr>
          </w:p>
        </w:tc>
      </w:tr>
      <w:tr w:rsidR="003D72E7" w14:paraId="619DE12B"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vAlign w:val="center"/>
          </w:tcPr>
          <w:p w14:paraId="619DE12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Long-term</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12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12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3,229 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12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12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12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12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3,314 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12A" w14:textId="77777777" w:rsidR="003D72E7" w:rsidRDefault="003D72E7">
            <w:pPr>
              <w:widowControl/>
              <w:jc w:val="right"/>
              <w:rPr>
                <w:rFonts w:ascii="Times New Roman" w:eastAsia="宋体" w:hAnsi="宋体" w:cs="宋体"/>
                <w:kern w:val="0"/>
                <w:sz w:val="24"/>
              </w:rPr>
            </w:pPr>
          </w:p>
        </w:tc>
      </w:tr>
      <w:tr w:rsidR="003D72E7" w14:paraId="619DE134" w14:textId="77777777">
        <w:trPr>
          <w:jc w:val="center"/>
        </w:trPr>
        <w:tc>
          <w:tcPr>
            <w:tcW w:w="0" w:type="auto"/>
            <w:gridSpan w:val="3"/>
            <w:tcBorders>
              <w:top w:val="nil"/>
              <w:left w:val="nil"/>
              <w:bottom w:val="nil"/>
              <w:right w:val="nil"/>
            </w:tcBorders>
            <w:shd w:val="clear" w:color="auto" w:fill="FFFFFF"/>
            <w:tcMar>
              <w:top w:w="40" w:type="dxa"/>
              <w:left w:w="35" w:type="dxa"/>
              <w:bottom w:w="40" w:type="dxa"/>
              <w:right w:w="20" w:type="dxa"/>
            </w:tcMar>
            <w:vAlign w:val="center"/>
          </w:tcPr>
          <w:p w14:paraId="619DE12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Property, plant, and equipment, net</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12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12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838 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12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13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13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13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792 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133" w14:textId="77777777" w:rsidR="003D72E7" w:rsidRDefault="003D72E7">
            <w:pPr>
              <w:widowControl/>
              <w:jc w:val="right"/>
              <w:rPr>
                <w:rFonts w:ascii="Times New Roman" w:eastAsia="宋体" w:hAnsi="宋体" w:cs="宋体"/>
                <w:kern w:val="0"/>
                <w:sz w:val="24"/>
              </w:rPr>
            </w:pPr>
          </w:p>
        </w:tc>
      </w:tr>
      <w:tr w:rsidR="003D72E7" w14:paraId="619DE139" w14:textId="77777777">
        <w:trPr>
          <w:jc w:val="center"/>
        </w:trPr>
        <w:tc>
          <w:tcPr>
            <w:tcW w:w="0" w:type="auto"/>
            <w:gridSpan w:val="3"/>
            <w:tcBorders>
              <w:top w:val="nil"/>
              <w:left w:val="nil"/>
              <w:bottom w:val="nil"/>
              <w:right w:val="nil"/>
            </w:tcBorders>
            <w:shd w:val="clear" w:color="auto" w:fill="CCEEFF"/>
            <w:tcMar>
              <w:top w:w="40" w:type="dxa"/>
              <w:left w:w="35" w:type="dxa"/>
              <w:bottom w:w="40" w:type="dxa"/>
              <w:right w:w="20" w:type="dxa"/>
            </w:tcMar>
            <w:vAlign w:val="center"/>
          </w:tcPr>
          <w:p w14:paraId="619DE13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Liabilities held by consolidated VIEs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13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13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138" w14:textId="77777777" w:rsidR="003D72E7" w:rsidRDefault="003D72E7">
            <w:pPr>
              <w:widowControl/>
              <w:jc w:val="left"/>
              <w:rPr>
                <w:rFonts w:ascii="Times New Roman" w:eastAsia="宋体" w:hAnsi="宋体" w:cs="宋体"/>
                <w:kern w:val="0"/>
                <w:sz w:val="24"/>
              </w:rPr>
            </w:pPr>
          </w:p>
        </w:tc>
      </w:tr>
      <w:tr w:rsidR="003D72E7" w14:paraId="619DE13E" w14:textId="77777777">
        <w:trPr>
          <w:jc w:val="center"/>
        </w:trPr>
        <w:tc>
          <w:tcPr>
            <w:tcW w:w="0" w:type="auto"/>
            <w:gridSpan w:val="3"/>
            <w:tcBorders>
              <w:top w:val="nil"/>
              <w:left w:val="nil"/>
              <w:bottom w:val="nil"/>
              <w:right w:val="nil"/>
            </w:tcBorders>
            <w:shd w:val="clear" w:color="auto" w:fill="FFFFFF"/>
            <w:tcMar>
              <w:top w:w="40" w:type="dxa"/>
              <w:left w:w="35" w:type="dxa"/>
              <w:bottom w:w="40" w:type="dxa"/>
              <w:right w:w="20" w:type="dxa"/>
            </w:tcMar>
            <w:vAlign w:val="center"/>
          </w:tcPr>
          <w:p w14:paraId="619DE13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Debt, net of unamortized debt issuance costs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13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13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13D" w14:textId="77777777" w:rsidR="003D72E7" w:rsidRDefault="003D72E7">
            <w:pPr>
              <w:widowControl/>
              <w:jc w:val="left"/>
              <w:rPr>
                <w:rFonts w:ascii="Times New Roman" w:eastAsia="宋体" w:hAnsi="宋体" w:cs="宋体"/>
                <w:kern w:val="0"/>
                <w:sz w:val="24"/>
              </w:rPr>
            </w:pPr>
          </w:p>
        </w:tc>
      </w:tr>
      <w:tr w:rsidR="003D72E7" w14:paraId="619DE147"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DE13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Short-term</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14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14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4,472 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14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14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14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14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4,208 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146" w14:textId="77777777" w:rsidR="003D72E7" w:rsidRDefault="003D72E7">
            <w:pPr>
              <w:widowControl/>
              <w:jc w:val="right"/>
              <w:rPr>
                <w:rFonts w:ascii="Times New Roman" w:eastAsia="宋体" w:hAnsi="宋体" w:cs="宋体"/>
                <w:kern w:val="0"/>
                <w:sz w:val="24"/>
              </w:rPr>
            </w:pPr>
          </w:p>
        </w:tc>
      </w:tr>
      <w:tr w:rsidR="003D72E7" w14:paraId="619DE150"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E14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Long-term</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14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14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2,398 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14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14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14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14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2,841 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14F" w14:textId="77777777" w:rsidR="003D72E7" w:rsidRDefault="003D72E7">
            <w:pPr>
              <w:widowControl/>
              <w:jc w:val="right"/>
              <w:rPr>
                <w:rFonts w:ascii="Times New Roman" w:eastAsia="宋体" w:hAnsi="宋体" w:cs="宋体"/>
                <w:kern w:val="0"/>
                <w:sz w:val="24"/>
              </w:rPr>
            </w:pPr>
          </w:p>
        </w:tc>
      </w:tr>
    </w:tbl>
    <w:p w14:paraId="619DE15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15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Loan and lease payments and associated equipment transferred via securitization through SPEs were $1.3 billion and $1.2 billion for the three months ended July 30, 2021 and July 31, 2020, respectively, and $2.7 billion and $3.0 billion for the six months e</w:t>
      </w:r>
      <w:r>
        <w:rPr>
          <w:rFonts w:ascii="Times New Roman" w:eastAsia="宋体" w:hAnsi="Times New Roman" w:cs="Times New Roman"/>
          <w:color w:val="000000"/>
          <w:kern w:val="0"/>
          <w:sz w:val="20"/>
          <w:szCs w:val="20"/>
          <w:lang w:bidi="ar"/>
        </w:rPr>
        <w:t xml:space="preserve">nded July 30, 2021 and July 31, 2020, respectively. </w:t>
      </w:r>
    </w:p>
    <w:p w14:paraId="619DE15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15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Customer Receivables Sales</w:t>
      </w:r>
    </w:p>
    <w:p w14:paraId="619DE15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15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 manage certain concentrations of customer credit exposure, the Company may sell selected fixed-term customer receivables to unrelated third parties on a periodic basis, without recourse. The amount of customer receivables sold for this purpose was $101 </w:t>
      </w:r>
      <w:r>
        <w:rPr>
          <w:rFonts w:ascii="Times New Roman" w:eastAsia="宋体" w:hAnsi="Times New Roman" w:cs="Times New Roman"/>
          <w:color w:val="000000"/>
          <w:kern w:val="0"/>
          <w:sz w:val="20"/>
          <w:szCs w:val="20"/>
          <w:lang w:bidi="ar"/>
        </w:rPr>
        <w:t>million and $228 million for the six months ended July 30, 2021 and July 31, 2020, respectively. The Company’s continuing involvement in such customer receivables is primarily limited to servicing arrangements. The transactions are accounted for as sales a</w:t>
      </w:r>
      <w:r>
        <w:rPr>
          <w:rFonts w:ascii="Times New Roman" w:eastAsia="宋体" w:hAnsi="Times New Roman" w:cs="Times New Roman"/>
          <w:color w:val="000000"/>
          <w:kern w:val="0"/>
          <w:sz w:val="20"/>
          <w:szCs w:val="20"/>
          <w:lang w:bidi="ar"/>
        </w:rPr>
        <w:t xml:space="preserve">nd, accordingly, the customer receivables are derecognized from the Condensed Consolidated Statements of Financial Position at the time of sale. </w:t>
      </w:r>
    </w:p>
    <w:p w14:paraId="619DE157"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158"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w:t>
      </w:r>
    </w:p>
    <w:p w14:paraId="619DE159"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15A" w14:textId="77777777" w:rsidR="003D72E7" w:rsidRDefault="00AD6774">
      <w:pPr>
        <w:widowControl/>
        <w:jc w:val="center"/>
      </w:pPr>
      <w:r>
        <w:rPr>
          <w:rFonts w:ascii="宋体" w:eastAsia="宋体" w:hAnsi="宋体" w:cs="宋体"/>
          <w:kern w:val="0"/>
          <w:sz w:val="24"/>
        </w:rPr>
        <w:pict w14:anchorId="619E0D85">
          <v:rect id="_x0000_i1050" style="width:6in;height:1.5pt" o:hralign="center" o:hrstd="t" o:hr="t" fillcolor="#a0a0a0" stroked="f"/>
        </w:pict>
      </w:r>
    </w:p>
    <w:p w14:paraId="619DE15B"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15C"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 xml:space="preserve">DELL </w:t>
      </w:r>
      <w:r>
        <w:rPr>
          <w:rFonts w:ascii="Times New Roman" w:eastAsia="宋体" w:hAnsi="Times New Roman" w:cs="Times New Roman"/>
          <w:b/>
          <w:bCs/>
          <w:color w:val="000000"/>
          <w:kern w:val="0"/>
          <w:sz w:val="20"/>
          <w:szCs w:val="20"/>
          <w:shd w:val="clear" w:color="auto" w:fill="FFFFFF"/>
          <w:lang w:bidi="ar"/>
        </w:rPr>
        <w:t>TECHNOLOGIES INC.</w:t>
      </w:r>
    </w:p>
    <w:p w14:paraId="619DE15D"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E15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15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16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4 — LEASES </w:t>
      </w:r>
    </w:p>
    <w:p w14:paraId="619DE16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16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enters into leasing transactions in which the Company is the lessee. These lease contracts are typically classified as opera</w:t>
      </w:r>
      <w:r>
        <w:rPr>
          <w:rFonts w:ascii="Times New Roman" w:eastAsia="宋体" w:hAnsi="Times New Roman" w:cs="Times New Roman"/>
          <w:color w:val="000000"/>
          <w:kern w:val="0"/>
          <w:sz w:val="20"/>
          <w:szCs w:val="20"/>
          <w:lang w:bidi="ar"/>
        </w:rPr>
        <w:t>ting leases. The Company’s lease contracts are generally for office buildings used to conduct its business, and the determination of whether such contracts contain leases generally does not require significant estimates or judgments. The Company also lease</w:t>
      </w:r>
      <w:r>
        <w:rPr>
          <w:rFonts w:ascii="Times New Roman" w:eastAsia="宋体" w:hAnsi="Times New Roman" w:cs="Times New Roman"/>
          <w:color w:val="000000"/>
          <w:kern w:val="0"/>
          <w:sz w:val="20"/>
          <w:szCs w:val="20"/>
          <w:lang w:bidi="ar"/>
        </w:rPr>
        <w:t xml:space="preserve">s certain global logistics warehouses, employee vehicles, and equipment. As of July 30, 2021, the remaining terms of the Company’s leases range from less than one month to approximately 25 years. </w:t>
      </w:r>
    </w:p>
    <w:p w14:paraId="619DE16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16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also enters into leasing transactions in whic</w:t>
      </w:r>
      <w:r>
        <w:rPr>
          <w:rFonts w:ascii="Times New Roman" w:eastAsia="宋体" w:hAnsi="Times New Roman" w:cs="Times New Roman"/>
          <w:color w:val="000000"/>
          <w:kern w:val="0"/>
          <w:sz w:val="20"/>
          <w:szCs w:val="20"/>
          <w:lang w:bidi="ar"/>
        </w:rPr>
        <w:t>h the Company is the lessor, primarily through customer financing arrangements offered through DFS. DFS originates leases that are primarily classified as either sales-type leases or operating leases. See Note 3 of the Notes to the Condensed Consolidated F</w:t>
      </w:r>
      <w:r>
        <w:rPr>
          <w:rFonts w:ascii="Times New Roman" w:eastAsia="宋体" w:hAnsi="Times New Roman" w:cs="Times New Roman"/>
          <w:color w:val="000000"/>
          <w:kern w:val="0"/>
          <w:sz w:val="20"/>
          <w:szCs w:val="20"/>
          <w:lang w:bidi="ar"/>
        </w:rPr>
        <w:t xml:space="preserve">inancial Statements for more information on the DFS lease portfolio and related lease disclosures. </w:t>
      </w:r>
    </w:p>
    <w:p w14:paraId="619DE16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16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Financial information associated with the Company’s leases in which the Company is the lessee is contained in this Note. As of both July 30, 2021 and Janu</w:t>
      </w:r>
      <w:r>
        <w:rPr>
          <w:rFonts w:ascii="Times New Roman" w:eastAsia="宋体" w:hAnsi="Times New Roman" w:cs="Times New Roman"/>
          <w:color w:val="000000"/>
          <w:kern w:val="0"/>
          <w:sz w:val="20"/>
          <w:szCs w:val="20"/>
          <w:lang w:bidi="ar"/>
        </w:rPr>
        <w:t xml:space="preserve">ary 29, 2021, there were no material finance leases for which the Company was a lessee. </w:t>
      </w:r>
    </w:p>
    <w:p w14:paraId="619DE16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168"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components of lease costs included in the Condensed Consolidated Statements of Income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535"/>
        <w:gridCol w:w="36"/>
        <w:gridCol w:w="120"/>
        <w:gridCol w:w="1195"/>
        <w:gridCol w:w="36"/>
        <w:gridCol w:w="36"/>
        <w:gridCol w:w="36"/>
        <w:gridCol w:w="36"/>
        <w:gridCol w:w="120"/>
        <w:gridCol w:w="1195"/>
        <w:gridCol w:w="36"/>
        <w:gridCol w:w="36"/>
        <w:gridCol w:w="36"/>
        <w:gridCol w:w="36"/>
        <w:gridCol w:w="120"/>
        <w:gridCol w:w="1195"/>
        <w:gridCol w:w="36"/>
        <w:gridCol w:w="36"/>
        <w:gridCol w:w="36"/>
        <w:gridCol w:w="36"/>
        <w:gridCol w:w="120"/>
        <w:gridCol w:w="1195"/>
        <w:gridCol w:w="36"/>
      </w:tblGrid>
      <w:tr w:rsidR="003D72E7" w14:paraId="619DE181" w14:textId="77777777">
        <w:trPr>
          <w:jc w:val="center"/>
        </w:trPr>
        <w:tc>
          <w:tcPr>
            <w:tcW w:w="50" w:type="pct"/>
            <w:tcBorders>
              <w:top w:val="nil"/>
              <w:left w:val="nil"/>
              <w:bottom w:val="nil"/>
              <w:right w:val="nil"/>
            </w:tcBorders>
            <w:shd w:val="clear" w:color="auto" w:fill="auto"/>
            <w:vAlign w:val="bottom"/>
          </w:tcPr>
          <w:p w14:paraId="619DE169" w14:textId="77777777" w:rsidR="003D72E7" w:rsidRDefault="003D72E7">
            <w:pPr>
              <w:widowControl/>
              <w:jc w:val="left"/>
              <w:rPr>
                <w:rFonts w:ascii="Times New Roman" w:eastAsia="宋体" w:hAnsi="宋体" w:cs="宋体"/>
                <w:kern w:val="0"/>
                <w:sz w:val="24"/>
              </w:rPr>
            </w:pPr>
          </w:p>
        </w:tc>
        <w:tc>
          <w:tcPr>
            <w:tcW w:w="1582" w:type="pct"/>
            <w:tcBorders>
              <w:top w:val="nil"/>
              <w:left w:val="nil"/>
              <w:bottom w:val="nil"/>
              <w:right w:val="nil"/>
            </w:tcBorders>
            <w:shd w:val="clear" w:color="auto" w:fill="auto"/>
            <w:vAlign w:val="bottom"/>
          </w:tcPr>
          <w:p w14:paraId="619DE16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16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16C" w14:textId="77777777" w:rsidR="003D72E7" w:rsidRDefault="003D72E7">
            <w:pPr>
              <w:widowControl/>
              <w:jc w:val="left"/>
              <w:rPr>
                <w:rFonts w:ascii="Times New Roman" w:eastAsia="宋体" w:hAnsi="宋体" w:cs="宋体"/>
                <w:kern w:val="0"/>
                <w:sz w:val="24"/>
              </w:rPr>
            </w:pPr>
          </w:p>
        </w:tc>
        <w:tc>
          <w:tcPr>
            <w:tcW w:w="762" w:type="pct"/>
            <w:tcBorders>
              <w:top w:val="nil"/>
              <w:left w:val="nil"/>
              <w:bottom w:val="nil"/>
              <w:right w:val="nil"/>
            </w:tcBorders>
            <w:shd w:val="clear" w:color="auto" w:fill="auto"/>
            <w:vAlign w:val="bottom"/>
          </w:tcPr>
          <w:p w14:paraId="619DE16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16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16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17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17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172" w14:textId="77777777" w:rsidR="003D72E7" w:rsidRDefault="003D72E7">
            <w:pPr>
              <w:widowControl/>
              <w:jc w:val="left"/>
              <w:rPr>
                <w:rFonts w:ascii="Times New Roman" w:eastAsia="宋体" w:hAnsi="宋体" w:cs="宋体"/>
                <w:kern w:val="0"/>
                <w:sz w:val="24"/>
              </w:rPr>
            </w:pPr>
          </w:p>
        </w:tc>
        <w:tc>
          <w:tcPr>
            <w:tcW w:w="762" w:type="pct"/>
            <w:tcBorders>
              <w:top w:val="nil"/>
              <w:left w:val="nil"/>
              <w:bottom w:val="nil"/>
              <w:right w:val="nil"/>
            </w:tcBorders>
            <w:shd w:val="clear" w:color="auto" w:fill="auto"/>
            <w:vAlign w:val="bottom"/>
          </w:tcPr>
          <w:p w14:paraId="619DE17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17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175"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17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17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178" w14:textId="77777777" w:rsidR="003D72E7" w:rsidRDefault="003D72E7">
            <w:pPr>
              <w:widowControl/>
              <w:jc w:val="left"/>
              <w:rPr>
                <w:rFonts w:ascii="Times New Roman" w:eastAsia="宋体" w:hAnsi="宋体" w:cs="宋体"/>
                <w:kern w:val="0"/>
                <w:sz w:val="24"/>
              </w:rPr>
            </w:pPr>
          </w:p>
        </w:tc>
        <w:tc>
          <w:tcPr>
            <w:tcW w:w="762" w:type="pct"/>
            <w:tcBorders>
              <w:top w:val="nil"/>
              <w:left w:val="nil"/>
              <w:bottom w:val="nil"/>
              <w:right w:val="nil"/>
            </w:tcBorders>
            <w:shd w:val="clear" w:color="auto" w:fill="auto"/>
            <w:vAlign w:val="bottom"/>
          </w:tcPr>
          <w:p w14:paraId="619DE17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17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17B"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17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17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17E" w14:textId="77777777" w:rsidR="003D72E7" w:rsidRDefault="003D72E7">
            <w:pPr>
              <w:widowControl/>
              <w:jc w:val="left"/>
              <w:rPr>
                <w:rFonts w:ascii="Times New Roman" w:eastAsia="宋体" w:hAnsi="宋体" w:cs="宋体"/>
                <w:kern w:val="0"/>
                <w:sz w:val="24"/>
              </w:rPr>
            </w:pPr>
          </w:p>
        </w:tc>
        <w:tc>
          <w:tcPr>
            <w:tcW w:w="762" w:type="pct"/>
            <w:tcBorders>
              <w:top w:val="nil"/>
              <w:left w:val="nil"/>
              <w:bottom w:val="nil"/>
              <w:right w:val="nil"/>
            </w:tcBorders>
            <w:shd w:val="clear" w:color="auto" w:fill="auto"/>
            <w:vAlign w:val="bottom"/>
          </w:tcPr>
          <w:p w14:paraId="619DE17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180" w14:textId="77777777" w:rsidR="003D72E7" w:rsidRDefault="003D72E7">
            <w:pPr>
              <w:widowControl/>
              <w:jc w:val="left"/>
              <w:rPr>
                <w:rFonts w:ascii="Times New Roman" w:eastAsia="宋体" w:hAnsi="宋体" w:cs="宋体"/>
                <w:kern w:val="0"/>
                <w:sz w:val="24"/>
              </w:rPr>
            </w:pPr>
          </w:p>
        </w:tc>
      </w:tr>
      <w:tr w:rsidR="003D72E7" w14:paraId="619DE18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182"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E18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184"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E18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E18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18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18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18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18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18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18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18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18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E19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190" w14:textId="77777777" w:rsidR="003D72E7" w:rsidRDefault="003D72E7">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E191"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3D72E7" w14:paraId="619DE1A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19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costs</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19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19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19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19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19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19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19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19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19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19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19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19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1A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1A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1A2" w14:textId="77777777" w:rsidR="003D72E7" w:rsidRDefault="003D72E7">
            <w:pPr>
              <w:widowControl/>
              <w:jc w:val="right"/>
              <w:rPr>
                <w:rFonts w:ascii="Times New Roman" w:eastAsia="宋体" w:hAnsi="宋体" w:cs="宋体"/>
                <w:kern w:val="0"/>
                <w:sz w:val="24"/>
              </w:rPr>
            </w:pPr>
          </w:p>
        </w:tc>
      </w:tr>
      <w:tr w:rsidR="003D72E7" w14:paraId="619DE1B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E1A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Variable costs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1A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1A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1A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1A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1A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1A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1A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1A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1A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1A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1AF" w14:textId="77777777" w:rsidR="003D72E7" w:rsidRDefault="003D72E7">
            <w:pPr>
              <w:widowControl/>
              <w:jc w:val="right"/>
              <w:rPr>
                <w:rFonts w:ascii="Times New Roman" w:eastAsia="宋体" w:hAnsi="宋体" w:cs="宋体"/>
                <w:kern w:val="0"/>
                <w:sz w:val="24"/>
              </w:rPr>
            </w:pPr>
          </w:p>
        </w:tc>
      </w:tr>
      <w:tr w:rsidR="003D72E7" w14:paraId="619DE1C1"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DE1B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lease costs</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E1B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1B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1B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1B5"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E1B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1B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1B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1B9"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E1B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1B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337 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1B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1B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E1B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1B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331 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1C0" w14:textId="77777777" w:rsidR="003D72E7" w:rsidRDefault="003D72E7">
            <w:pPr>
              <w:widowControl/>
              <w:jc w:val="right"/>
              <w:rPr>
                <w:rFonts w:ascii="Times New Roman" w:eastAsia="宋体" w:hAnsi="宋体" w:cs="宋体"/>
                <w:kern w:val="0"/>
                <w:sz w:val="24"/>
              </w:rPr>
            </w:pPr>
          </w:p>
        </w:tc>
      </w:tr>
    </w:tbl>
    <w:p w14:paraId="619DE1C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1C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During both the six months ended July 30, 2021 and July 31, 2020, sublease income, finance lease costs, and short-term lease costs were immaterial. </w:t>
      </w:r>
    </w:p>
    <w:p w14:paraId="619DE1C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1C5"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supplemental information related to operating leases included in the Condens</w:t>
      </w:r>
      <w:r>
        <w:rPr>
          <w:rFonts w:ascii="Times New Roman" w:eastAsia="宋体" w:hAnsi="Times New Roman" w:cs="Times New Roman"/>
          <w:color w:val="000000"/>
          <w:kern w:val="0"/>
          <w:sz w:val="20"/>
          <w:szCs w:val="20"/>
          <w:lang w:bidi="ar"/>
        </w:rPr>
        <w:t>ed Consolidated Statements of Financial Position as of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2698"/>
        <w:gridCol w:w="38"/>
        <w:gridCol w:w="41"/>
        <w:gridCol w:w="2175"/>
        <w:gridCol w:w="36"/>
        <w:gridCol w:w="121"/>
        <w:gridCol w:w="1183"/>
        <w:gridCol w:w="187"/>
        <w:gridCol w:w="36"/>
        <w:gridCol w:w="36"/>
        <w:gridCol w:w="36"/>
        <w:gridCol w:w="121"/>
        <w:gridCol w:w="1183"/>
        <w:gridCol w:w="187"/>
        <w:gridCol w:w="36"/>
        <w:gridCol w:w="36"/>
        <w:gridCol w:w="36"/>
        <w:gridCol w:w="36"/>
        <w:gridCol w:w="36"/>
        <w:gridCol w:w="36"/>
      </w:tblGrid>
      <w:tr w:rsidR="003D72E7" w14:paraId="619DE1D7" w14:textId="77777777">
        <w:tc>
          <w:tcPr>
            <w:tcW w:w="50" w:type="pct"/>
            <w:tcBorders>
              <w:top w:val="nil"/>
              <w:left w:val="nil"/>
              <w:bottom w:val="nil"/>
              <w:right w:val="nil"/>
            </w:tcBorders>
            <w:shd w:val="clear" w:color="auto" w:fill="auto"/>
            <w:vAlign w:val="bottom"/>
          </w:tcPr>
          <w:p w14:paraId="619DE1C6" w14:textId="77777777" w:rsidR="003D72E7" w:rsidRDefault="003D72E7">
            <w:pPr>
              <w:widowControl/>
              <w:jc w:val="left"/>
              <w:rPr>
                <w:rFonts w:ascii="Times New Roman" w:eastAsia="宋体" w:hAnsi="宋体" w:cs="宋体"/>
                <w:kern w:val="0"/>
                <w:sz w:val="24"/>
              </w:rPr>
            </w:pPr>
          </w:p>
        </w:tc>
        <w:tc>
          <w:tcPr>
            <w:tcW w:w="1750" w:type="pct"/>
            <w:tcBorders>
              <w:top w:val="nil"/>
              <w:left w:val="nil"/>
              <w:bottom w:val="nil"/>
              <w:right w:val="nil"/>
            </w:tcBorders>
            <w:shd w:val="clear" w:color="auto" w:fill="auto"/>
            <w:vAlign w:val="bottom"/>
          </w:tcPr>
          <w:p w14:paraId="619DE1C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1C8"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1C9" w14:textId="77777777" w:rsidR="003D72E7" w:rsidRDefault="003D72E7">
            <w:pPr>
              <w:widowControl/>
              <w:jc w:val="left"/>
              <w:rPr>
                <w:rFonts w:ascii="Times New Roman" w:eastAsia="宋体" w:hAnsi="宋体" w:cs="宋体"/>
                <w:kern w:val="0"/>
                <w:sz w:val="24"/>
              </w:rPr>
            </w:pPr>
          </w:p>
        </w:tc>
        <w:tc>
          <w:tcPr>
            <w:tcW w:w="1427" w:type="pct"/>
            <w:tcBorders>
              <w:top w:val="nil"/>
              <w:left w:val="nil"/>
              <w:bottom w:val="nil"/>
              <w:right w:val="nil"/>
            </w:tcBorders>
            <w:shd w:val="clear" w:color="auto" w:fill="auto"/>
            <w:vAlign w:val="bottom"/>
          </w:tcPr>
          <w:p w14:paraId="619DE1C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1C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1CC" w14:textId="77777777" w:rsidR="003D72E7" w:rsidRDefault="003D72E7">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619DE1C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1C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1C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1D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1D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1D2" w14:textId="77777777" w:rsidR="003D72E7" w:rsidRDefault="003D72E7">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619DE1D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1D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E1D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1D6" w14:textId="77777777" w:rsidR="003D72E7" w:rsidRDefault="003D72E7">
            <w:pPr>
              <w:widowControl/>
              <w:jc w:val="left"/>
              <w:rPr>
                <w:rFonts w:ascii="Times New Roman" w:eastAsia="宋体" w:hAnsi="宋体" w:cs="宋体"/>
                <w:vanish/>
                <w:kern w:val="0"/>
                <w:sz w:val="24"/>
              </w:rPr>
            </w:pPr>
          </w:p>
        </w:tc>
      </w:tr>
      <w:tr w:rsidR="003D72E7" w14:paraId="619DE1D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1D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1D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Classification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1D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1D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E1D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c>
          <w:tcPr>
            <w:tcW w:w="0" w:type="auto"/>
            <w:gridSpan w:val="3"/>
            <w:tcBorders>
              <w:top w:val="nil"/>
              <w:left w:val="nil"/>
              <w:bottom w:val="nil"/>
              <w:right w:val="nil"/>
            </w:tcBorders>
            <w:shd w:val="clear" w:color="auto" w:fill="auto"/>
            <w:vAlign w:val="bottom"/>
          </w:tcPr>
          <w:p w14:paraId="619DE1D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1DE" w14:textId="77777777" w:rsidR="003D72E7" w:rsidRDefault="003D72E7">
            <w:pPr>
              <w:widowControl/>
              <w:jc w:val="left"/>
              <w:rPr>
                <w:rFonts w:ascii="Times New Roman" w:eastAsia="宋体" w:hAnsi="宋体" w:cs="宋体"/>
                <w:vanish/>
                <w:kern w:val="0"/>
                <w:sz w:val="24"/>
              </w:rPr>
            </w:pPr>
          </w:p>
        </w:tc>
      </w:tr>
      <w:tr w:rsidR="003D72E7" w14:paraId="619DE1E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1E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E1E1"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1E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for term and discount rate)</w:t>
            </w:r>
          </w:p>
        </w:tc>
        <w:tc>
          <w:tcPr>
            <w:tcW w:w="0" w:type="auto"/>
            <w:tcBorders>
              <w:top w:val="nil"/>
              <w:left w:val="nil"/>
              <w:bottom w:val="nil"/>
              <w:right w:val="nil"/>
            </w:tcBorders>
            <w:shd w:val="clear" w:color="auto" w:fill="auto"/>
            <w:vAlign w:val="bottom"/>
          </w:tcPr>
          <w:p w14:paraId="619DE1E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1E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1E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1E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1E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1E8" w14:textId="77777777" w:rsidR="003D72E7" w:rsidRDefault="003D72E7">
            <w:pPr>
              <w:widowControl/>
              <w:jc w:val="left"/>
              <w:rPr>
                <w:rFonts w:ascii="Times New Roman" w:eastAsia="宋体" w:hAnsi="宋体" w:cs="宋体"/>
                <w:kern w:val="0"/>
                <w:sz w:val="24"/>
              </w:rPr>
            </w:pPr>
          </w:p>
        </w:tc>
      </w:tr>
      <w:tr w:rsidR="003D72E7" w14:paraId="619DE1F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1E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lease right of use assets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1E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Other </w:t>
            </w:r>
            <w:r>
              <w:rPr>
                <w:rFonts w:ascii="Times New Roman" w:eastAsia="宋体" w:hAnsi="Times New Roman" w:cs="Times New Roman"/>
                <w:color w:val="000000"/>
                <w:kern w:val="0"/>
                <w:sz w:val="20"/>
                <w:szCs w:val="20"/>
                <w:lang w:bidi="ar"/>
              </w:rPr>
              <w:t>non-current assets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1E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CCEEFF"/>
            <w:tcMar>
              <w:top w:w="40" w:type="dxa"/>
              <w:left w:w="0" w:type="dxa"/>
              <w:bottom w:w="40" w:type="dxa"/>
              <w:right w:w="140" w:type="dxa"/>
            </w:tcMar>
            <w:vAlign w:val="bottom"/>
          </w:tcPr>
          <w:p w14:paraId="619DE1E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2,044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1E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1E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CCEEFF"/>
            <w:tcMar>
              <w:top w:w="40" w:type="dxa"/>
              <w:left w:w="0" w:type="dxa"/>
              <w:bottom w:w="40" w:type="dxa"/>
              <w:right w:w="140" w:type="dxa"/>
            </w:tcMar>
            <w:vAlign w:val="bottom"/>
          </w:tcPr>
          <w:p w14:paraId="619DE1F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2,117</w:t>
            </w:r>
          </w:p>
        </w:tc>
        <w:tc>
          <w:tcPr>
            <w:tcW w:w="0" w:type="auto"/>
            <w:gridSpan w:val="3"/>
            <w:tcBorders>
              <w:top w:val="nil"/>
              <w:left w:val="nil"/>
              <w:bottom w:val="nil"/>
              <w:right w:val="nil"/>
            </w:tcBorders>
            <w:shd w:val="clear" w:color="auto" w:fill="auto"/>
            <w:vAlign w:val="bottom"/>
          </w:tcPr>
          <w:p w14:paraId="619DE1F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1F2" w14:textId="77777777" w:rsidR="003D72E7" w:rsidRDefault="003D72E7">
            <w:pPr>
              <w:widowControl/>
              <w:jc w:val="left"/>
              <w:rPr>
                <w:rFonts w:ascii="Times New Roman" w:eastAsia="宋体" w:hAnsi="宋体" w:cs="宋体"/>
                <w:vanish/>
                <w:kern w:val="0"/>
                <w:sz w:val="24"/>
              </w:rPr>
            </w:pPr>
          </w:p>
        </w:tc>
      </w:tr>
      <w:tr w:rsidR="003D72E7" w14:paraId="619DE1FB" w14:textId="77777777">
        <w:trPr>
          <w:trHeight w:val="3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1F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1F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1F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1F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1F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E1F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1FA" w14:textId="77777777" w:rsidR="003D72E7" w:rsidRDefault="003D72E7">
            <w:pPr>
              <w:widowControl/>
              <w:jc w:val="left"/>
              <w:rPr>
                <w:rFonts w:ascii="Times New Roman" w:eastAsia="宋体" w:hAnsi="宋体" w:cs="宋体"/>
                <w:vanish/>
                <w:kern w:val="0"/>
                <w:sz w:val="24"/>
              </w:rPr>
            </w:pPr>
          </w:p>
        </w:tc>
      </w:tr>
      <w:tr w:rsidR="003D72E7" w14:paraId="619DE20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1F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 operating lease liabilities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1F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Accrued and other current liabilities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1F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CCEEFF"/>
            <w:tcMar>
              <w:top w:w="40" w:type="dxa"/>
              <w:left w:w="0" w:type="dxa"/>
              <w:bottom w:w="40" w:type="dxa"/>
              <w:right w:w="140" w:type="dxa"/>
            </w:tcMar>
            <w:vAlign w:val="bottom"/>
          </w:tcPr>
          <w:p w14:paraId="619DE1F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20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20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CCEEFF"/>
            <w:tcMar>
              <w:top w:w="40" w:type="dxa"/>
              <w:left w:w="0" w:type="dxa"/>
              <w:bottom w:w="40" w:type="dxa"/>
              <w:right w:w="140" w:type="dxa"/>
            </w:tcMar>
            <w:vAlign w:val="bottom"/>
          </w:tcPr>
          <w:p w14:paraId="619DE20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436</w:t>
            </w:r>
          </w:p>
        </w:tc>
        <w:tc>
          <w:tcPr>
            <w:tcW w:w="0" w:type="auto"/>
            <w:gridSpan w:val="3"/>
            <w:tcBorders>
              <w:top w:val="nil"/>
              <w:left w:val="nil"/>
              <w:bottom w:val="nil"/>
              <w:right w:val="nil"/>
            </w:tcBorders>
            <w:shd w:val="clear" w:color="auto" w:fill="auto"/>
            <w:vAlign w:val="bottom"/>
          </w:tcPr>
          <w:p w14:paraId="619DE20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04" w14:textId="77777777" w:rsidR="003D72E7" w:rsidRDefault="003D72E7">
            <w:pPr>
              <w:widowControl/>
              <w:jc w:val="left"/>
              <w:rPr>
                <w:rFonts w:ascii="Times New Roman" w:eastAsia="宋体" w:hAnsi="宋体" w:cs="宋体"/>
                <w:vanish/>
                <w:kern w:val="0"/>
                <w:sz w:val="24"/>
              </w:rPr>
            </w:pPr>
          </w:p>
        </w:tc>
      </w:tr>
      <w:tr w:rsidR="003D72E7" w14:paraId="619DE20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20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Non-current operating lease liabilities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20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non-current liabilities</w:t>
            </w:r>
          </w:p>
        </w:tc>
        <w:tc>
          <w:tcPr>
            <w:tcW w:w="0" w:type="auto"/>
            <w:gridSpan w:val="3"/>
            <w:tcBorders>
              <w:top w:val="nil"/>
              <w:left w:val="nil"/>
              <w:bottom w:val="nil"/>
              <w:right w:val="nil"/>
            </w:tcBorders>
            <w:shd w:val="clear" w:color="auto" w:fill="FFFFFF"/>
            <w:tcMar>
              <w:top w:w="40" w:type="dxa"/>
              <w:left w:w="20" w:type="dxa"/>
              <w:bottom w:w="40" w:type="dxa"/>
              <w:right w:w="140" w:type="dxa"/>
            </w:tcMar>
            <w:vAlign w:val="bottom"/>
          </w:tcPr>
          <w:p w14:paraId="619DE20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1,746</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20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140" w:type="dxa"/>
            </w:tcMar>
            <w:vAlign w:val="bottom"/>
          </w:tcPr>
          <w:p w14:paraId="619DE20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1,787</w:t>
            </w:r>
          </w:p>
        </w:tc>
        <w:tc>
          <w:tcPr>
            <w:tcW w:w="0" w:type="auto"/>
            <w:gridSpan w:val="3"/>
            <w:tcBorders>
              <w:top w:val="nil"/>
              <w:left w:val="nil"/>
              <w:bottom w:val="nil"/>
              <w:right w:val="nil"/>
            </w:tcBorders>
            <w:shd w:val="clear" w:color="auto" w:fill="auto"/>
            <w:vAlign w:val="bottom"/>
          </w:tcPr>
          <w:p w14:paraId="619DE20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0C" w14:textId="77777777" w:rsidR="003D72E7" w:rsidRDefault="003D72E7">
            <w:pPr>
              <w:widowControl/>
              <w:jc w:val="left"/>
              <w:rPr>
                <w:rFonts w:ascii="Times New Roman" w:eastAsia="宋体" w:hAnsi="宋体" w:cs="宋体"/>
                <w:vanish/>
                <w:kern w:val="0"/>
                <w:sz w:val="24"/>
              </w:rPr>
            </w:pPr>
          </w:p>
        </w:tc>
      </w:tr>
      <w:tr w:rsidR="003D72E7" w14:paraId="619DE217"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E20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operating lease </w:t>
            </w:r>
            <w:r>
              <w:rPr>
                <w:rFonts w:ascii="Times New Roman" w:eastAsia="宋体" w:hAnsi="Times New Roman" w:cs="Times New Roman"/>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20F"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E21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double" w:sz="2" w:space="0" w:color="000000"/>
              <w:right w:val="nil"/>
            </w:tcBorders>
            <w:shd w:val="clear" w:color="auto" w:fill="CCEEFF"/>
            <w:tcMar>
              <w:top w:w="40" w:type="dxa"/>
              <w:left w:w="0" w:type="dxa"/>
              <w:bottom w:w="40" w:type="dxa"/>
              <w:right w:w="140" w:type="dxa"/>
            </w:tcMar>
            <w:vAlign w:val="bottom"/>
          </w:tcPr>
          <w:p w14:paraId="619DE21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2,189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21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E21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double" w:sz="2" w:space="0" w:color="000000"/>
              <w:right w:val="nil"/>
            </w:tcBorders>
            <w:shd w:val="clear" w:color="auto" w:fill="CCEEFF"/>
            <w:tcMar>
              <w:top w:w="40" w:type="dxa"/>
              <w:left w:w="0" w:type="dxa"/>
              <w:bottom w:w="40" w:type="dxa"/>
              <w:right w:w="140" w:type="dxa"/>
            </w:tcMar>
            <w:vAlign w:val="bottom"/>
          </w:tcPr>
          <w:p w14:paraId="619DE21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2,223</w:t>
            </w:r>
          </w:p>
        </w:tc>
        <w:tc>
          <w:tcPr>
            <w:tcW w:w="0" w:type="auto"/>
            <w:gridSpan w:val="3"/>
            <w:tcBorders>
              <w:top w:val="nil"/>
              <w:left w:val="nil"/>
              <w:bottom w:val="nil"/>
              <w:right w:val="nil"/>
            </w:tcBorders>
            <w:shd w:val="clear" w:color="auto" w:fill="auto"/>
            <w:vAlign w:val="bottom"/>
          </w:tcPr>
          <w:p w14:paraId="619DE21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16" w14:textId="77777777" w:rsidR="003D72E7" w:rsidRDefault="003D72E7">
            <w:pPr>
              <w:widowControl/>
              <w:jc w:val="left"/>
              <w:rPr>
                <w:rFonts w:ascii="Times New Roman" w:eastAsia="宋体" w:hAnsi="宋体" w:cs="宋体"/>
                <w:vanish/>
                <w:kern w:val="0"/>
                <w:sz w:val="24"/>
              </w:rPr>
            </w:pPr>
          </w:p>
        </w:tc>
      </w:tr>
      <w:tr w:rsidR="003D72E7" w14:paraId="619DE21F" w14:textId="77777777">
        <w:trPr>
          <w:trHeight w:val="3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21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219"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E21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21B"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E21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E21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1E" w14:textId="77777777" w:rsidR="003D72E7" w:rsidRDefault="003D72E7">
            <w:pPr>
              <w:widowControl/>
              <w:jc w:val="left"/>
              <w:rPr>
                <w:rFonts w:ascii="Times New Roman" w:eastAsia="宋体" w:hAnsi="宋体" w:cs="宋体"/>
                <w:vanish/>
                <w:kern w:val="0"/>
                <w:sz w:val="24"/>
              </w:rPr>
            </w:pPr>
          </w:p>
        </w:tc>
      </w:tr>
      <w:tr w:rsidR="003D72E7" w14:paraId="619DE22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22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Weighted-average remaining lease term (in years)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22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22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22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22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8.85</w:t>
            </w:r>
          </w:p>
        </w:tc>
        <w:tc>
          <w:tcPr>
            <w:tcW w:w="0" w:type="auto"/>
            <w:gridSpan w:val="3"/>
            <w:tcBorders>
              <w:top w:val="nil"/>
              <w:left w:val="nil"/>
              <w:bottom w:val="nil"/>
              <w:right w:val="nil"/>
            </w:tcBorders>
            <w:shd w:val="clear" w:color="auto" w:fill="auto"/>
            <w:vAlign w:val="bottom"/>
          </w:tcPr>
          <w:p w14:paraId="619DE22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26" w14:textId="77777777" w:rsidR="003D72E7" w:rsidRDefault="003D72E7">
            <w:pPr>
              <w:widowControl/>
              <w:jc w:val="left"/>
              <w:rPr>
                <w:rFonts w:ascii="Times New Roman" w:eastAsia="宋体" w:hAnsi="宋体" w:cs="宋体"/>
                <w:vanish/>
                <w:kern w:val="0"/>
                <w:sz w:val="24"/>
              </w:rPr>
            </w:pPr>
          </w:p>
        </w:tc>
      </w:tr>
      <w:tr w:rsidR="003D72E7" w14:paraId="619DE23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22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Weighted-average discount rate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22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22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22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22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22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22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auto"/>
            <w:vAlign w:val="bottom"/>
          </w:tcPr>
          <w:p w14:paraId="619DE22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30" w14:textId="77777777" w:rsidR="003D72E7" w:rsidRDefault="003D72E7">
            <w:pPr>
              <w:widowControl/>
              <w:jc w:val="left"/>
              <w:rPr>
                <w:rFonts w:ascii="Times New Roman" w:eastAsia="宋体" w:hAnsi="宋体" w:cs="宋体"/>
                <w:vanish/>
                <w:kern w:val="0"/>
                <w:sz w:val="24"/>
              </w:rPr>
            </w:pPr>
          </w:p>
        </w:tc>
      </w:tr>
    </w:tbl>
    <w:p w14:paraId="619DE23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23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23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w:t>
      </w:r>
    </w:p>
    <w:p w14:paraId="619DE235"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236" w14:textId="77777777" w:rsidR="003D72E7" w:rsidRDefault="00AD6774">
      <w:pPr>
        <w:widowControl/>
        <w:jc w:val="center"/>
      </w:pPr>
      <w:r>
        <w:rPr>
          <w:rFonts w:ascii="宋体" w:eastAsia="宋体" w:hAnsi="宋体" w:cs="宋体"/>
          <w:kern w:val="0"/>
          <w:sz w:val="24"/>
        </w:rPr>
        <w:pict w14:anchorId="619E0D86">
          <v:rect id="_x0000_i1051" style="width:6in;height:1.5pt" o:hralign="center" o:hrstd="t" o:hr="t" fillcolor="#a0a0a0" stroked="f"/>
        </w:pict>
      </w:r>
    </w:p>
    <w:p w14:paraId="619DE237"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238"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239"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E23A"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23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23C"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supplemental cash flow information related t</w:t>
      </w:r>
      <w:r>
        <w:rPr>
          <w:rFonts w:ascii="Times New Roman" w:eastAsia="宋体" w:hAnsi="Times New Roman" w:cs="Times New Roman"/>
          <w:color w:val="000000"/>
          <w:kern w:val="0"/>
          <w:sz w:val="20"/>
          <w:szCs w:val="20"/>
          <w:lang w:bidi="ar"/>
        </w:rPr>
        <w:t>o leases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893"/>
        <w:gridCol w:w="36"/>
        <w:gridCol w:w="120"/>
        <w:gridCol w:w="1475"/>
        <w:gridCol w:w="36"/>
        <w:gridCol w:w="36"/>
        <w:gridCol w:w="36"/>
        <w:gridCol w:w="36"/>
        <w:gridCol w:w="120"/>
        <w:gridCol w:w="1475"/>
        <w:gridCol w:w="36"/>
      </w:tblGrid>
      <w:tr w:rsidR="003D72E7" w14:paraId="619DE249" w14:textId="77777777">
        <w:trPr>
          <w:jc w:val="center"/>
        </w:trPr>
        <w:tc>
          <w:tcPr>
            <w:tcW w:w="50" w:type="pct"/>
            <w:tcBorders>
              <w:top w:val="nil"/>
              <w:left w:val="nil"/>
              <w:bottom w:val="nil"/>
              <w:right w:val="nil"/>
            </w:tcBorders>
            <w:shd w:val="clear" w:color="auto" w:fill="auto"/>
            <w:vAlign w:val="bottom"/>
          </w:tcPr>
          <w:p w14:paraId="619DE23D" w14:textId="77777777" w:rsidR="003D72E7" w:rsidRDefault="003D72E7">
            <w:pPr>
              <w:widowControl/>
              <w:jc w:val="left"/>
              <w:rPr>
                <w:rFonts w:ascii="Times New Roman" w:eastAsia="宋体" w:hAnsi="宋体" w:cs="宋体"/>
                <w:kern w:val="0"/>
                <w:sz w:val="24"/>
              </w:rPr>
            </w:pPr>
          </w:p>
        </w:tc>
        <w:tc>
          <w:tcPr>
            <w:tcW w:w="2971" w:type="pct"/>
            <w:tcBorders>
              <w:top w:val="nil"/>
              <w:left w:val="nil"/>
              <w:bottom w:val="nil"/>
              <w:right w:val="nil"/>
            </w:tcBorders>
            <w:shd w:val="clear" w:color="auto" w:fill="auto"/>
            <w:vAlign w:val="bottom"/>
          </w:tcPr>
          <w:p w14:paraId="619DE23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23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240" w14:textId="77777777" w:rsidR="003D72E7" w:rsidRDefault="003D72E7">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619DE24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24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24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24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24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246" w14:textId="77777777" w:rsidR="003D72E7" w:rsidRDefault="003D72E7">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619DE24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248" w14:textId="77777777" w:rsidR="003D72E7" w:rsidRDefault="003D72E7">
            <w:pPr>
              <w:widowControl/>
              <w:jc w:val="left"/>
              <w:rPr>
                <w:rFonts w:ascii="Times New Roman" w:eastAsia="宋体" w:hAnsi="宋体" w:cs="宋体"/>
                <w:kern w:val="0"/>
                <w:sz w:val="24"/>
              </w:rPr>
            </w:pPr>
          </w:p>
        </w:tc>
      </w:tr>
      <w:tr w:rsidR="003D72E7" w14:paraId="619DE24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24A"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E24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E25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24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24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24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25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E25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252"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25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E25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25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Cash paid for amounts included in the measurement of lease liabilities — </w:t>
            </w:r>
            <w:r>
              <w:rPr>
                <w:rFonts w:ascii="Times New Roman" w:eastAsia="宋体" w:hAnsi="Times New Roman" w:cs="Times New Roman"/>
                <w:color w:val="000000"/>
                <w:kern w:val="0"/>
                <w:sz w:val="20"/>
                <w:szCs w:val="20"/>
                <w:lang w:bidi="ar"/>
              </w:rPr>
              <w:br/>
              <w:t>operating cash outflows from operating leases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25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25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25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25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25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25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25C" w14:textId="77777777" w:rsidR="003D72E7" w:rsidRDefault="003D72E7">
            <w:pPr>
              <w:widowControl/>
              <w:jc w:val="right"/>
              <w:rPr>
                <w:rFonts w:ascii="Times New Roman" w:eastAsia="宋体" w:hAnsi="宋体" w:cs="宋体"/>
                <w:kern w:val="0"/>
                <w:sz w:val="24"/>
              </w:rPr>
            </w:pPr>
          </w:p>
        </w:tc>
      </w:tr>
      <w:tr w:rsidR="003D72E7" w14:paraId="619DE262"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25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25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26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261" w14:textId="77777777" w:rsidR="003D72E7" w:rsidRDefault="003D72E7">
            <w:pPr>
              <w:widowControl/>
              <w:jc w:val="left"/>
              <w:rPr>
                <w:rFonts w:ascii="Times New Roman" w:eastAsia="宋体" w:hAnsi="宋体" w:cs="宋体"/>
                <w:kern w:val="0"/>
                <w:sz w:val="24"/>
              </w:rPr>
            </w:pPr>
          </w:p>
        </w:tc>
      </w:tr>
      <w:tr w:rsidR="003D72E7" w14:paraId="619DE26B" w14:textId="77777777">
        <w:trPr>
          <w:jc w:val="center"/>
        </w:trPr>
        <w:tc>
          <w:tcPr>
            <w:tcW w:w="0" w:type="auto"/>
            <w:gridSpan w:val="3"/>
            <w:tcBorders>
              <w:top w:val="nil"/>
              <w:left w:val="nil"/>
              <w:bottom w:val="nil"/>
              <w:right w:val="nil"/>
            </w:tcBorders>
            <w:shd w:val="clear" w:color="auto" w:fill="CCEEFF"/>
            <w:tcMar>
              <w:top w:w="40" w:type="dxa"/>
              <w:left w:w="35" w:type="dxa"/>
              <w:bottom w:w="40" w:type="dxa"/>
              <w:right w:w="20" w:type="dxa"/>
            </w:tcMar>
            <w:vAlign w:val="bottom"/>
          </w:tcPr>
          <w:p w14:paraId="619DE26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ROU assets obtained in exchange for new operating lease liabilities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26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26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26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26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26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26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26A" w14:textId="77777777" w:rsidR="003D72E7" w:rsidRDefault="003D72E7">
            <w:pPr>
              <w:widowControl/>
              <w:jc w:val="right"/>
              <w:rPr>
                <w:rFonts w:ascii="Times New Roman" w:eastAsia="宋体" w:hAnsi="宋体" w:cs="宋体"/>
                <w:kern w:val="0"/>
                <w:sz w:val="24"/>
              </w:rPr>
            </w:pPr>
          </w:p>
        </w:tc>
      </w:tr>
    </w:tbl>
    <w:p w14:paraId="619DE26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26D"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future maturities of the Company’s operating lease liabilities under non-cancelable leases and reconciles the undiscounted cash flows for these leases to the lease liability recognized on the Condensed Consolidated Statemen</w:t>
      </w:r>
      <w:r>
        <w:rPr>
          <w:rFonts w:ascii="Times New Roman" w:eastAsia="宋体" w:hAnsi="Times New Roman" w:cs="Times New Roman"/>
          <w:color w:val="000000"/>
          <w:kern w:val="0"/>
          <w:sz w:val="20"/>
          <w:szCs w:val="20"/>
          <w:lang w:bidi="ar"/>
        </w:rPr>
        <w:t xml:space="preserve">ts of Financial Position as of the date indicated: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6419"/>
        <w:gridCol w:w="38"/>
        <w:gridCol w:w="121"/>
        <w:gridCol w:w="1456"/>
        <w:gridCol w:w="37"/>
        <w:gridCol w:w="36"/>
        <w:gridCol w:w="36"/>
        <w:gridCol w:w="36"/>
        <w:gridCol w:w="36"/>
        <w:gridCol w:w="36"/>
        <w:gridCol w:w="36"/>
      </w:tblGrid>
      <w:tr w:rsidR="003D72E7" w14:paraId="619DE276" w14:textId="77777777">
        <w:trPr>
          <w:jc w:val="center"/>
        </w:trPr>
        <w:tc>
          <w:tcPr>
            <w:tcW w:w="50" w:type="pct"/>
            <w:tcBorders>
              <w:top w:val="nil"/>
              <w:left w:val="nil"/>
              <w:bottom w:val="nil"/>
              <w:right w:val="nil"/>
            </w:tcBorders>
            <w:shd w:val="clear" w:color="auto" w:fill="auto"/>
            <w:vAlign w:val="bottom"/>
          </w:tcPr>
          <w:p w14:paraId="619DE26E" w14:textId="77777777" w:rsidR="003D72E7" w:rsidRDefault="003D72E7">
            <w:pPr>
              <w:widowControl/>
              <w:jc w:val="left"/>
              <w:rPr>
                <w:rFonts w:ascii="Times New Roman" w:eastAsia="宋体" w:hAnsi="宋体" w:cs="宋体"/>
                <w:kern w:val="0"/>
                <w:sz w:val="24"/>
              </w:rPr>
            </w:pPr>
          </w:p>
        </w:tc>
        <w:tc>
          <w:tcPr>
            <w:tcW w:w="3972" w:type="pct"/>
            <w:tcBorders>
              <w:top w:val="nil"/>
              <w:left w:val="nil"/>
              <w:bottom w:val="nil"/>
              <w:right w:val="nil"/>
            </w:tcBorders>
            <w:shd w:val="clear" w:color="auto" w:fill="auto"/>
            <w:vAlign w:val="bottom"/>
          </w:tcPr>
          <w:p w14:paraId="619DE26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270"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271" w14:textId="77777777" w:rsidR="003D72E7" w:rsidRDefault="003D72E7">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619DE27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27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E27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75" w14:textId="77777777" w:rsidR="003D72E7" w:rsidRDefault="003D72E7">
            <w:pPr>
              <w:widowControl/>
              <w:jc w:val="left"/>
              <w:rPr>
                <w:rFonts w:ascii="Times New Roman" w:eastAsia="宋体" w:hAnsi="宋体" w:cs="宋体"/>
                <w:vanish/>
                <w:kern w:val="0"/>
                <w:sz w:val="24"/>
              </w:rPr>
            </w:pPr>
          </w:p>
        </w:tc>
      </w:tr>
      <w:tr w:rsidR="003D72E7" w14:paraId="619DE27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27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27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vAlign w:val="bottom"/>
          </w:tcPr>
          <w:p w14:paraId="619DE27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7A" w14:textId="77777777" w:rsidR="003D72E7" w:rsidRDefault="003D72E7">
            <w:pPr>
              <w:widowControl/>
              <w:jc w:val="left"/>
              <w:rPr>
                <w:rFonts w:ascii="Times New Roman" w:eastAsia="宋体" w:hAnsi="宋体" w:cs="宋体"/>
                <w:vanish/>
                <w:kern w:val="0"/>
                <w:sz w:val="24"/>
              </w:rPr>
            </w:pPr>
          </w:p>
        </w:tc>
      </w:tr>
      <w:tr w:rsidR="003D72E7" w14:paraId="619DE28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27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E27D"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c>
          <w:tcPr>
            <w:tcW w:w="0" w:type="auto"/>
            <w:tcBorders>
              <w:top w:val="nil"/>
              <w:left w:val="nil"/>
              <w:bottom w:val="nil"/>
              <w:right w:val="nil"/>
            </w:tcBorders>
            <w:shd w:val="clear" w:color="auto" w:fill="auto"/>
            <w:vAlign w:val="bottom"/>
          </w:tcPr>
          <w:p w14:paraId="619DE27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27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28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28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28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283" w14:textId="77777777" w:rsidR="003D72E7" w:rsidRDefault="003D72E7">
            <w:pPr>
              <w:widowControl/>
              <w:jc w:val="left"/>
              <w:rPr>
                <w:rFonts w:ascii="Times New Roman" w:eastAsia="宋体" w:hAnsi="宋体" w:cs="宋体"/>
                <w:kern w:val="0"/>
                <w:sz w:val="24"/>
              </w:rPr>
            </w:pPr>
          </w:p>
        </w:tc>
      </w:tr>
      <w:tr w:rsidR="003D72E7" w14:paraId="619DE28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28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Fiscal 2022 (remaining six months)</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28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28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235 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28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E28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8A" w14:textId="77777777" w:rsidR="003D72E7" w:rsidRDefault="003D72E7">
            <w:pPr>
              <w:widowControl/>
              <w:jc w:val="left"/>
              <w:rPr>
                <w:rFonts w:ascii="Times New Roman" w:eastAsia="宋体" w:hAnsi="宋体" w:cs="宋体"/>
                <w:vanish/>
                <w:kern w:val="0"/>
                <w:sz w:val="24"/>
              </w:rPr>
            </w:pPr>
          </w:p>
        </w:tc>
      </w:tr>
      <w:tr w:rsidR="003D72E7" w14:paraId="619DE29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E28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Fiscal 2023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28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28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E28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90" w14:textId="77777777" w:rsidR="003D72E7" w:rsidRDefault="003D72E7">
            <w:pPr>
              <w:widowControl/>
              <w:jc w:val="left"/>
              <w:rPr>
                <w:rFonts w:ascii="Times New Roman" w:eastAsia="宋体" w:hAnsi="宋体" w:cs="宋体"/>
                <w:vanish/>
                <w:kern w:val="0"/>
                <w:sz w:val="24"/>
              </w:rPr>
            </w:pPr>
          </w:p>
        </w:tc>
      </w:tr>
      <w:tr w:rsidR="003D72E7" w14:paraId="619DE29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29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Fiscal 2024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29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362 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29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E29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96" w14:textId="77777777" w:rsidR="003D72E7" w:rsidRDefault="003D72E7">
            <w:pPr>
              <w:widowControl/>
              <w:jc w:val="left"/>
              <w:rPr>
                <w:rFonts w:ascii="Times New Roman" w:eastAsia="宋体" w:hAnsi="宋体" w:cs="宋体"/>
                <w:vanish/>
                <w:kern w:val="0"/>
                <w:sz w:val="24"/>
              </w:rPr>
            </w:pPr>
          </w:p>
        </w:tc>
      </w:tr>
      <w:tr w:rsidR="003D72E7" w14:paraId="619DE29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E29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Fiscal 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29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29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E29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9C" w14:textId="77777777" w:rsidR="003D72E7" w:rsidRDefault="003D72E7">
            <w:pPr>
              <w:widowControl/>
              <w:jc w:val="left"/>
              <w:rPr>
                <w:rFonts w:ascii="Times New Roman" w:eastAsia="宋体" w:hAnsi="宋体" w:cs="宋体"/>
                <w:vanish/>
                <w:kern w:val="0"/>
                <w:sz w:val="24"/>
              </w:rPr>
            </w:pPr>
          </w:p>
        </w:tc>
      </w:tr>
      <w:tr w:rsidR="003D72E7" w14:paraId="619DE2A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29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Fiscal 2026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29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2A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E2A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A2" w14:textId="77777777" w:rsidR="003D72E7" w:rsidRDefault="003D72E7">
            <w:pPr>
              <w:widowControl/>
              <w:jc w:val="left"/>
              <w:rPr>
                <w:rFonts w:ascii="Times New Roman" w:eastAsia="宋体" w:hAnsi="宋体" w:cs="宋体"/>
                <w:vanish/>
                <w:kern w:val="0"/>
                <w:sz w:val="24"/>
              </w:rPr>
            </w:pPr>
          </w:p>
        </w:tc>
      </w:tr>
      <w:tr w:rsidR="003D72E7" w14:paraId="619DE2A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E2A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2A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1,022 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2A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E2A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A8" w14:textId="77777777" w:rsidR="003D72E7" w:rsidRDefault="003D72E7">
            <w:pPr>
              <w:widowControl/>
              <w:jc w:val="left"/>
              <w:rPr>
                <w:rFonts w:ascii="Times New Roman" w:eastAsia="宋体" w:hAnsi="宋体" w:cs="宋体"/>
                <w:vanish/>
                <w:kern w:val="0"/>
                <w:sz w:val="24"/>
              </w:rPr>
            </w:pPr>
          </w:p>
        </w:tc>
      </w:tr>
      <w:tr w:rsidR="003D72E7" w14:paraId="619DE2AF"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DE2A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lease payments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E2A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2,590 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DE2A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E2A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AE" w14:textId="77777777" w:rsidR="003D72E7" w:rsidRDefault="003D72E7">
            <w:pPr>
              <w:widowControl/>
              <w:jc w:val="left"/>
              <w:rPr>
                <w:rFonts w:ascii="Times New Roman" w:eastAsia="宋体" w:hAnsi="宋体" w:cs="宋体"/>
                <w:vanish/>
                <w:kern w:val="0"/>
                <w:sz w:val="24"/>
              </w:rPr>
            </w:pPr>
          </w:p>
        </w:tc>
      </w:tr>
      <w:tr w:rsidR="003D72E7" w14:paraId="619DE2B5"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center"/>
          </w:tcPr>
          <w:p w14:paraId="619DE2B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Less: Imputed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2B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(401)</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2B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E2B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B4" w14:textId="77777777" w:rsidR="003D72E7" w:rsidRDefault="003D72E7">
            <w:pPr>
              <w:widowControl/>
              <w:jc w:val="left"/>
              <w:rPr>
                <w:rFonts w:ascii="Times New Roman" w:eastAsia="宋体" w:hAnsi="宋体" w:cs="宋体"/>
                <w:vanish/>
                <w:kern w:val="0"/>
                <w:sz w:val="24"/>
              </w:rPr>
            </w:pPr>
          </w:p>
        </w:tc>
      </w:tr>
      <w:tr w:rsidR="003D72E7" w14:paraId="619DE2BC" w14:textId="77777777">
        <w:trPr>
          <w:jc w:val="center"/>
        </w:trPr>
        <w:tc>
          <w:tcPr>
            <w:tcW w:w="0" w:type="auto"/>
            <w:gridSpan w:val="3"/>
            <w:tcBorders>
              <w:top w:val="nil"/>
              <w:left w:val="nil"/>
              <w:bottom w:val="nil"/>
              <w:right w:val="nil"/>
            </w:tcBorders>
            <w:shd w:val="clear" w:color="auto" w:fill="CCEEFF"/>
            <w:tcMar>
              <w:top w:w="40" w:type="dxa"/>
              <w:left w:w="515" w:type="dxa"/>
              <w:bottom w:w="40" w:type="dxa"/>
              <w:right w:w="20" w:type="dxa"/>
            </w:tcMar>
            <w:vAlign w:val="center"/>
          </w:tcPr>
          <w:p w14:paraId="619DE2B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E2B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center"/>
          </w:tcPr>
          <w:p w14:paraId="619DE2B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2,189 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DE2B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E2B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BB" w14:textId="77777777" w:rsidR="003D72E7" w:rsidRDefault="003D72E7">
            <w:pPr>
              <w:widowControl/>
              <w:jc w:val="left"/>
              <w:rPr>
                <w:rFonts w:ascii="Times New Roman" w:eastAsia="宋体" w:hAnsi="宋体" w:cs="宋体"/>
                <w:vanish/>
                <w:kern w:val="0"/>
                <w:sz w:val="24"/>
              </w:rPr>
            </w:pPr>
          </w:p>
        </w:tc>
      </w:tr>
      <w:tr w:rsidR="003D72E7" w14:paraId="619DE2C3"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center"/>
          </w:tcPr>
          <w:p w14:paraId="619DE2B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Current operating lease liabilities</w:t>
            </w: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center"/>
          </w:tcPr>
          <w:p w14:paraId="619DE2B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FFFFFF"/>
            <w:tcMar>
              <w:top w:w="40" w:type="dxa"/>
              <w:left w:w="0" w:type="dxa"/>
              <w:bottom w:w="40" w:type="dxa"/>
              <w:right w:w="0" w:type="dxa"/>
            </w:tcMar>
            <w:vAlign w:val="center"/>
          </w:tcPr>
          <w:p w14:paraId="619DE2B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443 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center"/>
          </w:tcPr>
          <w:p w14:paraId="619DE2C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E2C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C2" w14:textId="77777777" w:rsidR="003D72E7" w:rsidRDefault="003D72E7">
            <w:pPr>
              <w:widowControl/>
              <w:jc w:val="left"/>
              <w:rPr>
                <w:rFonts w:ascii="Times New Roman" w:eastAsia="宋体" w:hAnsi="宋体" w:cs="宋体"/>
                <w:vanish/>
                <w:kern w:val="0"/>
                <w:sz w:val="24"/>
              </w:rPr>
            </w:pPr>
          </w:p>
        </w:tc>
      </w:tr>
      <w:tr w:rsidR="003D72E7" w14:paraId="619DE2CA"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center"/>
          </w:tcPr>
          <w:p w14:paraId="619DE2C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Non-current operating lease liabilities</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2C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2C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1,746 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2C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E2C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2C9" w14:textId="77777777" w:rsidR="003D72E7" w:rsidRDefault="003D72E7">
            <w:pPr>
              <w:widowControl/>
              <w:jc w:val="left"/>
              <w:rPr>
                <w:rFonts w:ascii="Times New Roman" w:eastAsia="宋体" w:hAnsi="宋体" w:cs="宋体"/>
                <w:vanish/>
                <w:kern w:val="0"/>
                <w:sz w:val="24"/>
              </w:rPr>
            </w:pPr>
          </w:p>
        </w:tc>
      </w:tr>
    </w:tbl>
    <w:p w14:paraId="619DE2C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2C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Future lease commitments after Fiscal 2026 include the ground lease on VMware, Inc.’s Palo Alto, California headquarters facilities, which expires in Fiscal 2047. </w:t>
      </w:r>
    </w:p>
    <w:p w14:paraId="619DE2C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2C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30, 2021, the Company has additional operating leases that have not yet commenc</w:t>
      </w:r>
      <w:r>
        <w:rPr>
          <w:rFonts w:ascii="Times New Roman" w:eastAsia="宋体" w:hAnsi="Times New Roman" w:cs="Times New Roman"/>
          <w:color w:val="000000"/>
          <w:kern w:val="0"/>
          <w:sz w:val="20"/>
          <w:szCs w:val="20"/>
          <w:lang w:bidi="ar"/>
        </w:rPr>
        <w:t>ed of $71 million. These operating leases will commence during Fiscal 2022 with lease terms of one year to 10 years.</w:t>
      </w:r>
    </w:p>
    <w:p w14:paraId="619DE2C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2D0"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2D1"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w:t>
      </w:r>
    </w:p>
    <w:p w14:paraId="619DE2D2"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2D3" w14:textId="77777777" w:rsidR="003D72E7" w:rsidRDefault="00AD6774">
      <w:pPr>
        <w:widowControl/>
        <w:jc w:val="center"/>
      </w:pPr>
      <w:r>
        <w:rPr>
          <w:rFonts w:ascii="宋体" w:eastAsia="宋体" w:hAnsi="宋体" w:cs="宋体"/>
          <w:kern w:val="0"/>
          <w:sz w:val="24"/>
        </w:rPr>
        <w:pict w14:anchorId="619E0D87">
          <v:rect id="_x0000_i1052" style="width:6in;height:1.5pt" o:hralign="center" o:hrstd="t" o:hr="t" fillcolor="#a0a0a0" stroked="f"/>
        </w:pict>
      </w:r>
    </w:p>
    <w:p w14:paraId="619DE2D4"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2D5"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2D6"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 xml:space="preserve">NOTES TO THE </w:t>
      </w:r>
      <w:r>
        <w:rPr>
          <w:rFonts w:ascii="Times New Roman" w:eastAsia="宋体" w:hAnsi="Times New Roman" w:cs="Times New Roman"/>
          <w:b/>
          <w:bCs/>
          <w:color w:val="000000"/>
          <w:kern w:val="0"/>
          <w:sz w:val="20"/>
          <w:szCs w:val="20"/>
          <w:shd w:val="clear" w:color="auto" w:fill="FFFFFF"/>
          <w:lang w:bidi="ar"/>
        </w:rPr>
        <w:t>CONDENSED CONSOLIDATED FINANCIAL STATEMENTS (Continued)</w:t>
      </w:r>
    </w:p>
    <w:p w14:paraId="619DE2D7"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2D8"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2D9" w14:textId="77777777" w:rsidR="003D72E7" w:rsidRDefault="00AD6774">
      <w:pPr>
        <w:widowControl/>
        <w:spacing w:after="12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5 — DEBT </w:t>
      </w:r>
    </w:p>
    <w:p w14:paraId="619DE2DA"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Company’s outstanding debt as of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889"/>
        <w:gridCol w:w="38"/>
        <w:gridCol w:w="120"/>
        <w:gridCol w:w="1475"/>
        <w:gridCol w:w="36"/>
        <w:gridCol w:w="36"/>
        <w:gridCol w:w="36"/>
        <w:gridCol w:w="36"/>
        <w:gridCol w:w="120"/>
        <w:gridCol w:w="1475"/>
        <w:gridCol w:w="36"/>
      </w:tblGrid>
      <w:tr w:rsidR="003D72E7" w14:paraId="619DE2E7" w14:textId="77777777">
        <w:tc>
          <w:tcPr>
            <w:tcW w:w="50" w:type="pct"/>
            <w:tcBorders>
              <w:top w:val="nil"/>
              <w:left w:val="nil"/>
              <w:bottom w:val="nil"/>
              <w:right w:val="nil"/>
            </w:tcBorders>
            <w:shd w:val="clear" w:color="auto" w:fill="auto"/>
            <w:vAlign w:val="bottom"/>
          </w:tcPr>
          <w:p w14:paraId="619DE2DB" w14:textId="77777777" w:rsidR="003D72E7" w:rsidRDefault="003D72E7">
            <w:pPr>
              <w:widowControl/>
              <w:jc w:val="left"/>
              <w:rPr>
                <w:rFonts w:ascii="Times New Roman" w:eastAsia="宋体" w:hAnsi="宋体" w:cs="宋体"/>
                <w:kern w:val="0"/>
                <w:sz w:val="24"/>
              </w:rPr>
            </w:pPr>
          </w:p>
        </w:tc>
        <w:tc>
          <w:tcPr>
            <w:tcW w:w="2971" w:type="pct"/>
            <w:tcBorders>
              <w:top w:val="nil"/>
              <w:left w:val="nil"/>
              <w:bottom w:val="nil"/>
              <w:right w:val="nil"/>
            </w:tcBorders>
            <w:shd w:val="clear" w:color="auto" w:fill="auto"/>
            <w:vAlign w:val="bottom"/>
          </w:tcPr>
          <w:p w14:paraId="619DE2D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2D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2DE" w14:textId="77777777" w:rsidR="003D72E7" w:rsidRDefault="003D72E7">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619DE2D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2E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2E1"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2E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2E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2E4" w14:textId="77777777" w:rsidR="003D72E7" w:rsidRDefault="003D72E7">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619DE2E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2E6" w14:textId="77777777" w:rsidR="003D72E7" w:rsidRDefault="003D72E7">
            <w:pPr>
              <w:widowControl/>
              <w:jc w:val="left"/>
              <w:rPr>
                <w:rFonts w:ascii="Times New Roman" w:eastAsia="宋体" w:hAnsi="宋体" w:cs="宋体"/>
                <w:kern w:val="0"/>
                <w:sz w:val="24"/>
              </w:rPr>
            </w:pPr>
          </w:p>
        </w:tc>
      </w:tr>
      <w:tr w:rsidR="003D72E7" w14:paraId="619DE2E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2E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2E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2E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E2E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E2E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2ED"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2E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E2F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2F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Secured Debt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2F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2F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2F3" w14:textId="77777777" w:rsidR="003D72E7" w:rsidRDefault="003D72E7">
            <w:pPr>
              <w:widowControl/>
              <w:jc w:val="left"/>
              <w:rPr>
                <w:rFonts w:ascii="Times New Roman" w:eastAsia="宋体" w:hAnsi="宋体" w:cs="宋体"/>
                <w:kern w:val="0"/>
                <w:sz w:val="24"/>
              </w:rPr>
            </w:pPr>
          </w:p>
        </w:tc>
      </w:tr>
      <w:tr w:rsidR="003D72E7" w14:paraId="619DE2F9"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E2F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Senior Secured Credit Facilities: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2F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2F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2F8" w14:textId="77777777" w:rsidR="003D72E7" w:rsidRDefault="003D72E7">
            <w:pPr>
              <w:widowControl/>
              <w:jc w:val="left"/>
              <w:rPr>
                <w:rFonts w:ascii="Times New Roman" w:eastAsia="宋体" w:hAnsi="宋体" w:cs="宋体"/>
                <w:kern w:val="0"/>
                <w:sz w:val="24"/>
              </w:rPr>
            </w:pPr>
          </w:p>
        </w:tc>
      </w:tr>
      <w:tr w:rsidR="003D72E7" w14:paraId="619DE30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2F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 Term Loan B-2 Facility due September 2025</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2F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2F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2F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2F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2F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30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01" w14:textId="77777777" w:rsidR="003D72E7" w:rsidRDefault="003D72E7">
            <w:pPr>
              <w:widowControl/>
              <w:jc w:val="right"/>
              <w:rPr>
                <w:rFonts w:ascii="Times New Roman" w:eastAsia="宋体" w:hAnsi="宋体" w:cs="宋体"/>
                <w:kern w:val="0"/>
                <w:sz w:val="24"/>
              </w:rPr>
            </w:pPr>
          </w:p>
        </w:tc>
      </w:tr>
      <w:tr w:rsidR="003D72E7" w14:paraId="619DE30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30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1.86% Term Loan A-6 Facility due March 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0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0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0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0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08" w14:textId="77777777" w:rsidR="003D72E7" w:rsidRDefault="003D72E7">
            <w:pPr>
              <w:widowControl/>
              <w:jc w:val="right"/>
              <w:rPr>
                <w:rFonts w:ascii="Times New Roman" w:eastAsia="宋体" w:hAnsi="宋体" w:cs="宋体"/>
                <w:kern w:val="0"/>
                <w:sz w:val="24"/>
              </w:rPr>
            </w:pPr>
          </w:p>
        </w:tc>
      </w:tr>
      <w:tr w:rsidR="003D72E7" w14:paraId="619DE30E"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E30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First Lien Notes: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0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0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0D" w14:textId="77777777" w:rsidR="003D72E7" w:rsidRDefault="003D72E7">
            <w:pPr>
              <w:widowControl/>
              <w:jc w:val="left"/>
              <w:rPr>
                <w:rFonts w:ascii="Times New Roman" w:eastAsia="宋体" w:hAnsi="宋体" w:cs="宋体"/>
                <w:kern w:val="0"/>
                <w:sz w:val="24"/>
              </w:rPr>
            </w:pPr>
          </w:p>
        </w:tc>
      </w:tr>
      <w:tr w:rsidR="003D72E7" w14:paraId="619DE31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30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5.45% due June 2023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1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1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1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1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14" w14:textId="77777777" w:rsidR="003D72E7" w:rsidRDefault="003D72E7">
            <w:pPr>
              <w:widowControl/>
              <w:jc w:val="right"/>
              <w:rPr>
                <w:rFonts w:ascii="Times New Roman" w:eastAsia="宋体" w:hAnsi="宋体" w:cs="宋体"/>
                <w:kern w:val="0"/>
                <w:sz w:val="24"/>
              </w:rPr>
            </w:pPr>
          </w:p>
        </w:tc>
      </w:tr>
      <w:tr w:rsidR="003D72E7" w14:paraId="619DE31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31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4.00% due July 2024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1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1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1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1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1B" w14:textId="77777777" w:rsidR="003D72E7" w:rsidRDefault="003D72E7">
            <w:pPr>
              <w:widowControl/>
              <w:jc w:val="right"/>
              <w:rPr>
                <w:rFonts w:ascii="Times New Roman" w:eastAsia="宋体" w:hAnsi="宋体" w:cs="宋体"/>
                <w:kern w:val="0"/>
                <w:sz w:val="24"/>
              </w:rPr>
            </w:pPr>
          </w:p>
        </w:tc>
      </w:tr>
      <w:tr w:rsidR="003D72E7" w14:paraId="619DE32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31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5.85% due July 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1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1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2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2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22" w14:textId="77777777" w:rsidR="003D72E7" w:rsidRDefault="003D72E7">
            <w:pPr>
              <w:widowControl/>
              <w:jc w:val="right"/>
              <w:rPr>
                <w:rFonts w:ascii="Times New Roman" w:eastAsia="宋体" w:hAnsi="宋体" w:cs="宋体"/>
                <w:kern w:val="0"/>
                <w:sz w:val="24"/>
              </w:rPr>
            </w:pPr>
          </w:p>
        </w:tc>
      </w:tr>
      <w:tr w:rsidR="003D72E7" w14:paraId="619DE32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32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6.02% due June 2026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2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2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2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2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29" w14:textId="77777777" w:rsidR="003D72E7" w:rsidRDefault="003D72E7">
            <w:pPr>
              <w:widowControl/>
              <w:jc w:val="right"/>
              <w:rPr>
                <w:rFonts w:ascii="Times New Roman" w:eastAsia="宋体" w:hAnsi="宋体" w:cs="宋体"/>
                <w:kern w:val="0"/>
                <w:sz w:val="24"/>
              </w:rPr>
            </w:pPr>
          </w:p>
        </w:tc>
      </w:tr>
      <w:tr w:rsidR="003D72E7" w14:paraId="619DE33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32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4.90% due October 2026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2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2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2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2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30" w14:textId="77777777" w:rsidR="003D72E7" w:rsidRDefault="003D72E7">
            <w:pPr>
              <w:widowControl/>
              <w:jc w:val="right"/>
              <w:rPr>
                <w:rFonts w:ascii="Times New Roman" w:eastAsia="宋体" w:hAnsi="宋体" w:cs="宋体"/>
                <w:kern w:val="0"/>
                <w:sz w:val="24"/>
              </w:rPr>
            </w:pPr>
          </w:p>
        </w:tc>
      </w:tr>
      <w:tr w:rsidR="003D72E7" w14:paraId="619DE33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33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6.10% due July 2027</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3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3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3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3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37" w14:textId="77777777" w:rsidR="003D72E7" w:rsidRDefault="003D72E7">
            <w:pPr>
              <w:widowControl/>
              <w:jc w:val="right"/>
              <w:rPr>
                <w:rFonts w:ascii="Times New Roman" w:eastAsia="宋体" w:hAnsi="宋体" w:cs="宋体"/>
                <w:kern w:val="0"/>
                <w:sz w:val="24"/>
              </w:rPr>
            </w:pPr>
          </w:p>
        </w:tc>
      </w:tr>
      <w:tr w:rsidR="003D72E7" w14:paraId="619DE33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33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5.30% due October 2029</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3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3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3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3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3E" w14:textId="77777777" w:rsidR="003D72E7" w:rsidRDefault="003D72E7">
            <w:pPr>
              <w:widowControl/>
              <w:jc w:val="right"/>
              <w:rPr>
                <w:rFonts w:ascii="Times New Roman" w:eastAsia="宋体" w:hAnsi="宋体" w:cs="宋体"/>
                <w:kern w:val="0"/>
                <w:sz w:val="24"/>
              </w:rPr>
            </w:pPr>
          </w:p>
        </w:tc>
      </w:tr>
      <w:tr w:rsidR="003D72E7" w14:paraId="619DE34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34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6.20% due July 2030</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4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4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4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4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45" w14:textId="77777777" w:rsidR="003D72E7" w:rsidRDefault="003D72E7">
            <w:pPr>
              <w:widowControl/>
              <w:jc w:val="right"/>
              <w:rPr>
                <w:rFonts w:ascii="Times New Roman" w:eastAsia="宋体" w:hAnsi="宋体" w:cs="宋体"/>
                <w:kern w:val="0"/>
                <w:sz w:val="24"/>
              </w:rPr>
            </w:pPr>
          </w:p>
        </w:tc>
      </w:tr>
      <w:tr w:rsidR="003D72E7" w14:paraId="619DE34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34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8.10% due July 2036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4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4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4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4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4C" w14:textId="77777777" w:rsidR="003D72E7" w:rsidRDefault="003D72E7">
            <w:pPr>
              <w:widowControl/>
              <w:jc w:val="right"/>
              <w:rPr>
                <w:rFonts w:ascii="Times New Roman" w:eastAsia="宋体" w:hAnsi="宋体" w:cs="宋体"/>
                <w:kern w:val="0"/>
                <w:sz w:val="24"/>
              </w:rPr>
            </w:pPr>
          </w:p>
        </w:tc>
      </w:tr>
      <w:tr w:rsidR="003D72E7" w14:paraId="619DE35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34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8.35% due July 2046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4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5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5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5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53" w14:textId="77777777" w:rsidR="003D72E7" w:rsidRDefault="003D72E7">
            <w:pPr>
              <w:widowControl/>
              <w:jc w:val="right"/>
              <w:rPr>
                <w:rFonts w:ascii="Times New Roman" w:eastAsia="宋体" w:hAnsi="宋体" w:cs="宋体"/>
                <w:kern w:val="0"/>
                <w:sz w:val="24"/>
              </w:rPr>
            </w:pPr>
          </w:p>
        </w:tc>
      </w:tr>
      <w:tr w:rsidR="003D72E7" w14:paraId="619DE35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35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Unsecured Debt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5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5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58" w14:textId="77777777" w:rsidR="003D72E7" w:rsidRDefault="003D72E7">
            <w:pPr>
              <w:widowControl/>
              <w:jc w:val="left"/>
              <w:rPr>
                <w:rFonts w:ascii="Times New Roman" w:eastAsia="宋体" w:hAnsi="宋体" w:cs="宋体"/>
                <w:kern w:val="0"/>
                <w:sz w:val="24"/>
              </w:rPr>
            </w:pPr>
          </w:p>
        </w:tc>
      </w:tr>
      <w:tr w:rsidR="003D72E7" w14:paraId="619DE35E"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E35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Unsecured Notes and Debentures: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5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5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5D" w14:textId="77777777" w:rsidR="003D72E7" w:rsidRDefault="003D72E7">
            <w:pPr>
              <w:widowControl/>
              <w:jc w:val="left"/>
              <w:rPr>
                <w:rFonts w:ascii="Times New Roman" w:eastAsia="宋体" w:hAnsi="宋体" w:cs="宋体"/>
                <w:kern w:val="0"/>
                <w:sz w:val="24"/>
              </w:rPr>
            </w:pPr>
          </w:p>
        </w:tc>
      </w:tr>
      <w:tr w:rsidR="003D72E7" w14:paraId="619DE36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35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4.625% due April 2021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6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6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6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6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64" w14:textId="77777777" w:rsidR="003D72E7" w:rsidRDefault="003D72E7">
            <w:pPr>
              <w:widowControl/>
              <w:jc w:val="right"/>
              <w:rPr>
                <w:rFonts w:ascii="Times New Roman" w:eastAsia="宋体" w:hAnsi="宋体" w:cs="宋体"/>
                <w:kern w:val="0"/>
                <w:sz w:val="24"/>
              </w:rPr>
            </w:pPr>
          </w:p>
        </w:tc>
      </w:tr>
      <w:tr w:rsidR="003D72E7" w14:paraId="619DE36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36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7.10% due April 2028</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6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6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6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6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6B" w14:textId="77777777" w:rsidR="003D72E7" w:rsidRDefault="003D72E7">
            <w:pPr>
              <w:widowControl/>
              <w:jc w:val="right"/>
              <w:rPr>
                <w:rFonts w:ascii="Times New Roman" w:eastAsia="宋体" w:hAnsi="宋体" w:cs="宋体"/>
                <w:kern w:val="0"/>
                <w:sz w:val="24"/>
              </w:rPr>
            </w:pPr>
          </w:p>
        </w:tc>
      </w:tr>
      <w:tr w:rsidR="003D72E7" w14:paraId="619DE37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36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6.50% due April 2038</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6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6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7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7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72" w14:textId="77777777" w:rsidR="003D72E7" w:rsidRDefault="003D72E7">
            <w:pPr>
              <w:widowControl/>
              <w:jc w:val="right"/>
              <w:rPr>
                <w:rFonts w:ascii="Times New Roman" w:eastAsia="宋体" w:hAnsi="宋体" w:cs="宋体"/>
                <w:kern w:val="0"/>
                <w:sz w:val="24"/>
              </w:rPr>
            </w:pPr>
          </w:p>
        </w:tc>
      </w:tr>
      <w:tr w:rsidR="003D72E7" w14:paraId="619DE37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37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5.40% due September 2040</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7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7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7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7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79" w14:textId="77777777" w:rsidR="003D72E7" w:rsidRDefault="003D72E7">
            <w:pPr>
              <w:widowControl/>
              <w:jc w:val="right"/>
              <w:rPr>
                <w:rFonts w:ascii="Times New Roman" w:eastAsia="宋体" w:hAnsi="宋体" w:cs="宋体"/>
                <w:kern w:val="0"/>
                <w:sz w:val="24"/>
              </w:rPr>
            </w:pPr>
          </w:p>
        </w:tc>
      </w:tr>
      <w:tr w:rsidR="003D72E7" w14:paraId="619DE37F"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E37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Senior Notes: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7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7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7E" w14:textId="77777777" w:rsidR="003D72E7" w:rsidRDefault="003D72E7">
            <w:pPr>
              <w:widowControl/>
              <w:jc w:val="left"/>
              <w:rPr>
                <w:rFonts w:ascii="Times New Roman" w:eastAsia="宋体" w:hAnsi="宋体" w:cs="宋体"/>
                <w:kern w:val="0"/>
                <w:sz w:val="24"/>
              </w:rPr>
            </w:pPr>
          </w:p>
        </w:tc>
      </w:tr>
      <w:tr w:rsidR="003D72E7" w14:paraId="619DE38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38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5.875% due June 2021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8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8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8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8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85" w14:textId="77777777" w:rsidR="003D72E7" w:rsidRDefault="003D72E7">
            <w:pPr>
              <w:widowControl/>
              <w:jc w:val="right"/>
              <w:rPr>
                <w:rFonts w:ascii="Times New Roman" w:eastAsia="宋体" w:hAnsi="宋体" w:cs="宋体"/>
                <w:kern w:val="0"/>
                <w:sz w:val="24"/>
              </w:rPr>
            </w:pPr>
          </w:p>
        </w:tc>
      </w:tr>
      <w:tr w:rsidR="003D72E7" w14:paraId="619DE38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38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7.125% due June 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8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8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8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8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8C" w14:textId="77777777" w:rsidR="003D72E7" w:rsidRDefault="003D72E7">
            <w:pPr>
              <w:widowControl/>
              <w:jc w:val="right"/>
              <w:rPr>
                <w:rFonts w:ascii="Times New Roman" w:eastAsia="宋体" w:hAnsi="宋体" w:cs="宋体"/>
                <w:kern w:val="0"/>
                <w:sz w:val="24"/>
              </w:rPr>
            </w:pPr>
          </w:p>
        </w:tc>
      </w:tr>
      <w:tr w:rsidR="003D72E7" w14:paraId="619DE392"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E38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EMC Notes: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8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9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91" w14:textId="77777777" w:rsidR="003D72E7" w:rsidRDefault="003D72E7">
            <w:pPr>
              <w:widowControl/>
              <w:jc w:val="left"/>
              <w:rPr>
                <w:rFonts w:ascii="Times New Roman" w:eastAsia="宋体" w:hAnsi="宋体" w:cs="宋体"/>
                <w:kern w:val="0"/>
                <w:sz w:val="24"/>
              </w:rPr>
            </w:pPr>
          </w:p>
        </w:tc>
      </w:tr>
      <w:tr w:rsidR="003D72E7" w14:paraId="619DE39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39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3.375% due June 2023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9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9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9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9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98" w14:textId="77777777" w:rsidR="003D72E7" w:rsidRDefault="003D72E7">
            <w:pPr>
              <w:widowControl/>
              <w:jc w:val="right"/>
              <w:rPr>
                <w:rFonts w:ascii="Times New Roman" w:eastAsia="宋体" w:hAnsi="宋体" w:cs="宋体"/>
                <w:kern w:val="0"/>
                <w:sz w:val="24"/>
              </w:rPr>
            </w:pPr>
          </w:p>
        </w:tc>
      </w:tr>
      <w:tr w:rsidR="003D72E7" w14:paraId="619DE39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39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Debt of Public Subsidiary</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9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9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9D" w14:textId="77777777" w:rsidR="003D72E7" w:rsidRDefault="003D72E7">
            <w:pPr>
              <w:widowControl/>
              <w:jc w:val="left"/>
              <w:rPr>
                <w:rFonts w:ascii="Times New Roman" w:eastAsia="宋体" w:hAnsi="宋体" w:cs="宋体"/>
                <w:kern w:val="0"/>
                <w:sz w:val="24"/>
              </w:rPr>
            </w:pPr>
          </w:p>
        </w:tc>
      </w:tr>
      <w:tr w:rsidR="003D72E7" w14:paraId="619DE3A3"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E39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VMware Notes: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A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A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A2" w14:textId="77777777" w:rsidR="003D72E7" w:rsidRDefault="003D72E7">
            <w:pPr>
              <w:widowControl/>
              <w:jc w:val="left"/>
              <w:rPr>
                <w:rFonts w:ascii="Times New Roman" w:eastAsia="宋体" w:hAnsi="宋体" w:cs="宋体"/>
                <w:kern w:val="0"/>
                <w:sz w:val="24"/>
              </w:rPr>
            </w:pPr>
          </w:p>
        </w:tc>
      </w:tr>
      <w:tr w:rsidR="003D72E7" w14:paraId="619DE3A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3A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2.95% due August </w:t>
            </w:r>
            <w:r>
              <w:rPr>
                <w:rFonts w:ascii="Times New Roman" w:eastAsia="宋体" w:hAnsi="Times New Roman" w:cs="Times New Roman"/>
                <w:color w:val="000000"/>
                <w:kern w:val="0"/>
                <w:sz w:val="20"/>
                <w:szCs w:val="20"/>
                <w:lang w:bidi="ar"/>
              </w:rPr>
              <w:t>2022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A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A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A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A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A9" w14:textId="77777777" w:rsidR="003D72E7" w:rsidRDefault="003D72E7">
            <w:pPr>
              <w:widowControl/>
              <w:jc w:val="right"/>
              <w:rPr>
                <w:rFonts w:ascii="Times New Roman" w:eastAsia="宋体" w:hAnsi="宋体" w:cs="宋体"/>
                <w:kern w:val="0"/>
                <w:sz w:val="24"/>
              </w:rPr>
            </w:pPr>
          </w:p>
        </w:tc>
      </w:tr>
      <w:tr w:rsidR="003D72E7" w14:paraId="619DE3B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3A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4.50% due May 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A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A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A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A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B0" w14:textId="77777777" w:rsidR="003D72E7" w:rsidRDefault="003D72E7">
            <w:pPr>
              <w:widowControl/>
              <w:jc w:val="right"/>
              <w:rPr>
                <w:rFonts w:ascii="Times New Roman" w:eastAsia="宋体" w:hAnsi="宋体" w:cs="宋体"/>
                <w:kern w:val="0"/>
                <w:sz w:val="24"/>
              </w:rPr>
            </w:pPr>
          </w:p>
        </w:tc>
      </w:tr>
      <w:tr w:rsidR="003D72E7" w14:paraId="619DE3B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3B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4.65% due May 2027</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B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B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B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B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B7" w14:textId="77777777" w:rsidR="003D72E7" w:rsidRDefault="003D72E7">
            <w:pPr>
              <w:widowControl/>
              <w:jc w:val="right"/>
              <w:rPr>
                <w:rFonts w:ascii="Times New Roman" w:eastAsia="宋体" w:hAnsi="宋体" w:cs="宋体"/>
                <w:kern w:val="0"/>
                <w:sz w:val="24"/>
              </w:rPr>
            </w:pPr>
          </w:p>
        </w:tc>
      </w:tr>
      <w:tr w:rsidR="003D72E7" w14:paraId="619DE3B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3B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3.90% due August 2027</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B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B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B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B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BE" w14:textId="77777777" w:rsidR="003D72E7" w:rsidRDefault="003D72E7">
            <w:pPr>
              <w:widowControl/>
              <w:jc w:val="right"/>
              <w:rPr>
                <w:rFonts w:ascii="Times New Roman" w:eastAsia="宋体" w:hAnsi="宋体" w:cs="宋体"/>
                <w:kern w:val="0"/>
                <w:sz w:val="24"/>
              </w:rPr>
            </w:pPr>
          </w:p>
        </w:tc>
      </w:tr>
      <w:tr w:rsidR="003D72E7" w14:paraId="619DE3C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3C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4.70% due May 2030</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C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C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C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C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C5" w14:textId="77777777" w:rsidR="003D72E7" w:rsidRDefault="003D72E7">
            <w:pPr>
              <w:widowControl/>
              <w:jc w:val="right"/>
              <w:rPr>
                <w:rFonts w:ascii="Times New Roman" w:eastAsia="宋体" w:hAnsi="宋体" w:cs="宋体"/>
                <w:kern w:val="0"/>
                <w:sz w:val="24"/>
              </w:rPr>
            </w:pPr>
          </w:p>
        </w:tc>
      </w:tr>
      <w:tr w:rsidR="003D72E7" w14:paraId="619DE3C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3C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DFS Debt (Note 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C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C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C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C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CC" w14:textId="77777777" w:rsidR="003D72E7" w:rsidRDefault="003D72E7">
            <w:pPr>
              <w:widowControl/>
              <w:jc w:val="right"/>
              <w:rPr>
                <w:rFonts w:ascii="Times New Roman" w:eastAsia="宋体" w:hAnsi="宋体" w:cs="宋体"/>
                <w:kern w:val="0"/>
                <w:sz w:val="24"/>
              </w:rPr>
            </w:pPr>
          </w:p>
        </w:tc>
      </w:tr>
      <w:tr w:rsidR="003D72E7" w14:paraId="619DE3D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3C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C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D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D1" w14:textId="77777777" w:rsidR="003D72E7" w:rsidRDefault="003D72E7">
            <w:pPr>
              <w:widowControl/>
              <w:jc w:val="left"/>
              <w:rPr>
                <w:rFonts w:ascii="Times New Roman" w:eastAsia="宋体" w:hAnsi="宋体" w:cs="宋体"/>
                <w:kern w:val="0"/>
                <w:sz w:val="24"/>
              </w:rPr>
            </w:pPr>
          </w:p>
        </w:tc>
      </w:tr>
      <w:tr w:rsidR="003D72E7" w14:paraId="619DE3D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3D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2.44% Margin Loan Facility due April 2022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D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D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D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3D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3D8" w14:textId="77777777" w:rsidR="003D72E7" w:rsidRDefault="003D72E7">
            <w:pPr>
              <w:widowControl/>
              <w:jc w:val="right"/>
              <w:rPr>
                <w:rFonts w:ascii="Times New Roman" w:eastAsia="宋体" w:hAnsi="宋体" w:cs="宋体"/>
                <w:kern w:val="0"/>
                <w:sz w:val="24"/>
              </w:rPr>
            </w:pPr>
          </w:p>
        </w:tc>
      </w:tr>
      <w:tr w:rsidR="003D72E7" w14:paraId="619DE3E0"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E3D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D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D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3D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3D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3DF" w14:textId="77777777" w:rsidR="003D72E7" w:rsidRDefault="003D72E7">
            <w:pPr>
              <w:widowControl/>
              <w:jc w:val="right"/>
              <w:rPr>
                <w:rFonts w:ascii="Times New Roman" w:eastAsia="宋体" w:hAnsi="宋体" w:cs="宋体"/>
                <w:kern w:val="0"/>
                <w:sz w:val="24"/>
              </w:rPr>
            </w:pPr>
          </w:p>
        </w:tc>
      </w:tr>
      <w:tr w:rsidR="003D72E7" w14:paraId="619DE3E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19DE3E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debt, principal amount</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3E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3E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44,037 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3E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3E5"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3E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3E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48,480 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3E8" w14:textId="77777777" w:rsidR="003D72E7" w:rsidRDefault="003D72E7">
            <w:pPr>
              <w:widowControl/>
              <w:jc w:val="right"/>
              <w:rPr>
                <w:rFonts w:ascii="Times New Roman" w:eastAsia="宋体" w:hAnsi="宋体" w:cs="宋体"/>
                <w:kern w:val="0"/>
                <w:sz w:val="24"/>
              </w:rPr>
            </w:pPr>
          </w:p>
        </w:tc>
      </w:tr>
    </w:tbl>
    <w:p w14:paraId="619DE3EA"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3EB"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w:t>
      </w:r>
    </w:p>
    <w:p w14:paraId="619DE3EC"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3ED" w14:textId="77777777" w:rsidR="003D72E7" w:rsidRDefault="00AD6774">
      <w:pPr>
        <w:widowControl/>
        <w:jc w:val="center"/>
      </w:pPr>
      <w:r>
        <w:rPr>
          <w:rFonts w:ascii="宋体" w:eastAsia="宋体" w:hAnsi="宋体" w:cs="宋体"/>
          <w:kern w:val="0"/>
          <w:sz w:val="24"/>
        </w:rPr>
        <w:pict w14:anchorId="619E0D88">
          <v:rect id="_x0000_i1053" style="width:6in;height:1.5pt" o:hralign="center" o:hrstd="t" o:hr="t" fillcolor="#a0a0a0" stroked="f"/>
        </w:pict>
      </w:r>
    </w:p>
    <w:p w14:paraId="619DE3EE"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3EF"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3F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E3F1"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3F2"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891"/>
        <w:gridCol w:w="37"/>
        <w:gridCol w:w="120"/>
        <w:gridCol w:w="1475"/>
        <w:gridCol w:w="36"/>
        <w:gridCol w:w="36"/>
        <w:gridCol w:w="36"/>
        <w:gridCol w:w="36"/>
        <w:gridCol w:w="120"/>
        <w:gridCol w:w="1475"/>
        <w:gridCol w:w="36"/>
      </w:tblGrid>
      <w:tr w:rsidR="003D72E7" w14:paraId="619DE3FF" w14:textId="77777777">
        <w:tc>
          <w:tcPr>
            <w:tcW w:w="50" w:type="pct"/>
            <w:tcBorders>
              <w:top w:val="nil"/>
              <w:left w:val="nil"/>
              <w:bottom w:val="nil"/>
              <w:right w:val="nil"/>
            </w:tcBorders>
            <w:shd w:val="clear" w:color="auto" w:fill="auto"/>
            <w:vAlign w:val="bottom"/>
          </w:tcPr>
          <w:p w14:paraId="619DE3F3" w14:textId="77777777" w:rsidR="003D72E7" w:rsidRDefault="003D72E7">
            <w:pPr>
              <w:widowControl/>
              <w:jc w:val="left"/>
              <w:rPr>
                <w:rFonts w:ascii="Times New Roman" w:eastAsia="宋体" w:hAnsi="宋体" w:cs="宋体"/>
                <w:kern w:val="0"/>
                <w:sz w:val="24"/>
              </w:rPr>
            </w:pPr>
          </w:p>
        </w:tc>
        <w:tc>
          <w:tcPr>
            <w:tcW w:w="2971" w:type="pct"/>
            <w:tcBorders>
              <w:top w:val="nil"/>
              <w:left w:val="nil"/>
              <w:bottom w:val="nil"/>
              <w:right w:val="nil"/>
            </w:tcBorders>
            <w:shd w:val="clear" w:color="auto" w:fill="auto"/>
            <w:vAlign w:val="bottom"/>
          </w:tcPr>
          <w:p w14:paraId="619DE3F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3F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3F6" w14:textId="77777777" w:rsidR="003D72E7" w:rsidRDefault="003D72E7">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619DE3F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3F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3F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3F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3F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3FC" w14:textId="77777777" w:rsidR="003D72E7" w:rsidRDefault="003D72E7">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619DE3F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3FE" w14:textId="77777777" w:rsidR="003D72E7" w:rsidRDefault="003D72E7">
            <w:pPr>
              <w:widowControl/>
              <w:jc w:val="left"/>
              <w:rPr>
                <w:rFonts w:ascii="Times New Roman" w:eastAsia="宋体" w:hAnsi="宋体" w:cs="宋体"/>
                <w:kern w:val="0"/>
                <w:sz w:val="24"/>
              </w:rPr>
            </w:pPr>
          </w:p>
        </w:tc>
      </w:tr>
      <w:tr w:rsidR="003D72E7" w14:paraId="619DE40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40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40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40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E40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E40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405"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E406"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3D72E7" w14:paraId="619DE410"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center"/>
          </w:tcPr>
          <w:p w14:paraId="619DE40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debt, principal amount</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40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40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44,037 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40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40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40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40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48,480 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40F" w14:textId="77777777" w:rsidR="003D72E7" w:rsidRDefault="003D72E7">
            <w:pPr>
              <w:widowControl/>
              <w:jc w:val="right"/>
              <w:rPr>
                <w:rFonts w:ascii="Times New Roman" w:eastAsia="宋体" w:hAnsi="宋体" w:cs="宋体"/>
                <w:kern w:val="0"/>
                <w:sz w:val="24"/>
              </w:rPr>
            </w:pPr>
          </w:p>
        </w:tc>
      </w:tr>
      <w:tr w:rsidR="003D72E7" w14:paraId="619DE417" w14:textId="77777777">
        <w:tc>
          <w:tcPr>
            <w:tcW w:w="0" w:type="auto"/>
            <w:gridSpan w:val="3"/>
            <w:tcBorders>
              <w:top w:val="nil"/>
              <w:left w:val="nil"/>
              <w:bottom w:val="nil"/>
              <w:right w:val="nil"/>
            </w:tcBorders>
            <w:shd w:val="clear" w:color="auto" w:fill="FFFFFF"/>
            <w:tcMar>
              <w:top w:w="40" w:type="dxa"/>
              <w:left w:w="485" w:type="dxa"/>
              <w:bottom w:w="40" w:type="dxa"/>
              <w:right w:w="20" w:type="dxa"/>
            </w:tcMar>
            <w:vAlign w:val="center"/>
          </w:tcPr>
          <w:p w14:paraId="619DE41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Unamortized discount, net of unamortized premium</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41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(174)</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41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41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41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(194)</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416" w14:textId="77777777" w:rsidR="003D72E7" w:rsidRDefault="003D72E7">
            <w:pPr>
              <w:widowControl/>
              <w:jc w:val="right"/>
              <w:rPr>
                <w:rFonts w:ascii="Times New Roman" w:eastAsia="宋体" w:hAnsi="宋体" w:cs="宋体"/>
                <w:kern w:val="0"/>
                <w:sz w:val="24"/>
              </w:rPr>
            </w:pPr>
          </w:p>
        </w:tc>
      </w:tr>
      <w:tr w:rsidR="003D72E7" w14:paraId="619DE41E" w14:textId="77777777">
        <w:tc>
          <w:tcPr>
            <w:tcW w:w="0" w:type="auto"/>
            <w:gridSpan w:val="3"/>
            <w:tcBorders>
              <w:top w:val="nil"/>
              <w:left w:val="nil"/>
              <w:bottom w:val="nil"/>
              <w:right w:val="nil"/>
            </w:tcBorders>
            <w:shd w:val="clear" w:color="auto" w:fill="CCEEFF"/>
            <w:tcMar>
              <w:top w:w="40" w:type="dxa"/>
              <w:left w:w="485" w:type="dxa"/>
              <w:bottom w:w="40" w:type="dxa"/>
              <w:right w:w="20" w:type="dxa"/>
            </w:tcMar>
            <w:vAlign w:val="center"/>
          </w:tcPr>
          <w:p w14:paraId="619DE41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Debt issuance costs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41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(269)</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41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41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41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(302)</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41D" w14:textId="77777777" w:rsidR="003D72E7" w:rsidRDefault="003D72E7">
            <w:pPr>
              <w:widowControl/>
              <w:jc w:val="right"/>
              <w:rPr>
                <w:rFonts w:ascii="Times New Roman" w:eastAsia="宋体" w:hAnsi="宋体" w:cs="宋体"/>
                <w:kern w:val="0"/>
                <w:sz w:val="24"/>
              </w:rPr>
            </w:pPr>
          </w:p>
        </w:tc>
      </w:tr>
      <w:tr w:rsidR="003D72E7" w14:paraId="619DE42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19DE41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debt, carrying value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42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center"/>
          </w:tcPr>
          <w:p w14:paraId="619DE42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43,594 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42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42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42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center"/>
          </w:tcPr>
          <w:p w14:paraId="619DE42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47,984 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426" w14:textId="77777777" w:rsidR="003D72E7" w:rsidRDefault="003D72E7">
            <w:pPr>
              <w:widowControl/>
              <w:jc w:val="right"/>
              <w:rPr>
                <w:rFonts w:ascii="Times New Roman" w:eastAsia="宋体" w:hAnsi="宋体" w:cs="宋体"/>
                <w:kern w:val="0"/>
                <w:sz w:val="24"/>
              </w:rPr>
            </w:pPr>
          </w:p>
        </w:tc>
      </w:tr>
      <w:tr w:rsidR="003D72E7" w14:paraId="619DE430" w14:textId="77777777">
        <w:tc>
          <w:tcPr>
            <w:tcW w:w="0" w:type="auto"/>
            <w:gridSpan w:val="3"/>
            <w:tcBorders>
              <w:top w:val="nil"/>
              <w:left w:val="nil"/>
              <w:bottom w:val="nil"/>
              <w:right w:val="nil"/>
            </w:tcBorders>
            <w:shd w:val="clear" w:color="auto" w:fill="CCEEFF"/>
            <w:tcMar>
              <w:top w:w="40" w:type="dxa"/>
              <w:left w:w="515" w:type="dxa"/>
              <w:bottom w:w="40" w:type="dxa"/>
              <w:right w:w="20" w:type="dxa"/>
            </w:tcMar>
            <w:vAlign w:val="center"/>
          </w:tcPr>
          <w:p w14:paraId="619DE42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short-term debt, carrying value</w:t>
            </w: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center"/>
          </w:tcPr>
          <w:p w14:paraId="619DE42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center"/>
          </w:tcPr>
          <w:p w14:paraId="619DE42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6,427 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center"/>
          </w:tcPr>
          <w:p w14:paraId="619DE42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42C" w14:textId="77777777" w:rsidR="003D72E7" w:rsidRDefault="003D72E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center"/>
          </w:tcPr>
          <w:p w14:paraId="619DE42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center"/>
          </w:tcPr>
          <w:p w14:paraId="619DE42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6,362 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center"/>
          </w:tcPr>
          <w:p w14:paraId="619DE42F" w14:textId="77777777" w:rsidR="003D72E7" w:rsidRDefault="003D72E7">
            <w:pPr>
              <w:widowControl/>
              <w:jc w:val="right"/>
              <w:rPr>
                <w:rFonts w:ascii="Times New Roman" w:eastAsia="宋体" w:hAnsi="宋体" w:cs="宋体"/>
                <w:kern w:val="0"/>
                <w:sz w:val="24"/>
              </w:rPr>
            </w:pPr>
          </w:p>
        </w:tc>
      </w:tr>
      <w:tr w:rsidR="003D72E7" w14:paraId="619DE439"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center"/>
          </w:tcPr>
          <w:p w14:paraId="619DE43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long-term debt, carrying value</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43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43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37,167 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43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43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43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43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41,622 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438" w14:textId="77777777" w:rsidR="003D72E7" w:rsidRDefault="003D72E7">
            <w:pPr>
              <w:widowControl/>
              <w:jc w:val="right"/>
              <w:rPr>
                <w:rFonts w:ascii="Times New Roman" w:eastAsia="宋体" w:hAnsi="宋体" w:cs="宋体"/>
                <w:kern w:val="0"/>
                <w:sz w:val="24"/>
              </w:rPr>
            </w:pPr>
          </w:p>
        </w:tc>
      </w:tr>
    </w:tbl>
    <w:p w14:paraId="619DE43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3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six months ended July 30, 2021, the net decrease in the Company’s debt balance was primarily due to:</w:t>
      </w:r>
    </w:p>
    <w:p w14:paraId="619DE43C"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color w:val="000000"/>
          <w:kern w:val="0"/>
          <w:sz w:val="20"/>
          <w:szCs w:val="20"/>
          <w:lang w:bidi="ar"/>
        </w:rPr>
        <w:t>repayment of $3.0 billion principal amount of the Margin Loan Facility due April 2022;</w:t>
      </w:r>
    </w:p>
    <w:p w14:paraId="619DE43D"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•repayment of $1,075 million principal amount of the 5.875% Senior Notes due June 2021; and</w:t>
      </w:r>
    </w:p>
    <w:p w14:paraId="619DE43E"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•repayment of $400 million principal amount of the 4.625% Unsecured Notes due</w:t>
      </w:r>
      <w:r>
        <w:rPr>
          <w:rFonts w:ascii="Times New Roman" w:eastAsia="宋体" w:hAnsi="Times New Roman" w:cs="Times New Roman"/>
          <w:color w:val="000000"/>
          <w:kern w:val="0"/>
          <w:sz w:val="20"/>
          <w:szCs w:val="20"/>
          <w:lang w:bidi="ar"/>
        </w:rPr>
        <w:t xml:space="preserve"> April 2021.</w:t>
      </w:r>
    </w:p>
    <w:p w14:paraId="619DE43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4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Secured Debt</w:t>
      </w:r>
    </w:p>
    <w:p w14:paraId="619DE44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4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Senior Secured Credit Facilities</w:t>
      </w:r>
      <w:r>
        <w:rPr>
          <w:rFonts w:ascii="Times New Roman" w:eastAsia="宋体" w:hAnsi="Times New Roman" w:cs="Times New Roman"/>
          <w:b/>
          <w:bCs/>
          <w:i/>
          <w:iCs/>
          <w:color w:val="000000"/>
          <w:kern w:val="0"/>
          <w:sz w:val="20"/>
          <w:szCs w:val="20"/>
          <w:lang w:bidi="ar"/>
        </w:rPr>
        <w:t xml:space="preserve"> </w:t>
      </w:r>
      <w:r>
        <w:rPr>
          <w:rFonts w:ascii="Times New Roman" w:eastAsia="宋体" w:hAnsi="Times New Roman" w:cs="Times New Roman"/>
          <w:color w:val="000000"/>
          <w:kern w:val="0"/>
          <w:sz w:val="20"/>
          <w:szCs w:val="20"/>
          <w:lang w:bidi="ar"/>
        </w:rPr>
        <w:t>—</w:t>
      </w:r>
      <w:r>
        <w:rPr>
          <w:rFonts w:ascii="Times New Roman" w:eastAsia="宋体" w:hAnsi="Times New Roman" w:cs="Times New Roman"/>
          <w:b/>
          <w:bCs/>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The Company has entered into a credit agreement that provides for senior secured credit facilities (the “Senior Secured Credit Facilities”) comprising (a) term loan facilities and (b) a </w:t>
      </w:r>
      <w:r>
        <w:rPr>
          <w:rFonts w:ascii="Times New Roman" w:eastAsia="宋体" w:hAnsi="Times New Roman" w:cs="Times New Roman"/>
          <w:color w:val="000000"/>
          <w:kern w:val="0"/>
          <w:sz w:val="20"/>
          <w:szCs w:val="20"/>
          <w:lang w:bidi="ar"/>
        </w:rPr>
        <w:t>senior secured Revolving Credit Facility, which provides for a borrowing capacity of up to $4.5 billion for general corporate purposes, including capacity for up to $0.5 billion of letters of credit and for borrowings of up to $0.4 billion under swing-line</w:t>
      </w:r>
      <w:r>
        <w:rPr>
          <w:rFonts w:ascii="Times New Roman" w:eastAsia="宋体" w:hAnsi="Times New Roman" w:cs="Times New Roman"/>
          <w:color w:val="000000"/>
          <w:kern w:val="0"/>
          <w:sz w:val="20"/>
          <w:szCs w:val="20"/>
          <w:lang w:bidi="ar"/>
        </w:rPr>
        <w:t xml:space="preserve"> loans. The Revolving Credit Facility expires December 20, 2023.</w:t>
      </w:r>
    </w:p>
    <w:p w14:paraId="619DE44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4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30, 2021, available borrowings under the Revolving Credit Facility totaled $4.5 billion. The Senior Secured Credit Facilities provide that the borrowers have the right at any tim</w:t>
      </w:r>
      <w:r>
        <w:rPr>
          <w:rFonts w:ascii="Times New Roman" w:eastAsia="宋体" w:hAnsi="Times New Roman" w:cs="Times New Roman"/>
          <w:color w:val="000000"/>
          <w:kern w:val="0"/>
          <w:sz w:val="20"/>
          <w:szCs w:val="20"/>
          <w:lang w:bidi="ar"/>
        </w:rPr>
        <w:t>e, subject to customary conditions, to request incremental term loans or incremental revolving commitments.</w:t>
      </w:r>
    </w:p>
    <w:p w14:paraId="619DE44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4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On February 18, 2021, the Company entered into an eighth refinancing amendment to the credit agreement for the Senior Secured Credit Facilities to</w:t>
      </w:r>
      <w:r>
        <w:rPr>
          <w:rFonts w:ascii="Times New Roman" w:eastAsia="宋体" w:hAnsi="Times New Roman" w:cs="Times New Roman"/>
          <w:color w:val="000000"/>
          <w:kern w:val="0"/>
          <w:sz w:val="20"/>
          <w:szCs w:val="20"/>
          <w:lang w:bidi="ar"/>
        </w:rPr>
        <w:t xml:space="preserve"> refinance the existing term B loans (the “Original Term B Loans”) with a new term loan B facility consisting of an aggregate principal amount of $3,143 million refinancing term B-2 loans (the “Refinancing Term B-2 Loans”) maturing on September 19, 2025. P</w:t>
      </w:r>
      <w:r>
        <w:rPr>
          <w:rFonts w:ascii="Times New Roman" w:eastAsia="宋体" w:hAnsi="Times New Roman" w:cs="Times New Roman"/>
          <w:color w:val="000000"/>
          <w:kern w:val="0"/>
          <w:sz w:val="20"/>
          <w:szCs w:val="20"/>
          <w:lang w:bidi="ar"/>
        </w:rPr>
        <w:t>roceeds from the Refinancing Term B-2 Loans, together with other funds available to the borrowers, were used to repay in full the Original Term B Loans and all accrued and unpaid fees in respect thereof.</w:t>
      </w:r>
    </w:p>
    <w:p w14:paraId="619DE44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4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Except for a change in the interest rate, the Refi</w:t>
      </w:r>
      <w:r>
        <w:rPr>
          <w:rFonts w:ascii="Times New Roman" w:eastAsia="宋体" w:hAnsi="Times New Roman" w:cs="Times New Roman"/>
          <w:color w:val="000000"/>
          <w:kern w:val="0"/>
          <w:sz w:val="20"/>
          <w:szCs w:val="20"/>
          <w:lang w:bidi="ar"/>
        </w:rPr>
        <w:t xml:space="preserve">nancing Term B-2 Loans have substantially the same terms as the Original Term B Loans under the sixth refinancing amendment to the Senior Secured Credit Agreement. Amortization payments on the Refinancing Term B-2 Loans are equal to 0.25% of the aggregate </w:t>
      </w:r>
      <w:r>
        <w:rPr>
          <w:rFonts w:ascii="Times New Roman" w:eastAsia="宋体" w:hAnsi="Times New Roman" w:cs="Times New Roman"/>
          <w:color w:val="000000"/>
          <w:kern w:val="0"/>
          <w:sz w:val="20"/>
          <w:szCs w:val="20"/>
          <w:lang w:bidi="ar"/>
        </w:rPr>
        <w:t>principal amount of Refinancing Term B-2 Loans outstanding on the effective date of the eighth refinancing amendment, payable at the end of each fiscal quarter, commencing with the fiscal quarter ended April 30, 2021.</w:t>
      </w:r>
    </w:p>
    <w:p w14:paraId="619DE44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4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Borrowings under the Senior Secured </w:t>
      </w:r>
      <w:r>
        <w:rPr>
          <w:rFonts w:ascii="Times New Roman" w:eastAsia="宋体" w:hAnsi="Times New Roman" w:cs="Times New Roman"/>
          <w:color w:val="000000"/>
          <w:kern w:val="0"/>
          <w:sz w:val="20"/>
          <w:szCs w:val="20"/>
          <w:lang w:bidi="ar"/>
        </w:rPr>
        <w:t>Credit Facilities bear interest at a rate per annum equal to an applicable margin, plus, at the borrowers’ option, either (a) a base rate, or (b) the London Interbank Offered Rate (“LIBOR”). The Term Loan A-6 Facility bears interest at LIBOR plus an applic</w:t>
      </w:r>
      <w:r>
        <w:rPr>
          <w:rFonts w:ascii="Times New Roman" w:eastAsia="宋体" w:hAnsi="Times New Roman" w:cs="Times New Roman"/>
          <w:color w:val="000000"/>
          <w:kern w:val="0"/>
          <w:sz w:val="20"/>
          <w:szCs w:val="20"/>
          <w:lang w:bidi="ar"/>
        </w:rPr>
        <w:t>able margin ranging from 1.25% to 2.00% or a base rate plus an applicable margin ranging from 0.25% to 1.00%. The Refinancing Term B-2 Loans bear interest at LIBOR plus an applicable margin of 1.75% or a base rate plus an applicable margin of 0.75%. Intere</w:t>
      </w:r>
      <w:r>
        <w:rPr>
          <w:rFonts w:ascii="Times New Roman" w:eastAsia="宋体" w:hAnsi="Times New Roman" w:cs="Times New Roman"/>
          <w:color w:val="000000"/>
          <w:kern w:val="0"/>
          <w:sz w:val="20"/>
          <w:szCs w:val="20"/>
          <w:lang w:bidi="ar"/>
        </w:rPr>
        <w:t>st is payable, in the case of loans bearing interest based on LIBOR, at the end of each interest period (but at least every three months), in arrears and, in the case of loans bearing interest based on the base rate, quarterly in arrears.</w:t>
      </w:r>
    </w:p>
    <w:p w14:paraId="619DE44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4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Term Loan A</w:t>
      </w:r>
      <w:r>
        <w:rPr>
          <w:rFonts w:ascii="Times New Roman" w:eastAsia="宋体" w:hAnsi="Times New Roman" w:cs="Times New Roman"/>
          <w:color w:val="000000"/>
          <w:kern w:val="0"/>
          <w:sz w:val="20"/>
          <w:szCs w:val="20"/>
          <w:lang w:bidi="ar"/>
        </w:rPr>
        <w:t>-6 Facility amortizes in equal quarterly installments in aggregate annual amounts equal to 5% of the original principal amount in each of the first four years after the facility closing date of March 13, 2019, and 80% of the original principal amount in th</w:t>
      </w:r>
      <w:r>
        <w:rPr>
          <w:rFonts w:ascii="Times New Roman" w:eastAsia="宋体" w:hAnsi="Times New Roman" w:cs="Times New Roman"/>
          <w:color w:val="000000"/>
          <w:kern w:val="0"/>
          <w:sz w:val="20"/>
          <w:szCs w:val="20"/>
          <w:lang w:bidi="ar"/>
        </w:rPr>
        <w:t xml:space="preserve">e fifth year after March 13, 2019. The Revolving Credit Facility has no amortization. </w:t>
      </w:r>
    </w:p>
    <w:p w14:paraId="619DE44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4E"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44F"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30</w:t>
      </w:r>
    </w:p>
    <w:p w14:paraId="619DE450"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451" w14:textId="77777777" w:rsidR="003D72E7" w:rsidRDefault="00AD6774">
      <w:pPr>
        <w:widowControl/>
        <w:jc w:val="center"/>
      </w:pPr>
      <w:r>
        <w:rPr>
          <w:rFonts w:ascii="宋体" w:eastAsia="宋体" w:hAnsi="宋体" w:cs="宋体"/>
          <w:kern w:val="0"/>
          <w:sz w:val="24"/>
        </w:rPr>
        <w:pict w14:anchorId="619E0D89">
          <v:rect id="_x0000_i1054" style="width:6in;height:1.5pt" o:hralign="center" o:hrstd="t" o:hr="t" fillcolor="#a0a0a0" stroked="f"/>
        </w:pict>
      </w:r>
    </w:p>
    <w:p w14:paraId="619DE452"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45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45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 xml:space="preserve">NOTES TO THE CONDENSED CONSOLIDATED FINANCIAL </w:t>
      </w:r>
      <w:r>
        <w:rPr>
          <w:rFonts w:ascii="Times New Roman" w:eastAsia="宋体" w:hAnsi="Times New Roman" w:cs="Times New Roman"/>
          <w:b/>
          <w:bCs/>
          <w:color w:val="000000"/>
          <w:kern w:val="0"/>
          <w:sz w:val="20"/>
          <w:szCs w:val="20"/>
          <w:shd w:val="clear" w:color="auto" w:fill="FFFFFF"/>
          <w:lang w:bidi="ar"/>
        </w:rPr>
        <w:t>STATEMENTS (Continued)</w:t>
      </w:r>
    </w:p>
    <w:p w14:paraId="619DE455"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456"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45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borrowers may voluntarily repay outstanding loans under the term loan facilities and the Revolving Credit Facility at any time without premium or penalty, other than customary “breakage” costs. </w:t>
      </w:r>
    </w:p>
    <w:p w14:paraId="619DE45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5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All obligations of the borrowers under the Senior Secur</w:t>
      </w:r>
      <w:r>
        <w:rPr>
          <w:rFonts w:ascii="Times New Roman" w:eastAsia="宋体" w:hAnsi="Times New Roman" w:cs="Times New Roman"/>
          <w:color w:val="000000"/>
          <w:kern w:val="0"/>
          <w:sz w:val="20"/>
          <w:szCs w:val="20"/>
          <w:lang w:bidi="ar"/>
        </w:rPr>
        <w:t>ed Credit Facilities and certain swap agreements, cash management arrangements, and certain letters of credit provided by any lender or agent party to the Senior Secured Credit Facilities or any of its affiliates and certain other persons are secured by (a</w:t>
      </w:r>
      <w:r>
        <w:rPr>
          <w:rFonts w:ascii="Times New Roman" w:eastAsia="宋体" w:hAnsi="Times New Roman" w:cs="Times New Roman"/>
          <w:color w:val="000000"/>
          <w:kern w:val="0"/>
          <w:sz w:val="20"/>
          <w:szCs w:val="20"/>
          <w:lang w:bidi="ar"/>
        </w:rPr>
        <w:t>) a first-priority security interest in certain tangible and intangible assets of the borrowers and the guarantors and (b) a first-priority pledge of 100% of the capital stock of the borrowers, Dell Inc., a wholly-owned subsidiary of the Company (</w:t>
      </w: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20"/>
          <w:szCs w:val="20"/>
          <w:lang w:bidi="ar"/>
        </w:rPr>
        <w:t>Dell</w:t>
      </w: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20"/>
          <w:szCs w:val="20"/>
          <w:lang w:bidi="ar"/>
        </w:rPr>
        <w:t>and each wholly-owned material restricted subsidiary of the borrowers and the guarantors, in each case subject to certain thresholds, exceptions, and permitted liens.</w:t>
      </w:r>
    </w:p>
    <w:p w14:paraId="619DE45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5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First Lien Notes </w:t>
      </w:r>
      <w:r>
        <w:rPr>
          <w:rFonts w:ascii="Times New Roman" w:eastAsia="宋体" w:hAnsi="Times New Roman" w:cs="Times New Roman"/>
          <w:color w:val="000000"/>
          <w:kern w:val="0"/>
          <w:sz w:val="20"/>
          <w:szCs w:val="20"/>
          <w:lang w:bidi="ar"/>
        </w:rPr>
        <w:t xml:space="preserve">— Dell International L.L.C. and EMC Corporation </w:t>
      </w:r>
      <w:r>
        <w:rPr>
          <w:rFonts w:ascii="Times New Roman" w:eastAsia="宋体" w:hAnsi="Times New Roman" w:cs="Times New Roman"/>
          <w:color w:val="000000"/>
          <w:kern w:val="0"/>
          <w:sz w:val="20"/>
          <w:szCs w:val="20"/>
          <w:lang w:bidi="ar"/>
        </w:rPr>
        <w:t>(collectively, the “Issuers”), both of which are wholly-owned subsidiaries of Dell Technologies Inc., completed offerings of multiple series of senior secured notes (collectively, the “First Lien Notes”) pursuant to Rule 144A and Regulation S. Various seri</w:t>
      </w:r>
      <w:r>
        <w:rPr>
          <w:rFonts w:ascii="Times New Roman" w:eastAsia="宋体" w:hAnsi="Times New Roman" w:cs="Times New Roman"/>
          <w:color w:val="000000"/>
          <w:kern w:val="0"/>
          <w:sz w:val="20"/>
          <w:szCs w:val="20"/>
          <w:lang w:bidi="ar"/>
        </w:rPr>
        <w:t>es of the First Lien Notes were issued on June 1, 2016, March 20, 2019, and April 9, 2020 in aggregate principal amounts of $20.0 billion, $4.5 billion, and $2.25 billion, respectively. Interest on the First Lien Notes is payable semiannually. The First Li</w:t>
      </w:r>
      <w:r>
        <w:rPr>
          <w:rFonts w:ascii="Times New Roman" w:eastAsia="宋体" w:hAnsi="Times New Roman" w:cs="Times New Roman"/>
          <w:color w:val="000000"/>
          <w:kern w:val="0"/>
          <w:sz w:val="20"/>
          <w:szCs w:val="20"/>
          <w:lang w:bidi="ar"/>
        </w:rPr>
        <w:t>en Notes are secured on an equal and ratable basis with the Senior Secured Credit Facilities by substantially all of the tangible and intangible assets of the issuers and guarantors that secure obligations under the Senior Secured Credit Facilities, includ</w:t>
      </w:r>
      <w:r>
        <w:rPr>
          <w:rFonts w:ascii="Times New Roman" w:eastAsia="宋体" w:hAnsi="Times New Roman" w:cs="Times New Roman"/>
          <w:color w:val="000000"/>
          <w:kern w:val="0"/>
          <w:sz w:val="20"/>
          <w:szCs w:val="20"/>
          <w:lang w:bidi="ar"/>
        </w:rPr>
        <w:t>ing pledges of all capital stock of the issuers, Dell, and certain wholly-owned material subsidiaries of the issuers and the guarantors, subject to certain exceptions.</w:t>
      </w:r>
    </w:p>
    <w:p w14:paraId="619DE45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5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June 2021, Dell International L.L.C and EMC Corporation completed the previously an</w:t>
      </w:r>
      <w:r>
        <w:rPr>
          <w:rFonts w:ascii="Times New Roman" w:eastAsia="宋体" w:hAnsi="Times New Roman" w:cs="Times New Roman"/>
          <w:color w:val="000000"/>
          <w:kern w:val="0"/>
          <w:sz w:val="20"/>
          <w:szCs w:val="20"/>
          <w:lang w:bidi="ar"/>
        </w:rPr>
        <w:t>nounced offers to exchange any and all outstanding First Lien Notes for registered first lien notes having terms substantially identical to the terms of the First Lien Notes. The Issuers issued an aggregate $18.4 billion principal amount of registered firs</w:t>
      </w:r>
      <w:r>
        <w:rPr>
          <w:rFonts w:ascii="Times New Roman" w:eastAsia="宋体" w:hAnsi="Times New Roman" w:cs="Times New Roman"/>
          <w:color w:val="000000"/>
          <w:kern w:val="0"/>
          <w:sz w:val="20"/>
          <w:szCs w:val="20"/>
          <w:lang w:bidi="ar"/>
        </w:rPr>
        <w:t>t lien notes in exchange for the same principal amount of First Lien Notes. As of July 30, 2021, the aggregate principal amount of unregistered First Lien Notes remaining outstanding following the settlement of the exchange offers was approximately $0.1 bi</w:t>
      </w:r>
      <w:r>
        <w:rPr>
          <w:rFonts w:ascii="Times New Roman" w:eastAsia="宋体" w:hAnsi="Times New Roman" w:cs="Times New Roman"/>
          <w:color w:val="000000"/>
          <w:kern w:val="0"/>
          <w:sz w:val="20"/>
          <w:szCs w:val="20"/>
          <w:lang w:bidi="ar"/>
        </w:rPr>
        <w:t>llion. Following the exchange</w:t>
      </w:r>
    </w:p>
    <w:p w14:paraId="619DE45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offer, such registered first lien notes, together with the remaining unregistered First Lien Notes, are collectively referred to as “First Lien Notes” in these Notes to the Condensed Consolidated Financial Statements. </w:t>
      </w:r>
    </w:p>
    <w:p w14:paraId="619DE45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6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Unsec</w:t>
      </w:r>
      <w:r>
        <w:rPr>
          <w:rFonts w:ascii="Times New Roman" w:eastAsia="宋体" w:hAnsi="Times New Roman" w:cs="Times New Roman"/>
          <w:b/>
          <w:bCs/>
          <w:color w:val="000000"/>
          <w:kern w:val="0"/>
          <w:sz w:val="20"/>
          <w:szCs w:val="20"/>
          <w:lang w:bidi="ar"/>
        </w:rPr>
        <w:t>ured Debt</w:t>
      </w:r>
    </w:p>
    <w:p w14:paraId="619DE46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6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Unsecured Notes and Debentures</w:t>
      </w:r>
      <w:r>
        <w:rPr>
          <w:rFonts w:ascii="Times New Roman" w:eastAsia="宋体" w:hAnsi="Times New Roman" w:cs="Times New Roman"/>
          <w:color w:val="000000"/>
          <w:kern w:val="0"/>
          <w:sz w:val="20"/>
          <w:szCs w:val="20"/>
          <w:lang w:bidi="ar"/>
        </w:rPr>
        <w:t xml:space="preserve"> — The Company has outstanding unsecured notes and debentures (collectively, the “Unsecured Notes and Debentures”) that were issued by Dell prior to the acquisition of Dell by Dell Technologies Inc. in the going-pr</w:t>
      </w:r>
      <w:r>
        <w:rPr>
          <w:rFonts w:ascii="Times New Roman" w:eastAsia="宋体" w:hAnsi="Times New Roman" w:cs="Times New Roman"/>
          <w:color w:val="000000"/>
          <w:kern w:val="0"/>
          <w:sz w:val="20"/>
          <w:szCs w:val="20"/>
          <w:lang w:bidi="ar"/>
        </w:rPr>
        <w:t>ivate transaction that closed in October 2013. Interest on outstanding borrowings is payable semiannually.</w:t>
      </w:r>
    </w:p>
    <w:p w14:paraId="619DE46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6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Senior Notes </w:t>
      </w:r>
      <w:r>
        <w:rPr>
          <w:rFonts w:ascii="Times New Roman" w:eastAsia="宋体" w:hAnsi="Times New Roman" w:cs="Times New Roman"/>
          <w:color w:val="000000"/>
          <w:kern w:val="0"/>
          <w:sz w:val="20"/>
          <w:szCs w:val="20"/>
          <w:lang w:bidi="ar"/>
        </w:rPr>
        <w:t>— The senior unsecured notes (collectively, the “Senior Notes”) were issued on June 22, 2016 in an aggregate principal amount of $3.25</w:t>
      </w:r>
      <w:r>
        <w:rPr>
          <w:rFonts w:ascii="Times New Roman" w:eastAsia="宋体" w:hAnsi="Times New Roman" w:cs="Times New Roman"/>
          <w:color w:val="000000"/>
          <w:kern w:val="0"/>
          <w:sz w:val="20"/>
          <w:szCs w:val="20"/>
          <w:lang w:bidi="ar"/>
        </w:rPr>
        <w:t xml:space="preserve"> billion. Interest on outstanding borrowings is payable semiannually.</w:t>
      </w:r>
    </w:p>
    <w:p w14:paraId="619DE46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6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EMC Notes</w:t>
      </w:r>
      <w:r>
        <w:rPr>
          <w:rFonts w:ascii="Times New Roman" w:eastAsia="宋体" w:hAnsi="Times New Roman" w:cs="Times New Roman"/>
          <w:b/>
          <w:bCs/>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 On September 7, 2016, as result of the merger with EMC, Dell acquired multiple outstanding Notes (collectively, the “EMC Notes”), of which $1.0 billion aggregate principal </w:t>
      </w:r>
      <w:r>
        <w:rPr>
          <w:rFonts w:ascii="Times New Roman" w:eastAsia="宋体" w:hAnsi="Times New Roman" w:cs="Times New Roman"/>
          <w:color w:val="000000"/>
          <w:kern w:val="0"/>
          <w:sz w:val="20"/>
          <w:szCs w:val="20"/>
          <w:lang w:bidi="ar"/>
        </w:rPr>
        <w:t xml:space="preserve">amount of its 3.375% Note remains. Interest on the outstanding borrowing is payable semiannually. </w:t>
      </w:r>
    </w:p>
    <w:p w14:paraId="619DE46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6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VMware Notes </w:t>
      </w:r>
      <w:r>
        <w:rPr>
          <w:rFonts w:ascii="Times New Roman" w:eastAsia="宋体" w:hAnsi="Times New Roman" w:cs="Times New Roman"/>
          <w:color w:val="000000"/>
          <w:kern w:val="0"/>
          <w:sz w:val="20"/>
          <w:szCs w:val="20"/>
          <w:lang w:bidi="ar"/>
        </w:rPr>
        <w:t>— VMware, Inc. completed public offerings of unsecured senior notes in the aggregate amounts of $4.0 billion and $2.0 billion on August 21, 20</w:t>
      </w:r>
      <w:r>
        <w:rPr>
          <w:rFonts w:ascii="Times New Roman" w:eastAsia="宋体" w:hAnsi="Times New Roman" w:cs="Times New Roman"/>
          <w:color w:val="000000"/>
          <w:kern w:val="0"/>
          <w:sz w:val="20"/>
          <w:szCs w:val="20"/>
          <w:lang w:bidi="ar"/>
        </w:rPr>
        <w:t>17 and April 7, 2020, respectively (the “VMware Notes”). None of the net proceeds of such borrowings will be made available to support the operations or satisfy any corporate purposes of Dell Technologies, other than the operations and corporate purposes o</w:t>
      </w:r>
      <w:r>
        <w:rPr>
          <w:rFonts w:ascii="Times New Roman" w:eastAsia="宋体" w:hAnsi="Times New Roman" w:cs="Times New Roman"/>
          <w:color w:val="000000"/>
          <w:kern w:val="0"/>
          <w:sz w:val="20"/>
          <w:szCs w:val="20"/>
          <w:lang w:bidi="ar"/>
        </w:rPr>
        <w:t>f VMware, Inc. and VMware, Inc.’s subsidiaries. Interest on outstanding borrowings is payable semiannually. Subsequent to July 30, 2021, VMware, Inc. issued five series of unsecured senior notes (the “2021 VMware Notes”) in the aggregate principal amount o</w:t>
      </w:r>
      <w:r>
        <w:rPr>
          <w:rFonts w:ascii="Times New Roman" w:eastAsia="宋体" w:hAnsi="Times New Roman" w:cs="Times New Roman"/>
          <w:color w:val="000000"/>
          <w:kern w:val="0"/>
          <w:sz w:val="20"/>
          <w:szCs w:val="20"/>
          <w:lang w:bidi="ar"/>
        </w:rPr>
        <w:t xml:space="preserve">f $6.0 billion pursuant to a public offering. See </w:t>
      </w:r>
      <w:r>
        <w:rPr>
          <w:rFonts w:ascii="Times New Roman" w:eastAsia="宋体" w:hAnsi="Times New Roman" w:cs="Times New Roman"/>
          <w:color w:val="000000"/>
          <w:kern w:val="0"/>
          <w:sz w:val="20"/>
          <w:szCs w:val="20"/>
          <w:shd w:val="clear" w:color="auto" w:fill="FFFFFF"/>
          <w:lang w:bidi="ar"/>
        </w:rPr>
        <w:t xml:space="preserve">Note 18 </w:t>
      </w:r>
      <w:r>
        <w:rPr>
          <w:rFonts w:ascii="Times New Roman" w:eastAsia="宋体" w:hAnsi="Times New Roman" w:cs="Times New Roman"/>
          <w:color w:val="000000"/>
          <w:kern w:val="0"/>
          <w:sz w:val="20"/>
          <w:szCs w:val="20"/>
          <w:lang w:bidi="ar"/>
        </w:rPr>
        <w:t>of the Notes to the Condensed Consolidated Financial Statements for more information about issuance of the 2021 VMware Notes.</w:t>
      </w:r>
    </w:p>
    <w:p w14:paraId="619DE46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6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6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46C"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w:t>
      </w:r>
    </w:p>
    <w:p w14:paraId="619DE46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46E" w14:textId="77777777" w:rsidR="003D72E7" w:rsidRDefault="00AD6774">
      <w:pPr>
        <w:widowControl/>
        <w:jc w:val="center"/>
      </w:pPr>
      <w:r>
        <w:rPr>
          <w:rFonts w:ascii="宋体" w:eastAsia="宋体" w:hAnsi="宋体" w:cs="宋体"/>
          <w:kern w:val="0"/>
          <w:sz w:val="24"/>
        </w:rPr>
        <w:pict w14:anchorId="619E0D8A">
          <v:rect id="_x0000_i1055" style="width:6in;height:1.5pt" o:hralign="center" o:hrstd="t" o:hr="t" fillcolor="#a0a0a0" stroked="f"/>
        </w:pict>
      </w:r>
    </w:p>
    <w:p w14:paraId="619DE46F"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47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471"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E47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47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47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VMware Revolving Credit Facility </w:t>
      </w:r>
      <w:r>
        <w:rPr>
          <w:rFonts w:ascii="Times New Roman" w:eastAsia="宋体" w:hAnsi="Times New Roman" w:cs="Times New Roman"/>
          <w:color w:val="000000"/>
          <w:kern w:val="0"/>
          <w:sz w:val="20"/>
          <w:szCs w:val="20"/>
          <w:lang w:bidi="ar"/>
        </w:rPr>
        <w:t xml:space="preserve">— On September 12, 2017, VMware, </w:t>
      </w:r>
      <w:r>
        <w:rPr>
          <w:rFonts w:ascii="Times New Roman" w:eastAsia="宋体" w:hAnsi="Times New Roman" w:cs="Times New Roman"/>
          <w:color w:val="000000"/>
          <w:kern w:val="0"/>
          <w:sz w:val="20"/>
          <w:szCs w:val="20"/>
          <w:lang w:bidi="ar"/>
        </w:rPr>
        <w:t>Inc. entered into an unsecured credit agreement, establishing a revolving credit facility (the “VMware Revolving Credit Facility”) with a syndicate of lenders that provides the company with a borrowing capacity of up to $1.0 billion for VMware, Inc. genera</w:t>
      </w:r>
      <w:r>
        <w:rPr>
          <w:rFonts w:ascii="Times New Roman" w:eastAsia="宋体" w:hAnsi="Times New Roman" w:cs="Times New Roman"/>
          <w:color w:val="000000"/>
          <w:kern w:val="0"/>
          <w:sz w:val="20"/>
          <w:szCs w:val="20"/>
          <w:lang w:bidi="ar"/>
        </w:rPr>
        <w:t>l corporate purposes. Commitments under the VMware Revolving Credit Facility are available for a period of five years, expiring September 12, 2022 and may be extended, subject to the satisfaction of certain conditions, by up to two one year periods. The cr</w:t>
      </w:r>
      <w:r>
        <w:rPr>
          <w:rFonts w:ascii="Times New Roman" w:eastAsia="宋体" w:hAnsi="Times New Roman" w:cs="Times New Roman"/>
          <w:color w:val="000000"/>
          <w:kern w:val="0"/>
          <w:sz w:val="20"/>
          <w:szCs w:val="20"/>
          <w:lang w:bidi="ar"/>
        </w:rPr>
        <w:t>edit agreement contains certain representations, warranties, and covenants. Commitment fees, interest rates, and other terms of borrowing under the VMware Revolving Credit Facility may vary based on VMware, Inc.’s external credit ratings. None of the net p</w:t>
      </w:r>
      <w:r>
        <w:rPr>
          <w:rFonts w:ascii="Times New Roman" w:eastAsia="宋体" w:hAnsi="Times New Roman" w:cs="Times New Roman"/>
          <w:color w:val="000000"/>
          <w:kern w:val="0"/>
          <w:sz w:val="20"/>
          <w:szCs w:val="20"/>
          <w:lang w:bidi="ar"/>
        </w:rPr>
        <w:t>roceeds of such borrowings will be made available to support the operations or satisfy any corporate purposes of Dell Technologies, other than the operations and corporate purposes of VMware, Inc. and VMware, Inc.’s subsidiaries. As of July 30, 2021, there</w:t>
      </w:r>
      <w:r>
        <w:rPr>
          <w:rFonts w:ascii="Times New Roman" w:eastAsia="宋体" w:hAnsi="Times New Roman" w:cs="Times New Roman"/>
          <w:color w:val="000000"/>
          <w:kern w:val="0"/>
          <w:sz w:val="20"/>
          <w:szCs w:val="20"/>
          <w:lang w:bidi="ar"/>
        </w:rPr>
        <w:t xml:space="preserve"> were no outstanding borrowings under the VMware Revolving Credit Facility.</w:t>
      </w:r>
    </w:p>
    <w:p w14:paraId="619DE47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7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DFS Debt</w:t>
      </w:r>
    </w:p>
    <w:p w14:paraId="619DE47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7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See Note 3 and Note 6 of the Notes to the Condensed Consolidated Financial Statements, respectively, for discussion of DFS debt and the interest rate swap agreements t</w:t>
      </w:r>
      <w:r>
        <w:rPr>
          <w:rFonts w:ascii="Times New Roman" w:eastAsia="宋体" w:hAnsi="Times New Roman" w:cs="Times New Roman"/>
          <w:color w:val="000000"/>
          <w:kern w:val="0"/>
          <w:sz w:val="20"/>
          <w:szCs w:val="20"/>
          <w:lang w:bidi="ar"/>
        </w:rPr>
        <w:t>hat hedge a portion of that debt.</w:t>
      </w:r>
    </w:p>
    <w:p w14:paraId="619DE47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7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w:t>
      </w:r>
    </w:p>
    <w:p w14:paraId="619DE47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7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Margin Loan Facility</w:t>
      </w:r>
      <w:r>
        <w:rPr>
          <w:rFonts w:ascii="Times New Roman" w:eastAsia="宋体" w:hAnsi="Times New Roman" w:cs="Times New Roman"/>
          <w:b/>
          <w:bCs/>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 On April 12, 2017, the Company entered into the Margin Loan Facility in an aggregate principal amount of $2.0 billion. In connection with the Class V transaction described in Note 1 of the </w:t>
      </w:r>
      <w:r>
        <w:rPr>
          <w:rFonts w:ascii="Times New Roman" w:eastAsia="宋体" w:hAnsi="Times New Roman" w:cs="Times New Roman"/>
          <w:color w:val="000000"/>
          <w:kern w:val="0"/>
          <w:sz w:val="20"/>
          <w:szCs w:val="20"/>
          <w:lang w:bidi="ar"/>
        </w:rPr>
        <w:t>Notes to the Condensed Consolidated Financial Statements, on December 20, 2018, the Company amended the Margin Loan Facility to increase the aggregate principal amount to $3.35 billion. In connection with obtaining the Term Loan A-6 Facility during the fis</w:t>
      </w:r>
      <w:r>
        <w:rPr>
          <w:rFonts w:ascii="Times New Roman" w:eastAsia="宋体" w:hAnsi="Times New Roman" w:cs="Times New Roman"/>
          <w:color w:val="000000"/>
          <w:kern w:val="0"/>
          <w:sz w:val="20"/>
          <w:szCs w:val="20"/>
          <w:lang w:bidi="ar"/>
        </w:rPr>
        <w:t>cal year ended January 31, 2020, the Company increased the aggregate principal amount of the Margin Loan Facility to $4.0 billion. VMware Holdco LLC, a wholly-owned subsidiary of EMC, is the borrower under the Margin Loan Facility, which is secured by appr</w:t>
      </w:r>
      <w:r>
        <w:rPr>
          <w:rFonts w:ascii="Times New Roman" w:eastAsia="宋体" w:hAnsi="Times New Roman" w:cs="Times New Roman"/>
          <w:color w:val="000000"/>
          <w:kern w:val="0"/>
          <w:sz w:val="20"/>
          <w:szCs w:val="20"/>
          <w:lang w:bidi="ar"/>
        </w:rPr>
        <w:t>oximately 76 million shares of Class B common stock of VMware, Inc. and approximately 24 million shares of Class A common stock of VMware, Inc.</w:t>
      </w:r>
    </w:p>
    <w:p w14:paraId="619DE47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7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Loans under the Margin Loan Facility bear interest at a rate per annum payable, at the borrower’s option, eith</w:t>
      </w:r>
      <w:r>
        <w:rPr>
          <w:rFonts w:ascii="Times New Roman" w:eastAsia="宋体" w:hAnsi="Times New Roman" w:cs="Times New Roman"/>
          <w:color w:val="000000"/>
          <w:kern w:val="0"/>
          <w:sz w:val="20"/>
          <w:szCs w:val="20"/>
          <w:lang w:bidi="ar"/>
        </w:rPr>
        <w:t>er at (a) a base rate plus 1.25% per annum or (b) a LIBOR-based rate plus 2.25% per annum. Interest under the Margin Loan Facility is payable quarterly. The Margin Loan Facility will mature in April 2022. The borrower may voluntarily repay outstanding loan</w:t>
      </w:r>
      <w:r>
        <w:rPr>
          <w:rFonts w:ascii="Times New Roman" w:eastAsia="宋体" w:hAnsi="Times New Roman" w:cs="Times New Roman"/>
          <w:color w:val="000000"/>
          <w:kern w:val="0"/>
          <w:sz w:val="20"/>
          <w:szCs w:val="20"/>
          <w:lang w:bidi="ar"/>
        </w:rPr>
        <w:t>s under the Margin Loan Facility at any time without premium or penalty, other than customary “breakage” costs, subject to certain minimum threshold amounts for prepayment. During the three months ended July 30, 2021, the Company repaid $3.0 billion princi</w:t>
      </w:r>
      <w:r>
        <w:rPr>
          <w:rFonts w:ascii="Times New Roman" w:eastAsia="宋体" w:hAnsi="Times New Roman" w:cs="Times New Roman"/>
          <w:color w:val="000000"/>
          <w:kern w:val="0"/>
          <w:sz w:val="20"/>
          <w:szCs w:val="20"/>
          <w:lang w:bidi="ar"/>
        </w:rPr>
        <w:t xml:space="preserve">pal amount of the Margin Loan Facility. Subsequent to July 30, 2021, the Company repaid the remaining $1.0 billion principal amount of the Margin Loan Facility. See </w:t>
      </w:r>
      <w:r>
        <w:rPr>
          <w:rFonts w:ascii="Times New Roman" w:eastAsia="宋体" w:hAnsi="Times New Roman" w:cs="Times New Roman"/>
          <w:color w:val="000000"/>
          <w:kern w:val="0"/>
          <w:sz w:val="20"/>
          <w:szCs w:val="20"/>
          <w:shd w:val="clear" w:color="auto" w:fill="FFFFFF"/>
          <w:lang w:bidi="ar"/>
        </w:rPr>
        <w:t xml:space="preserve">Note 18 </w:t>
      </w:r>
      <w:r>
        <w:rPr>
          <w:rFonts w:ascii="Times New Roman" w:eastAsia="宋体" w:hAnsi="Times New Roman" w:cs="Times New Roman"/>
          <w:color w:val="000000"/>
          <w:kern w:val="0"/>
          <w:sz w:val="20"/>
          <w:szCs w:val="20"/>
          <w:lang w:bidi="ar"/>
        </w:rPr>
        <w:t xml:space="preserve">of the Notes to the Condensed Consolidated Financial Statements for more information about the Margin Loan Facility principal repayment, subsequent to July 30, 2021. </w:t>
      </w:r>
    </w:p>
    <w:p w14:paraId="619DE47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80"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481"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w:t>
      </w:r>
    </w:p>
    <w:p w14:paraId="619DE482"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483" w14:textId="77777777" w:rsidR="003D72E7" w:rsidRDefault="00AD6774">
      <w:pPr>
        <w:widowControl/>
        <w:jc w:val="center"/>
      </w:pPr>
      <w:r>
        <w:rPr>
          <w:rFonts w:ascii="宋体" w:eastAsia="宋体" w:hAnsi="宋体" w:cs="宋体"/>
          <w:kern w:val="0"/>
          <w:sz w:val="24"/>
        </w:rPr>
        <w:pict w14:anchorId="619E0D8B">
          <v:rect id="_x0000_i1056" style="width:6in;height:1.5pt" o:hralign="center" o:hrstd="t" o:hr="t" fillcolor="#a0a0a0" stroked="f"/>
        </w:pict>
      </w:r>
    </w:p>
    <w:p w14:paraId="619DE484"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485"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w:t>
      </w:r>
      <w:r>
        <w:rPr>
          <w:rFonts w:ascii="Times New Roman" w:eastAsia="宋体" w:hAnsi="Times New Roman" w:cs="Times New Roman"/>
          <w:b/>
          <w:bCs/>
          <w:color w:val="000000"/>
          <w:kern w:val="0"/>
          <w:sz w:val="20"/>
          <w:szCs w:val="20"/>
          <w:shd w:val="clear" w:color="auto" w:fill="FFFFFF"/>
          <w:lang w:bidi="ar"/>
        </w:rPr>
        <w:t>ELL TECHNOLOGIES INC.</w:t>
      </w:r>
    </w:p>
    <w:p w14:paraId="619DE486"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E487"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488"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48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Aggregate Future Maturities</w:t>
      </w:r>
    </w:p>
    <w:p w14:paraId="619DE48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48B"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aggregate future maturities of the Company’s debt as of July 30, 2021 for the </w:t>
      </w:r>
      <w:r>
        <w:rPr>
          <w:rFonts w:ascii="Times New Roman" w:eastAsia="宋体" w:hAnsi="Times New Roman" w:cs="Times New Roman"/>
          <w:color w:val="000000"/>
          <w:kern w:val="0"/>
          <w:sz w:val="20"/>
          <w:szCs w:val="20"/>
          <w:lang w:bidi="ar"/>
        </w:rPr>
        <w:t>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149"/>
        <w:gridCol w:w="39"/>
        <w:gridCol w:w="121"/>
        <w:gridCol w:w="882"/>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1"/>
        <w:gridCol w:w="861"/>
        <w:gridCol w:w="36"/>
        <w:gridCol w:w="36"/>
        <w:gridCol w:w="36"/>
        <w:gridCol w:w="36"/>
        <w:gridCol w:w="120"/>
        <w:gridCol w:w="621"/>
        <w:gridCol w:w="36"/>
      </w:tblGrid>
      <w:tr w:rsidR="003D72E7" w14:paraId="619DE4B6" w14:textId="77777777">
        <w:trPr>
          <w:jc w:val="center"/>
        </w:trPr>
        <w:tc>
          <w:tcPr>
            <w:tcW w:w="50" w:type="pct"/>
            <w:tcBorders>
              <w:top w:val="nil"/>
              <w:left w:val="nil"/>
              <w:bottom w:val="nil"/>
              <w:right w:val="nil"/>
            </w:tcBorders>
            <w:shd w:val="clear" w:color="auto" w:fill="auto"/>
            <w:vAlign w:val="bottom"/>
          </w:tcPr>
          <w:p w14:paraId="619DE48C" w14:textId="77777777" w:rsidR="003D72E7" w:rsidRDefault="003D72E7">
            <w:pPr>
              <w:widowControl/>
              <w:jc w:val="left"/>
              <w:rPr>
                <w:rFonts w:ascii="Times New Roman" w:eastAsia="宋体" w:hAnsi="宋体" w:cs="宋体"/>
                <w:kern w:val="0"/>
                <w:sz w:val="24"/>
              </w:rPr>
            </w:pPr>
          </w:p>
        </w:tc>
        <w:tc>
          <w:tcPr>
            <w:tcW w:w="1436" w:type="pct"/>
            <w:tcBorders>
              <w:top w:val="nil"/>
              <w:left w:val="nil"/>
              <w:bottom w:val="nil"/>
              <w:right w:val="nil"/>
            </w:tcBorders>
            <w:shd w:val="clear" w:color="auto" w:fill="auto"/>
            <w:vAlign w:val="bottom"/>
          </w:tcPr>
          <w:p w14:paraId="619DE48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8E"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48F"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DE49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9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92"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49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94"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495" w14:textId="77777777" w:rsidR="003D72E7" w:rsidRDefault="003D72E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619DE49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9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98"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49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9A"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49B" w14:textId="77777777" w:rsidR="003D72E7" w:rsidRDefault="003D72E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619DE49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9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9E"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49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A0"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4A1" w14:textId="77777777" w:rsidR="003D72E7" w:rsidRDefault="003D72E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619DE4A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A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A4"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4A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A6"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4A7" w14:textId="77777777" w:rsidR="003D72E7" w:rsidRDefault="003D72E7">
            <w:pPr>
              <w:widowControl/>
              <w:jc w:val="left"/>
              <w:rPr>
                <w:rFonts w:ascii="Times New Roman" w:eastAsia="宋体" w:hAnsi="宋体" w:cs="宋体"/>
                <w:kern w:val="0"/>
                <w:sz w:val="24"/>
              </w:rPr>
            </w:pPr>
          </w:p>
        </w:tc>
        <w:tc>
          <w:tcPr>
            <w:tcW w:w="383" w:type="pct"/>
            <w:tcBorders>
              <w:top w:val="nil"/>
              <w:left w:val="nil"/>
              <w:bottom w:val="nil"/>
              <w:right w:val="nil"/>
            </w:tcBorders>
            <w:shd w:val="clear" w:color="auto" w:fill="auto"/>
            <w:vAlign w:val="bottom"/>
          </w:tcPr>
          <w:p w14:paraId="619DE4A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A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AA"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4A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AC"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4AD"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DE4A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A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B0"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4B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B2"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4B3"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DE4B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4B5" w14:textId="77777777" w:rsidR="003D72E7" w:rsidRDefault="003D72E7">
            <w:pPr>
              <w:widowControl/>
              <w:jc w:val="left"/>
              <w:rPr>
                <w:rFonts w:ascii="Times New Roman" w:eastAsia="宋体" w:hAnsi="宋体" w:cs="宋体"/>
                <w:kern w:val="0"/>
                <w:sz w:val="24"/>
              </w:rPr>
            </w:pPr>
          </w:p>
        </w:tc>
      </w:tr>
      <w:tr w:rsidR="003D72E7" w14:paraId="619DE4B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4B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9"/>
            <w:tcBorders>
              <w:top w:val="nil"/>
              <w:left w:val="nil"/>
              <w:bottom w:val="nil"/>
              <w:right w:val="nil"/>
            </w:tcBorders>
            <w:shd w:val="clear" w:color="auto" w:fill="auto"/>
            <w:tcMar>
              <w:top w:w="40" w:type="dxa"/>
              <w:left w:w="20" w:type="dxa"/>
              <w:bottom w:w="40" w:type="dxa"/>
              <w:right w:w="20" w:type="dxa"/>
            </w:tcMar>
            <w:vAlign w:val="bottom"/>
          </w:tcPr>
          <w:p w14:paraId="619DE4B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Maturities by Fiscal Year</w:t>
            </w:r>
          </w:p>
        </w:tc>
      </w:tr>
      <w:tr w:rsidR="003D72E7" w14:paraId="619DE4C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4B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4B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2022</w:t>
            </w:r>
            <w:r>
              <w:rPr>
                <w:rFonts w:ascii="Times New Roman" w:eastAsia="宋体" w:hAnsi="Times New Roman" w:cs="Times New Roman"/>
                <w:b/>
                <w:bCs/>
                <w:color w:val="000000"/>
                <w:kern w:val="0"/>
                <w:sz w:val="20"/>
                <w:szCs w:val="20"/>
                <w:lang w:bidi="ar"/>
              </w:rPr>
              <w:br/>
            </w:r>
            <w:r>
              <w:rPr>
                <w:rFonts w:ascii="Times New Roman" w:eastAsia="宋体" w:hAnsi="Times New Roman" w:cs="Times New Roman"/>
                <w:b/>
                <w:bCs/>
                <w:color w:val="000000"/>
                <w:kern w:val="0"/>
                <w:sz w:val="20"/>
                <w:szCs w:val="20"/>
                <w:lang w:bidi="ar"/>
              </w:rPr>
              <w:t>(remaining six months)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4B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4B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2023</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4B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4B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2024</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4C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4C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2025</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4C2"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4C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2026</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4C4"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4C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Thereafter</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4C6"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4C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3D72E7" w14:paraId="619DE4C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4C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4C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E4E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4C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Senior Secured Credit Facilities and First Lien Notes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4C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4C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4C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4D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4D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4D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4D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4D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4D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4D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4D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4D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4D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4D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4D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4D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4D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4D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4D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4E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4E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4E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12,750 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4E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4E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4E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4E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24,761 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4E7" w14:textId="77777777" w:rsidR="003D72E7" w:rsidRDefault="003D72E7">
            <w:pPr>
              <w:widowControl/>
              <w:jc w:val="right"/>
              <w:rPr>
                <w:rFonts w:ascii="Times New Roman" w:eastAsia="宋体" w:hAnsi="宋体" w:cs="宋体"/>
                <w:kern w:val="0"/>
                <w:sz w:val="24"/>
              </w:rPr>
            </w:pPr>
          </w:p>
        </w:tc>
      </w:tr>
      <w:tr w:rsidR="003D72E7" w14:paraId="619DE4F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4E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Unsecured Notes and Debentures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4E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4E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4E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4E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4E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4E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4F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4F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4F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4F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4F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4F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4F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4F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4F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4F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4F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4F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4F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4FD" w14:textId="77777777" w:rsidR="003D72E7" w:rsidRDefault="003D72E7">
            <w:pPr>
              <w:widowControl/>
              <w:jc w:val="right"/>
              <w:rPr>
                <w:rFonts w:ascii="Times New Roman" w:eastAsia="宋体" w:hAnsi="宋体" w:cs="宋体"/>
                <w:kern w:val="0"/>
                <w:sz w:val="24"/>
              </w:rPr>
            </w:pPr>
          </w:p>
        </w:tc>
      </w:tr>
      <w:tr w:rsidR="003D72E7" w14:paraId="619DE51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4F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Senior Notes and EMC 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0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0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0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0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0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0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0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0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0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0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0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0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0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0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0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0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1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1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1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13" w14:textId="77777777" w:rsidR="003D72E7" w:rsidRDefault="003D72E7">
            <w:pPr>
              <w:widowControl/>
              <w:jc w:val="right"/>
              <w:rPr>
                <w:rFonts w:ascii="Times New Roman" w:eastAsia="宋体" w:hAnsi="宋体" w:cs="宋体"/>
                <w:kern w:val="0"/>
                <w:sz w:val="24"/>
              </w:rPr>
            </w:pPr>
          </w:p>
        </w:tc>
      </w:tr>
      <w:tr w:rsidR="003D72E7" w14:paraId="619DE52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51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VMware Notes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51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51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1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51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51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1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51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51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1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51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52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2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52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52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2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52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w:t>
            </w: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52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2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52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529" w14:textId="77777777" w:rsidR="003D72E7" w:rsidRDefault="003D72E7">
            <w:pPr>
              <w:widowControl/>
              <w:jc w:val="right"/>
              <w:rPr>
                <w:rFonts w:ascii="Times New Roman" w:eastAsia="宋体" w:hAnsi="宋体" w:cs="宋体"/>
                <w:kern w:val="0"/>
                <w:sz w:val="24"/>
              </w:rPr>
            </w:pPr>
          </w:p>
        </w:tc>
      </w:tr>
      <w:tr w:rsidR="003D72E7" w14:paraId="619DE54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52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DFS Debt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2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2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2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2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3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3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3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3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3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3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3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3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3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3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3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3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3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3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3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9,557 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3F" w14:textId="77777777" w:rsidR="003D72E7" w:rsidRDefault="003D72E7">
            <w:pPr>
              <w:widowControl/>
              <w:jc w:val="right"/>
              <w:rPr>
                <w:rFonts w:ascii="Times New Roman" w:eastAsia="宋体" w:hAnsi="宋体" w:cs="宋体"/>
                <w:kern w:val="0"/>
                <w:sz w:val="24"/>
              </w:rPr>
            </w:pPr>
          </w:p>
        </w:tc>
      </w:tr>
      <w:tr w:rsidR="003D72E7" w14:paraId="619DE55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54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Margin Loan Facility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54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54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4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54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54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4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54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54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4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54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54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4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54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54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5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55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55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5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55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555" w14:textId="77777777" w:rsidR="003D72E7" w:rsidRDefault="003D72E7">
            <w:pPr>
              <w:widowControl/>
              <w:jc w:val="right"/>
              <w:rPr>
                <w:rFonts w:ascii="Times New Roman" w:eastAsia="宋体" w:hAnsi="宋体" w:cs="宋体"/>
                <w:kern w:val="0"/>
                <w:sz w:val="24"/>
              </w:rPr>
            </w:pPr>
          </w:p>
        </w:tc>
      </w:tr>
      <w:tr w:rsidR="003D72E7" w14:paraId="619DE56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55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5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5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5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5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5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5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5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5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6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6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6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6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6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6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6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6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6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6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6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6B" w14:textId="77777777" w:rsidR="003D72E7" w:rsidRDefault="003D72E7">
            <w:pPr>
              <w:widowControl/>
              <w:jc w:val="right"/>
              <w:rPr>
                <w:rFonts w:ascii="Times New Roman" w:eastAsia="宋体" w:hAnsi="宋体" w:cs="宋体"/>
                <w:kern w:val="0"/>
                <w:sz w:val="24"/>
              </w:rPr>
            </w:pPr>
          </w:p>
        </w:tc>
      </w:tr>
      <w:tr w:rsidR="003D72E7" w14:paraId="619DE582"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E56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maturities, principal amount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56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2,795</w:t>
            </w: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E56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70"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57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7,209 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E57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73"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57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8,651 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E57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76"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57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4,328 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E57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79"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57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4,828 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E57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7C"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57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16,226 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E57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7F"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58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44,037 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E581" w14:textId="77777777" w:rsidR="003D72E7" w:rsidRDefault="003D72E7">
            <w:pPr>
              <w:widowControl/>
              <w:jc w:val="right"/>
              <w:rPr>
                <w:rFonts w:ascii="Times New Roman" w:eastAsia="宋体" w:hAnsi="宋体" w:cs="宋体"/>
                <w:kern w:val="0"/>
                <w:sz w:val="24"/>
              </w:rPr>
            </w:pPr>
          </w:p>
        </w:tc>
      </w:tr>
      <w:tr w:rsidR="003D72E7" w14:paraId="619DE598"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619DE58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Associated carrying value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8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8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8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8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8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8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8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8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8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8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8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8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9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9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9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9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9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59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59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597" w14:textId="77777777" w:rsidR="003D72E7" w:rsidRDefault="003D72E7">
            <w:pPr>
              <w:widowControl/>
              <w:jc w:val="right"/>
              <w:rPr>
                <w:rFonts w:ascii="Times New Roman" w:eastAsia="宋体" w:hAnsi="宋体" w:cs="宋体"/>
                <w:kern w:val="0"/>
                <w:sz w:val="24"/>
              </w:rPr>
            </w:pPr>
          </w:p>
        </w:tc>
      </w:tr>
      <w:tr w:rsidR="003D72E7" w14:paraId="619DE5B5"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E59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maturities, carrying</w:t>
            </w:r>
            <w:r>
              <w:rPr>
                <w:rFonts w:ascii="Times New Roman" w:eastAsia="宋体" w:hAnsi="Times New Roman" w:cs="Times New Roman"/>
                <w:color w:val="000000"/>
                <w:kern w:val="0"/>
                <w:sz w:val="20"/>
                <w:szCs w:val="20"/>
                <w:lang w:bidi="ar"/>
              </w:rPr>
              <w:t xml:space="preserve"> value amount</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59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59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2,792 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59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9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59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59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7,204 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5A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A1"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5A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5A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8,624 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5A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A5"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5A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5A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4,263 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5A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A9"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5A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5A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4,783 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5A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A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5A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5A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15,928 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5B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5B1"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5B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5B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43,594 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5B4" w14:textId="77777777" w:rsidR="003D72E7" w:rsidRDefault="003D72E7">
            <w:pPr>
              <w:widowControl/>
              <w:jc w:val="right"/>
              <w:rPr>
                <w:rFonts w:ascii="Times New Roman" w:eastAsia="宋体" w:hAnsi="宋体" w:cs="宋体"/>
                <w:kern w:val="0"/>
                <w:sz w:val="24"/>
              </w:rPr>
            </w:pPr>
          </w:p>
        </w:tc>
      </w:tr>
    </w:tbl>
    <w:p w14:paraId="619DE5B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5B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Covenants and Unrestricted Net Assets</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b/>
          <w:bCs/>
          <w:i/>
          <w:iCs/>
          <w:color w:val="000000"/>
          <w:kern w:val="0"/>
          <w:sz w:val="20"/>
          <w:szCs w:val="20"/>
          <w:lang w:bidi="ar"/>
        </w:rPr>
        <w:t>—</w:t>
      </w:r>
      <w:r>
        <w:rPr>
          <w:rFonts w:ascii="Times New Roman" w:eastAsia="宋体" w:hAnsi="Times New Roman" w:cs="Times New Roman"/>
          <w:color w:val="000000"/>
          <w:kern w:val="0"/>
          <w:sz w:val="20"/>
          <w:szCs w:val="20"/>
          <w:lang w:bidi="ar"/>
        </w:rPr>
        <w:t xml:space="preserve"> The credit agreement for the Senior Secured Credit Facilities contains customary negative covenants that generally limit the ability of Denali Intermediate Inc., a wholly-owned subsidiary of Dell Technologies (“Denali Intermediate”), Dell, and Dell’s and </w:t>
      </w:r>
      <w:r>
        <w:rPr>
          <w:rFonts w:ascii="Times New Roman" w:eastAsia="宋体" w:hAnsi="Times New Roman" w:cs="Times New Roman"/>
          <w:color w:val="000000"/>
          <w:kern w:val="0"/>
          <w:sz w:val="20"/>
          <w:szCs w:val="20"/>
          <w:lang w:bidi="ar"/>
        </w:rPr>
        <w:t xml:space="preserve">Denali Intermediate’s other restricted subsidiaries to incur debt, create liens, make fundamental changes, enter into asset sales, make certain investments, pay dividends or distribute or redeem certain equity interests, prepay or redeem certain debt, and </w:t>
      </w:r>
      <w:r>
        <w:rPr>
          <w:rFonts w:ascii="Times New Roman" w:eastAsia="宋体" w:hAnsi="Times New Roman" w:cs="Times New Roman"/>
          <w:color w:val="000000"/>
          <w:kern w:val="0"/>
          <w:sz w:val="20"/>
          <w:szCs w:val="20"/>
          <w:lang w:bidi="ar"/>
        </w:rPr>
        <w:t>enter into certain transactions with affiliates. The indenture governing the Senior Notes contains customary negative covenants that generally limit the ability of Denali Intermediate, Dell, and Dell’s and Denali Intermediate’s other restricted subsidiarie</w:t>
      </w:r>
      <w:r>
        <w:rPr>
          <w:rFonts w:ascii="Times New Roman" w:eastAsia="宋体" w:hAnsi="Times New Roman" w:cs="Times New Roman"/>
          <w:color w:val="000000"/>
          <w:kern w:val="0"/>
          <w:sz w:val="20"/>
          <w:szCs w:val="20"/>
          <w:lang w:bidi="ar"/>
        </w:rPr>
        <w:t>s to incur additional debt or issue certain preferred shares, pay dividends on or make other distributions in respect of capital stock or make other restricted payments, make certain investments, sell or transfer certain assets, create liens on certain ass</w:t>
      </w:r>
      <w:r>
        <w:rPr>
          <w:rFonts w:ascii="Times New Roman" w:eastAsia="宋体" w:hAnsi="Times New Roman" w:cs="Times New Roman"/>
          <w:color w:val="000000"/>
          <w:kern w:val="0"/>
          <w:sz w:val="20"/>
          <w:szCs w:val="20"/>
          <w:lang w:bidi="ar"/>
        </w:rPr>
        <w:t>ets to secure debt, consolidate, merge, sell, or otherwise dispose of all or substantially all assets, enter into certain transactions with affiliates, and designate subsidiaries as unrestricted subsidiaries. The negative covenants under such credit agreem</w:t>
      </w:r>
      <w:r>
        <w:rPr>
          <w:rFonts w:ascii="Times New Roman" w:eastAsia="宋体" w:hAnsi="Times New Roman" w:cs="Times New Roman"/>
          <w:color w:val="000000"/>
          <w:kern w:val="0"/>
          <w:sz w:val="20"/>
          <w:szCs w:val="20"/>
          <w:lang w:bidi="ar"/>
        </w:rPr>
        <w:t>ents and indenture are subject to certain exceptions, qualifications, and “baskets.” The indentures governing the First Lien Notes, the Unsecured Notes and Debentures, and the EMC Notes variously impose limitations, subject to specified exceptions, on crea</w:t>
      </w:r>
      <w:r>
        <w:rPr>
          <w:rFonts w:ascii="Times New Roman" w:eastAsia="宋体" w:hAnsi="Times New Roman" w:cs="Times New Roman"/>
          <w:color w:val="000000"/>
          <w:kern w:val="0"/>
          <w:sz w:val="20"/>
          <w:szCs w:val="20"/>
          <w:lang w:bidi="ar"/>
        </w:rPr>
        <w:t>ting certain liens, entering into sale and lease-back transactions, and entering into certain asset sales. The foregoing credit agreements and indentures contain customary events of default, including failure to make required payments, failure to comply wi</w:t>
      </w:r>
      <w:r>
        <w:rPr>
          <w:rFonts w:ascii="Times New Roman" w:eastAsia="宋体" w:hAnsi="Times New Roman" w:cs="Times New Roman"/>
          <w:color w:val="000000"/>
          <w:kern w:val="0"/>
          <w:sz w:val="20"/>
          <w:szCs w:val="20"/>
          <w:lang w:bidi="ar"/>
        </w:rPr>
        <w:t>th covenants, and the occurrence of certain events of bankruptcy and insolvency.</w:t>
      </w:r>
    </w:p>
    <w:p w14:paraId="619DE5B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5B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30, 2021, the Company had certain consolidated subsidiaries that were designated as unrestricted subsidiaries for all purposes of the applicable credit agreements and the indentures governing the First Lien Notes and the Senior Notes. Substantia</w:t>
      </w:r>
      <w:r>
        <w:rPr>
          <w:rFonts w:ascii="Times New Roman" w:eastAsia="宋体" w:hAnsi="Times New Roman" w:cs="Times New Roman"/>
          <w:color w:val="000000"/>
          <w:kern w:val="0"/>
          <w:sz w:val="20"/>
          <w:szCs w:val="20"/>
          <w:lang w:bidi="ar"/>
        </w:rPr>
        <w:t xml:space="preserve">lly all of the net assets of the Company’s consolidated subsidiaries were restricted, with the exception of the Company’s unrestricted subsidiaries, primarily VMware, Inc., Secureworks, and their respective subsidiaries, as of July 30, 2021. </w:t>
      </w:r>
    </w:p>
    <w:p w14:paraId="619DE5B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5B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Senior </w:t>
      </w:r>
      <w:r>
        <w:rPr>
          <w:rFonts w:ascii="Times New Roman" w:eastAsia="宋体" w:hAnsi="Times New Roman" w:cs="Times New Roman"/>
          <w:color w:val="000000"/>
          <w:kern w:val="0"/>
          <w:sz w:val="20"/>
          <w:szCs w:val="20"/>
          <w:lang w:bidi="ar"/>
        </w:rPr>
        <w:t>Secured Credit Facilities and the Revolving Credit Facility are subject to a first lien leverage ratio covenant that is tested at the end of each fiscal quarter of Dell with respect to Dell’s preceding four fiscal quarters. The Company was in compliance wi</w:t>
      </w:r>
      <w:r>
        <w:rPr>
          <w:rFonts w:ascii="Times New Roman" w:eastAsia="宋体" w:hAnsi="Times New Roman" w:cs="Times New Roman"/>
          <w:color w:val="000000"/>
          <w:kern w:val="0"/>
          <w:sz w:val="20"/>
          <w:szCs w:val="20"/>
          <w:lang w:bidi="ar"/>
        </w:rPr>
        <w:t>th all financial covenants as of July 30, 2021.</w:t>
      </w:r>
    </w:p>
    <w:p w14:paraId="619DE5BC"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5BD"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33</w:t>
      </w:r>
    </w:p>
    <w:p w14:paraId="619DE5BE"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5BF" w14:textId="77777777" w:rsidR="003D72E7" w:rsidRDefault="00AD6774">
      <w:pPr>
        <w:widowControl/>
        <w:jc w:val="center"/>
      </w:pPr>
      <w:r>
        <w:rPr>
          <w:rFonts w:ascii="宋体" w:eastAsia="宋体" w:hAnsi="宋体" w:cs="宋体"/>
          <w:kern w:val="0"/>
          <w:sz w:val="24"/>
        </w:rPr>
        <w:pict w14:anchorId="619E0D8C">
          <v:rect id="_x0000_i1057" style="width:6in;height:1.5pt" o:hralign="center" o:hrstd="t" o:hr="t" fillcolor="#a0a0a0" stroked="f"/>
        </w:pict>
      </w:r>
    </w:p>
    <w:p w14:paraId="619DE5C0"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5C1"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5C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E5C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5C4"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5C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6 — DERIVATIVE INSTRUMENTS AND HEDGING ACTIVITIES </w:t>
      </w:r>
    </w:p>
    <w:p w14:paraId="619DE5C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5C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part of its risk management strategy, the Company uses derivative instruments, primarily foreign currency forward and option contracts and interest rate swaps, to hedge certain foreign currency a</w:t>
      </w:r>
      <w:r>
        <w:rPr>
          <w:rFonts w:ascii="Times New Roman" w:eastAsia="宋体" w:hAnsi="Times New Roman" w:cs="Times New Roman"/>
          <w:color w:val="000000"/>
          <w:kern w:val="0"/>
          <w:sz w:val="20"/>
          <w:szCs w:val="20"/>
          <w:lang w:bidi="ar"/>
        </w:rPr>
        <w:t>nd interest rate exposures, respectively.</w:t>
      </w:r>
    </w:p>
    <w:p w14:paraId="619DE5C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5C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Company’s objective is to offset gains and losses resulting from these exposures with gains and losses on the derivative contracts used to hedge the exposures, thereby reducing volatility of earnings and prot</w:t>
      </w:r>
      <w:r>
        <w:rPr>
          <w:rFonts w:ascii="Times New Roman" w:eastAsia="宋体" w:hAnsi="Times New Roman" w:cs="Times New Roman"/>
          <w:color w:val="000000"/>
          <w:kern w:val="0"/>
          <w:sz w:val="20"/>
          <w:szCs w:val="20"/>
          <w:lang w:bidi="ar"/>
        </w:rPr>
        <w:t>ecting the fair values of assets and liabilities. The earnings effects of the derivative instruments are presented in the same income statement line items as the earnings effects of the hedged items. For derivatives designated as cash flow hedges, the Comp</w:t>
      </w:r>
      <w:r>
        <w:rPr>
          <w:rFonts w:ascii="Times New Roman" w:eastAsia="宋体" w:hAnsi="Times New Roman" w:cs="Times New Roman"/>
          <w:color w:val="000000"/>
          <w:kern w:val="0"/>
          <w:sz w:val="20"/>
          <w:szCs w:val="20"/>
          <w:lang w:bidi="ar"/>
        </w:rPr>
        <w:t>any assesses hedge effectiveness both at the onset of the hedge and at regular intervals throughout the life of the derivative. The Company does not have any derivatives designated as fair value hedges.</w:t>
      </w:r>
    </w:p>
    <w:p w14:paraId="619DE5C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5C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Foreign Exchange Risk</w:t>
      </w:r>
    </w:p>
    <w:p w14:paraId="619DE5C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5C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uses foreign cu</w:t>
      </w:r>
      <w:r>
        <w:rPr>
          <w:rFonts w:ascii="Times New Roman" w:eastAsia="宋体" w:hAnsi="Times New Roman" w:cs="Times New Roman"/>
          <w:color w:val="000000"/>
          <w:kern w:val="0"/>
          <w:sz w:val="20"/>
          <w:szCs w:val="20"/>
          <w:lang w:bidi="ar"/>
        </w:rPr>
        <w:t>rrency forward and option contracts designated as cash flow hedges to protect against the foreign currency exchange rate risks inherent in its forecasted transactions denominated in currencies other than the U.S. Dollar. Hedge accounting is applied based u</w:t>
      </w:r>
      <w:r>
        <w:rPr>
          <w:rFonts w:ascii="Times New Roman" w:eastAsia="宋体" w:hAnsi="Times New Roman" w:cs="Times New Roman"/>
          <w:color w:val="000000"/>
          <w:kern w:val="0"/>
          <w:sz w:val="20"/>
          <w:szCs w:val="20"/>
          <w:lang w:bidi="ar"/>
        </w:rPr>
        <w:t xml:space="preserve">pon the criteria established by accounting guidance for derivative instruments and hedging activities. The risk of loss associated with purchased options is limited to premium amounts paid for the option contracts. The risk of loss associated with forward </w:t>
      </w:r>
      <w:r>
        <w:rPr>
          <w:rFonts w:ascii="Times New Roman" w:eastAsia="宋体" w:hAnsi="Times New Roman" w:cs="Times New Roman"/>
          <w:color w:val="000000"/>
          <w:kern w:val="0"/>
          <w:sz w:val="20"/>
          <w:szCs w:val="20"/>
          <w:lang w:bidi="ar"/>
        </w:rPr>
        <w:t>contracts is equal to the exchange rate differential from the time the contract is entered into until the time it is settled. The majority of these contracts typically expire in twelve months or less.</w:t>
      </w:r>
    </w:p>
    <w:p w14:paraId="619DE5C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5C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three and six months ended July 30, 2021 a</w:t>
      </w:r>
      <w:r>
        <w:rPr>
          <w:rFonts w:ascii="Times New Roman" w:eastAsia="宋体" w:hAnsi="Times New Roman" w:cs="Times New Roman"/>
          <w:color w:val="000000"/>
          <w:kern w:val="0"/>
          <w:sz w:val="20"/>
          <w:szCs w:val="20"/>
          <w:lang w:bidi="ar"/>
        </w:rPr>
        <w:t>nd July 31, 2020, the Company did not discontinue any cash flow hedges related to foreign exchange contracts that had a material impact on the Company’s results of operations due to the probability that the forecasted cash flows would not occur.</w:t>
      </w:r>
    </w:p>
    <w:p w14:paraId="619DE5D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5D1"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w:t>
      </w:r>
      <w:r>
        <w:rPr>
          <w:rFonts w:ascii="Times New Roman" w:eastAsia="宋体" w:hAnsi="Times New Roman" w:cs="Times New Roman"/>
          <w:color w:val="000000"/>
          <w:kern w:val="0"/>
          <w:sz w:val="20"/>
          <w:szCs w:val="20"/>
          <w:lang w:bidi="ar"/>
        </w:rPr>
        <w:t xml:space="preserve">any uses forward contracts to hedge monetary assets and liabilities denominated in a foreign currency. These contracts generally expire in three months or less, are considered economic hedges, and are not designated for hedge accounting. The change in the </w:t>
      </w:r>
      <w:r>
        <w:rPr>
          <w:rFonts w:ascii="Times New Roman" w:eastAsia="宋体" w:hAnsi="Times New Roman" w:cs="Times New Roman"/>
          <w:color w:val="000000"/>
          <w:kern w:val="0"/>
          <w:sz w:val="20"/>
          <w:szCs w:val="20"/>
          <w:lang w:bidi="ar"/>
        </w:rPr>
        <w:t>fair value of these instruments represents a natural hedge as their gains and losses offset the changes in the underlying fair value of the monetary assets and liabilities due to movements in currency exchange rates.</w:t>
      </w:r>
    </w:p>
    <w:p w14:paraId="619DE5D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5D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connection with expanded offerings</w:t>
      </w:r>
      <w:r>
        <w:rPr>
          <w:rFonts w:ascii="Times New Roman" w:eastAsia="宋体" w:hAnsi="Times New Roman" w:cs="Times New Roman"/>
          <w:color w:val="000000"/>
          <w:kern w:val="0"/>
          <w:sz w:val="20"/>
          <w:szCs w:val="20"/>
          <w:lang w:bidi="ar"/>
        </w:rPr>
        <w:t xml:space="preserve"> of DFS in Europe, forward contracts are used to hedge financing receivables denominated in foreign currencies other than Euro. These contracts are not designated for hedge accounting and most expire within three years or less.</w:t>
      </w:r>
    </w:p>
    <w:p w14:paraId="619DE5D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5D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Interest Rate Risk</w:t>
      </w:r>
    </w:p>
    <w:p w14:paraId="619DE5D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5D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uses interest rate swaps to hedge the variability in cash flows related to the interest rate payments on structured financing debt. The interest rate swaps economically convert the variable rate on the structured financing debt to a fixed inter</w:t>
      </w:r>
      <w:r>
        <w:rPr>
          <w:rFonts w:ascii="Times New Roman" w:eastAsia="宋体" w:hAnsi="Times New Roman" w:cs="Times New Roman"/>
          <w:color w:val="000000"/>
          <w:kern w:val="0"/>
          <w:sz w:val="20"/>
          <w:szCs w:val="20"/>
          <w:lang w:bidi="ar"/>
        </w:rPr>
        <w:t>est rate to match the underlying fixed rate being received on fixed-term customer leases and loans. These contracts are not designated for hedge accounting and most expire within three years or less.</w:t>
      </w:r>
    </w:p>
    <w:p w14:paraId="619DE5D8" w14:textId="77777777" w:rsidR="003D72E7" w:rsidRDefault="00AD6774">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619DE5D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swaps are utilized to manage the interes</w:t>
      </w:r>
      <w:r>
        <w:rPr>
          <w:rFonts w:ascii="Times New Roman" w:eastAsia="宋体" w:hAnsi="Times New Roman" w:cs="Times New Roman"/>
          <w:color w:val="000000"/>
          <w:kern w:val="0"/>
          <w:sz w:val="20"/>
          <w:szCs w:val="20"/>
          <w:lang w:bidi="ar"/>
        </w:rPr>
        <w:t>t rate risk, at a portfolio level, associated with DFS operations in Europe. The interest rate swaps economically convert the fixed rate on financing receivables to a three-month Euribor floating rate basis in order to match the floating rate nature of the</w:t>
      </w:r>
      <w:r>
        <w:rPr>
          <w:rFonts w:ascii="Times New Roman" w:eastAsia="宋体" w:hAnsi="Times New Roman" w:cs="Times New Roman"/>
          <w:color w:val="000000"/>
          <w:kern w:val="0"/>
          <w:sz w:val="20"/>
          <w:szCs w:val="20"/>
          <w:lang w:bidi="ar"/>
        </w:rPr>
        <w:t xml:space="preserve"> banks’ funding pool. These contracts are not designated for hedge accounting and most expire within five years or less.</w:t>
      </w:r>
    </w:p>
    <w:p w14:paraId="619DE5D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5D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D0D0D"/>
          <w:kern w:val="0"/>
          <w:sz w:val="20"/>
          <w:szCs w:val="20"/>
          <w:lang w:bidi="ar"/>
        </w:rPr>
        <w:t>The Company utilizes cross currency amortizing swaps to hedge the currency and interest rate risk exposure associated with the securitization program that was established in Europe in January 2017.  The cross currency swaps combine a Euro-based interest ra</w:t>
      </w:r>
      <w:r>
        <w:rPr>
          <w:rFonts w:ascii="Times New Roman" w:eastAsia="宋体" w:hAnsi="Times New Roman" w:cs="Times New Roman"/>
          <w:color w:val="0D0D0D"/>
          <w:kern w:val="0"/>
          <w:sz w:val="20"/>
          <w:szCs w:val="20"/>
          <w:lang w:bidi="ar"/>
        </w:rPr>
        <w:t>te swap with a British Pound or U.S. Dollar foreign exchange forward contract in which the Company pays a fixed British Pound or U.S. Dollar amount and receives a floating amount in Euros linked to the one-month Euribor.  The notional value of the swaps am</w:t>
      </w:r>
      <w:r>
        <w:rPr>
          <w:rFonts w:ascii="Times New Roman" w:eastAsia="宋体" w:hAnsi="Times New Roman" w:cs="Times New Roman"/>
          <w:color w:val="0D0D0D"/>
          <w:kern w:val="0"/>
          <w:sz w:val="20"/>
          <w:szCs w:val="20"/>
          <w:lang w:bidi="ar"/>
        </w:rPr>
        <w:t xml:space="preserve">ortizes in line with the expected cash flows and run-off of the securitized assets.  The swaps are not designated for hedge accounting and expire within </w:t>
      </w:r>
      <w:r>
        <w:rPr>
          <w:rFonts w:ascii="Times New Roman" w:eastAsia="宋体" w:hAnsi="Times New Roman" w:cs="Times New Roman"/>
          <w:color w:val="000000"/>
          <w:kern w:val="0"/>
          <w:sz w:val="20"/>
          <w:szCs w:val="20"/>
          <w:lang w:bidi="ar"/>
        </w:rPr>
        <w:t xml:space="preserve">five years </w:t>
      </w:r>
      <w:r>
        <w:rPr>
          <w:rFonts w:ascii="Times New Roman" w:eastAsia="宋体" w:hAnsi="Times New Roman" w:cs="Times New Roman"/>
          <w:color w:val="0D0D0D"/>
          <w:kern w:val="0"/>
          <w:sz w:val="20"/>
          <w:szCs w:val="20"/>
          <w:lang w:bidi="ar"/>
        </w:rPr>
        <w:t>or less.</w:t>
      </w:r>
    </w:p>
    <w:p w14:paraId="619DE5D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5D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5D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34</w:t>
      </w:r>
    </w:p>
    <w:p w14:paraId="619DE5D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5E0" w14:textId="77777777" w:rsidR="003D72E7" w:rsidRDefault="00AD6774">
      <w:pPr>
        <w:widowControl/>
        <w:jc w:val="center"/>
      </w:pPr>
      <w:r>
        <w:rPr>
          <w:rFonts w:ascii="宋体" w:eastAsia="宋体" w:hAnsi="宋体" w:cs="宋体"/>
          <w:kern w:val="0"/>
          <w:sz w:val="24"/>
        </w:rPr>
        <w:pict w14:anchorId="619E0D8D">
          <v:rect id="_x0000_i1058" style="width:6in;height:1.5pt" o:hralign="center" o:hrstd="t" o:hr="t" fillcolor="#a0a0a0" stroked="f"/>
        </w:pict>
      </w:r>
    </w:p>
    <w:p w14:paraId="619DE5E1"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w:t>
        </w:r>
        <w:r>
          <w:rPr>
            <w:rStyle w:val="a4"/>
            <w:rFonts w:ascii="Times New Roman" w:eastAsia="宋体" w:hAnsi="Times New Roman" w:cs="Times New Roman"/>
            <w:sz w:val="20"/>
            <w:szCs w:val="20"/>
          </w:rPr>
          <w:t>s</w:t>
        </w:r>
      </w:hyperlink>
    </w:p>
    <w:p w14:paraId="619DE5E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5E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E5E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5E5"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5E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Derivative Instruments</w:t>
      </w:r>
    </w:p>
    <w:p w14:paraId="619DE5E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5E8"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Notional Amounts of Outstanding Derivative Instruments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328"/>
        <w:gridCol w:w="38"/>
        <w:gridCol w:w="120"/>
        <w:gridCol w:w="1255"/>
        <w:gridCol w:w="36"/>
        <w:gridCol w:w="36"/>
        <w:gridCol w:w="36"/>
        <w:gridCol w:w="36"/>
        <w:gridCol w:w="120"/>
        <w:gridCol w:w="1255"/>
        <w:gridCol w:w="36"/>
      </w:tblGrid>
      <w:tr w:rsidR="003D72E7" w14:paraId="619DE5F5" w14:textId="77777777">
        <w:trPr>
          <w:jc w:val="center"/>
        </w:trPr>
        <w:tc>
          <w:tcPr>
            <w:tcW w:w="50" w:type="pct"/>
            <w:tcBorders>
              <w:top w:val="nil"/>
              <w:left w:val="nil"/>
              <w:bottom w:val="nil"/>
              <w:right w:val="nil"/>
            </w:tcBorders>
            <w:shd w:val="clear" w:color="auto" w:fill="auto"/>
            <w:vAlign w:val="bottom"/>
          </w:tcPr>
          <w:p w14:paraId="619DE5E9" w14:textId="77777777" w:rsidR="003D72E7" w:rsidRDefault="003D72E7">
            <w:pPr>
              <w:widowControl/>
              <w:jc w:val="left"/>
              <w:rPr>
                <w:rFonts w:ascii="Times New Roman" w:eastAsia="宋体" w:hAnsi="宋体" w:cs="宋体"/>
                <w:kern w:val="0"/>
                <w:sz w:val="24"/>
              </w:rPr>
            </w:pPr>
          </w:p>
        </w:tc>
        <w:tc>
          <w:tcPr>
            <w:tcW w:w="3234" w:type="pct"/>
            <w:tcBorders>
              <w:top w:val="nil"/>
              <w:left w:val="nil"/>
              <w:bottom w:val="nil"/>
              <w:right w:val="nil"/>
            </w:tcBorders>
            <w:shd w:val="clear" w:color="auto" w:fill="auto"/>
            <w:vAlign w:val="bottom"/>
          </w:tcPr>
          <w:p w14:paraId="619DE5E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5E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5EC" w14:textId="77777777" w:rsidR="003D72E7" w:rsidRDefault="003D72E7">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619DE5E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5E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5E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5F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5F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5F2" w14:textId="77777777" w:rsidR="003D72E7" w:rsidRDefault="003D72E7">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619DE5F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5F4" w14:textId="77777777" w:rsidR="003D72E7" w:rsidRDefault="003D72E7">
            <w:pPr>
              <w:widowControl/>
              <w:jc w:val="left"/>
              <w:rPr>
                <w:rFonts w:ascii="Times New Roman" w:eastAsia="宋体" w:hAnsi="宋体" w:cs="宋体"/>
                <w:kern w:val="0"/>
                <w:sz w:val="24"/>
              </w:rPr>
            </w:pPr>
          </w:p>
        </w:tc>
      </w:tr>
      <w:tr w:rsidR="003D72E7" w14:paraId="619DE5FA" w14:textId="77777777">
        <w:trPr>
          <w:jc w:val="center"/>
        </w:trPr>
        <w:tc>
          <w:tcPr>
            <w:tcW w:w="0" w:type="auto"/>
            <w:gridSpan w:val="3"/>
            <w:tcBorders>
              <w:top w:val="nil"/>
              <w:left w:val="nil"/>
              <w:bottom w:val="nil"/>
              <w:right w:val="nil"/>
            </w:tcBorders>
            <w:shd w:val="clear" w:color="auto" w:fill="auto"/>
            <w:tcMar>
              <w:top w:w="40" w:type="dxa"/>
              <w:left w:w="132" w:type="dxa"/>
              <w:bottom w:w="40" w:type="dxa"/>
              <w:right w:w="132" w:type="dxa"/>
            </w:tcMar>
            <w:vAlign w:val="bottom"/>
          </w:tcPr>
          <w:p w14:paraId="619DE5F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5F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5F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E5F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E5F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5F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5F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3D72E7" w14:paraId="619DE60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5F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Foreign exchange contracts: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5F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60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60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3D72E7" w14:paraId="619DE60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E60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Designated as cash flow hedging instruments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60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60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60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0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60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60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6,840 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60A" w14:textId="77777777" w:rsidR="003D72E7" w:rsidRDefault="003D72E7">
            <w:pPr>
              <w:widowControl/>
              <w:jc w:val="right"/>
              <w:rPr>
                <w:rFonts w:ascii="Times New Roman" w:eastAsia="宋体" w:hAnsi="宋体" w:cs="宋体"/>
                <w:kern w:val="0"/>
                <w:sz w:val="24"/>
              </w:rPr>
            </w:pPr>
          </w:p>
        </w:tc>
      </w:tr>
      <w:tr w:rsidR="003D72E7" w14:paraId="619DE612"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E60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Non-designated as hedging instruments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60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60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60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61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611" w14:textId="77777777" w:rsidR="003D72E7" w:rsidRDefault="003D72E7">
            <w:pPr>
              <w:widowControl/>
              <w:jc w:val="right"/>
              <w:rPr>
                <w:rFonts w:ascii="Times New Roman" w:eastAsia="宋体" w:hAnsi="宋体" w:cs="宋体"/>
                <w:kern w:val="0"/>
                <w:sz w:val="24"/>
              </w:rPr>
            </w:pPr>
          </w:p>
        </w:tc>
      </w:tr>
      <w:tr w:rsidR="003D72E7" w14:paraId="619DE61B"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E61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61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61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17,751 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61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1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61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61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16,730 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61A" w14:textId="77777777" w:rsidR="003D72E7" w:rsidRDefault="003D72E7">
            <w:pPr>
              <w:widowControl/>
              <w:jc w:val="right"/>
              <w:rPr>
                <w:rFonts w:ascii="Times New Roman" w:eastAsia="宋体" w:hAnsi="宋体" w:cs="宋体"/>
                <w:kern w:val="0"/>
                <w:sz w:val="24"/>
              </w:rPr>
            </w:pPr>
          </w:p>
        </w:tc>
      </w:tr>
      <w:tr w:rsidR="003D72E7" w14:paraId="619DE62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61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Interest rate contracts:</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E61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61E"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E61F" w14:textId="77777777" w:rsidR="003D72E7" w:rsidRDefault="003D72E7">
            <w:pPr>
              <w:widowControl/>
              <w:jc w:val="left"/>
              <w:rPr>
                <w:rFonts w:ascii="Times New Roman" w:eastAsia="宋体" w:hAnsi="宋体" w:cs="宋体"/>
                <w:kern w:val="0"/>
                <w:sz w:val="24"/>
              </w:rPr>
            </w:pPr>
          </w:p>
        </w:tc>
      </w:tr>
      <w:tr w:rsidR="003D72E7" w14:paraId="619DE629"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E62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Non-designated as hedging instruments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62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62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62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2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62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62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5,859 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628" w14:textId="77777777" w:rsidR="003D72E7" w:rsidRDefault="003D72E7">
            <w:pPr>
              <w:widowControl/>
              <w:jc w:val="right"/>
              <w:rPr>
                <w:rFonts w:ascii="Times New Roman" w:eastAsia="宋体" w:hAnsi="宋体" w:cs="宋体"/>
                <w:kern w:val="0"/>
                <w:sz w:val="24"/>
              </w:rPr>
            </w:pPr>
          </w:p>
        </w:tc>
      </w:tr>
    </w:tbl>
    <w:p w14:paraId="619DE62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62B"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 xml:space="preserve">Effect of Derivative Instruments Designated as Hedging Instruments on the Condensed Consolidated Statements of Financial Position and the </w:t>
      </w:r>
      <w:r>
        <w:rPr>
          <w:rFonts w:ascii="Times New Roman" w:eastAsia="宋体" w:hAnsi="Times New Roman" w:cs="Times New Roman"/>
          <w:i/>
          <w:iCs/>
          <w:color w:val="000000"/>
          <w:kern w:val="0"/>
          <w:sz w:val="20"/>
          <w:szCs w:val="20"/>
          <w:u w:val="single"/>
          <w:lang w:bidi="ar"/>
        </w:rPr>
        <w:t>Condensed Consolidated Statements of Income</w:t>
      </w:r>
    </w:p>
    <w:p w14:paraId="619DE62C" w14:textId="77777777" w:rsidR="003D72E7" w:rsidRDefault="00AD6774">
      <w:pPr>
        <w:widowControl/>
        <w:spacing w:after="60"/>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3"/>
        <w:gridCol w:w="1897"/>
        <w:gridCol w:w="36"/>
        <w:gridCol w:w="36"/>
        <w:gridCol w:w="36"/>
        <w:gridCol w:w="36"/>
        <w:gridCol w:w="121"/>
        <w:gridCol w:w="1680"/>
        <w:gridCol w:w="36"/>
        <w:gridCol w:w="36"/>
        <w:gridCol w:w="36"/>
        <w:gridCol w:w="36"/>
        <w:gridCol w:w="38"/>
        <w:gridCol w:w="2143"/>
        <w:gridCol w:w="36"/>
        <w:gridCol w:w="36"/>
        <w:gridCol w:w="36"/>
        <w:gridCol w:w="36"/>
        <w:gridCol w:w="121"/>
        <w:gridCol w:w="1681"/>
        <w:gridCol w:w="36"/>
        <w:gridCol w:w="36"/>
        <w:gridCol w:w="36"/>
        <w:gridCol w:w="36"/>
        <w:gridCol w:w="36"/>
      </w:tblGrid>
      <w:tr w:rsidR="003D72E7" w14:paraId="619DE646" w14:textId="77777777">
        <w:tc>
          <w:tcPr>
            <w:tcW w:w="50" w:type="pct"/>
            <w:tcBorders>
              <w:top w:val="nil"/>
              <w:left w:val="nil"/>
              <w:bottom w:val="nil"/>
              <w:right w:val="nil"/>
            </w:tcBorders>
            <w:shd w:val="clear" w:color="auto" w:fill="auto"/>
            <w:vAlign w:val="bottom"/>
          </w:tcPr>
          <w:p w14:paraId="619DE62D" w14:textId="77777777" w:rsidR="003D72E7" w:rsidRDefault="003D72E7">
            <w:pPr>
              <w:widowControl/>
              <w:jc w:val="left"/>
              <w:rPr>
                <w:rFonts w:ascii="Times New Roman" w:eastAsia="宋体" w:hAnsi="宋体" w:cs="宋体"/>
                <w:kern w:val="0"/>
                <w:sz w:val="24"/>
              </w:rPr>
            </w:pPr>
          </w:p>
        </w:tc>
        <w:tc>
          <w:tcPr>
            <w:tcW w:w="1209" w:type="pct"/>
            <w:tcBorders>
              <w:top w:val="nil"/>
              <w:left w:val="nil"/>
              <w:bottom w:val="nil"/>
              <w:right w:val="nil"/>
            </w:tcBorders>
            <w:shd w:val="clear" w:color="auto" w:fill="auto"/>
            <w:vAlign w:val="bottom"/>
          </w:tcPr>
          <w:p w14:paraId="619DE62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62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630"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63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632"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633" w14:textId="77777777" w:rsidR="003D72E7" w:rsidRDefault="003D72E7">
            <w:pPr>
              <w:widowControl/>
              <w:jc w:val="left"/>
              <w:rPr>
                <w:rFonts w:ascii="Times New Roman" w:eastAsia="宋体" w:hAnsi="宋体" w:cs="宋体"/>
                <w:kern w:val="0"/>
                <w:sz w:val="24"/>
              </w:rPr>
            </w:pPr>
          </w:p>
        </w:tc>
        <w:tc>
          <w:tcPr>
            <w:tcW w:w="1063" w:type="pct"/>
            <w:tcBorders>
              <w:top w:val="nil"/>
              <w:left w:val="nil"/>
              <w:bottom w:val="nil"/>
              <w:right w:val="nil"/>
            </w:tcBorders>
            <w:shd w:val="clear" w:color="auto" w:fill="auto"/>
            <w:vAlign w:val="bottom"/>
          </w:tcPr>
          <w:p w14:paraId="619DE63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63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636"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63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638"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639" w14:textId="77777777" w:rsidR="003D72E7" w:rsidRDefault="003D72E7">
            <w:pPr>
              <w:widowControl/>
              <w:jc w:val="left"/>
              <w:rPr>
                <w:rFonts w:ascii="Times New Roman" w:eastAsia="宋体" w:hAnsi="宋体" w:cs="宋体"/>
                <w:kern w:val="0"/>
                <w:sz w:val="24"/>
              </w:rPr>
            </w:pPr>
          </w:p>
        </w:tc>
        <w:tc>
          <w:tcPr>
            <w:tcW w:w="1355" w:type="pct"/>
            <w:tcBorders>
              <w:top w:val="nil"/>
              <w:left w:val="nil"/>
              <w:bottom w:val="nil"/>
              <w:right w:val="nil"/>
            </w:tcBorders>
            <w:shd w:val="clear" w:color="auto" w:fill="auto"/>
            <w:vAlign w:val="bottom"/>
          </w:tcPr>
          <w:p w14:paraId="619DE63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63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63C"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63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63E"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63F" w14:textId="77777777" w:rsidR="003D72E7" w:rsidRDefault="003D72E7">
            <w:pPr>
              <w:widowControl/>
              <w:jc w:val="left"/>
              <w:rPr>
                <w:rFonts w:ascii="Times New Roman" w:eastAsia="宋体" w:hAnsi="宋体" w:cs="宋体"/>
                <w:kern w:val="0"/>
                <w:sz w:val="24"/>
              </w:rPr>
            </w:pPr>
          </w:p>
        </w:tc>
        <w:tc>
          <w:tcPr>
            <w:tcW w:w="1063" w:type="pct"/>
            <w:tcBorders>
              <w:top w:val="nil"/>
              <w:left w:val="nil"/>
              <w:bottom w:val="nil"/>
              <w:right w:val="nil"/>
            </w:tcBorders>
            <w:shd w:val="clear" w:color="auto" w:fill="auto"/>
            <w:vAlign w:val="bottom"/>
          </w:tcPr>
          <w:p w14:paraId="619DE64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64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642"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43"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44"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45" w14:textId="77777777" w:rsidR="003D72E7" w:rsidRDefault="003D72E7">
            <w:pPr>
              <w:widowControl/>
              <w:jc w:val="left"/>
              <w:rPr>
                <w:rFonts w:ascii="Times New Roman" w:eastAsia="宋体" w:hAnsi="宋体" w:cs="宋体"/>
                <w:vanish/>
                <w:kern w:val="0"/>
                <w:sz w:val="24"/>
              </w:rPr>
            </w:pPr>
          </w:p>
        </w:tc>
      </w:tr>
      <w:tr w:rsidR="003D72E7" w14:paraId="619DE65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64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Derivatives in Cash Flow Hedging Relationships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64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64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Gain (Loss) Recognized in Accumulated OCI, Net of Tax, on Derivatives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64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64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Location of Gain (Loss) Reclassified from Accumulated OCI into Income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64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64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Gain (Loss) Reclassified from </w:t>
            </w:r>
            <w:r>
              <w:rPr>
                <w:rFonts w:ascii="Times New Roman" w:eastAsia="宋体" w:hAnsi="Times New Roman" w:cs="Times New Roman"/>
                <w:b/>
                <w:bCs/>
                <w:color w:val="000000"/>
                <w:kern w:val="0"/>
                <w:sz w:val="18"/>
                <w:szCs w:val="18"/>
                <w:lang w:bidi="ar"/>
              </w:rPr>
              <w:t>Accumulated OCI into Income</w:t>
            </w:r>
          </w:p>
        </w:tc>
        <w:tc>
          <w:tcPr>
            <w:tcW w:w="0" w:type="auto"/>
            <w:tcBorders>
              <w:top w:val="nil"/>
              <w:left w:val="nil"/>
              <w:bottom w:val="nil"/>
              <w:right w:val="nil"/>
            </w:tcBorders>
            <w:shd w:val="clear" w:color="auto" w:fill="auto"/>
            <w:vAlign w:val="bottom"/>
          </w:tcPr>
          <w:p w14:paraId="619DE64E"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4F"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50"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51" w14:textId="77777777" w:rsidR="003D72E7" w:rsidRDefault="003D72E7">
            <w:pPr>
              <w:widowControl/>
              <w:jc w:val="left"/>
              <w:rPr>
                <w:rFonts w:ascii="Times New Roman" w:eastAsia="宋体" w:hAnsi="宋体" w:cs="宋体"/>
                <w:vanish/>
                <w:kern w:val="0"/>
                <w:sz w:val="24"/>
              </w:rPr>
            </w:pPr>
          </w:p>
        </w:tc>
      </w:tr>
      <w:tr w:rsidR="003D72E7" w14:paraId="619DE65E"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E65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654"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65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656"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E65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658"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65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(in millions)</w:t>
            </w:r>
          </w:p>
        </w:tc>
        <w:tc>
          <w:tcPr>
            <w:tcW w:w="0" w:type="auto"/>
            <w:tcBorders>
              <w:top w:val="nil"/>
              <w:left w:val="nil"/>
              <w:bottom w:val="nil"/>
              <w:right w:val="nil"/>
            </w:tcBorders>
            <w:shd w:val="clear" w:color="auto" w:fill="auto"/>
            <w:vAlign w:val="bottom"/>
          </w:tcPr>
          <w:p w14:paraId="619DE65A"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5B"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5C"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5D" w14:textId="77777777" w:rsidR="003D72E7" w:rsidRDefault="003D72E7">
            <w:pPr>
              <w:widowControl/>
              <w:jc w:val="left"/>
              <w:rPr>
                <w:rFonts w:ascii="Times New Roman" w:eastAsia="宋体" w:hAnsi="宋体" w:cs="宋体"/>
                <w:vanish/>
                <w:kern w:val="0"/>
                <w:sz w:val="24"/>
              </w:rPr>
            </w:pPr>
          </w:p>
        </w:tc>
      </w:tr>
      <w:tr w:rsidR="003D72E7" w14:paraId="619DE664" w14:textId="77777777">
        <w:tc>
          <w:tcPr>
            <w:tcW w:w="0" w:type="auto"/>
            <w:gridSpan w:val="21"/>
            <w:tcBorders>
              <w:top w:val="nil"/>
              <w:left w:val="nil"/>
              <w:bottom w:val="nil"/>
              <w:right w:val="nil"/>
            </w:tcBorders>
            <w:shd w:val="clear" w:color="auto" w:fill="CCEEFF"/>
            <w:tcMar>
              <w:top w:w="40" w:type="dxa"/>
              <w:left w:w="20" w:type="dxa"/>
              <w:bottom w:w="40" w:type="dxa"/>
              <w:right w:w="20" w:type="dxa"/>
            </w:tcMar>
            <w:vAlign w:val="bottom"/>
          </w:tcPr>
          <w:p w14:paraId="619DE65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For the three months ended July 30, 2021</w:t>
            </w:r>
          </w:p>
        </w:tc>
        <w:tc>
          <w:tcPr>
            <w:tcW w:w="0" w:type="auto"/>
            <w:tcBorders>
              <w:top w:val="nil"/>
              <w:left w:val="nil"/>
              <w:bottom w:val="nil"/>
              <w:right w:val="nil"/>
            </w:tcBorders>
            <w:shd w:val="clear" w:color="auto" w:fill="auto"/>
            <w:vAlign w:val="bottom"/>
          </w:tcPr>
          <w:p w14:paraId="619DE660"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61"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62"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63" w14:textId="77777777" w:rsidR="003D72E7" w:rsidRDefault="003D72E7">
            <w:pPr>
              <w:widowControl/>
              <w:jc w:val="left"/>
              <w:rPr>
                <w:rFonts w:ascii="Times New Roman" w:eastAsia="宋体" w:hAnsi="宋体" w:cs="宋体"/>
                <w:vanish/>
                <w:kern w:val="0"/>
                <w:sz w:val="24"/>
              </w:rPr>
            </w:pPr>
          </w:p>
        </w:tc>
      </w:tr>
      <w:tr w:rsidR="003D72E7" w14:paraId="619DE672"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6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6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66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6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66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net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6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66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66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66D" w14:textId="77777777" w:rsidR="003D72E7" w:rsidRDefault="003D72E7">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66E"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6F"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70"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71" w14:textId="77777777" w:rsidR="003D72E7" w:rsidRDefault="003D72E7">
            <w:pPr>
              <w:widowControl/>
              <w:jc w:val="left"/>
              <w:rPr>
                <w:rFonts w:ascii="Times New Roman" w:eastAsia="宋体" w:hAnsi="宋体" w:cs="宋体"/>
                <w:vanish/>
                <w:kern w:val="0"/>
                <w:sz w:val="24"/>
              </w:rPr>
            </w:pPr>
          </w:p>
        </w:tc>
      </w:tr>
      <w:tr w:rsidR="003D72E7" w14:paraId="619DE68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67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67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67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67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67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67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67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cost of 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67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67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67C" w14:textId="77777777" w:rsidR="003D72E7" w:rsidRDefault="003D72E7">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67D"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7E"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7F"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80" w14:textId="77777777" w:rsidR="003D72E7" w:rsidRDefault="003D72E7">
            <w:pPr>
              <w:widowControl/>
              <w:jc w:val="left"/>
              <w:rPr>
                <w:rFonts w:ascii="Times New Roman" w:eastAsia="宋体" w:hAnsi="宋体" w:cs="宋体"/>
                <w:vanish/>
                <w:kern w:val="0"/>
                <w:sz w:val="24"/>
              </w:rPr>
            </w:pPr>
          </w:p>
        </w:tc>
      </w:tr>
      <w:tr w:rsidR="003D72E7" w14:paraId="619DE68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68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8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68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68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8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68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8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68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68A" w14:textId="77777777" w:rsidR="003D72E7" w:rsidRDefault="003D72E7">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68B"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8C"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8D"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8E" w14:textId="77777777" w:rsidR="003D72E7" w:rsidRDefault="003D72E7">
            <w:pPr>
              <w:widowControl/>
              <w:jc w:val="left"/>
              <w:rPr>
                <w:rFonts w:ascii="Times New Roman" w:eastAsia="宋体" w:hAnsi="宋体" w:cs="宋体"/>
                <w:vanish/>
                <w:kern w:val="0"/>
                <w:sz w:val="24"/>
              </w:rPr>
            </w:pPr>
          </w:p>
        </w:tc>
      </w:tr>
      <w:tr w:rsidR="003D72E7" w14:paraId="619DE69F"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E69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691"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E69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E69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E69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69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69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69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E69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E69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E69A" w14:textId="77777777" w:rsidR="003D72E7" w:rsidRDefault="003D72E7">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69B"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9C"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9D"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9E" w14:textId="77777777" w:rsidR="003D72E7" w:rsidRDefault="003D72E7">
            <w:pPr>
              <w:widowControl/>
              <w:jc w:val="left"/>
              <w:rPr>
                <w:rFonts w:ascii="Times New Roman" w:eastAsia="宋体" w:hAnsi="宋体" w:cs="宋体"/>
                <w:vanish/>
                <w:kern w:val="0"/>
                <w:sz w:val="24"/>
              </w:rPr>
            </w:pPr>
          </w:p>
        </w:tc>
      </w:tr>
      <w:tr w:rsidR="003D72E7" w14:paraId="619DE6AB"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A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A1"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E6A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A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A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A5"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E6A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6A7"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A8"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A9"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AA" w14:textId="77777777" w:rsidR="003D72E7" w:rsidRDefault="003D72E7">
            <w:pPr>
              <w:widowControl/>
              <w:jc w:val="left"/>
              <w:rPr>
                <w:rFonts w:ascii="Times New Roman" w:eastAsia="宋体" w:hAnsi="宋体" w:cs="宋体"/>
                <w:vanish/>
                <w:kern w:val="0"/>
                <w:sz w:val="24"/>
              </w:rPr>
            </w:pPr>
          </w:p>
        </w:tc>
      </w:tr>
      <w:tr w:rsidR="003D72E7" w14:paraId="619DE6B1" w14:textId="77777777">
        <w:tc>
          <w:tcPr>
            <w:tcW w:w="0" w:type="auto"/>
            <w:gridSpan w:val="21"/>
            <w:tcBorders>
              <w:top w:val="nil"/>
              <w:left w:val="nil"/>
              <w:bottom w:val="nil"/>
              <w:right w:val="nil"/>
            </w:tcBorders>
            <w:shd w:val="clear" w:color="auto" w:fill="CCEEFF"/>
            <w:tcMar>
              <w:top w:w="40" w:type="dxa"/>
              <w:left w:w="20" w:type="dxa"/>
              <w:bottom w:w="40" w:type="dxa"/>
              <w:right w:w="20" w:type="dxa"/>
            </w:tcMar>
            <w:vAlign w:val="bottom"/>
          </w:tcPr>
          <w:p w14:paraId="619DE6A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For the three months ended July 31, 2020</w:t>
            </w:r>
          </w:p>
        </w:tc>
        <w:tc>
          <w:tcPr>
            <w:tcW w:w="0" w:type="auto"/>
            <w:tcBorders>
              <w:top w:val="nil"/>
              <w:left w:val="nil"/>
              <w:bottom w:val="nil"/>
              <w:right w:val="nil"/>
            </w:tcBorders>
            <w:shd w:val="clear" w:color="auto" w:fill="auto"/>
            <w:vAlign w:val="bottom"/>
          </w:tcPr>
          <w:p w14:paraId="619DE6AD"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AE"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AF"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B0" w14:textId="77777777" w:rsidR="003D72E7" w:rsidRDefault="003D72E7">
            <w:pPr>
              <w:widowControl/>
              <w:jc w:val="left"/>
              <w:rPr>
                <w:rFonts w:ascii="Times New Roman" w:eastAsia="宋体" w:hAnsi="宋体" w:cs="宋体"/>
                <w:vanish/>
                <w:kern w:val="0"/>
                <w:sz w:val="24"/>
              </w:rPr>
            </w:pPr>
          </w:p>
        </w:tc>
      </w:tr>
      <w:tr w:rsidR="003D72E7" w14:paraId="619DE6BF"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B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B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6B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B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6B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net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B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6B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6B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6BA" w14:textId="77777777" w:rsidR="003D72E7" w:rsidRDefault="003D72E7">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6BB"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BC"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BD"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BE" w14:textId="77777777" w:rsidR="003D72E7" w:rsidRDefault="003D72E7">
            <w:pPr>
              <w:widowControl/>
              <w:jc w:val="left"/>
              <w:rPr>
                <w:rFonts w:ascii="Times New Roman" w:eastAsia="宋体" w:hAnsi="宋体" w:cs="宋体"/>
                <w:vanish/>
                <w:kern w:val="0"/>
                <w:sz w:val="24"/>
              </w:rPr>
            </w:pPr>
          </w:p>
        </w:tc>
      </w:tr>
      <w:tr w:rsidR="003D72E7" w14:paraId="619DE6C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6C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6C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6C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6C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6C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6C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6C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cost of </w:t>
            </w:r>
            <w:r>
              <w:rPr>
                <w:rFonts w:ascii="Times New Roman" w:eastAsia="宋体" w:hAnsi="Times New Roman" w:cs="Times New Roman"/>
                <w:color w:val="000000"/>
                <w:kern w:val="0"/>
                <w:sz w:val="20"/>
                <w:szCs w:val="20"/>
                <w:lang w:bidi="ar"/>
              </w:rPr>
              <w:t>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6C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6C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6C9" w14:textId="77777777" w:rsidR="003D72E7" w:rsidRDefault="003D72E7">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6CA"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CB"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CC"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CD" w14:textId="77777777" w:rsidR="003D72E7" w:rsidRDefault="003D72E7">
            <w:pPr>
              <w:widowControl/>
              <w:jc w:val="left"/>
              <w:rPr>
                <w:rFonts w:ascii="Times New Roman" w:eastAsia="宋体" w:hAnsi="宋体" w:cs="宋体"/>
                <w:vanish/>
                <w:kern w:val="0"/>
                <w:sz w:val="24"/>
              </w:rPr>
            </w:pPr>
          </w:p>
        </w:tc>
      </w:tr>
      <w:tr w:rsidR="003D72E7" w14:paraId="619DE6D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6C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D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6D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6D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D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6D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D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6D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6D7" w14:textId="77777777" w:rsidR="003D72E7" w:rsidRDefault="003D72E7">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6D8"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D9"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DA"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DB" w14:textId="77777777" w:rsidR="003D72E7" w:rsidRDefault="003D72E7">
            <w:pPr>
              <w:widowControl/>
              <w:jc w:val="left"/>
              <w:rPr>
                <w:rFonts w:ascii="Times New Roman" w:eastAsia="宋体" w:hAnsi="宋体" w:cs="宋体"/>
                <w:vanish/>
                <w:kern w:val="0"/>
                <w:sz w:val="24"/>
              </w:rPr>
            </w:pPr>
          </w:p>
        </w:tc>
      </w:tr>
      <w:tr w:rsidR="003D72E7" w14:paraId="619DE6EC"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E6D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6DE"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E6D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E6E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E6E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6E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6E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6E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E6E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E6E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E6E7" w14:textId="77777777" w:rsidR="003D72E7" w:rsidRDefault="003D72E7">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6E8"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E9"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EA"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EB" w14:textId="77777777" w:rsidR="003D72E7" w:rsidRDefault="003D72E7">
            <w:pPr>
              <w:widowControl/>
              <w:jc w:val="left"/>
              <w:rPr>
                <w:rFonts w:ascii="Times New Roman" w:eastAsia="宋体" w:hAnsi="宋体" w:cs="宋体"/>
                <w:vanish/>
                <w:kern w:val="0"/>
                <w:sz w:val="24"/>
              </w:rPr>
            </w:pPr>
          </w:p>
        </w:tc>
      </w:tr>
      <w:tr w:rsidR="003D72E7" w14:paraId="619DE6F8"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E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EE"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E6E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F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F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F2"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E6F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6F4"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F5"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F6"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F7" w14:textId="77777777" w:rsidR="003D72E7" w:rsidRDefault="003D72E7">
            <w:pPr>
              <w:widowControl/>
              <w:jc w:val="left"/>
              <w:rPr>
                <w:rFonts w:ascii="Times New Roman" w:eastAsia="宋体" w:hAnsi="宋体" w:cs="宋体"/>
                <w:vanish/>
                <w:kern w:val="0"/>
                <w:sz w:val="24"/>
              </w:rPr>
            </w:pPr>
          </w:p>
        </w:tc>
      </w:tr>
      <w:tr w:rsidR="003D72E7" w14:paraId="619DE6FE" w14:textId="77777777">
        <w:tc>
          <w:tcPr>
            <w:tcW w:w="0" w:type="auto"/>
            <w:gridSpan w:val="21"/>
            <w:tcBorders>
              <w:top w:val="nil"/>
              <w:left w:val="nil"/>
              <w:bottom w:val="nil"/>
              <w:right w:val="nil"/>
            </w:tcBorders>
            <w:shd w:val="clear" w:color="auto" w:fill="CCEEFF"/>
            <w:tcMar>
              <w:top w:w="40" w:type="dxa"/>
              <w:left w:w="20" w:type="dxa"/>
              <w:bottom w:w="40" w:type="dxa"/>
              <w:right w:w="20" w:type="dxa"/>
            </w:tcMar>
            <w:vAlign w:val="bottom"/>
          </w:tcPr>
          <w:p w14:paraId="619DE6F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For the six months ended July 30, 2021</w:t>
            </w:r>
          </w:p>
        </w:tc>
        <w:tc>
          <w:tcPr>
            <w:tcW w:w="0" w:type="auto"/>
            <w:tcBorders>
              <w:top w:val="nil"/>
              <w:left w:val="nil"/>
              <w:bottom w:val="nil"/>
              <w:right w:val="nil"/>
            </w:tcBorders>
            <w:shd w:val="clear" w:color="auto" w:fill="auto"/>
            <w:vAlign w:val="bottom"/>
          </w:tcPr>
          <w:p w14:paraId="619DE6FA"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FB"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FC"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6FD" w14:textId="77777777" w:rsidR="003D72E7" w:rsidRDefault="003D72E7">
            <w:pPr>
              <w:widowControl/>
              <w:jc w:val="left"/>
              <w:rPr>
                <w:rFonts w:ascii="Times New Roman" w:eastAsia="宋体" w:hAnsi="宋体" w:cs="宋体"/>
                <w:vanish/>
                <w:kern w:val="0"/>
                <w:sz w:val="24"/>
              </w:rPr>
            </w:pPr>
          </w:p>
        </w:tc>
      </w:tr>
      <w:tr w:rsidR="003D72E7" w14:paraId="619DE70C"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6F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0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70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0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70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net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0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70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70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707" w14:textId="77777777" w:rsidR="003D72E7" w:rsidRDefault="003D72E7">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708"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09"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0A"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0B" w14:textId="77777777" w:rsidR="003D72E7" w:rsidRDefault="003D72E7">
            <w:pPr>
              <w:widowControl/>
              <w:jc w:val="left"/>
              <w:rPr>
                <w:rFonts w:ascii="Times New Roman" w:eastAsia="宋体" w:hAnsi="宋体" w:cs="宋体"/>
                <w:vanish/>
                <w:kern w:val="0"/>
                <w:sz w:val="24"/>
              </w:rPr>
            </w:pPr>
          </w:p>
        </w:tc>
      </w:tr>
      <w:tr w:rsidR="003D72E7" w14:paraId="619DE71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70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0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70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71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71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1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71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cost of net </w:t>
            </w:r>
            <w:r>
              <w:rPr>
                <w:rFonts w:ascii="Times New Roman" w:eastAsia="宋体" w:hAnsi="Times New Roman" w:cs="Times New Roman"/>
                <w:color w:val="000000"/>
                <w:kern w:val="0"/>
                <w:sz w:val="20"/>
                <w:szCs w:val="20"/>
                <w:lang w:bidi="ar"/>
              </w:rPr>
              <w:t>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1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71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716" w14:textId="77777777" w:rsidR="003D72E7" w:rsidRDefault="003D72E7">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717"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18"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19"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1A" w14:textId="77777777" w:rsidR="003D72E7" w:rsidRDefault="003D72E7">
            <w:pPr>
              <w:widowControl/>
              <w:jc w:val="left"/>
              <w:rPr>
                <w:rFonts w:ascii="Times New Roman" w:eastAsia="宋体" w:hAnsi="宋体" w:cs="宋体"/>
                <w:vanish/>
                <w:kern w:val="0"/>
                <w:sz w:val="24"/>
              </w:rPr>
            </w:pPr>
          </w:p>
        </w:tc>
      </w:tr>
      <w:tr w:rsidR="003D72E7" w14:paraId="619DE72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71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1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71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71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2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72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2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72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724" w14:textId="77777777" w:rsidR="003D72E7" w:rsidRDefault="003D72E7">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725"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26"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27"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28" w14:textId="77777777" w:rsidR="003D72E7" w:rsidRDefault="003D72E7">
            <w:pPr>
              <w:widowControl/>
              <w:jc w:val="left"/>
              <w:rPr>
                <w:rFonts w:ascii="Times New Roman" w:eastAsia="宋体" w:hAnsi="宋体" w:cs="宋体"/>
                <w:vanish/>
                <w:kern w:val="0"/>
                <w:sz w:val="24"/>
              </w:rPr>
            </w:pPr>
          </w:p>
        </w:tc>
      </w:tr>
      <w:tr w:rsidR="003D72E7" w14:paraId="619DE739"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E72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2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E72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E72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E72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2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73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31"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E73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E73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E734" w14:textId="77777777" w:rsidR="003D72E7" w:rsidRDefault="003D72E7">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735"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36"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37"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38" w14:textId="77777777" w:rsidR="003D72E7" w:rsidRDefault="003D72E7">
            <w:pPr>
              <w:widowControl/>
              <w:jc w:val="left"/>
              <w:rPr>
                <w:rFonts w:ascii="Times New Roman" w:eastAsia="宋体" w:hAnsi="宋体" w:cs="宋体"/>
                <w:vanish/>
                <w:kern w:val="0"/>
                <w:sz w:val="24"/>
              </w:rPr>
            </w:pPr>
          </w:p>
        </w:tc>
      </w:tr>
      <w:tr w:rsidR="003D72E7" w14:paraId="619DE745"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3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3B"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E73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3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3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3F"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E74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741"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42"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43"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44" w14:textId="77777777" w:rsidR="003D72E7" w:rsidRDefault="003D72E7">
            <w:pPr>
              <w:widowControl/>
              <w:jc w:val="left"/>
              <w:rPr>
                <w:rFonts w:ascii="Times New Roman" w:eastAsia="宋体" w:hAnsi="宋体" w:cs="宋体"/>
                <w:vanish/>
                <w:kern w:val="0"/>
                <w:sz w:val="24"/>
              </w:rPr>
            </w:pPr>
          </w:p>
        </w:tc>
      </w:tr>
      <w:tr w:rsidR="003D72E7" w14:paraId="619DE74B" w14:textId="77777777">
        <w:tc>
          <w:tcPr>
            <w:tcW w:w="0" w:type="auto"/>
            <w:gridSpan w:val="21"/>
            <w:tcBorders>
              <w:top w:val="nil"/>
              <w:left w:val="nil"/>
              <w:bottom w:val="nil"/>
              <w:right w:val="nil"/>
            </w:tcBorders>
            <w:shd w:val="clear" w:color="auto" w:fill="CCEEFF"/>
            <w:tcMar>
              <w:top w:w="40" w:type="dxa"/>
              <w:left w:w="20" w:type="dxa"/>
              <w:bottom w:w="40" w:type="dxa"/>
              <w:right w:w="20" w:type="dxa"/>
            </w:tcMar>
            <w:vAlign w:val="bottom"/>
          </w:tcPr>
          <w:p w14:paraId="619DE74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For the six months ended July 31, 2020</w:t>
            </w:r>
          </w:p>
        </w:tc>
        <w:tc>
          <w:tcPr>
            <w:tcW w:w="0" w:type="auto"/>
            <w:tcBorders>
              <w:top w:val="nil"/>
              <w:left w:val="nil"/>
              <w:bottom w:val="nil"/>
              <w:right w:val="nil"/>
            </w:tcBorders>
            <w:shd w:val="clear" w:color="auto" w:fill="auto"/>
            <w:vAlign w:val="bottom"/>
          </w:tcPr>
          <w:p w14:paraId="619DE747"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48"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49"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4A" w14:textId="77777777" w:rsidR="003D72E7" w:rsidRDefault="003D72E7">
            <w:pPr>
              <w:widowControl/>
              <w:jc w:val="left"/>
              <w:rPr>
                <w:rFonts w:ascii="Times New Roman" w:eastAsia="宋体" w:hAnsi="宋体" w:cs="宋体"/>
                <w:vanish/>
                <w:kern w:val="0"/>
                <w:sz w:val="24"/>
              </w:rPr>
            </w:pPr>
          </w:p>
        </w:tc>
      </w:tr>
      <w:tr w:rsidR="003D72E7" w14:paraId="619DE759"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4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4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74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4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75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net revenue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5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75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75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754" w14:textId="77777777" w:rsidR="003D72E7" w:rsidRDefault="003D72E7">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755"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56"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57"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58" w14:textId="77777777" w:rsidR="003D72E7" w:rsidRDefault="003D72E7">
            <w:pPr>
              <w:widowControl/>
              <w:jc w:val="left"/>
              <w:rPr>
                <w:rFonts w:ascii="Times New Roman" w:eastAsia="宋体" w:hAnsi="宋体" w:cs="宋体"/>
                <w:vanish/>
                <w:kern w:val="0"/>
                <w:sz w:val="24"/>
              </w:rPr>
            </w:pPr>
          </w:p>
        </w:tc>
      </w:tr>
      <w:tr w:rsidR="003D72E7" w14:paraId="619DE76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75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5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75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75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75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5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76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cost of </w:t>
            </w:r>
            <w:r>
              <w:rPr>
                <w:rFonts w:ascii="Times New Roman" w:eastAsia="宋体" w:hAnsi="Times New Roman" w:cs="Times New Roman"/>
                <w:color w:val="000000"/>
                <w:kern w:val="0"/>
                <w:sz w:val="20"/>
                <w:szCs w:val="20"/>
                <w:lang w:bidi="ar"/>
              </w:rPr>
              <w:t>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6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76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763" w14:textId="77777777" w:rsidR="003D72E7" w:rsidRDefault="003D72E7">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764"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65"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66"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67" w14:textId="77777777" w:rsidR="003D72E7" w:rsidRDefault="003D72E7">
            <w:pPr>
              <w:widowControl/>
              <w:jc w:val="left"/>
              <w:rPr>
                <w:rFonts w:ascii="Times New Roman" w:eastAsia="宋体" w:hAnsi="宋体" w:cs="宋体"/>
                <w:vanish/>
                <w:kern w:val="0"/>
                <w:sz w:val="24"/>
              </w:rPr>
            </w:pPr>
          </w:p>
        </w:tc>
      </w:tr>
      <w:tr w:rsidR="003D72E7" w14:paraId="619DE77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76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6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76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76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6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76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6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77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771" w14:textId="77777777" w:rsidR="003D72E7" w:rsidRDefault="003D72E7">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772"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73"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74"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75" w14:textId="77777777" w:rsidR="003D72E7" w:rsidRDefault="003D72E7">
            <w:pPr>
              <w:widowControl/>
              <w:jc w:val="left"/>
              <w:rPr>
                <w:rFonts w:ascii="Times New Roman" w:eastAsia="宋体" w:hAnsi="宋体" w:cs="宋体"/>
                <w:vanish/>
                <w:kern w:val="0"/>
                <w:sz w:val="24"/>
              </w:rPr>
            </w:pPr>
          </w:p>
        </w:tc>
      </w:tr>
      <w:tr w:rsidR="003D72E7" w14:paraId="619DE786"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E77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7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E77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E77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E77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7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77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7E"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E77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E78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E781" w14:textId="77777777" w:rsidR="003D72E7" w:rsidRDefault="003D72E7">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782"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83"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84"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785" w14:textId="77777777" w:rsidR="003D72E7" w:rsidRDefault="003D72E7">
            <w:pPr>
              <w:widowControl/>
              <w:jc w:val="left"/>
              <w:rPr>
                <w:rFonts w:ascii="Times New Roman" w:eastAsia="宋体" w:hAnsi="宋体" w:cs="宋体"/>
                <w:vanish/>
                <w:kern w:val="0"/>
                <w:sz w:val="24"/>
              </w:rPr>
            </w:pPr>
          </w:p>
        </w:tc>
      </w:tr>
    </w:tbl>
    <w:p w14:paraId="619DE78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788" w14:textId="77777777" w:rsidR="003D72E7" w:rsidRDefault="00AD6774">
      <w:pPr>
        <w:widowControl/>
        <w:spacing w:after="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789" w14:textId="77777777" w:rsidR="003D72E7" w:rsidRDefault="00AD6774">
      <w:pPr>
        <w:widowControl/>
        <w:spacing w:after="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78A" w14:textId="77777777" w:rsidR="003D72E7" w:rsidRDefault="00AD6774">
      <w:pPr>
        <w:widowControl/>
        <w:spacing w:after="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78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78C"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35</w:t>
      </w:r>
    </w:p>
    <w:p w14:paraId="619DE78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78E" w14:textId="77777777" w:rsidR="003D72E7" w:rsidRDefault="00AD6774">
      <w:pPr>
        <w:widowControl/>
        <w:jc w:val="center"/>
      </w:pPr>
      <w:r>
        <w:rPr>
          <w:rFonts w:ascii="宋体" w:eastAsia="宋体" w:hAnsi="宋体" w:cs="宋体"/>
          <w:kern w:val="0"/>
          <w:sz w:val="24"/>
        </w:rPr>
        <w:pict w14:anchorId="619E0D8E">
          <v:rect id="_x0000_i1059" style="width:6in;height:1.5pt" o:hralign="center" o:hrstd="t" o:hr="t" fillcolor="#a0a0a0" stroked="f"/>
        </w:pict>
      </w:r>
    </w:p>
    <w:p w14:paraId="619DE78F"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79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791"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 xml:space="preserve">NOTES TO THE CONDENSED </w:t>
      </w:r>
      <w:r>
        <w:rPr>
          <w:rFonts w:ascii="Times New Roman" w:eastAsia="宋体" w:hAnsi="Times New Roman" w:cs="Times New Roman"/>
          <w:b/>
          <w:bCs/>
          <w:color w:val="000000"/>
          <w:kern w:val="0"/>
          <w:sz w:val="20"/>
          <w:szCs w:val="20"/>
          <w:shd w:val="clear" w:color="auto" w:fill="FFFFFF"/>
          <w:lang w:bidi="ar"/>
        </w:rPr>
        <w:t>CONSOLIDATED FINANCIAL STATEMENTS (Continued)</w:t>
      </w:r>
    </w:p>
    <w:p w14:paraId="619DE79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79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794" w14:textId="77777777" w:rsidR="003D72E7" w:rsidRDefault="00AD6774">
      <w:pPr>
        <w:widowControl/>
        <w:spacing w:after="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795"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Effect of Derivative Instruments Not Designated as Hedging Instruments on the Condensed Consolidated Statements of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1440"/>
        <w:gridCol w:w="36"/>
        <w:gridCol w:w="36"/>
        <w:gridCol w:w="36"/>
        <w:gridCol w:w="36"/>
        <w:gridCol w:w="121"/>
        <w:gridCol w:w="958"/>
        <w:gridCol w:w="37"/>
        <w:gridCol w:w="36"/>
        <w:gridCol w:w="36"/>
        <w:gridCol w:w="36"/>
        <w:gridCol w:w="120"/>
        <w:gridCol w:w="958"/>
        <w:gridCol w:w="36"/>
        <w:gridCol w:w="36"/>
        <w:gridCol w:w="36"/>
        <w:gridCol w:w="36"/>
        <w:gridCol w:w="36"/>
        <w:gridCol w:w="36"/>
        <w:gridCol w:w="36"/>
        <w:gridCol w:w="120"/>
        <w:gridCol w:w="958"/>
        <w:gridCol w:w="36"/>
        <w:gridCol w:w="36"/>
        <w:gridCol w:w="36"/>
        <w:gridCol w:w="36"/>
        <w:gridCol w:w="120"/>
        <w:gridCol w:w="958"/>
        <w:gridCol w:w="36"/>
        <w:gridCol w:w="36"/>
        <w:gridCol w:w="36"/>
        <w:gridCol w:w="36"/>
        <w:gridCol w:w="46"/>
        <w:gridCol w:w="1631"/>
        <w:gridCol w:w="36"/>
      </w:tblGrid>
      <w:tr w:rsidR="003D72E7" w14:paraId="619DE7BA" w14:textId="77777777">
        <w:trPr>
          <w:jc w:val="center"/>
        </w:trPr>
        <w:tc>
          <w:tcPr>
            <w:tcW w:w="50" w:type="pct"/>
            <w:tcBorders>
              <w:top w:val="nil"/>
              <w:left w:val="nil"/>
              <w:bottom w:val="nil"/>
              <w:right w:val="nil"/>
            </w:tcBorders>
            <w:shd w:val="clear" w:color="auto" w:fill="auto"/>
            <w:vAlign w:val="bottom"/>
          </w:tcPr>
          <w:p w14:paraId="619DE796" w14:textId="77777777" w:rsidR="003D72E7" w:rsidRDefault="003D72E7">
            <w:pPr>
              <w:widowControl/>
              <w:jc w:val="left"/>
              <w:rPr>
                <w:rFonts w:ascii="Times New Roman" w:eastAsia="宋体" w:hAnsi="宋体" w:cs="宋体"/>
                <w:kern w:val="0"/>
                <w:sz w:val="24"/>
              </w:rPr>
            </w:pPr>
          </w:p>
        </w:tc>
        <w:tc>
          <w:tcPr>
            <w:tcW w:w="939" w:type="pct"/>
            <w:tcBorders>
              <w:top w:val="nil"/>
              <w:left w:val="nil"/>
              <w:bottom w:val="nil"/>
              <w:right w:val="nil"/>
            </w:tcBorders>
            <w:shd w:val="clear" w:color="auto" w:fill="auto"/>
            <w:vAlign w:val="bottom"/>
          </w:tcPr>
          <w:p w14:paraId="619DE79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9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9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79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9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79C" w14:textId="77777777" w:rsidR="003D72E7" w:rsidRDefault="003D72E7">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619DE79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9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9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7A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A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7A2" w14:textId="77777777" w:rsidR="003D72E7" w:rsidRDefault="003D72E7">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619DE7A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A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A5"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7A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A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A8"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7A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AA"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7AB" w14:textId="77777777" w:rsidR="003D72E7" w:rsidRDefault="003D72E7">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619DE7A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A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AE"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7A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B0"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7B1" w14:textId="77777777" w:rsidR="003D72E7" w:rsidRDefault="003D72E7">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619DE7B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B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B4"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7B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B6"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7B7" w14:textId="77777777" w:rsidR="003D72E7" w:rsidRDefault="003D72E7">
            <w:pPr>
              <w:widowControl/>
              <w:jc w:val="left"/>
              <w:rPr>
                <w:rFonts w:ascii="Times New Roman" w:eastAsia="宋体" w:hAnsi="宋体" w:cs="宋体"/>
                <w:kern w:val="0"/>
                <w:sz w:val="24"/>
              </w:rPr>
            </w:pPr>
          </w:p>
        </w:tc>
        <w:tc>
          <w:tcPr>
            <w:tcW w:w="1056" w:type="pct"/>
            <w:tcBorders>
              <w:top w:val="nil"/>
              <w:left w:val="nil"/>
              <w:bottom w:val="nil"/>
              <w:right w:val="nil"/>
            </w:tcBorders>
            <w:shd w:val="clear" w:color="auto" w:fill="auto"/>
            <w:vAlign w:val="bottom"/>
          </w:tcPr>
          <w:p w14:paraId="619DE7B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7B9" w14:textId="77777777" w:rsidR="003D72E7" w:rsidRDefault="003D72E7">
            <w:pPr>
              <w:widowControl/>
              <w:jc w:val="left"/>
              <w:rPr>
                <w:rFonts w:ascii="Times New Roman" w:eastAsia="宋体" w:hAnsi="宋体" w:cs="宋体"/>
                <w:kern w:val="0"/>
                <w:sz w:val="24"/>
              </w:rPr>
            </w:pPr>
          </w:p>
        </w:tc>
      </w:tr>
      <w:tr w:rsidR="003D72E7" w14:paraId="619DE7C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7B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7BC"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E7B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7B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7BF"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E7C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7C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7C2" w14:textId="77777777" w:rsidR="003D72E7" w:rsidRDefault="003D72E7">
            <w:pPr>
              <w:widowControl/>
              <w:jc w:val="left"/>
              <w:rPr>
                <w:rFonts w:ascii="Times New Roman" w:eastAsia="宋体" w:hAnsi="宋体" w:cs="宋体"/>
                <w:kern w:val="0"/>
                <w:sz w:val="24"/>
              </w:rPr>
            </w:pPr>
          </w:p>
        </w:tc>
      </w:tr>
      <w:tr w:rsidR="003D72E7" w14:paraId="619DE7D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7C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7C5"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7C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7C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7C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7C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7CA"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7C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7C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7C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7C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7C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Location of Gain (Loss) Recognized</w:t>
            </w:r>
          </w:p>
        </w:tc>
      </w:tr>
      <w:tr w:rsidR="003D72E7" w14:paraId="619DE7D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7D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7D2" w14:textId="77777777" w:rsidR="003D72E7" w:rsidRDefault="003D72E7">
            <w:pPr>
              <w:widowControl/>
              <w:jc w:val="left"/>
              <w:rPr>
                <w:rFonts w:ascii="Times New Roman" w:eastAsia="宋体" w:hAnsi="宋体" w:cs="宋体"/>
                <w:kern w:val="0"/>
                <w:sz w:val="24"/>
              </w:rPr>
            </w:pPr>
          </w:p>
        </w:tc>
        <w:tc>
          <w:tcPr>
            <w:tcW w:w="0" w:type="auto"/>
            <w:gridSpan w:val="24"/>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7D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7D4"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E7D5" w14:textId="77777777" w:rsidR="003D72E7" w:rsidRDefault="003D72E7">
            <w:pPr>
              <w:widowControl/>
              <w:jc w:val="left"/>
              <w:rPr>
                <w:rFonts w:ascii="Times New Roman" w:eastAsia="宋体" w:hAnsi="宋体" w:cs="宋体"/>
                <w:kern w:val="0"/>
                <w:sz w:val="24"/>
              </w:rPr>
            </w:pPr>
          </w:p>
        </w:tc>
      </w:tr>
      <w:tr w:rsidR="003D72E7" w14:paraId="619DE7E1" w14:textId="77777777">
        <w:trPr>
          <w:jc w:val="center"/>
        </w:trPr>
        <w:tc>
          <w:tcPr>
            <w:tcW w:w="0" w:type="auto"/>
            <w:gridSpan w:val="9"/>
            <w:tcBorders>
              <w:top w:val="nil"/>
              <w:left w:val="nil"/>
              <w:bottom w:val="nil"/>
              <w:right w:val="nil"/>
            </w:tcBorders>
            <w:shd w:val="clear" w:color="auto" w:fill="CCEEFF"/>
            <w:tcMar>
              <w:top w:w="40" w:type="dxa"/>
              <w:left w:w="20" w:type="dxa"/>
              <w:bottom w:w="40" w:type="dxa"/>
              <w:right w:w="20" w:type="dxa"/>
            </w:tcMar>
            <w:vAlign w:val="bottom"/>
          </w:tcPr>
          <w:p w14:paraId="619DE7D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Gain (Loss) Recognized:</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D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D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D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D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D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D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D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D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E0" w14:textId="77777777" w:rsidR="003D72E7" w:rsidRDefault="003D72E7">
            <w:pPr>
              <w:widowControl/>
              <w:jc w:val="left"/>
              <w:rPr>
                <w:rFonts w:ascii="Times New Roman" w:eastAsia="宋体" w:hAnsi="宋体" w:cs="宋体"/>
                <w:kern w:val="0"/>
                <w:sz w:val="24"/>
              </w:rPr>
            </w:pPr>
          </w:p>
        </w:tc>
      </w:tr>
      <w:tr w:rsidR="003D72E7" w14:paraId="619DE7F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7E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E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7E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7E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7E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E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7E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7E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7E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E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E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7E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7E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7E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F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7F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7F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7F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7F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7F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w:t>
            </w:r>
          </w:p>
        </w:tc>
      </w:tr>
      <w:tr w:rsidR="003D72E7" w14:paraId="619DE80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7F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F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7F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7F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F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7F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7F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F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7F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80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80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0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80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80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0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80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w:t>
            </w:r>
          </w:p>
        </w:tc>
      </w:tr>
      <w:tr w:rsidR="003D72E7" w14:paraId="619DE81C"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E80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09"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80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80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80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0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80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80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81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1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1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81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81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81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16"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81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81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81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1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1B" w14:textId="77777777" w:rsidR="003D72E7" w:rsidRDefault="003D72E7">
            <w:pPr>
              <w:widowControl/>
              <w:jc w:val="left"/>
              <w:rPr>
                <w:rFonts w:ascii="Times New Roman" w:eastAsia="宋体" w:hAnsi="宋体" w:cs="宋体"/>
                <w:kern w:val="0"/>
                <w:sz w:val="24"/>
              </w:rPr>
            </w:pPr>
          </w:p>
        </w:tc>
      </w:tr>
    </w:tbl>
    <w:p w14:paraId="619DE81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81E"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81F"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36</w:t>
      </w:r>
    </w:p>
    <w:p w14:paraId="619DE820"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821" w14:textId="77777777" w:rsidR="003D72E7" w:rsidRDefault="00AD6774">
      <w:pPr>
        <w:widowControl/>
        <w:jc w:val="center"/>
      </w:pPr>
      <w:r>
        <w:rPr>
          <w:rFonts w:ascii="宋体" w:eastAsia="宋体" w:hAnsi="宋体" w:cs="宋体"/>
          <w:kern w:val="0"/>
          <w:sz w:val="24"/>
        </w:rPr>
        <w:pict w14:anchorId="619E0D8F">
          <v:rect id="_x0000_i1060" style="width:6in;height:1.5pt" o:hralign="center" o:hrstd="t" o:hr="t" fillcolor="#a0a0a0" stroked="f"/>
        </w:pict>
      </w:r>
    </w:p>
    <w:p w14:paraId="619DE822"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82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82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E825"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826"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82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 xml:space="preserve">Fair Value of </w:t>
      </w:r>
      <w:r>
        <w:rPr>
          <w:rFonts w:ascii="Times New Roman" w:eastAsia="宋体" w:hAnsi="Times New Roman" w:cs="Times New Roman"/>
          <w:i/>
          <w:iCs/>
          <w:color w:val="000000"/>
          <w:kern w:val="0"/>
          <w:sz w:val="20"/>
          <w:szCs w:val="20"/>
          <w:u w:val="single"/>
          <w:lang w:bidi="ar"/>
        </w:rPr>
        <w:t>Derivative Instruments in the Condensed Consolidated Statements of Financial Position</w:t>
      </w:r>
    </w:p>
    <w:p w14:paraId="619DE82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829"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presents its foreign exchange derivative instruments on a net basis in the Condensed Consolidated Statements of Financial Position due to the right of offse</w:t>
      </w:r>
      <w:r>
        <w:rPr>
          <w:rFonts w:ascii="Times New Roman" w:eastAsia="宋体" w:hAnsi="Times New Roman" w:cs="Times New Roman"/>
          <w:color w:val="000000"/>
          <w:kern w:val="0"/>
          <w:sz w:val="20"/>
          <w:szCs w:val="20"/>
          <w:lang w:bidi="ar"/>
        </w:rPr>
        <w:t>t by its counterparties under master netting arrangements. The following tables present the fair value of those derivative instruments presented on a gross basis as of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311"/>
        <w:gridCol w:w="37"/>
        <w:gridCol w:w="121"/>
        <w:gridCol w:w="664"/>
        <w:gridCol w:w="36"/>
        <w:gridCol w:w="36"/>
        <w:gridCol w:w="36"/>
        <w:gridCol w:w="36"/>
        <w:gridCol w:w="121"/>
        <w:gridCol w:w="664"/>
        <w:gridCol w:w="36"/>
        <w:gridCol w:w="36"/>
        <w:gridCol w:w="36"/>
        <w:gridCol w:w="36"/>
        <w:gridCol w:w="121"/>
        <w:gridCol w:w="803"/>
        <w:gridCol w:w="36"/>
        <w:gridCol w:w="36"/>
        <w:gridCol w:w="36"/>
        <w:gridCol w:w="36"/>
        <w:gridCol w:w="121"/>
        <w:gridCol w:w="1043"/>
        <w:gridCol w:w="36"/>
        <w:gridCol w:w="36"/>
        <w:gridCol w:w="36"/>
        <w:gridCol w:w="36"/>
        <w:gridCol w:w="121"/>
        <w:gridCol w:w="559"/>
        <w:gridCol w:w="36"/>
      </w:tblGrid>
      <w:tr w:rsidR="003D72E7" w14:paraId="619DE848" w14:textId="77777777">
        <w:tc>
          <w:tcPr>
            <w:tcW w:w="50" w:type="pct"/>
            <w:tcBorders>
              <w:top w:val="nil"/>
              <w:left w:val="nil"/>
              <w:bottom w:val="nil"/>
              <w:right w:val="nil"/>
            </w:tcBorders>
            <w:shd w:val="clear" w:color="auto" w:fill="auto"/>
            <w:vAlign w:val="bottom"/>
          </w:tcPr>
          <w:p w14:paraId="619DE82A" w14:textId="77777777" w:rsidR="003D72E7" w:rsidRDefault="003D72E7">
            <w:pPr>
              <w:widowControl/>
              <w:jc w:val="left"/>
              <w:rPr>
                <w:rFonts w:ascii="Times New Roman" w:eastAsia="宋体" w:hAnsi="宋体" w:cs="宋体"/>
                <w:kern w:val="0"/>
                <w:sz w:val="24"/>
              </w:rPr>
            </w:pPr>
          </w:p>
        </w:tc>
        <w:tc>
          <w:tcPr>
            <w:tcW w:w="2159" w:type="pct"/>
            <w:tcBorders>
              <w:top w:val="nil"/>
              <w:left w:val="nil"/>
              <w:bottom w:val="nil"/>
              <w:right w:val="nil"/>
            </w:tcBorders>
            <w:shd w:val="clear" w:color="auto" w:fill="auto"/>
            <w:vAlign w:val="bottom"/>
          </w:tcPr>
          <w:p w14:paraId="619DE82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82C"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82D" w14:textId="77777777" w:rsidR="003D72E7" w:rsidRDefault="003D72E7">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619DE82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82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830"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83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832"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833" w14:textId="77777777" w:rsidR="003D72E7" w:rsidRDefault="003D72E7">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619DE83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83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836"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83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838"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839" w14:textId="77777777" w:rsidR="003D72E7" w:rsidRDefault="003D72E7">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619DE83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83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83C"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83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83E"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83F" w14:textId="77777777" w:rsidR="003D72E7" w:rsidRDefault="003D72E7">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619DE84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84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842"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84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844"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845" w14:textId="77777777" w:rsidR="003D72E7" w:rsidRDefault="003D72E7">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619DE84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847" w14:textId="77777777" w:rsidR="003D72E7" w:rsidRDefault="003D72E7">
            <w:pPr>
              <w:widowControl/>
              <w:jc w:val="left"/>
              <w:rPr>
                <w:rFonts w:ascii="Times New Roman" w:eastAsia="宋体" w:hAnsi="宋体" w:cs="宋体"/>
                <w:kern w:val="0"/>
                <w:sz w:val="24"/>
              </w:rPr>
            </w:pPr>
          </w:p>
        </w:tc>
      </w:tr>
      <w:tr w:rsidR="003D72E7" w14:paraId="619DE84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84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619DE84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3D72E7" w14:paraId="619DE85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84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84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Current</w:t>
            </w:r>
            <w:r>
              <w:rPr>
                <w:rFonts w:ascii="Times New Roman" w:eastAsia="宋体" w:hAnsi="Times New Roman" w:cs="Times New Roman"/>
                <w:b/>
                <w:bCs/>
                <w:color w:val="000000"/>
                <w:kern w:val="0"/>
                <w:sz w:val="20"/>
                <w:szCs w:val="20"/>
                <w:lang w:bidi="ar"/>
              </w:rPr>
              <w:br/>
              <w:t>Assets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84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84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Non-</w:t>
            </w:r>
            <w:r>
              <w:rPr>
                <w:rFonts w:ascii="Times New Roman" w:eastAsia="宋体" w:hAnsi="Times New Roman" w:cs="Times New Roman"/>
                <w:b/>
                <w:bCs/>
                <w:color w:val="000000"/>
                <w:kern w:val="0"/>
                <w:sz w:val="20"/>
                <w:szCs w:val="20"/>
                <w:lang w:bidi="ar"/>
              </w:rPr>
              <w:br/>
              <w:t>Current Assets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85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85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Current</w:t>
            </w:r>
            <w:r>
              <w:rPr>
                <w:rFonts w:ascii="Times New Roman" w:eastAsia="宋体" w:hAnsi="Times New Roman" w:cs="Times New Roman"/>
                <w:b/>
                <w:bCs/>
                <w:color w:val="000000"/>
                <w:kern w:val="0"/>
                <w:sz w:val="20"/>
                <w:szCs w:val="20"/>
                <w:lang w:bidi="ar"/>
              </w:rPr>
              <w:br/>
              <w:t>Liabilities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852"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85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Non-Current</w:t>
            </w:r>
            <w:r>
              <w:rPr>
                <w:rFonts w:ascii="Times New Roman" w:eastAsia="宋体" w:hAnsi="Times New Roman" w:cs="Times New Roman"/>
                <w:b/>
                <w:bCs/>
                <w:color w:val="000000"/>
                <w:kern w:val="0"/>
                <w:sz w:val="20"/>
                <w:szCs w:val="20"/>
                <w:lang w:bidi="ar"/>
              </w:rPr>
              <w:br/>
              <w:t>Liabilities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854"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85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r>
              <w:rPr>
                <w:rFonts w:ascii="Times New Roman" w:eastAsia="宋体" w:hAnsi="Times New Roman" w:cs="Times New Roman"/>
                <w:b/>
                <w:bCs/>
                <w:color w:val="000000"/>
                <w:kern w:val="0"/>
                <w:sz w:val="20"/>
                <w:szCs w:val="20"/>
                <w:lang w:bidi="ar"/>
              </w:rPr>
              <w:br/>
              <w:t>Fair Value</w:t>
            </w:r>
          </w:p>
        </w:tc>
      </w:tr>
      <w:tr w:rsidR="003D72E7" w14:paraId="619DE85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19DE857"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27"/>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E858"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3D72E7" w14:paraId="619DE86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85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Derivatives designated as hedging instruments: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5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5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5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5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5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6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6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6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63" w14:textId="77777777" w:rsidR="003D72E7" w:rsidRDefault="003D72E7">
            <w:pPr>
              <w:widowControl/>
              <w:jc w:val="left"/>
              <w:rPr>
                <w:rFonts w:ascii="Times New Roman" w:eastAsia="宋体" w:hAnsi="宋体" w:cs="宋体"/>
                <w:kern w:val="0"/>
                <w:sz w:val="24"/>
              </w:rPr>
            </w:pPr>
          </w:p>
        </w:tc>
      </w:tr>
      <w:tr w:rsidR="003D72E7" w14:paraId="619DE87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E86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 in an asset position</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86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86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86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6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86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86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86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6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86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86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87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7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87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87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87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7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87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87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878" w14:textId="77777777" w:rsidR="003D72E7" w:rsidRDefault="003D72E7">
            <w:pPr>
              <w:widowControl/>
              <w:jc w:val="right"/>
              <w:rPr>
                <w:rFonts w:ascii="Times New Roman" w:eastAsia="宋体" w:hAnsi="宋体" w:cs="宋体"/>
                <w:kern w:val="0"/>
                <w:sz w:val="24"/>
              </w:rPr>
            </w:pPr>
          </w:p>
        </w:tc>
      </w:tr>
      <w:tr w:rsidR="003D72E7" w14:paraId="619DE88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87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 in a liability position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87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87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7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87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87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8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88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88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8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88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88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8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88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888" w14:textId="77777777" w:rsidR="003D72E7" w:rsidRDefault="003D72E7">
            <w:pPr>
              <w:widowControl/>
              <w:jc w:val="right"/>
              <w:rPr>
                <w:rFonts w:ascii="Times New Roman" w:eastAsia="宋体" w:hAnsi="宋体" w:cs="宋体"/>
                <w:kern w:val="0"/>
                <w:sz w:val="24"/>
              </w:rPr>
            </w:pPr>
          </w:p>
        </w:tc>
      </w:tr>
      <w:tr w:rsidR="003D72E7" w14:paraId="619DE899"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E88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Net asset (liability)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88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64 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619DE88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8D"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88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619DE88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90"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89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619DE89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93"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89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619DE89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96"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89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619DE898" w14:textId="77777777" w:rsidR="003D72E7" w:rsidRDefault="003D72E7">
            <w:pPr>
              <w:widowControl/>
              <w:jc w:val="right"/>
              <w:rPr>
                <w:rFonts w:ascii="Times New Roman" w:eastAsia="宋体" w:hAnsi="宋体" w:cs="宋体"/>
                <w:kern w:val="0"/>
                <w:sz w:val="24"/>
              </w:rPr>
            </w:pPr>
          </w:p>
        </w:tc>
      </w:tr>
      <w:tr w:rsidR="003D72E7" w14:paraId="619DE8A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89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Derivatives not designated as hedging instruments: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E89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9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E89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9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E89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A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E8A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A2"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E8A3" w14:textId="77777777" w:rsidR="003D72E7" w:rsidRDefault="003D72E7">
            <w:pPr>
              <w:widowControl/>
              <w:jc w:val="left"/>
              <w:rPr>
                <w:rFonts w:ascii="Times New Roman" w:eastAsia="宋体" w:hAnsi="宋体" w:cs="宋体"/>
                <w:kern w:val="0"/>
                <w:sz w:val="24"/>
              </w:rPr>
            </w:pPr>
          </w:p>
        </w:tc>
      </w:tr>
      <w:tr w:rsidR="003D72E7" w14:paraId="619DE8B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E8A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 in an asset position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8A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8A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A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8A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8A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A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8A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8A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A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8A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8B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B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8B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8B3" w14:textId="77777777" w:rsidR="003D72E7" w:rsidRDefault="003D72E7">
            <w:pPr>
              <w:widowControl/>
              <w:jc w:val="right"/>
              <w:rPr>
                <w:rFonts w:ascii="Times New Roman" w:eastAsia="宋体" w:hAnsi="宋体" w:cs="宋体"/>
                <w:kern w:val="0"/>
                <w:sz w:val="24"/>
              </w:rPr>
            </w:pPr>
          </w:p>
        </w:tc>
      </w:tr>
      <w:tr w:rsidR="003D72E7" w14:paraId="619DE8C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8B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 in a liability position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8B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(77)</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8B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B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8B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8B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B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8B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(207)</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8B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B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8B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8C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C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8C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(292)</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8C3" w14:textId="77777777" w:rsidR="003D72E7" w:rsidRDefault="003D72E7">
            <w:pPr>
              <w:widowControl/>
              <w:jc w:val="right"/>
              <w:rPr>
                <w:rFonts w:ascii="Times New Roman" w:eastAsia="宋体" w:hAnsi="宋体" w:cs="宋体"/>
                <w:kern w:val="0"/>
                <w:sz w:val="24"/>
              </w:rPr>
            </w:pPr>
          </w:p>
        </w:tc>
      </w:tr>
      <w:tr w:rsidR="003D72E7" w14:paraId="619DE8D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E8C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 in an asset position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8C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8C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C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8C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8C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C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8C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8C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C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8C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8D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D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8D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8D3" w14:textId="77777777" w:rsidR="003D72E7" w:rsidRDefault="003D72E7">
            <w:pPr>
              <w:widowControl/>
              <w:jc w:val="right"/>
              <w:rPr>
                <w:rFonts w:ascii="Times New Roman" w:eastAsia="宋体" w:hAnsi="宋体" w:cs="宋体"/>
                <w:kern w:val="0"/>
                <w:sz w:val="24"/>
              </w:rPr>
            </w:pPr>
          </w:p>
        </w:tc>
      </w:tr>
      <w:tr w:rsidR="003D72E7" w14:paraId="619DE8E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8D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 in a liability position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8D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8D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D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8D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8D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D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8D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8D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D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8D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8E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E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8E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8E3" w14:textId="77777777" w:rsidR="003D72E7" w:rsidRDefault="003D72E7">
            <w:pPr>
              <w:widowControl/>
              <w:jc w:val="right"/>
              <w:rPr>
                <w:rFonts w:ascii="Times New Roman" w:eastAsia="宋体" w:hAnsi="宋体" w:cs="宋体"/>
                <w:kern w:val="0"/>
                <w:sz w:val="24"/>
              </w:rPr>
            </w:pPr>
          </w:p>
        </w:tc>
      </w:tr>
      <w:tr w:rsidR="003D72E7" w14:paraId="619DE8F4"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E8E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Net asset (liability)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8E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8E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E8"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8E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8E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EB"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8E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8E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EE"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8E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8F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8F1"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8F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8F3" w14:textId="77777777" w:rsidR="003D72E7" w:rsidRDefault="003D72E7">
            <w:pPr>
              <w:widowControl/>
              <w:jc w:val="right"/>
              <w:rPr>
                <w:rFonts w:ascii="Times New Roman" w:eastAsia="宋体" w:hAnsi="宋体" w:cs="宋体"/>
                <w:kern w:val="0"/>
                <w:sz w:val="24"/>
              </w:rPr>
            </w:pPr>
          </w:p>
        </w:tc>
      </w:tr>
      <w:tr w:rsidR="003D72E7" w14:paraId="619DE909"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center"/>
          </w:tcPr>
          <w:p w14:paraId="619DE8F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derivatives at fair value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E8F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8F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8F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F9"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E8F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8F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8F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8F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E8F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8F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90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01"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E90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90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90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05"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E90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90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908" w14:textId="77777777" w:rsidR="003D72E7" w:rsidRDefault="003D72E7">
            <w:pPr>
              <w:widowControl/>
              <w:jc w:val="right"/>
              <w:rPr>
                <w:rFonts w:ascii="Times New Roman" w:eastAsia="宋体" w:hAnsi="宋体" w:cs="宋体"/>
                <w:kern w:val="0"/>
                <w:sz w:val="24"/>
              </w:rPr>
            </w:pPr>
          </w:p>
        </w:tc>
      </w:tr>
      <w:tr w:rsidR="003D72E7" w14:paraId="619DE914" w14:textId="77777777">
        <w:trPr>
          <w:trHeight w:val="28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90A"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DE90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90C"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DE90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90E"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DE90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910"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DE91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912"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DE913" w14:textId="77777777" w:rsidR="003D72E7" w:rsidRDefault="003D72E7">
            <w:pPr>
              <w:widowControl/>
              <w:jc w:val="left"/>
              <w:rPr>
                <w:rFonts w:ascii="Times New Roman" w:eastAsia="宋体" w:hAnsi="宋体" w:cs="宋体"/>
                <w:kern w:val="0"/>
                <w:sz w:val="24"/>
              </w:rPr>
            </w:pPr>
          </w:p>
        </w:tc>
      </w:tr>
      <w:tr w:rsidR="003D72E7" w14:paraId="619DE91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91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619DE91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E92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91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91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Current</w:t>
            </w:r>
            <w:r>
              <w:rPr>
                <w:rFonts w:ascii="Times New Roman" w:eastAsia="宋体" w:hAnsi="Times New Roman" w:cs="Times New Roman"/>
                <w:b/>
                <w:bCs/>
                <w:color w:val="000000"/>
                <w:kern w:val="0"/>
                <w:sz w:val="20"/>
                <w:szCs w:val="20"/>
                <w:lang w:bidi="ar"/>
              </w:rPr>
              <w:br/>
              <w:t>Assets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91A"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91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Non-</w:t>
            </w:r>
            <w:r>
              <w:rPr>
                <w:rFonts w:ascii="Times New Roman" w:eastAsia="宋体" w:hAnsi="Times New Roman" w:cs="Times New Roman"/>
                <w:b/>
                <w:bCs/>
                <w:color w:val="000000"/>
                <w:kern w:val="0"/>
                <w:sz w:val="20"/>
                <w:szCs w:val="20"/>
                <w:lang w:bidi="ar"/>
              </w:rPr>
              <w:br/>
              <w:t>Current Assets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91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91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Current</w:t>
            </w:r>
            <w:r>
              <w:rPr>
                <w:rFonts w:ascii="Times New Roman" w:eastAsia="宋体" w:hAnsi="Times New Roman" w:cs="Times New Roman"/>
                <w:b/>
                <w:bCs/>
                <w:color w:val="000000"/>
                <w:kern w:val="0"/>
                <w:sz w:val="20"/>
                <w:szCs w:val="20"/>
                <w:lang w:bidi="ar"/>
              </w:rPr>
              <w:br/>
              <w:t>Liabilities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91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91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Non-Current</w:t>
            </w:r>
            <w:r>
              <w:rPr>
                <w:rFonts w:ascii="Times New Roman" w:eastAsia="宋体" w:hAnsi="Times New Roman" w:cs="Times New Roman"/>
                <w:b/>
                <w:bCs/>
                <w:color w:val="000000"/>
                <w:kern w:val="0"/>
                <w:sz w:val="20"/>
                <w:szCs w:val="20"/>
                <w:lang w:bidi="ar"/>
              </w:rPr>
              <w:br/>
              <w:t>Liabilities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92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92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r>
              <w:rPr>
                <w:rFonts w:ascii="Times New Roman" w:eastAsia="宋体" w:hAnsi="Times New Roman" w:cs="Times New Roman"/>
                <w:b/>
                <w:bCs/>
                <w:color w:val="000000"/>
                <w:kern w:val="0"/>
                <w:sz w:val="20"/>
                <w:szCs w:val="20"/>
                <w:lang w:bidi="ar"/>
              </w:rPr>
              <w:br/>
              <w:t>Fair Value</w:t>
            </w:r>
          </w:p>
        </w:tc>
      </w:tr>
      <w:tr w:rsidR="003D72E7" w14:paraId="619DE92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19DE923"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27"/>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E924"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E93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92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Derivatives designated as hedging </w:t>
            </w:r>
            <w:r>
              <w:rPr>
                <w:rFonts w:ascii="Times New Roman" w:eastAsia="宋体" w:hAnsi="Times New Roman" w:cs="Times New Roman"/>
                <w:i/>
                <w:iCs/>
                <w:color w:val="000000"/>
                <w:kern w:val="0"/>
                <w:sz w:val="20"/>
                <w:szCs w:val="20"/>
                <w:lang w:bidi="ar"/>
              </w:rPr>
              <w:t>instruments: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2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2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2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2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2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2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2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2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2F" w14:textId="77777777" w:rsidR="003D72E7" w:rsidRDefault="003D72E7">
            <w:pPr>
              <w:widowControl/>
              <w:jc w:val="left"/>
              <w:rPr>
                <w:rFonts w:ascii="Times New Roman" w:eastAsia="宋体" w:hAnsi="宋体" w:cs="宋体"/>
                <w:kern w:val="0"/>
                <w:sz w:val="24"/>
              </w:rPr>
            </w:pPr>
          </w:p>
        </w:tc>
      </w:tr>
      <w:tr w:rsidR="003D72E7" w14:paraId="619DE94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E93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 in an asset position</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93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93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93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3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93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93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93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3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93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93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93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3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93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93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94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4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94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94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944" w14:textId="77777777" w:rsidR="003D72E7" w:rsidRDefault="003D72E7">
            <w:pPr>
              <w:widowControl/>
              <w:jc w:val="right"/>
              <w:rPr>
                <w:rFonts w:ascii="Times New Roman" w:eastAsia="宋体" w:hAnsi="宋体" w:cs="宋体"/>
                <w:kern w:val="0"/>
                <w:sz w:val="24"/>
              </w:rPr>
            </w:pPr>
          </w:p>
        </w:tc>
      </w:tr>
      <w:tr w:rsidR="003D72E7" w14:paraId="619DE95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94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 in a liability position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94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94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4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94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94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4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94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94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4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95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95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5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95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954" w14:textId="77777777" w:rsidR="003D72E7" w:rsidRDefault="003D72E7">
            <w:pPr>
              <w:widowControl/>
              <w:jc w:val="right"/>
              <w:rPr>
                <w:rFonts w:ascii="Times New Roman" w:eastAsia="宋体" w:hAnsi="宋体" w:cs="宋体"/>
                <w:kern w:val="0"/>
                <w:sz w:val="24"/>
              </w:rPr>
            </w:pPr>
          </w:p>
        </w:tc>
      </w:tr>
      <w:tr w:rsidR="003D72E7" w14:paraId="619DE965"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E95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Net asset (liability)</w:t>
            </w: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center"/>
          </w:tcPr>
          <w:p w14:paraId="619DE95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619DE95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59"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center"/>
          </w:tcPr>
          <w:p w14:paraId="619DE95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619DE95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5C"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center"/>
          </w:tcPr>
          <w:p w14:paraId="619DE95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619DE95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5F"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center"/>
          </w:tcPr>
          <w:p w14:paraId="619DE96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619DE96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62"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FFFFFF"/>
            <w:tcMar>
              <w:top w:w="40" w:type="dxa"/>
              <w:left w:w="20" w:type="dxa"/>
              <w:bottom w:w="40" w:type="dxa"/>
              <w:right w:w="0" w:type="dxa"/>
            </w:tcMar>
            <w:vAlign w:val="center"/>
          </w:tcPr>
          <w:p w14:paraId="619DE96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619DE964" w14:textId="77777777" w:rsidR="003D72E7" w:rsidRDefault="003D72E7">
            <w:pPr>
              <w:widowControl/>
              <w:jc w:val="right"/>
              <w:rPr>
                <w:rFonts w:ascii="Times New Roman" w:eastAsia="宋体" w:hAnsi="宋体" w:cs="宋体"/>
                <w:kern w:val="0"/>
                <w:sz w:val="24"/>
              </w:rPr>
            </w:pPr>
          </w:p>
        </w:tc>
      </w:tr>
      <w:tr w:rsidR="003D72E7" w14:paraId="619DE967" w14:textId="77777777">
        <w:tc>
          <w:tcPr>
            <w:tcW w:w="0" w:type="auto"/>
            <w:gridSpan w:val="30"/>
            <w:tcBorders>
              <w:top w:val="nil"/>
              <w:left w:val="nil"/>
              <w:bottom w:val="nil"/>
              <w:right w:val="nil"/>
            </w:tcBorders>
            <w:shd w:val="clear" w:color="auto" w:fill="CCEEFF"/>
            <w:tcMar>
              <w:top w:w="40" w:type="dxa"/>
              <w:left w:w="20" w:type="dxa"/>
              <w:bottom w:w="40" w:type="dxa"/>
              <w:right w:w="20" w:type="dxa"/>
            </w:tcMar>
            <w:vAlign w:val="center"/>
          </w:tcPr>
          <w:p w14:paraId="619DE96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Derivatives</w:t>
            </w:r>
            <w:r>
              <w:rPr>
                <w:rFonts w:ascii="Times New Roman" w:eastAsia="宋体" w:hAnsi="Times New Roman" w:cs="Times New Roman"/>
                <w:i/>
                <w:iCs/>
                <w:color w:val="000000"/>
                <w:kern w:val="0"/>
                <w:sz w:val="20"/>
                <w:szCs w:val="20"/>
                <w:lang w:bidi="ar"/>
              </w:rPr>
              <w:t xml:space="preserve"> not designated as hedging instruments:</w:t>
            </w:r>
          </w:p>
        </w:tc>
      </w:tr>
      <w:tr w:rsidR="003D72E7" w14:paraId="619DE97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E96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 in an asset position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96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96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6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96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96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6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96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97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7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97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97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7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97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242 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976" w14:textId="77777777" w:rsidR="003D72E7" w:rsidRDefault="003D72E7">
            <w:pPr>
              <w:widowControl/>
              <w:jc w:val="right"/>
              <w:rPr>
                <w:rFonts w:ascii="Times New Roman" w:eastAsia="宋体" w:hAnsi="宋体" w:cs="宋体"/>
                <w:kern w:val="0"/>
                <w:sz w:val="24"/>
              </w:rPr>
            </w:pPr>
          </w:p>
        </w:tc>
      </w:tr>
      <w:tr w:rsidR="003D72E7" w14:paraId="619DE98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97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 contracts in a liability position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97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(108)</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97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7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97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97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7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97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(159)</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98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8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98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98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8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98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(271)</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986" w14:textId="77777777" w:rsidR="003D72E7" w:rsidRDefault="003D72E7">
            <w:pPr>
              <w:widowControl/>
              <w:jc w:val="right"/>
              <w:rPr>
                <w:rFonts w:ascii="Times New Roman" w:eastAsia="宋体" w:hAnsi="宋体" w:cs="宋体"/>
                <w:kern w:val="0"/>
                <w:sz w:val="24"/>
              </w:rPr>
            </w:pPr>
          </w:p>
        </w:tc>
      </w:tr>
      <w:tr w:rsidR="003D72E7" w14:paraId="619DE99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E98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 in an asset position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98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98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8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98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98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8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98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99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9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99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99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9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99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996" w14:textId="77777777" w:rsidR="003D72E7" w:rsidRDefault="003D72E7">
            <w:pPr>
              <w:widowControl/>
              <w:jc w:val="right"/>
              <w:rPr>
                <w:rFonts w:ascii="Times New Roman" w:eastAsia="宋体" w:hAnsi="宋体" w:cs="宋体"/>
                <w:kern w:val="0"/>
                <w:sz w:val="24"/>
              </w:rPr>
            </w:pPr>
          </w:p>
        </w:tc>
      </w:tr>
      <w:tr w:rsidR="003D72E7" w14:paraId="619DE9A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99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Interest rate contracts in a liability position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99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99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9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99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99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9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99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9A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A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9A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9A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A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9A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9A6" w14:textId="77777777" w:rsidR="003D72E7" w:rsidRDefault="003D72E7">
            <w:pPr>
              <w:widowControl/>
              <w:jc w:val="right"/>
              <w:rPr>
                <w:rFonts w:ascii="Times New Roman" w:eastAsia="宋体" w:hAnsi="宋体" w:cs="宋体"/>
                <w:kern w:val="0"/>
                <w:sz w:val="24"/>
              </w:rPr>
            </w:pPr>
          </w:p>
        </w:tc>
      </w:tr>
      <w:tr w:rsidR="003D72E7" w14:paraId="619DE9B7"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E9A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Net asset (liability)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9A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9A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AB"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9A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9A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AE"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9A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9B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B1"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9B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9B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9B4"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9B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9B6" w14:textId="77777777" w:rsidR="003D72E7" w:rsidRDefault="003D72E7">
            <w:pPr>
              <w:widowControl/>
              <w:jc w:val="right"/>
              <w:rPr>
                <w:rFonts w:ascii="Times New Roman" w:eastAsia="宋体" w:hAnsi="宋体" w:cs="宋体"/>
                <w:kern w:val="0"/>
                <w:sz w:val="24"/>
              </w:rPr>
            </w:pPr>
          </w:p>
        </w:tc>
      </w:tr>
      <w:tr w:rsidR="003D72E7" w14:paraId="619DE9C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center"/>
          </w:tcPr>
          <w:p w14:paraId="619DE9B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derivatives at fair value</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E9B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9B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9B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B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E9B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9B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9B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C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E9C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9C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9C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C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E9C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9C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9C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9C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E9C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9C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9CB" w14:textId="77777777" w:rsidR="003D72E7" w:rsidRDefault="003D72E7">
            <w:pPr>
              <w:widowControl/>
              <w:jc w:val="right"/>
              <w:rPr>
                <w:rFonts w:ascii="Times New Roman" w:eastAsia="宋体" w:hAnsi="宋体" w:cs="宋体"/>
                <w:kern w:val="0"/>
                <w:sz w:val="24"/>
              </w:rPr>
            </w:pPr>
          </w:p>
        </w:tc>
      </w:tr>
    </w:tbl>
    <w:p w14:paraId="619DE9C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9CE"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9CF"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w:t>
      </w:r>
    </w:p>
    <w:p w14:paraId="619DE9D0"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9D1" w14:textId="77777777" w:rsidR="003D72E7" w:rsidRDefault="00AD6774">
      <w:pPr>
        <w:widowControl/>
        <w:jc w:val="center"/>
      </w:pPr>
      <w:r>
        <w:rPr>
          <w:rFonts w:ascii="宋体" w:eastAsia="宋体" w:hAnsi="宋体" w:cs="宋体"/>
          <w:kern w:val="0"/>
          <w:sz w:val="24"/>
        </w:rPr>
        <w:pict w14:anchorId="619E0D90">
          <v:rect id="_x0000_i1061" style="width:6in;height:1.5pt" o:hralign="center" o:hrstd="t" o:hr="t" fillcolor="#a0a0a0" stroked="f"/>
        </w:pict>
      </w:r>
    </w:p>
    <w:p w14:paraId="619DE9D2"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9D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9D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 xml:space="preserve">NOTES TO THE CONDENSED </w:t>
      </w:r>
      <w:r>
        <w:rPr>
          <w:rFonts w:ascii="Times New Roman" w:eastAsia="宋体" w:hAnsi="Times New Roman" w:cs="Times New Roman"/>
          <w:b/>
          <w:bCs/>
          <w:color w:val="000000"/>
          <w:kern w:val="0"/>
          <w:sz w:val="20"/>
          <w:szCs w:val="20"/>
          <w:shd w:val="clear" w:color="auto" w:fill="FFFFFF"/>
          <w:lang w:bidi="ar"/>
        </w:rPr>
        <w:t>CONSOLIDATED FINANCIAL STATEMENTS (Continued)</w:t>
      </w:r>
    </w:p>
    <w:p w14:paraId="619DE9D5"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9D6"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9D7"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tables present the gross amounts of the Company’s derivative instruments, amounts offset due to master netting agreements with the Company’s counterparties, and the net amounts recog</w:t>
      </w:r>
      <w:r>
        <w:rPr>
          <w:rFonts w:ascii="Times New Roman" w:eastAsia="宋体" w:hAnsi="Times New Roman" w:cs="Times New Roman"/>
          <w:color w:val="000000"/>
          <w:kern w:val="0"/>
          <w:sz w:val="20"/>
          <w:szCs w:val="20"/>
          <w:lang w:bidi="ar"/>
        </w:rPr>
        <w:t>nized in the Condensed Consolidated Statements of Financial Position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1890"/>
        <w:gridCol w:w="37"/>
        <w:gridCol w:w="121"/>
        <w:gridCol w:w="841"/>
        <w:gridCol w:w="36"/>
        <w:gridCol w:w="36"/>
        <w:gridCol w:w="36"/>
        <w:gridCol w:w="36"/>
        <w:gridCol w:w="121"/>
        <w:gridCol w:w="741"/>
        <w:gridCol w:w="36"/>
        <w:gridCol w:w="36"/>
        <w:gridCol w:w="36"/>
        <w:gridCol w:w="36"/>
        <w:gridCol w:w="121"/>
        <w:gridCol w:w="844"/>
        <w:gridCol w:w="36"/>
        <w:gridCol w:w="36"/>
        <w:gridCol w:w="36"/>
        <w:gridCol w:w="36"/>
        <w:gridCol w:w="121"/>
        <w:gridCol w:w="884"/>
        <w:gridCol w:w="37"/>
        <w:gridCol w:w="36"/>
        <w:gridCol w:w="36"/>
        <w:gridCol w:w="36"/>
        <w:gridCol w:w="121"/>
        <w:gridCol w:w="731"/>
        <w:gridCol w:w="37"/>
        <w:gridCol w:w="36"/>
        <w:gridCol w:w="36"/>
        <w:gridCol w:w="36"/>
        <w:gridCol w:w="121"/>
        <w:gridCol w:w="844"/>
        <w:gridCol w:w="36"/>
      </w:tblGrid>
      <w:tr w:rsidR="003D72E7" w14:paraId="619DE9FC" w14:textId="77777777">
        <w:trPr>
          <w:jc w:val="center"/>
        </w:trPr>
        <w:tc>
          <w:tcPr>
            <w:tcW w:w="50" w:type="pct"/>
            <w:tcBorders>
              <w:top w:val="nil"/>
              <w:left w:val="nil"/>
              <w:bottom w:val="nil"/>
              <w:right w:val="nil"/>
            </w:tcBorders>
            <w:shd w:val="clear" w:color="auto" w:fill="auto"/>
            <w:vAlign w:val="bottom"/>
          </w:tcPr>
          <w:p w14:paraId="619DE9D8" w14:textId="77777777" w:rsidR="003D72E7" w:rsidRDefault="003D72E7">
            <w:pPr>
              <w:widowControl/>
              <w:jc w:val="left"/>
              <w:rPr>
                <w:rFonts w:ascii="Times New Roman" w:eastAsia="宋体" w:hAnsi="宋体" w:cs="宋体"/>
                <w:kern w:val="0"/>
                <w:sz w:val="24"/>
              </w:rPr>
            </w:pPr>
          </w:p>
        </w:tc>
        <w:tc>
          <w:tcPr>
            <w:tcW w:w="1341" w:type="pct"/>
            <w:tcBorders>
              <w:top w:val="nil"/>
              <w:left w:val="nil"/>
              <w:bottom w:val="nil"/>
              <w:right w:val="nil"/>
            </w:tcBorders>
            <w:shd w:val="clear" w:color="auto" w:fill="auto"/>
            <w:vAlign w:val="bottom"/>
          </w:tcPr>
          <w:p w14:paraId="619DE9D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9DA"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9DB" w14:textId="77777777" w:rsidR="003D72E7" w:rsidRDefault="003D72E7">
            <w:pPr>
              <w:widowControl/>
              <w:jc w:val="left"/>
              <w:rPr>
                <w:rFonts w:ascii="Times New Roman" w:eastAsia="宋体" w:hAnsi="宋体" w:cs="宋体"/>
                <w:kern w:val="0"/>
                <w:sz w:val="24"/>
              </w:rPr>
            </w:pPr>
          </w:p>
        </w:tc>
        <w:tc>
          <w:tcPr>
            <w:tcW w:w="522" w:type="pct"/>
            <w:tcBorders>
              <w:top w:val="nil"/>
              <w:left w:val="nil"/>
              <w:bottom w:val="nil"/>
              <w:right w:val="nil"/>
            </w:tcBorders>
            <w:shd w:val="clear" w:color="auto" w:fill="auto"/>
            <w:vAlign w:val="bottom"/>
          </w:tcPr>
          <w:p w14:paraId="619DE9D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9D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9DE"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9D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9E0"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9E1" w14:textId="77777777" w:rsidR="003D72E7" w:rsidRDefault="003D72E7">
            <w:pPr>
              <w:widowControl/>
              <w:jc w:val="left"/>
              <w:rPr>
                <w:rFonts w:ascii="Times New Roman" w:eastAsia="宋体" w:hAnsi="宋体" w:cs="宋体"/>
                <w:kern w:val="0"/>
                <w:sz w:val="24"/>
              </w:rPr>
            </w:pPr>
          </w:p>
        </w:tc>
        <w:tc>
          <w:tcPr>
            <w:tcW w:w="522" w:type="pct"/>
            <w:tcBorders>
              <w:top w:val="nil"/>
              <w:left w:val="nil"/>
              <w:bottom w:val="nil"/>
              <w:right w:val="nil"/>
            </w:tcBorders>
            <w:shd w:val="clear" w:color="auto" w:fill="auto"/>
            <w:vAlign w:val="bottom"/>
          </w:tcPr>
          <w:p w14:paraId="619DE9E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9E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9E4"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9E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9E6"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9E7" w14:textId="77777777" w:rsidR="003D72E7" w:rsidRDefault="003D72E7">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619DE9E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9E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9EA"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9E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9EC"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9ED" w14:textId="77777777" w:rsidR="003D72E7" w:rsidRDefault="003D72E7">
            <w:pPr>
              <w:widowControl/>
              <w:jc w:val="left"/>
              <w:rPr>
                <w:rFonts w:ascii="Times New Roman" w:eastAsia="宋体" w:hAnsi="宋体" w:cs="宋体"/>
                <w:kern w:val="0"/>
                <w:sz w:val="24"/>
              </w:rPr>
            </w:pPr>
          </w:p>
        </w:tc>
        <w:tc>
          <w:tcPr>
            <w:tcW w:w="500" w:type="pct"/>
            <w:tcBorders>
              <w:top w:val="nil"/>
              <w:left w:val="nil"/>
              <w:bottom w:val="nil"/>
              <w:right w:val="nil"/>
            </w:tcBorders>
            <w:shd w:val="clear" w:color="auto" w:fill="auto"/>
            <w:vAlign w:val="bottom"/>
          </w:tcPr>
          <w:p w14:paraId="619DE9E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9E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9F0"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9F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9F2"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9F3" w14:textId="77777777" w:rsidR="003D72E7" w:rsidRDefault="003D72E7">
            <w:pPr>
              <w:widowControl/>
              <w:jc w:val="left"/>
              <w:rPr>
                <w:rFonts w:ascii="Times New Roman" w:eastAsia="宋体" w:hAnsi="宋体" w:cs="宋体"/>
                <w:kern w:val="0"/>
                <w:sz w:val="24"/>
              </w:rPr>
            </w:pPr>
          </w:p>
        </w:tc>
        <w:tc>
          <w:tcPr>
            <w:tcW w:w="507" w:type="pct"/>
            <w:tcBorders>
              <w:top w:val="nil"/>
              <w:left w:val="nil"/>
              <w:bottom w:val="nil"/>
              <w:right w:val="nil"/>
            </w:tcBorders>
            <w:shd w:val="clear" w:color="auto" w:fill="auto"/>
            <w:vAlign w:val="bottom"/>
          </w:tcPr>
          <w:p w14:paraId="619DE9F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9F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9F6"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9F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9F8"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9F9" w14:textId="77777777" w:rsidR="003D72E7" w:rsidRDefault="003D72E7">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619DE9F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9FB" w14:textId="77777777" w:rsidR="003D72E7" w:rsidRDefault="003D72E7">
            <w:pPr>
              <w:widowControl/>
              <w:jc w:val="left"/>
              <w:rPr>
                <w:rFonts w:ascii="Times New Roman" w:eastAsia="宋体" w:hAnsi="宋体" w:cs="宋体"/>
                <w:kern w:val="0"/>
                <w:sz w:val="24"/>
              </w:rPr>
            </w:pPr>
          </w:p>
        </w:tc>
      </w:tr>
      <w:tr w:rsidR="003D72E7" w14:paraId="619DE9F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9FD" w14:textId="77777777" w:rsidR="003D72E7" w:rsidRDefault="003D72E7">
            <w:pPr>
              <w:widowControl/>
              <w:jc w:val="left"/>
              <w:rPr>
                <w:rFonts w:ascii="Times New Roman" w:eastAsia="宋体" w:hAnsi="宋体" w:cs="宋体"/>
                <w:kern w:val="0"/>
                <w:sz w:val="24"/>
              </w:rPr>
            </w:pPr>
          </w:p>
        </w:tc>
        <w:tc>
          <w:tcPr>
            <w:tcW w:w="0" w:type="auto"/>
            <w:gridSpan w:val="33"/>
            <w:tcBorders>
              <w:top w:val="nil"/>
              <w:left w:val="nil"/>
              <w:bottom w:val="nil"/>
              <w:right w:val="nil"/>
            </w:tcBorders>
            <w:shd w:val="clear" w:color="auto" w:fill="auto"/>
            <w:tcMar>
              <w:top w:w="40" w:type="dxa"/>
              <w:left w:w="20" w:type="dxa"/>
              <w:bottom w:w="40" w:type="dxa"/>
              <w:right w:w="20" w:type="dxa"/>
            </w:tcMar>
            <w:vAlign w:val="bottom"/>
          </w:tcPr>
          <w:p w14:paraId="619DE9F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3D72E7" w14:paraId="619DEA0A" w14:textId="77777777">
        <w:trPr>
          <w:trHeight w:val="640"/>
          <w:jc w:val="center"/>
        </w:trPr>
        <w:tc>
          <w:tcPr>
            <w:tcW w:w="0" w:type="auto"/>
            <w:gridSpan w:val="3"/>
            <w:vMerge w:val="restart"/>
            <w:tcBorders>
              <w:top w:val="nil"/>
              <w:left w:val="nil"/>
              <w:bottom w:val="nil"/>
              <w:right w:val="nil"/>
            </w:tcBorders>
            <w:shd w:val="clear" w:color="auto" w:fill="auto"/>
            <w:tcMar>
              <w:top w:w="0" w:type="dxa"/>
              <w:left w:w="20" w:type="dxa"/>
              <w:bottom w:w="0" w:type="dxa"/>
              <w:right w:w="20" w:type="dxa"/>
            </w:tcMar>
            <w:vAlign w:val="bottom"/>
          </w:tcPr>
          <w:p w14:paraId="619DEA00" w14:textId="77777777" w:rsidR="003D72E7" w:rsidRDefault="003D72E7">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A0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Gross Amounts of Recognized Assets/ (Liabilities)</w:t>
            </w:r>
          </w:p>
        </w:tc>
        <w:tc>
          <w:tcPr>
            <w:tcW w:w="0" w:type="auto"/>
            <w:gridSpan w:val="3"/>
            <w:vMerge w:val="restart"/>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EA02" w14:textId="77777777" w:rsidR="003D72E7" w:rsidRDefault="003D72E7">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A0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Gross Amounts Offset in the </w:t>
            </w:r>
            <w:r>
              <w:rPr>
                <w:rFonts w:ascii="Times New Roman" w:eastAsia="宋体" w:hAnsi="Times New Roman" w:cs="Times New Roman"/>
                <w:b/>
                <w:bCs/>
                <w:color w:val="000000"/>
                <w:kern w:val="0"/>
                <w:sz w:val="18"/>
                <w:szCs w:val="18"/>
                <w:lang w:bidi="ar"/>
              </w:rPr>
              <w:t>Statement of Financial Position</w:t>
            </w:r>
          </w:p>
        </w:tc>
        <w:tc>
          <w:tcPr>
            <w:tcW w:w="0" w:type="auto"/>
            <w:gridSpan w:val="3"/>
            <w:vMerge w:val="restart"/>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EA04" w14:textId="77777777" w:rsidR="003D72E7" w:rsidRDefault="003D72E7">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A0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Net Amounts of Assets/ (Liabilities) Presented in the Statement of Financial Position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EA06"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A0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Gross Amounts not Offset in the Statement of Financial Position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EA08" w14:textId="77777777" w:rsidR="003D72E7" w:rsidRDefault="003D72E7">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A0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Net Amount of Assets/ (Liabilities) Recognized in the Statement of Fina</w:t>
            </w:r>
            <w:r>
              <w:rPr>
                <w:rFonts w:ascii="Times New Roman" w:eastAsia="宋体" w:hAnsi="Times New Roman" w:cs="Times New Roman"/>
                <w:b/>
                <w:bCs/>
                <w:color w:val="000000"/>
                <w:kern w:val="0"/>
                <w:sz w:val="18"/>
                <w:szCs w:val="18"/>
                <w:lang w:bidi="ar"/>
              </w:rPr>
              <w:t>ncial Position</w:t>
            </w:r>
          </w:p>
        </w:tc>
      </w:tr>
      <w:tr w:rsidR="003D72E7" w14:paraId="619DEA17" w14:textId="77777777">
        <w:trPr>
          <w:trHeight w:val="820"/>
          <w:jc w:val="center"/>
        </w:trPr>
        <w:tc>
          <w:tcPr>
            <w:tcW w:w="0" w:type="auto"/>
            <w:gridSpan w:val="3"/>
            <w:vMerge/>
            <w:tcBorders>
              <w:top w:val="nil"/>
              <w:left w:val="nil"/>
              <w:bottom w:val="nil"/>
              <w:right w:val="nil"/>
            </w:tcBorders>
            <w:shd w:val="clear" w:color="auto" w:fill="auto"/>
            <w:tcMar>
              <w:top w:w="0" w:type="dxa"/>
              <w:left w:w="20" w:type="dxa"/>
              <w:bottom w:w="0" w:type="dxa"/>
              <w:right w:w="20" w:type="dxa"/>
            </w:tcMar>
            <w:vAlign w:val="bottom"/>
          </w:tcPr>
          <w:p w14:paraId="619DEA0B" w14:textId="77777777" w:rsidR="003D72E7" w:rsidRDefault="003D72E7">
            <w:pPr>
              <w:rPr>
                <w:rFonts w:ascii="宋体"/>
                <w:sz w:val="24"/>
              </w:rPr>
            </w:pPr>
          </w:p>
        </w:tc>
        <w:tc>
          <w:tcPr>
            <w:tcW w:w="0" w:type="auto"/>
            <w:gridSpan w:val="3"/>
            <w:vMerge/>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A0C" w14:textId="77777777" w:rsidR="003D72E7" w:rsidRDefault="003D72E7">
            <w:pPr>
              <w:rPr>
                <w:rFonts w:ascii="宋体"/>
                <w:sz w:val="24"/>
              </w:rPr>
            </w:pPr>
          </w:p>
        </w:tc>
        <w:tc>
          <w:tcPr>
            <w:tcW w:w="0" w:type="auto"/>
            <w:gridSpan w:val="3"/>
            <w:vMerge/>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EA0D" w14:textId="77777777" w:rsidR="003D72E7" w:rsidRDefault="003D72E7">
            <w:pPr>
              <w:rPr>
                <w:rFonts w:ascii="宋体"/>
                <w:sz w:val="24"/>
              </w:rPr>
            </w:pPr>
          </w:p>
        </w:tc>
        <w:tc>
          <w:tcPr>
            <w:tcW w:w="0" w:type="auto"/>
            <w:gridSpan w:val="3"/>
            <w:vMerge/>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A0E" w14:textId="77777777" w:rsidR="003D72E7" w:rsidRDefault="003D72E7">
            <w:pPr>
              <w:rPr>
                <w:rFonts w:ascii="宋体"/>
                <w:sz w:val="24"/>
              </w:rPr>
            </w:pPr>
          </w:p>
        </w:tc>
        <w:tc>
          <w:tcPr>
            <w:tcW w:w="0" w:type="auto"/>
            <w:gridSpan w:val="3"/>
            <w:vMerge/>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EA0F" w14:textId="77777777" w:rsidR="003D72E7" w:rsidRDefault="003D72E7">
            <w:pPr>
              <w:rPr>
                <w:rFonts w:ascii="宋体"/>
                <w:sz w:val="24"/>
              </w:rPr>
            </w:pPr>
          </w:p>
        </w:tc>
        <w:tc>
          <w:tcPr>
            <w:tcW w:w="0" w:type="auto"/>
            <w:gridSpan w:val="3"/>
            <w:vMerge/>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A10" w14:textId="77777777" w:rsidR="003D72E7" w:rsidRDefault="003D72E7">
            <w:pPr>
              <w:rPr>
                <w:rFonts w:ascii="宋体"/>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A1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A1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Financial Instruments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A1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A1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Cash Collateral Received or Pledged</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A15" w14:textId="77777777" w:rsidR="003D72E7" w:rsidRDefault="003D72E7">
            <w:pPr>
              <w:widowControl/>
              <w:jc w:val="left"/>
              <w:rPr>
                <w:rFonts w:ascii="Times New Roman" w:eastAsia="宋体" w:hAnsi="宋体" w:cs="宋体"/>
                <w:kern w:val="0"/>
                <w:sz w:val="24"/>
              </w:rPr>
            </w:pPr>
          </w:p>
        </w:tc>
        <w:tc>
          <w:tcPr>
            <w:tcW w:w="0" w:type="auto"/>
            <w:gridSpan w:val="3"/>
            <w:vMerge/>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A16" w14:textId="77777777" w:rsidR="003D72E7" w:rsidRDefault="003D72E7">
            <w:pPr>
              <w:rPr>
                <w:rFonts w:ascii="宋体"/>
                <w:sz w:val="24"/>
              </w:rPr>
            </w:pPr>
          </w:p>
        </w:tc>
      </w:tr>
      <w:tr w:rsidR="003D72E7" w14:paraId="619DEA1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A18" w14:textId="77777777" w:rsidR="003D72E7" w:rsidRDefault="003D72E7">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A1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EA2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A1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Derivative instruments: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1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1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1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1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2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2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2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2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2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2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26" w14:textId="77777777" w:rsidR="003D72E7" w:rsidRDefault="003D72E7">
            <w:pPr>
              <w:widowControl/>
              <w:jc w:val="left"/>
              <w:rPr>
                <w:rFonts w:ascii="Times New Roman" w:eastAsia="宋体" w:hAnsi="宋体" w:cs="宋体"/>
                <w:kern w:val="0"/>
                <w:sz w:val="24"/>
              </w:rPr>
            </w:pPr>
          </w:p>
        </w:tc>
      </w:tr>
      <w:tr w:rsidR="003D72E7" w14:paraId="619DEA40"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A2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Financial assets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A2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A2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A2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2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A2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A2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A2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3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A3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A3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A3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3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A3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A3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A3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3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A3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A3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A3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3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A3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A3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A3F" w14:textId="77777777" w:rsidR="003D72E7" w:rsidRDefault="003D72E7">
            <w:pPr>
              <w:widowControl/>
              <w:jc w:val="right"/>
              <w:rPr>
                <w:rFonts w:ascii="Times New Roman" w:eastAsia="宋体" w:hAnsi="宋体" w:cs="宋体"/>
                <w:kern w:val="0"/>
                <w:sz w:val="24"/>
              </w:rPr>
            </w:pPr>
          </w:p>
        </w:tc>
      </w:tr>
      <w:tr w:rsidR="003D72E7" w14:paraId="619DEA5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A4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Financial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A4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A4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4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A4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A4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4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A4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A4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4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A4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A4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4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A4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A4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5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A5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A52" w14:textId="77777777" w:rsidR="003D72E7" w:rsidRDefault="003D72E7">
            <w:pPr>
              <w:widowControl/>
              <w:jc w:val="right"/>
              <w:rPr>
                <w:rFonts w:ascii="Times New Roman" w:eastAsia="宋体" w:hAnsi="宋体" w:cs="宋体"/>
                <w:kern w:val="0"/>
                <w:sz w:val="24"/>
              </w:rPr>
            </w:pPr>
          </w:p>
        </w:tc>
      </w:tr>
      <w:tr w:rsidR="003D72E7" w14:paraId="619DEA6C"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EA5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derivative instruments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A5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A5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A5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5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A5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A5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A5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5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A5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A5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A5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6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A6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A6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A6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6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A6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A6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A6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6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A6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A6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A6B" w14:textId="77777777" w:rsidR="003D72E7" w:rsidRDefault="003D72E7">
            <w:pPr>
              <w:widowControl/>
              <w:jc w:val="right"/>
              <w:rPr>
                <w:rFonts w:ascii="Times New Roman" w:eastAsia="宋体" w:hAnsi="宋体" w:cs="宋体"/>
                <w:kern w:val="0"/>
                <w:sz w:val="24"/>
              </w:rPr>
            </w:pPr>
          </w:p>
        </w:tc>
      </w:tr>
      <w:tr w:rsidR="003D72E7" w14:paraId="619DEA79" w14:textId="77777777">
        <w:trPr>
          <w:trHeight w:val="30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A6D"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DEA6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A6F"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DEA7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A71"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DEA7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A73"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DEA7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A75"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DEA7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A77"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DEA78" w14:textId="77777777" w:rsidR="003D72E7" w:rsidRDefault="003D72E7">
            <w:pPr>
              <w:widowControl/>
              <w:jc w:val="left"/>
              <w:rPr>
                <w:rFonts w:ascii="Times New Roman" w:eastAsia="宋体" w:hAnsi="宋体" w:cs="宋体"/>
                <w:kern w:val="0"/>
                <w:sz w:val="24"/>
              </w:rPr>
            </w:pPr>
          </w:p>
        </w:tc>
      </w:tr>
      <w:tr w:rsidR="003D72E7" w14:paraId="619DEA7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A7A" w14:textId="77777777" w:rsidR="003D72E7" w:rsidRDefault="003D72E7">
            <w:pPr>
              <w:widowControl/>
              <w:jc w:val="left"/>
              <w:rPr>
                <w:rFonts w:ascii="Times New Roman" w:eastAsia="宋体" w:hAnsi="宋体" w:cs="宋体"/>
                <w:kern w:val="0"/>
                <w:sz w:val="24"/>
              </w:rPr>
            </w:pPr>
          </w:p>
        </w:tc>
        <w:tc>
          <w:tcPr>
            <w:tcW w:w="0" w:type="auto"/>
            <w:gridSpan w:val="33"/>
            <w:tcBorders>
              <w:top w:val="nil"/>
              <w:left w:val="nil"/>
              <w:bottom w:val="nil"/>
              <w:right w:val="nil"/>
            </w:tcBorders>
            <w:shd w:val="clear" w:color="auto" w:fill="auto"/>
            <w:tcMar>
              <w:top w:w="40" w:type="dxa"/>
              <w:left w:w="20" w:type="dxa"/>
              <w:bottom w:w="40" w:type="dxa"/>
              <w:right w:w="20" w:type="dxa"/>
            </w:tcMar>
            <w:vAlign w:val="bottom"/>
          </w:tcPr>
          <w:p w14:paraId="619DEA7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EA87" w14:textId="77777777">
        <w:trPr>
          <w:trHeight w:val="600"/>
          <w:jc w:val="center"/>
        </w:trPr>
        <w:tc>
          <w:tcPr>
            <w:tcW w:w="0" w:type="auto"/>
            <w:gridSpan w:val="3"/>
            <w:vMerge w:val="restart"/>
            <w:tcBorders>
              <w:top w:val="nil"/>
              <w:left w:val="nil"/>
              <w:bottom w:val="nil"/>
              <w:right w:val="nil"/>
            </w:tcBorders>
            <w:shd w:val="clear" w:color="auto" w:fill="FFFFFF"/>
            <w:tcMar>
              <w:top w:w="0" w:type="dxa"/>
              <w:left w:w="20" w:type="dxa"/>
              <w:bottom w:w="0" w:type="dxa"/>
              <w:right w:w="20" w:type="dxa"/>
            </w:tcMar>
            <w:vAlign w:val="bottom"/>
          </w:tcPr>
          <w:p w14:paraId="619DEA7D" w14:textId="77777777" w:rsidR="003D72E7" w:rsidRDefault="003D72E7">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A7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Gross Amounts of Recognized Assets/ (Liabilities)</w:t>
            </w:r>
          </w:p>
        </w:tc>
        <w:tc>
          <w:tcPr>
            <w:tcW w:w="0" w:type="auto"/>
            <w:gridSpan w:val="3"/>
            <w:vMerge w:val="restart"/>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EA7F" w14:textId="77777777" w:rsidR="003D72E7" w:rsidRDefault="003D72E7">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FFFFFF"/>
            <w:tcMar>
              <w:top w:w="40" w:type="dxa"/>
              <w:left w:w="20" w:type="dxa"/>
              <w:bottom w:w="40" w:type="dxa"/>
              <w:right w:w="20" w:type="dxa"/>
            </w:tcMar>
            <w:vAlign w:val="bottom"/>
          </w:tcPr>
          <w:p w14:paraId="619DEA8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Gross Amounts Offset in the Statement of Financial Position</w:t>
            </w:r>
          </w:p>
        </w:tc>
        <w:tc>
          <w:tcPr>
            <w:tcW w:w="0" w:type="auto"/>
            <w:gridSpan w:val="3"/>
            <w:vMerge w:val="restart"/>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EA81" w14:textId="77777777" w:rsidR="003D72E7" w:rsidRDefault="003D72E7">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FFFFFF"/>
            <w:tcMar>
              <w:top w:w="40" w:type="dxa"/>
              <w:left w:w="20" w:type="dxa"/>
              <w:bottom w:w="40" w:type="dxa"/>
              <w:right w:w="20" w:type="dxa"/>
            </w:tcMar>
            <w:vAlign w:val="bottom"/>
          </w:tcPr>
          <w:p w14:paraId="619DEA8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xml:space="preserve">Net Amounts of Assets/ </w:t>
            </w:r>
            <w:r>
              <w:rPr>
                <w:rFonts w:ascii="Times New Roman" w:eastAsia="宋体" w:hAnsi="Times New Roman" w:cs="Times New Roman"/>
                <w:b/>
                <w:bCs/>
                <w:color w:val="000000"/>
                <w:kern w:val="0"/>
                <w:sz w:val="18"/>
                <w:szCs w:val="18"/>
                <w:lang w:bidi="ar"/>
              </w:rPr>
              <w:t>(Liabilities) Presented in the Statement of Financial Position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EA83"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A8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Gross Amounts not Offset in the Statement of Financial Position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EA85" w14:textId="77777777" w:rsidR="003D72E7" w:rsidRDefault="003D72E7">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FFFFFF"/>
            <w:tcMar>
              <w:top w:w="40" w:type="dxa"/>
              <w:left w:w="20" w:type="dxa"/>
              <w:bottom w:w="40" w:type="dxa"/>
              <w:right w:w="20" w:type="dxa"/>
            </w:tcMar>
            <w:vAlign w:val="bottom"/>
          </w:tcPr>
          <w:p w14:paraId="619DEA8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Net Amount of Assets/ (Liabilities) Recognized in the Statement of Financial Position</w:t>
            </w:r>
          </w:p>
        </w:tc>
      </w:tr>
      <w:tr w:rsidR="003D72E7" w14:paraId="619DEA94" w14:textId="77777777">
        <w:trPr>
          <w:trHeight w:val="780"/>
          <w:jc w:val="center"/>
        </w:trPr>
        <w:tc>
          <w:tcPr>
            <w:tcW w:w="0" w:type="auto"/>
            <w:gridSpan w:val="3"/>
            <w:vMerge/>
            <w:tcBorders>
              <w:top w:val="nil"/>
              <w:left w:val="nil"/>
              <w:bottom w:val="nil"/>
              <w:right w:val="nil"/>
            </w:tcBorders>
            <w:shd w:val="clear" w:color="auto" w:fill="FFFFFF"/>
            <w:tcMar>
              <w:top w:w="0" w:type="dxa"/>
              <w:left w:w="20" w:type="dxa"/>
              <w:bottom w:w="0" w:type="dxa"/>
              <w:right w:w="20" w:type="dxa"/>
            </w:tcMar>
            <w:vAlign w:val="bottom"/>
          </w:tcPr>
          <w:p w14:paraId="619DEA88" w14:textId="77777777" w:rsidR="003D72E7" w:rsidRDefault="003D72E7">
            <w:pPr>
              <w:rPr>
                <w:rFonts w:ascii="宋体"/>
                <w:sz w:val="24"/>
              </w:rPr>
            </w:pPr>
          </w:p>
        </w:tc>
        <w:tc>
          <w:tcPr>
            <w:tcW w:w="0" w:type="auto"/>
            <w:gridSpan w:val="3"/>
            <w:vMerge/>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A89" w14:textId="77777777" w:rsidR="003D72E7" w:rsidRDefault="003D72E7">
            <w:pPr>
              <w:rPr>
                <w:rFonts w:ascii="宋体"/>
                <w:sz w:val="24"/>
              </w:rPr>
            </w:pPr>
          </w:p>
        </w:tc>
        <w:tc>
          <w:tcPr>
            <w:tcW w:w="0" w:type="auto"/>
            <w:gridSpan w:val="3"/>
            <w:vMerge/>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EA8A" w14:textId="77777777" w:rsidR="003D72E7" w:rsidRDefault="003D72E7">
            <w:pPr>
              <w:rPr>
                <w:rFonts w:ascii="宋体"/>
                <w:sz w:val="24"/>
              </w:rPr>
            </w:pPr>
          </w:p>
        </w:tc>
        <w:tc>
          <w:tcPr>
            <w:tcW w:w="0" w:type="auto"/>
            <w:gridSpan w:val="3"/>
            <w:vMerge/>
            <w:tcBorders>
              <w:top w:val="single" w:sz="8" w:space="0" w:color="000000"/>
              <w:left w:val="nil"/>
              <w:bottom w:val="single" w:sz="8" w:space="0" w:color="000000"/>
              <w:right w:val="nil"/>
            </w:tcBorders>
            <w:shd w:val="clear" w:color="auto" w:fill="FFFFFF"/>
            <w:tcMar>
              <w:top w:w="40" w:type="dxa"/>
              <w:left w:w="20" w:type="dxa"/>
              <w:bottom w:w="40" w:type="dxa"/>
              <w:right w:w="20" w:type="dxa"/>
            </w:tcMar>
            <w:vAlign w:val="bottom"/>
          </w:tcPr>
          <w:p w14:paraId="619DEA8B" w14:textId="77777777" w:rsidR="003D72E7" w:rsidRDefault="003D72E7">
            <w:pPr>
              <w:rPr>
                <w:rFonts w:ascii="宋体"/>
                <w:sz w:val="24"/>
              </w:rPr>
            </w:pPr>
          </w:p>
        </w:tc>
        <w:tc>
          <w:tcPr>
            <w:tcW w:w="0" w:type="auto"/>
            <w:gridSpan w:val="3"/>
            <w:vMerge/>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EA8C" w14:textId="77777777" w:rsidR="003D72E7" w:rsidRDefault="003D72E7">
            <w:pPr>
              <w:rPr>
                <w:rFonts w:ascii="宋体"/>
                <w:sz w:val="24"/>
              </w:rPr>
            </w:pPr>
          </w:p>
        </w:tc>
        <w:tc>
          <w:tcPr>
            <w:tcW w:w="0" w:type="auto"/>
            <w:gridSpan w:val="3"/>
            <w:vMerge/>
            <w:tcBorders>
              <w:top w:val="single" w:sz="8" w:space="0" w:color="000000"/>
              <w:left w:val="nil"/>
              <w:bottom w:val="single" w:sz="8" w:space="0" w:color="000000"/>
              <w:right w:val="nil"/>
            </w:tcBorders>
            <w:shd w:val="clear" w:color="auto" w:fill="FFFFFF"/>
            <w:tcMar>
              <w:top w:w="40" w:type="dxa"/>
              <w:left w:w="20" w:type="dxa"/>
              <w:bottom w:w="40" w:type="dxa"/>
              <w:right w:w="20" w:type="dxa"/>
            </w:tcMar>
            <w:vAlign w:val="bottom"/>
          </w:tcPr>
          <w:p w14:paraId="619DEA8D" w14:textId="77777777" w:rsidR="003D72E7" w:rsidRDefault="003D72E7">
            <w:pPr>
              <w:rPr>
                <w:rFonts w:ascii="宋体"/>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A8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A8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Financial Instruments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A9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A9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Cash Collateral Received or Pledged</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A92" w14:textId="77777777" w:rsidR="003D72E7" w:rsidRDefault="003D72E7">
            <w:pPr>
              <w:widowControl/>
              <w:jc w:val="left"/>
              <w:rPr>
                <w:rFonts w:ascii="Times New Roman" w:eastAsia="宋体" w:hAnsi="宋体" w:cs="宋体"/>
                <w:kern w:val="0"/>
                <w:sz w:val="24"/>
              </w:rPr>
            </w:pPr>
          </w:p>
        </w:tc>
        <w:tc>
          <w:tcPr>
            <w:tcW w:w="0" w:type="auto"/>
            <w:gridSpan w:val="3"/>
            <w:vMerge/>
            <w:tcBorders>
              <w:top w:val="single" w:sz="8" w:space="0" w:color="000000"/>
              <w:left w:val="nil"/>
              <w:bottom w:val="single" w:sz="8" w:space="0" w:color="000000"/>
              <w:right w:val="nil"/>
            </w:tcBorders>
            <w:shd w:val="clear" w:color="auto" w:fill="FFFFFF"/>
            <w:tcMar>
              <w:top w:w="40" w:type="dxa"/>
              <w:left w:w="20" w:type="dxa"/>
              <w:bottom w:w="40" w:type="dxa"/>
              <w:right w:w="20" w:type="dxa"/>
            </w:tcMar>
            <w:vAlign w:val="bottom"/>
          </w:tcPr>
          <w:p w14:paraId="619DEA93" w14:textId="77777777" w:rsidR="003D72E7" w:rsidRDefault="003D72E7">
            <w:pPr>
              <w:rPr>
                <w:rFonts w:ascii="宋体"/>
                <w:sz w:val="24"/>
              </w:rPr>
            </w:pPr>
          </w:p>
        </w:tc>
      </w:tr>
      <w:tr w:rsidR="003D72E7" w14:paraId="619DEA9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A95" w14:textId="77777777" w:rsidR="003D72E7" w:rsidRDefault="003D72E7">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A9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EAA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A9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Derivative instruments: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9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9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9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9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9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9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9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A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A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A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A3" w14:textId="77777777" w:rsidR="003D72E7" w:rsidRDefault="003D72E7">
            <w:pPr>
              <w:widowControl/>
              <w:jc w:val="left"/>
              <w:rPr>
                <w:rFonts w:ascii="Times New Roman" w:eastAsia="宋体" w:hAnsi="宋体" w:cs="宋体"/>
                <w:kern w:val="0"/>
                <w:sz w:val="24"/>
              </w:rPr>
            </w:pPr>
          </w:p>
        </w:tc>
      </w:tr>
      <w:tr w:rsidR="003D72E7" w14:paraId="619DEAB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AA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Financial assets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AA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AA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AA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A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AA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AA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AA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A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AA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AA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AB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B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AB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AB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AB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B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AB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AB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AB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B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AB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AB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ABC" w14:textId="77777777" w:rsidR="003D72E7" w:rsidRDefault="003D72E7">
            <w:pPr>
              <w:widowControl/>
              <w:jc w:val="right"/>
              <w:rPr>
                <w:rFonts w:ascii="Times New Roman" w:eastAsia="宋体" w:hAnsi="宋体" w:cs="宋体"/>
                <w:kern w:val="0"/>
                <w:sz w:val="24"/>
              </w:rPr>
            </w:pPr>
          </w:p>
        </w:tc>
      </w:tr>
      <w:tr w:rsidR="003D72E7" w14:paraId="619DEAD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AB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Financial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AB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AC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C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AC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AC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C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AC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AC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C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AC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AC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C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AC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AC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AC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AC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ACF" w14:textId="77777777" w:rsidR="003D72E7" w:rsidRDefault="003D72E7">
            <w:pPr>
              <w:widowControl/>
              <w:jc w:val="right"/>
              <w:rPr>
                <w:rFonts w:ascii="Times New Roman" w:eastAsia="宋体" w:hAnsi="宋体" w:cs="宋体"/>
                <w:kern w:val="0"/>
                <w:sz w:val="24"/>
              </w:rPr>
            </w:pPr>
          </w:p>
        </w:tc>
      </w:tr>
      <w:tr w:rsidR="003D72E7" w14:paraId="619DEAE9"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EAD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derivative instruments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AD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AD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AD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D5"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AD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AD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AD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D9"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AD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AD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AD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D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AD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AD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AE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E1"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AE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AE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AE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AE5"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AE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AE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AE8" w14:textId="77777777" w:rsidR="003D72E7" w:rsidRDefault="003D72E7">
            <w:pPr>
              <w:widowControl/>
              <w:jc w:val="right"/>
              <w:rPr>
                <w:rFonts w:ascii="Times New Roman" w:eastAsia="宋体" w:hAnsi="宋体" w:cs="宋体"/>
                <w:kern w:val="0"/>
                <w:sz w:val="24"/>
              </w:rPr>
            </w:pPr>
          </w:p>
        </w:tc>
      </w:tr>
    </w:tbl>
    <w:p w14:paraId="619DEAE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AE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AEC"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38</w:t>
      </w:r>
    </w:p>
    <w:p w14:paraId="619DEAE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AEE" w14:textId="77777777" w:rsidR="003D72E7" w:rsidRDefault="00AD6774">
      <w:pPr>
        <w:widowControl/>
        <w:jc w:val="center"/>
      </w:pPr>
      <w:r>
        <w:rPr>
          <w:rFonts w:ascii="宋体" w:eastAsia="宋体" w:hAnsi="宋体" w:cs="宋体"/>
          <w:kern w:val="0"/>
          <w:sz w:val="24"/>
        </w:rPr>
        <w:pict w14:anchorId="619E0D91">
          <v:rect id="_x0000_i1062" style="width:6in;height:1.5pt" o:hralign="center" o:hrstd="t" o:hr="t" fillcolor="#a0a0a0" stroked="f"/>
        </w:pict>
      </w:r>
    </w:p>
    <w:p w14:paraId="619DEAEF"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AF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AF1"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EAF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AF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AF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7 — GOODWILL AND INTANGIBLE ASSETS </w:t>
      </w:r>
    </w:p>
    <w:p w14:paraId="619DEAF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AF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Goodwill</w:t>
      </w:r>
    </w:p>
    <w:p w14:paraId="619DEAF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AF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Infrastructure Solutions Group, Client Solutions Group, and VMware reporting units are consistent with the reportable segments identified in Note 16 of the Notes to the Condensed Consolidated Financial Statements. Other businesses consists of Securewor</w:t>
      </w:r>
      <w:r>
        <w:rPr>
          <w:rFonts w:ascii="Times New Roman" w:eastAsia="宋体" w:hAnsi="Times New Roman" w:cs="Times New Roman"/>
          <w:color w:val="000000"/>
          <w:kern w:val="0"/>
          <w:sz w:val="20"/>
          <w:szCs w:val="20"/>
          <w:lang w:bidi="ar"/>
        </w:rPr>
        <w:t xml:space="preserve">ks, Virtustream, and Boomi, which each represent separate reporting units. </w:t>
      </w:r>
    </w:p>
    <w:p w14:paraId="619DEAF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AFA"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goodwill allocated to the Company’s reportable segments and changes in the carrying amount of goodwill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676"/>
        <w:gridCol w:w="39"/>
        <w:gridCol w:w="121"/>
        <w:gridCol w:w="1169"/>
        <w:gridCol w:w="36"/>
        <w:gridCol w:w="36"/>
        <w:gridCol w:w="36"/>
        <w:gridCol w:w="36"/>
        <w:gridCol w:w="121"/>
        <w:gridCol w:w="808"/>
        <w:gridCol w:w="36"/>
        <w:gridCol w:w="36"/>
        <w:gridCol w:w="36"/>
        <w:gridCol w:w="36"/>
        <w:gridCol w:w="121"/>
        <w:gridCol w:w="808"/>
        <w:gridCol w:w="36"/>
        <w:gridCol w:w="36"/>
        <w:gridCol w:w="36"/>
        <w:gridCol w:w="36"/>
        <w:gridCol w:w="121"/>
        <w:gridCol w:w="860"/>
        <w:gridCol w:w="36"/>
        <w:gridCol w:w="36"/>
        <w:gridCol w:w="36"/>
        <w:gridCol w:w="36"/>
        <w:gridCol w:w="120"/>
        <w:gridCol w:w="719"/>
        <w:gridCol w:w="36"/>
      </w:tblGrid>
      <w:tr w:rsidR="003D72E7" w14:paraId="619DEB19" w14:textId="77777777">
        <w:trPr>
          <w:jc w:val="center"/>
        </w:trPr>
        <w:tc>
          <w:tcPr>
            <w:tcW w:w="50" w:type="pct"/>
            <w:tcBorders>
              <w:top w:val="nil"/>
              <w:left w:val="nil"/>
              <w:bottom w:val="nil"/>
              <w:right w:val="nil"/>
            </w:tcBorders>
            <w:shd w:val="clear" w:color="auto" w:fill="auto"/>
            <w:vAlign w:val="bottom"/>
          </w:tcPr>
          <w:p w14:paraId="619DEAFB" w14:textId="77777777" w:rsidR="003D72E7" w:rsidRDefault="003D72E7">
            <w:pPr>
              <w:widowControl/>
              <w:jc w:val="left"/>
              <w:rPr>
                <w:rFonts w:ascii="Times New Roman" w:eastAsia="宋体" w:hAnsi="宋体" w:cs="宋体"/>
                <w:kern w:val="0"/>
                <w:sz w:val="24"/>
              </w:rPr>
            </w:pPr>
          </w:p>
        </w:tc>
        <w:tc>
          <w:tcPr>
            <w:tcW w:w="1728" w:type="pct"/>
            <w:tcBorders>
              <w:top w:val="nil"/>
              <w:left w:val="nil"/>
              <w:bottom w:val="nil"/>
              <w:right w:val="nil"/>
            </w:tcBorders>
            <w:shd w:val="clear" w:color="auto" w:fill="auto"/>
            <w:vAlign w:val="bottom"/>
          </w:tcPr>
          <w:p w14:paraId="619DEAF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AF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AFE" w14:textId="77777777" w:rsidR="003D72E7" w:rsidRDefault="003D72E7">
            <w:pPr>
              <w:widowControl/>
              <w:jc w:val="left"/>
              <w:rPr>
                <w:rFonts w:ascii="Times New Roman" w:eastAsia="宋体" w:hAnsi="宋体" w:cs="宋体"/>
                <w:kern w:val="0"/>
                <w:sz w:val="24"/>
              </w:rPr>
            </w:pPr>
          </w:p>
        </w:tc>
        <w:tc>
          <w:tcPr>
            <w:tcW w:w="610" w:type="pct"/>
            <w:tcBorders>
              <w:top w:val="nil"/>
              <w:left w:val="nil"/>
              <w:bottom w:val="nil"/>
              <w:right w:val="nil"/>
            </w:tcBorders>
            <w:shd w:val="clear" w:color="auto" w:fill="auto"/>
            <w:vAlign w:val="bottom"/>
          </w:tcPr>
          <w:p w14:paraId="619DEAF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0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01"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B0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0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B04" w14:textId="77777777" w:rsidR="003D72E7" w:rsidRDefault="003D72E7">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619DEB0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0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07"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B0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0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B0A" w14:textId="77777777" w:rsidR="003D72E7" w:rsidRDefault="003D72E7">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619DEB0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0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0D"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B0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0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B10" w14:textId="77777777" w:rsidR="003D72E7" w:rsidRDefault="003D72E7">
            <w:pPr>
              <w:widowControl/>
              <w:jc w:val="left"/>
              <w:rPr>
                <w:rFonts w:ascii="Times New Roman" w:eastAsia="宋体" w:hAnsi="宋体" w:cs="宋体"/>
                <w:kern w:val="0"/>
                <w:sz w:val="24"/>
              </w:rPr>
            </w:pPr>
          </w:p>
        </w:tc>
        <w:tc>
          <w:tcPr>
            <w:tcW w:w="588" w:type="pct"/>
            <w:tcBorders>
              <w:top w:val="nil"/>
              <w:left w:val="nil"/>
              <w:bottom w:val="nil"/>
              <w:right w:val="nil"/>
            </w:tcBorders>
            <w:shd w:val="clear" w:color="auto" w:fill="auto"/>
            <w:vAlign w:val="bottom"/>
          </w:tcPr>
          <w:p w14:paraId="619DEB1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1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1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B1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1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B16" w14:textId="77777777" w:rsidR="003D72E7" w:rsidRDefault="003D72E7">
            <w:pPr>
              <w:widowControl/>
              <w:jc w:val="left"/>
              <w:rPr>
                <w:rFonts w:ascii="Times New Roman" w:eastAsia="宋体" w:hAnsi="宋体" w:cs="宋体"/>
                <w:kern w:val="0"/>
                <w:sz w:val="24"/>
              </w:rPr>
            </w:pPr>
          </w:p>
        </w:tc>
        <w:tc>
          <w:tcPr>
            <w:tcW w:w="508" w:type="pct"/>
            <w:tcBorders>
              <w:top w:val="nil"/>
              <w:left w:val="nil"/>
              <w:bottom w:val="nil"/>
              <w:right w:val="nil"/>
            </w:tcBorders>
            <w:shd w:val="clear" w:color="auto" w:fill="auto"/>
            <w:vAlign w:val="bottom"/>
          </w:tcPr>
          <w:p w14:paraId="619DEB1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18" w14:textId="77777777" w:rsidR="003D72E7" w:rsidRDefault="003D72E7">
            <w:pPr>
              <w:widowControl/>
              <w:jc w:val="left"/>
              <w:rPr>
                <w:rFonts w:ascii="Times New Roman" w:eastAsia="宋体" w:hAnsi="宋体" w:cs="宋体"/>
                <w:kern w:val="0"/>
                <w:sz w:val="24"/>
              </w:rPr>
            </w:pPr>
          </w:p>
        </w:tc>
      </w:tr>
      <w:tr w:rsidR="003D72E7" w14:paraId="619DEB2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B1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B1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Infrastructure Solutions Group</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B1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EB1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Client Solutions Group</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B1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EB1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VMware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B2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EB2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Businesses</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B2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EB2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3D72E7" w14:paraId="619DEB2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B25" w14:textId="77777777" w:rsidR="003D72E7" w:rsidRDefault="003D72E7">
            <w:pPr>
              <w:widowControl/>
              <w:jc w:val="left"/>
              <w:rPr>
                <w:rFonts w:ascii="Times New Roman" w:eastAsia="宋体" w:hAnsi="宋体" w:cs="宋体"/>
                <w:kern w:val="0"/>
                <w:sz w:val="24"/>
              </w:rPr>
            </w:pPr>
          </w:p>
        </w:tc>
        <w:tc>
          <w:tcPr>
            <w:tcW w:w="0" w:type="auto"/>
            <w:gridSpan w:val="27"/>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EB26"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EB3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B2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Balance as of January 29, 2021</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B2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B2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15,324 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B2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B2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B2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B2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B2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B3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B3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B3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B3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B3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B3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B3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B3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B3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B3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B3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40,829 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B3B" w14:textId="77777777" w:rsidR="003D72E7" w:rsidRDefault="003D72E7">
            <w:pPr>
              <w:widowControl/>
              <w:jc w:val="right"/>
              <w:rPr>
                <w:rFonts w:ascii="Times New Roman" w:eastAsia="宋体" w:hAnsi="宋体" w:cs="宋体"/>
                <w:kern w:val="0"/>
                <w:sz w:val="24"/>
              </w:rPr>
            </w:pPr>
          </w:p>
        </w:tc>
      </w:tr>
      <w:tr w:rsidR="003D72E7" w14:paraId="619DEB4C"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EB3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Goodwill acquired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B3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B3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B4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B4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B4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B4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B4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B4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B4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B4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B4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B4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B4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B4B" w14:textId="77777777" w:rsidR="003D72E7" w:rsidRDefault="003D72E7">
            <w:pPr>
              <w:widowControl/>
              <w:jc w:val="right"/>
              <w:rPr>
                <w:rFonts w:ascii="Times New Roman" w:eastAsia="宋体" w:hAnsi="宋体" w:cs="宋体"/>
                <w:kern w:val="0"/>
                <w:sz w:val="24"/>
              </w:rPr>
            </w:pPr>
          </w:p>
        </w:tc>
      </w:tr>
      <w:tr w:rsidR="003D72E7" w14:paraId="619DEB5C"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EB4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foreign currency translation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B4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B4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B5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B5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B5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B5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B5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B5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B5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B5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B5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B5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B5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B5B" w14:textId="77777777" w:rsidR="003D72E7" w:rsidRDefault="003D72E7">
            <w:pPr>
              <w:widowControl/>
              <w:jc w:val="right"/>
              <w:rPr>
                <w:rFonts w:ascii="Times New Roman" w:eastAsia="宋体" w:hAnsi="宋体" w:cs="宋体"/>
                <w:kern w:val="0"/>
                <w:sz w:val="24"/>
              </w:rPr>
            </w:pPr>
          </w:p>
        </w:tc>
      </w:tr>
      <w:tr w:rsidR="003D72E7" w14:paraId="619DEB67" w14:textId="77777777">
        <w:trPr>
          <w:jc w:val="center"/>
          <w:hidden/>
        </w:trPr>
        <w:tc>
          <w:tcPr>
            <w:tcW w:w="0" w:type="auto"/>
            <w:gridSpan w:val="3"/>
            <w:tcBorders>
              <w:top w:val="nil"/>
              <w:left w:val="nil"/>
              <w:bottom w:val="nil"/>
              <w:right w:val="nil"/>
            </w:tcBorders>
            <w:shd w:val="clear" w:color="auto" w:fill="auto"/>
            <w:vAlign w:val="bottom"/>
          </w:tcPr>
          <w:p w14:paraId="619DEB5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5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5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6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6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6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6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6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6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66" w14:textId="77777777" w:rsidR="003D72E7" w:rsidRDefault="003D72E7">
            <w:pPr>
              <w:widowControl/>
              <w:jc w:val="left"/>
              <w:rPr>
                <w:rFonts w:ascii="Times New Roman" w:eastAsia="宋体" w:hAnsi="宋体" w:cs="宋体"/>
                <w:vanish/>
                <w:kern w:val="0"/>
                <w:sz w:val="24"/>
              </w:rPr>
            </w:pPr>
          </w:p>
        </w:tc>
      </w:tr>
      <w:tr w:rsidR="003D72E7" w14:paraId="619DEB77"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EB6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Reclassification to assets held for sale (a)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B6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B6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B6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B6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B6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B6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B6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B7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B7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B7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B7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B7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B7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B76" w14:textId="77777777" w:rsidR="003D72E7" w:rsidRDefault="003D72E7">
            <w:pPr>
              <w:widowControl/>
              <w:jc w:val="right"/>
              <w:rPr>
                <w:rFonts w:ascii="Times New Roman" w:eastAsia="宋体" w:hAnsi="宋体" w:cs="宋体"/>
                <w:kern w:val="0"/>
                <w:sz w:val="24"/>
              </w:rPr>
            </w:pPr>
          </w:p>
        </w:tc>
      </w:tr>
      <w:tr w:rsidR="003D72E7" w14:paraId="619DEB82" w14:textId="77777777">
        <w:trPr>
          <w:jc w:val="center"/>
          <w:hidden/>
        </w:trPr>
        <w:tc>
          <w:tcPr>
            <w:tcW w:w="0" w:type="auto"/>
            <w:gridSpan w:val="3"/>
            <w:tcBorders>
              <w:top w:val="nil"/>
              <w:left w:val="nil"/>
              <w:bottom w:val="nil"/>
              <w:right w:val="nil"/>
            </w:tcBorders>
            <w:shd w:val="clear" w:color="auto" w:fill="auto"/>
            <w:vAlign w:val="bottom"/>
          </w:tcPr>
          <w:p w14:paraId="619DEB7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7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7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7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7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7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7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7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8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B81" w14:textId="77777777" w:rsidR="003D72E7" w:rsidRDefault="003D72E7">
            <w:pPr>
              <w:widowControl/>
              <w:jc w:val="left"/>
              <w:rPr>
                <w:rFonts w:ascii="Times New Roman" w:eastAsia="宋体" w:hAnsi="宋体" w:cs="宋体"/>
                <w:vanish/>
                <w:kern w:val="0"/>
                <w:sz w:val="24"/>
              </w:rPr>
            </w:pPr>
          </w:p>
        </w:tc>
      </w:tr>
      <w:tr w:rsidR="003D72E7" w14:paraId="619DEB9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B8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Balance as of July 30, 2021</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EB8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EB8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15,276 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EB8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B8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EB8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EB8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4,237 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EB8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B8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EB8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EB8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20,801 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EB8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B8F"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EB9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EB9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EB9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B9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EB9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EB9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40,741 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EB96" w14:textId="77777777" w:rsidR="003D72E7" w:rsidRDefault="003D72E7">
            <w:pPr>
              <w:widowControl/>
              <w:jc w:val="right"/>
              <w:rPr>
                <w:rFonts w:ascii="Times New Roman" w:eastAsia="宋体" w:hAnsi="宋体" w:cs="宋体"/>
                <w:kern w:val="0"/>
                <w:sz w:val="24"/>
              </w:rPr>
            </w:pPr>
          </w:p>
        </w:tc>
      </w:tr>
    </w:tbl>
    <w:p w14:paraId="619DEB9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619DEB99"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    During the three months ended July 30, 2021, Boomi’s goodwill was reclassified to current assets held for sale on the Condensed Consolidated Stateme</w:t>
      </w:r>
      <w:r>
        <w:rPr>
          <w:rFonts w:ascii="Times New Roman" w:eastAsia="宋体" w:hAnsi="Times New Roman" w:cs="Times New Roman"/>
          <w:color w:val="000000"/>
          <w:kern w:val="0"/>
          <w:sz w:val="20"/>
          <w:szCs w:val="20"/>
          <w:lang w:bidi="ar"/>
        </w:rPr>
        <w:t>nts of Financial Position due to the Company’s entry into a definitive agreement to sell Boomi. See Note 1 of the Notes to the Condensed Consolidated Financial Statements for additional information about the pending sale of Boomi.</w:t>
      </w:r>
    </w:p>
    <w:p w14:paraId="619DEB9A" w14:textId="77777777" w:rsidR="003D72E7" w:rsidRDefault="00AD6774">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B9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Goodwill and indefinite-lived intangible assets are tested for impairment annually during the third fiscal quarter and whenever events or circumstances may indicate that an impairment has occurred. No impairment test has been performed since the Company’s </w:t>
      </w:r>
      <w:r>
        <w:rPr>
          <w:rFonts w:ascii="Times New Roman" w:eastAsia="宋体" w:hAnsi="Times New Roman" w:cs="Times New Roman"/>
          <w:color w:val="000000"/>
          <w:kern w:val="0"/>
          <w:sz w:val="20"/>
          <w:szCs w:val="20"/>
          <w:lang w:bidi="ar"/>
        </w:rPr>
        <w:t xml:space="preserve">annual impairment review in the third quarter of Fiscal 2021. </w:t>
      </w:r>
    </w:p>
    <w:p w14:paraId="619DEB9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B9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For the annual impairment review in the third quarter of Fiscal 2021, the Company elected to bypass the assessment of qualitative factors to determine whether it was more likely than not that</w:t>
      </w:r>
      <w:r>
        <w:rPr>
          <w:rFonts w:ascii="Times New Roman" w:eastAsia="宋体" w:hAnsi="Times New Roman" w:cs="Times New Roman"/>
          <w:color w:val="000000"/>
          <w:kern w:val="0"/>
          <w:sz w:val="20"/>
          <w:szCs w:val="20"/>
          <w:lang w:bidi="ar"/>
        </w:rPr>
        <w:t xml:space="preserve"> the fair value of a reporting unit was less than its carrying amount, including goodwill. In electing to bypass the qualitative assessment, the Company proceeded directly to performing a quantitative goodwill impairment test to measure the fair value of e</w:t>
      </w:r>
      <w:r>
        <w:rPr>
          <w:rFonts w:ascii="Times New Roman" w:eastAsia="宋体" w:hAnsi="Times New Roman" w:cs="Times New Roman"/>
          <w:color w:val="000000"/>
          <w:kern w:val="0"/>
          <w:sz w:val="20"/>
          <w:szCs w:val="20"/>
          <w:lang w:bidi="ar"/>
        </w:rPr>
        <w:t>ach goodwill reporting unit relative to its carrying amount, and to determine the amount of goodwill impairment loss to be recognized, if any.</w:t>
      </w:r>
    </w:p>
    <w:p w14:paraId="619DEB9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B9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Management exercised significant judgment related to the above assessment, including the identification of good</w:t>
      </w:r>
      <w:r>
        <w:rPr>
          <w:rFonts w:ascii="Times New Roman" w:eastAsia="宋体" w:hAnsi="Times New Roman" w:cs="Times New Roman"/>
          <w:color w:val="000000"/>
          <w:kern w:val="0"/>
          <w:sz w:val="20"/>
          <w:szCs w:val="20"/>
          <w:lang w:bidi="ar"/>
        </w:rPr>
        <w:t>will reporting units, assignment of assets and liabilities to goodwill reporting units, assignment of goodwill to reporting units, and determination of the fair value of each goodwill reporting unit. The fair value of each goodwill reporting unit is genera</w:t>
      </w:r>
      <w:r>
        <w:rPr>
          <w:rFonts w:ascii="Times New Roman" w:eastAsia="宋体" w:hAnsi="Times New Roman" w:cs="Times New Roman"/>
          <w:color w:val="000000"/>
          <w:kern w:val="0"/>
          <w:sz w:val="20"/>
          <w:szCs w:val="20"/>
          <w:lang w:bidi="ar"/>
        </w:rPr>
        <w:t>lly estimated using a combination of public company multiples and discounted cash flow methodologies, unless the reporting unit relates to a publicly-traded entity (VMware, Inc. or Secureworks), in which case the fair value is determined based primarily on</w:t>
      </w:r>
      <w:r>
        <w:rPr>
          <w:rFonts w:ascii="Times New Roman" w:eastAsia="宋体" w:hAnsi="Times New Roman" w:cs="Times New Roman"/>
          <w:color w:val="000000"/>
          <w:kern w:val="0"/>
          <w:sz w:val="20"/>
          <w:szCs w:val="20"/>
          <w:lang w:bidi="ar"/>
        </w:rPr>
        <w:t xml:space="preserve"> the public company market valuation. The discounted cash flow and public company multiples methodologies require significant judgment, including estimation of future revenues, gross margins, and operating expenses, which is dependent on internal forecasts</w:t>
      </w:r>
      <w:r>
        <w:rPr>
          <w:rFonts w:ascii="Times New Roman" w:eastAsia="宋体" w:hAnsi="Times New Roman" w:cs="Times New Roman"/>
          <w:color w:val="000000"/>
          <w:kern w:val="0"/>
          <w:sz w:val="20"/>
          <w:szCs w:val="20"/>
          <w:lang w:bidi="ar"/>
        </w:rPr>
        <w:t>, current and anticipated economic conditions and trends, selection of market multiples through assessment of the reporting unit’s performance relative to peer competitors, the estimation of the long-term revenue growth rate and discount rate of the Compan</w:t>
      </w:r>
      <w:r>
        <w:rPr>
          <w:rFonts w:ascii="Times New Roman" w:eastAsia="宋体" w:hAnsi="Times New Roman" w:cs="Times New Roman"/>
          <w:color w:val="000000"/>
          <w:kern w:val="0"/>
          <w:sz w:val="20"/>
          <w:szCs w:val="20"/>
          <w:lang w:bidi="ar"/>
        </w:rPr>
        <w:t>y’s business, and the determination of the Company’s weighted average cost of capital. Changes in these estimates and assumptions could materially affect the fair value of the goodwill reporting unit, potentially resulting in a non-cash impairment charge.</w:t>
      </w:r>
    </w:p>
    <w:p w14:paraId="619DEBA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BA1"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Based on the results of the annual goodwill impairment test performed during the fiscal year ended January 29, 2021, the fair values of each of the goodwill reporting units exceeded their carrying values.</w:t>
      </w:r>
    </w:p>
    <w:p w14:paraId="619DEBA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BA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BA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39</w:t>
      </w:r>
    </w:p>
    <w:p w14:paraId="619DEBA5"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BA6" w14:textId="77777777" w:rsidR="003D72E7" w:rsidRDefault="00AD6774">
      <w:pPr>
        <w:widowControl/>
        <w:jc w:val="center"/>
      </w:pPr>
      <w:r>
        <w:rPr>
          <w:rFonts w:ascii="宋体" w:eastAsia="宋体" w:hAnsi="宋体" w:cs="宋体"/>
          <w:kern w:val="0"/>
          <w:sz w:val="24"/>
        </w:rPr>
        <w:pict w14:anchorId="619E0D92">
          <v:rect id="_x0000_i1063" style="width:6in;height:1.5pt" o:hralign="center" o:hrstd="t" o:hr="t" fillcolor="#a0a0a0" stroked="f"/>
        </w:pict>
      </w:r>
    </w:p>
    <w:p w14:paraId="619DEBA7"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BA8"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BA9"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EBAA"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BA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BA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fair value of the indefinite-lived trade names is generally estimated</w:t>
      </w:r>
      <w:r>
        <w:rPr>
          <w:rFonts w:ascii="Times New Roman" w:eastAsia="宋体" w:hAnsi="Times New Roman" w:cs="Times New Roman"/>
          <w:color w:val="000000"/>
          <w:kern w:val="0"/>
          <w:sz w:val="20"/>
          <w:szCs w:val="20"/>
          <w:lang w:bidi="ar"/>
        </w:rPr>
        <w:t xml:space="preserve"> using discounted cash flow methodologies. The discounted cash flow methodology requires significant judgment, including estimation of future revenue, the estimation of the long-term revenue growth rate of the Company’s business and the determination of th</w:t>
      </w:r>
      <w:r>
        <w:rPr>
          <w:rFonts w:ascii="Times New Roman" w:eastAsia="宋体" w:hAnsi="Times New Roman" w:cs="Times New Roman"/>
          <w:color w:val="000000"/>
          <w:kern w:val="0"/>
          <w:sz w:val="20"/>
          <w:szCs w:val="20"/>
          <w:lang w:bidi="ar"/>
        </w:rPr>
        <w:t>e Company’s weighted average cost of capital and royalty rates. Changes in these estimates and assumptions could materially affect the fair value of the indefinite-lived intangible assets, potentially resulting in a non-cash impairment charge.</w:t>
      </w:r>
    </w:p>
    <w:p w14:paraId="619DEBA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BA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Intangible</w:t>
      </w:r>
      <w:r>
        <w:rPr>
          <w:rFonts w:ascii="Times New Roman" w:eastAsia="宋体" w:hAnsi="Times New Roman" w:cs="Times New Roman"/>
          <w:b/>
          <w:bCs/>
          <w:color w:val="000000"/>
          <w:kern w:val="0"/>
          <w:sz w:val="20"/>
          <w:szCs w:val="20"/>
          <w:lang w:bidi="ar"/>
        </w:rPr>
        <w:t xml:space="preserve"> Assets</w:t>
      </w:r>
    </w:p>
    <w:p w14:paraId="619DEBA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BB0"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Company’s intangible assets as of the dates indicated: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7"/>
        <w:gridCol w:w="2064"/>
        <w:gridCol w:w="37"/>
        <w:gridCol w:w="120"/>
        <w:gridCol w:w="643"/>
        <w:gridCol w:w="36"/>
        <w:gridCol w:w="36"/>
        <w:gridCol w:w="36"/>
        <w:gridCol w:w="36"/>
        <w:gridCol w:w="121"/>
        <w:gridCol w:w="1099"/>
        <w:gridCol w:w="36"/>
        <w:gridCol w:w="36"/>
        <w:gridCol w:w="36"/>
        <w:gridCol w:w="36"/>
        <w:gridCol w:w="120"/>
        <w:gridCol w:w="630"/>
        <w:gridCol w:w="36"/>
        <w:gridCol w:w="36"/>
        <w:gridCol w:w="36"/>
        <w:gridCol w:w="36"/>
        <w:gridCol w:w="120"/>
        <w:gridCol w:w="643"/>
        <w:gridCol w:w="36"/>
        <w:gridCol w:w="36"/>
        <w:gridCol w:w="36"/>
        <w:gridCol w:w="36"/>
        <w:gridCol w:w="121"/>
        <w:gridCol w:w="1095"/>
        <w:gridCol w:w="36"/>
        <w:gridCol w:w="36"/>
        <w:gridCol w:w="36"/>
        <w:gridCol w:w="36"/>
        <w:gridCol w:w="120"/>
        <w:gridCol w:w="600"/>
        <w:gridCol w:w="36"/>
      </w:tblGrid>
      <w:tr w:rsidR="003D72E7" w14:paraId="619DEBD5" w14:textId="77777777">
        <w:tc>
          <w:tcPr>
            <w:tcW w:w="50" w:type="pct"/>
            <w:tcBorders>
              <w:top w:val="nil"/>
              <w:left w:val="nil"/>
              <w:bottom w:val="nil"/>
              <w:right w:val="nil"/>
            </w:tcBorders>
            <w:shd w:val="clear" w:color="auto" w:fill="auto"/>
            <w:vAlign w:val="bottom"/>
          </w:tcPr>
          <w:p w14:paraId="619DEBB1" w14:textId="77777777" w:rsidR="003D72E7" w:rsidRDefault="003D72E7">
            <w:pPr>
              <w:widowControl/>
              <w:jc w:val="left"/>
              <w:rPr>
                <w:rFonts w:ascii="Times New Roman" w:eastAsia="宋体" w:hAnsi="宋体" w:cs="宋体"/>
                <w:kern w:val="0"/>
                <w:sz w:val="24"/>
              </w:rPr>
            </w:pPr>
          </w:p>
        </w:tc>
        <w:tc>
          <w:tcPr>
            <w:tcW w:w="1326" w:type="pct"/>
            <w:tcBorders>
              <w:top w:val="nil"/>
              <w:left w:val="nil"/>
              <w:bottom w:val="nil"/>
              <w:right w:val="nil"/>
            </w:tcBorders>
            <w:shd w:val="clear" w:color="auto" w:fill="auto"/>
            <w:vAlign w:val="bottom"/>
          </w:tcPr>
          <w:p w14:paraId="619DEBB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B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BB4" w14:textId="77777777" w:rsidR="003D72E7" w:rsidRDefault="003D72E7">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619DEBB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B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B7"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BB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B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BBA" w14:textId="77777777" w:rsidR="003D72E7" w:rsidRDefault="003D72E7">
            <w:pPr>
              <w:widowControl/>
              <w:jc w:val="left"/>
              <w:rPr>
                <w:rFonts w:ascii="Times New Roman" w:eastAsia="宋体" w:hAnsi="宋体" w:cs="宋体"/>
                <w:kern w:val="0"/>
                <w:sz w:val="24"/>
              </w:rPr>
            </w:pPr>
          </w:p>
        </w:tc>
        <w:tc>
          <w:tcPr>
            <w:tcW w:w="704" w:type="pct"/>
            <w:tcBorders>
              <w:top w:val="nil"/>
              <w:left w:val="nil"/>
              <w:bottom w:val="nil"/>
              <w:right w:val="nil"/>
            </w:tcBorders>
            <w:shd w:val="clear" w:color="auto" w:fill="auto"/>
            <w:vAlign w:val="bottom"/>
          </w:tcPr>
          <w:p w14:paraId="619DEBB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B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BD"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BB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B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BC0" w14:textId="77777777" w:rsidR="003D72E7" w:rsidRDefault="003D72E7">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619DEBC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C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C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BC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C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BC6" w14:textId="77777777" w:rsidR="003D72E7" w:rsidRDefault="003D72E7">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619DEBC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C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C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BC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C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BCC" w14:textId="77777777" w:rsidR="003D72E7" w:rsidRDefault="003D72E7">
            <w:pPr>
              <w:widowControl/>
              <w:jc w:val="left"/>
              <w:rPr>
                <w:rFonts w:ascii="Times New Roman" w:eastAsia="宋体" w:hAnsi="宋体" w:cs="宋体"/>
                <w:kern w:val="0"/>
                <w:sz w:val="24"/>
              </w:rPr>
            </w:pPr>
          </w:p>
        </w:tc>
        <w:tc>
          <w:tcPr>
            <w:tcW w:w="668" w:type="pct"/>
            <w:tcBorders>
              <w:top w:val="nil"/>
              <w:left w:val="nil"/>
              <w:bottom w:val="nil"/>
              <w:right w:val="nil"/>
            </w:tcBorders>
            <w:shd w:val="clear" w:color="auto" w:fill="auto"/>
            <w:vAlign w:val="bottom"/>
          </w:tcPr>
          <w:p w14:paraId="619DEBC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C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C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BD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D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BD2" w14:textId="77777777" w:rsidR="003D72E7" w:rsidRDefault="003D72E7">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619DEBD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BD4" w14:textId="77777777" w:rsidR="003D72E7" w:rsidRDefault="003D72E7">
            <w:pPr>
              <w:widowControl/>
              <w:jc w:val="left"/>
              <w:rPr>
                <w:rFonts w:ascii="Times New Roman" w:eastAsia="宋体" w:hAnsi="宋体" w:cs="宋体"/>
                <w:kern w:val="0"/>
                <w:sz w:val="24"/>
              </w:rPr>
            </w:pPr>
          </w:p>
        </w:tc>
      </w:tr>
      <w:tr w:rsidR="003D72E7" w14:paraId="619DEBD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BD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19DEBD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BD8" w14:textId="77777777" w:rsidR="003D72E7" w:rsidRDefault="003D72E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19DEBD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EBE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BD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BD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Gross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BD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BD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Accumulated</w:t>
            </w:r>
            <w:r>
              <w:rPr>
                <w:rFonts w:ascii="Times New Roman" w:eastAsia="宋体" w:hAnsi="Times New Roman" w:cs="Times New Roman"/>
                <w:b/>
                <w:bCs/>
                <w:color w:val="000000"/>
                <w:kern w:val="0"/>
                <w:sz w:val="20"/>
                <w:szCs w:val="20"/>
                <w:lang w:bidi="ar"/>
              </w:rPr>
              <w:br/>
              <w:t>Amortization</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BD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BE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Net</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BE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BE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Gross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BE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BE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Accumulated</w:t>
            </w:r>
            <w:r>
              <w:rPr>
                <w:rFonts w:ascii="Times New Roman" w:eastAsia="宋体" w:hAnsi="Times New Roman" w:cs="Times New Roman"/>
                <w:b/>
                <w:bCs/>
                <w:color w:val="000000"/>
                <w:kern w:val="0"/>
                <w:sz w:val="20"/>
                <w:szCs w:val="20"/>
                <w:lang w:bidi="ar"/>
              </w:rPr>
              <w:br/>
              <w:t>Amortization</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BE5"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BE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Net</w:t>
            </w:r>
          </w:p>
        </w:tc>
      </w:tr>
      <w:tr w:rsidR="003D72E7" w14:paraId="619DEBE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19DEBE8"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EBE9"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EC0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BE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Customer relationships</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BE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BE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22,386 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BE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BE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BF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BF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(16,270)</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BF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BF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BF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BF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6,116 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BF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BF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BF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BF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22,394 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BF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BF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BF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BF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(15,448)</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BF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BF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EC0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EC0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6,946 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C02" w14:textId="77777777" w:rsidR="003D72E7" w:rsidRDefault="003D72E7">
            <w:pPr>
              <w:widowControl/>
              <w:jc w:val="right"/>
              <w:rPr>
                <w:rFonts w:ascii="Times New Roman" w:eastAsia="宋体" w:hAnsi="宋体" w:cs="宋体"/>
                <w:kern w:val="0"/>
                <w:sz w:val="24"/>
              </w:rPr>
            </w:pPr>
          </w:p>
        </w:tc>
      </w:tr>
      <w:tr w:rsidR="003D72E7" w14:paraId="619DEC1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EC0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Developed technology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C0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15,479 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C0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0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C0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(12,668)</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C0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0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C0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2,811 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C0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0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C0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15,488 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C0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1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C1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(12,136)</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C1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1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C1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3,352 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C15" w14:textId="77777777" w:rsidR="003D72E7" w:rsidRDefault="003D72E7">
            <w:pPr>
              <w:widowControl/>
              <w:jc w:val="right"/>
              <w:rPr>
                <w:rFonts w:ascii="Times New Roman" w:eastAsia="宋体" w:hAnsi="宋体" w:cs="宋体"/>
                <w:kern w:val="0"/>
                <w:sz w:val="24"/>
              </w:rPr>
            </w:pPr>
          </w:p>
        </w:tc>
      </w:tr>
      <w:tr w:rsidR="003D72E7" w14:paraId="619DEC2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C1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Trade names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C1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1,287 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C1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1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C1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(955)</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C1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1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C1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332 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C1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2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C2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1,285 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C2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2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C2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(909)</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C2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2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C2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C28" w14:textId="77777777" w:rsidR="003D72E7" w:rsidRDefault="003D72E7">
            <w:pPr>
              <w:widowControl/>
              <w:jc w:val="right"/>
              <w:rPr>
                <w:rFonts w:ascii="Times New Roman" w:eastAsia="宋体" w:hAnsi="宋体" w:cs="宋体"/>
                <w:kern w:val="0"/>
                <w:sz w:val="24"/>
              </w:rPr>
            </w:pPr>
          </w:p>
        </w:tc>
      </w:tr>
      <w:tr w:rsidR="003D72E7" w14:paraId="619DEC3C"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EC2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Definite-lived intangible assets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C2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39,152 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C2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2D"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C2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(29,893)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C2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30"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C3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9,259 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C3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33"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C3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39,167 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C3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36"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C3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(28,493)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C3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39"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EC3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10,674 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DEC3B" w14:textId="77777777" w:rsidR="003D72E7" w:rsidRDefault="003D72E7">
            <w:pPr>
              <w:widowControl/>
              <w:jc w:val="right"/>
              <w:rPr>
                <w:rFonts w:ascii="Times New Roman" w:eastAsia="宋体" w:hAnsi="宋体" w:cs="宋体"/>
                <w:kern w:val="0"/>
                <w:sz w:val="24"/>
              </w:rPr>
            </w:pPr>
          </w:p>
        </w:tc>
      </w:tr>
      <w:tr w:rsidR="003D72E7" w14:paraId="619DEC4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C3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Indefinite-lived trade names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C3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3,755 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C3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4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C4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C4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4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C4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3,755 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C4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4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C4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3,755 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C4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4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C4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C4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4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C4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3,755 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C4E" w14:textId="77777777" w:rsidR="003D72E7" w:rsidRDefault="003D72E7">
            <w:pPr>
              <w:widowControl/>
              <w:jc w:val="right"/>
              <w:rPr>
                <w:rFonts w:ascii="Times New Roman" w:eastAsia="宋体" w:hAnsi="宋体" w:cs="宋体"/>
                <w:kern w:val="0"/>
                <w:sz w:val="24"/>
              </w:rPr>
            </w:pPr>
          </w:p>
        </w:tc>
      </w:tr>
      <w:tr w:rsidR="003D72E7" w14:paraId="619DEC68"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center"/>
          </w:tcPr>
          <w:p w14:paraId="619DEC5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intangible assets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EC5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EC5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42,907 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EC5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5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EC5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EC5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(29,893)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EC5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5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EC5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EC5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13,014 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EC5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5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EC5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EC5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42,922 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EC5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6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EC6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EC6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(28,493)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EC6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6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EC6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EC6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14,429 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EC67" w14:textId="77777777" w:rsidR="003D72E7" w:rsidRDefault="003D72E7">
            <w:pPr>
              <w:widowControl/>
              <w:jc w:val="right"/>
              <w:rPr>
                <w:rFonts w:ascii="Times New Roman" w:eastAsia="宋体" w:hAnsi="宋体" w:cs="宋体"/>
                <w:kern w:val="0"/>
                <w:sz w:val="24"/>
              </w:rPr>
            </w:pPr>
          </w:p>
        </w:tc>
      </w:tr>
    </w:tbl>
    <w:p w14:paraId="619DEC6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C6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Amortization expense related to definite-lived intangible assets was approximately $0.7 billion and $0.8 billion for the three months ended July 30, 2021 and July 31, 2020, respectively, and $1.4 billion and $1.7 billion for the six months </w:t>
      </w:r>
      <w:r>
        <w:rPr>
          <w:rFonts w:ascii="Times New Roman" w:eastAsia="宋体" w:hAnsi="Times New Roman" w:cs="Times New Roman"/>
          <w:color w:val="000000"/>
          <w:kern w:val="0"/>
          <w:sz w:val="20"/>
          <w:szCs w:val="20"/>
          <w:lang w:bidi="ar"/>
        </w:rPr>
        <w:t>ended July 30, 2021 and July 31, 2020, respectively. There were no material impairment charges related to intangible assets during the three and six months ended July 30, 2021 or July 31, 2020.</w:t>
      </w:r>
    </w:p>
    <w:p w14:paraId="619DEC6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C6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three months ended May 1, 2020, the Company recog</w:t>
      </w:r>
      <w:r>
        <w:rPr>
          <w:rFonts w:ascii="Times New Roman" w:eastAsia="宋体" w:hAnsi="Times New Roman" w:cs="Times New Roman"/>
          <w:color w:val="000000"/>
          <w:kern w:val="0"/>
          <w:sz w:val="20"/>
          <w:szCs w:val="20"/>
          <w:lang w:bidi="ar"/>
        </w:rPr>
        <w:t>nized proceeds and a gain of $120 million from the sale of certain internally developed intellectual property assets.</w:t>
      </w:r>
    </w:p>
    <w:p w14:paraId="619DEC6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C6E"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estimated future annual pre-tax amortization expense of definite-lived intangible assets as of the </w:t>
      </w:r>
      <w:r>
        <w:rPr>
          <w:rFonts w:ascii="Times New Roman" w:eastAsia="宋体" w:hAnsi="Times New Roman" w:cs="Times New Roman"/>
          <w:color w:val="000000"/>
          <w:kern w:val="0"/>
          <w:sz w:val="20"/>
          <w:szCs w:val="20"/>
          <w:lang w:bidi="ar"/>
        </w:rPr>
        <w:t>date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593"/>
        <w:gridCol w:w="36"/>
        <w:gridCol w:w="121"/>
        <w:gridCol w:w="1498"/>
        <w:gridCol w:w="37"/>
      </w:tblGrid>
      <w:tr w:rsidR="003D72E7" w14:paraId="619DEC75" w14:textId="77777777">
        <w:trPr>
          <w:jc w:val="center"/>
        </w:trPr>
        <w:tc>
          <w:tcPr>
            <w:tcW w:w="50" w:type="pct"/>
            <w:tcBorders>
              <w:top w:val="nil"/>
              <w:left w:val="nil"/>
              <w:bottom w:val="nil"/>
              <w:right w:val="nil"/>
            </w:tcBorders>
            <w:shd w:val="clear" w:color="auto" w:fill="auto"/>
            <w:vAlign w:val="bottom"/>
          </w:tcPr>
          <w:p w14:paraId="619DEC6F" w14:textId="77777777" w:rsidR="003D72E7" w:rsidRDefault="003D72E7">
            <w:pPr>
              <w:widowControl/>
              <w:jc w:val="left"/>
              <w:rPr>
                <w:rFonts w:ascii="Times New Roman" w:eastAsia="宋体" w:hAnsi="宋体" w:cs="宋体"/>
                <w:kern w:val="0"/>
                <w:sz w:val="24"/>
              </w:rPr>
            </w:pPr>
          </w:p>
        </w:tc>
        <w:tc>
          <w:tcPr>
            <w:tcW w:w="3972" w:type="pct"/>
            <w:tcBorders>
              <w:top w:val="nil"/>
              <w:left w:val="nil"/>
              <w:bottom w:val="nil"/>
              <w:right w:val="nil"/>
            </w:tcBorders>
            <w:shd w:val="clear" w:color="auto" w:fill="auto"/>
            <w:vAlign w:val="bottom"/>
          </w:tcPr>
          <w:p w14:paraId="619DEC7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C7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C72" w14:textId="77777777" w:rsidR="003D72E7" w:rsidRDefault="003D72E7">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619DEC7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C74" w14:textId="77777777" w:rsidR="003D72E7" w:rsidRDefault="003D72E7">
            <w:pPr>
              <w:widowControl/>
              <w:jc w:val="left"/>
              <w:rPr>
                <w:rFonts w:ascii="Times New Roman" w:eastAsia="宋体" w:hAnsi="宋体" w:cs="宋体"/>
                <w:kern w:val="0"/>
                <w:sz w:val="24"/>
              </w:rPr>
            </w:pPr>
          </w:p>
        </w:tc>
      </w:tr>
      <w:tr w:rsidR="003D72E7" w14:paraId="619DEC7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C7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C7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3D72E7" w14:paraId="619DEC7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C7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C7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EC8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C7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2022 (remaining six months)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C7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C7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C7F" w14:textId="77777777" w:rsidR="003D72E7" w:rsidRDefault="003D72E7">
            <w:pPr>
              <w:widowControl/>
              <w:jc w:val="right"/>
              <w:rPr>
                <w:rFonts w:ascii="Times New Roman" w:eastAsia="宋体" w:hAnsi="宋体" w:cs="宋体"/>
                <w:kern w:val="0"/>
                <w:sz w:val="24"/>
              </w:rPr>
            </w:pPr>
          </w:p>
        </w:tc>
      </w:tr>
      <w:tr w:rsidR="003D72E7" w14:paraId="619DEC8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C8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C8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C83" w14:textId="77777777" w:rsidR="003D72E7" w:rsidRDefault="003D72E7">
            <w:pPr>
              <w:widowControl/>
              <w:jc w:val="right"/>
              <w:rPr>
                <w:rFonts w:ascii="Times New Roman" w:eastAsia="宋体" w:hAnsi="宋体" w:cs="宋体"/>
                <w:kern w:val="0"/>
                <w:sz w:val="24"/>
              </w:rPr>
            </w:pPr>
          </w:p>
        </w:tc>
      </w:tr>
      <w:tr w:rsidR="003D72E7" w14:paraId="619DEC8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C8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C8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C87" w14:textId="77777777" w:rsidR="003D72E7" w:rsidRDefault="003D72E7">
            <w:pPr>
              <w:widowControl/>
              <w:jc w:val="right"/>
              <w:rPr>
                <w:rFonts w:ascii="Times New Roman" w:eastAsia="宋体" w:hAnsi="宋体" w:cs="宋体"/>
                <w:kern w:val="0"/>
                <w:sz w:val="24"/>
              </w:rPr>
            </w:pPr>
          </w:p>
        </w:tc>
      </w:tr>
      <w:tr w:rsidR="003D72E7" w14:paraId="619DEC8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C8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C8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C8B" w14:textId="77777777" w:rsidR="003D72E7" w:rsidRDefault="003D72E7">
            <w:pPr>
              <w:widowControl/>
              <w:jc w:val="right"/>
              <w:rPr>
                <w:rFonts w:ascii="Times New Roman" w:eastAsia="宋体" w:hAnsi="宋体" w:cs="宋体"/>
                <w:kern w:val="0"/>
                <w:sz w:val="24"/>
              </w:rPr>
            </w:pPr>
          </w:p>
        </w:tc>
      </w:tr>
      <w:tr w:rsidR="003D72E7" w14:paraId="619DEC9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C8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Fiscal 2026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C8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C8F" w14:textId="77777777" w:rsidR="003D72E7" w:rsidRDefault="003D72E7">
            <w:pPr>
              <w:widowControl/>
              <w:jc w:val="right"/>
              <w:rPr>
                <w:rFonts w:ascii="Times New Roman" w:eastAsia="宋体" w:hAnsi="宋体" w:cs="宋体"/>
                <w:kern w:val="0"/>
                <w:sz w:val="24"/>
              </w:rPr>
            </w:pPr>
          </w:p>
        </w:tc>
      </w:tr>
      <w:tr w:rsidR="003D72E7" w14:paraId="619DEC94"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C9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C9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C93" w14:textId="77777777" w:rsidR="003D72E7" w:rsidRDefault="003D72E7">
            <w:pPr>
              <w:widowControl/>
              <w:jc w:val="right"/>
              <w:rPr>
                <w:rFonts w:ascii="Times New Roman" w:eastAsia="宋体" w:hAnsi="宋体" w:cs="宋体"/>
                <w:kern w:val="0"/>
                <w:sz w:val="24"/>
              </w:rPr>
            </w:pPr>
          </w:p>
        </w:tc>
      </w:tr>
      <w:tr w:rsidR="003D72E7" w14:paraId="619DEC99"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EC9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EC9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EC9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9,259 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EC98" w14:textId="77777777" w:rsidR="003D72E7" w:rsidRDefault="003D72E7">
            <w:pPr>
              <w:widowControl/>
              <w:jc w:val="right"/>
              <w:rPr>
                <w:rFonts w:ascii="Times New Roman" w:eastAsia="宋体" w:hAnsi="宋体" w:cs="宋体"/>
                <w:kern w:val="0"/>
                <w:sz w:val="24"/>
              </w:rPr>
            </w:pPr>
          </w:p>
        </w:tc>
      </w:tr>
    </w:tbl>
    <w:p w14:paraId="619DEC9A"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C9B"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w:t>
      </w:r>
    </w:p>
    <w:p w14:paraId="619DEC9C"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C9D" w14:textId="77777777" w:rsidR="003D72E7" w:rsidRDefault="00AD6774">
      <w:pPr>
        <w:widowControl/>
        <w:jc w:val="center"/>
      </w:pPr>
      <w:r>
        <w:rPr>
          <w:rFonts w:ascii="宋体" w:eastAsia="宋体" w:hAnsi="宋体" w:cs="宋体"/>
          <w:kern w:val="0"/>
          <w:sz w:val="24"/>
        </w:rPr>
        <w:pict w14:anchorId="619E0D93">
          <v:rect id="_x0000_i1064" style="width:6in;height:1.5pt" o:hralign="center" o:hrstd="t" o:hr="t" fillcolor="#a0a0a0" stroked="f"/>
        </w:pict>
      </w:r>
    </w:p>
    <w:p w14:paraId="619DEC9E"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C9F"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CA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ECA1"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CA2"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CA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8 — DEFERRED REVENUE </w:t>
      </w:r>
    </w:p>
    <w:p w14:paraId="619DECA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CA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Deferred Revenue</w:t>
      </w:r>
      <w:r>
        <w:rPr>
          <w:rFonts w:ascii="Times New Roman" w:eastAsia="宋体" w:hAnsi="Times New Roman" w:cs="Times New Roman"/>
          <w:b/>
          <w:bCs/>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 Deferred revenue is </w:t>
      </w:r>
      <w:r>
        <w:rPr>
          <w:rFonts w:ascii="Times New Roman" w:eastAsia="宋体" w:hAnsi="Times New Roman" w:cs="Times New Roman"/>
          <w:color w:val="000000"/>
          <w:kern w:val="0"/>
          <w:sz w:val="20"/>
          <w:szCs w:val="20"/>
          <w:lang w:bidi="ar"/>
        </w:rPr>
        <w:t>recorded for support and deployment services, software maintenance, professional services, training, and software-as-a-service when the Company has a right to invoice or payments have been received for undelivered products or services where transfer of con</w:t>
      </w:r>
      <w:r>
        <w:rPr>
          <w:rFonts w:ascii="Times New Roman" w:eastAsia="宋体" w:hAnsi="Times New Roman" w:cs="Times New Roman"/>
          <w:color w:val="000000"/>
          <w:kern w:val="0"/>
          <w:sz w:val="20"/>
          <w:szCs w:val="20"/>
          <w:lang w:bidi="ar"/>
        </w:rPr>
        <w:t>trol has not occurred. Revenue is recognized on these items when the revenue recognition criteria are met, generally resulting in ratable recognition over the contract term. The Company also has deferred revenue related to undelivered hardware and professi</w:t>
      </w:r>
      <w:r>
        <w:rPr>
          <w:rFonts w:ascii="Times New Roman" w:eastAsia="宋体" w:hAnsi="Times New Roman" w:cs="Times New Roman"/>
          <w:color w:val="000000"/>
          <w:kern w:val="0"/>
          <w:sz w:val="20"/>
          <w:szCs w:val="20"/>
          <w:lang w:bidi="ar"/>
        </w:rPr>
        <w:t>onal services, consisting of installations and consulting engagements, which are recognized as the Company’s performance obligations under the contract are completed.</w:t>
      </w:r>
    </w:p>
    <w:p w14:paraId="619DECA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CA7"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changes in the Company’s deferred revenue for the </w:t>
      </w:r>
      <w:r>
        <w:rPr>
          <w:rFonts w:ascii="Times New Roman" w:eastAsia="宋体" w:hAnsi="Times New Roman" w:cs="Times New Roman"/>
          <w:color w:val="000000"/>
          <w:kern w:val="0"/>
          <w:sz w:val="20"/>
          <w:szCs w:val="20"/>
          <w:lang w:bidi="ar"/>
        </w:rPr>
        <w:t>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2531"/>
        <w:gridCol w:w="38"/>
        <w:gridCol w:w="120"/>
        <w:gridCol w:w="1195"/>
        <w:gridCol w:w="36"/>
        <w:gridCol w:w="36"/>
        <w:gridCol w:w="36"/>
        <w:gridCol w:w="36"/>
        <w:gridCol w:w="120"/>
        <w:gridCol w:w="1195"/>
        <w:gridCol w:w="36"/>
        <w:gridCol w:w="36"/>
        <w:gridCol w:w="36"/>
        <w:gridCol w:w="36"/>
        <w:gridCol w:w="120"/>
        <w:gridCol w:w="1195"/>
        <w:gridCol w:w="36"/>
        <w:gridCol w:w="36"/>
        <w:gridCol w:w="36"/>
        <w:gridCol w:w="36"/>
        <w:gridCol w:w="120"/>
        <w:gridCol w:w="1195"/>
        <w:gridCol w:w="36"/>
      </w:tblGrid>
      <w:tr w:rsidR="003D72E7" w14:paraId="619DECC0" w14:textId="77777777">
        <w:tc>
          <w:tcPr>
            <w:tcW w:w="50" w:type="pct"/>
            <w:tcBorders>
              <w:top w:val="nil"/>
              <w:left w:val="nil"/>
              <w:bottom w:val="nil"/>
              <w:right w:val="nil"/>
            </w:tcBorders>
            <w:shd w:val="clear" w:color="auto" w:fill="auto"/>
            <w:vAlign w:val="bottom"/>
          </w:tcPr>
          <w:p w14:paraId="619DECA8" w14:textId="77777777" w:rsidR="003D72E7" w:rsidRDefault="003D72E7">
            <w:pPr>
              <w:widowControl/>
              <w:jc w:val="left"/>
              <w:rPr>
                <w:rFonts w:ascii="Times New Roman" w:eastAsia="宋体" w:hAnsi="宋体" w:cs="宋体"/>
                <w:kern w:val="0"/>
                <w:sz w:val="24"/>
              </w:rPr>
            </w:pPr>
          </w:p>
        </w:tc>
        <w:tc>
          <w:tcPr>
            <w:tcW w:w="1582" w:type="pct"/>
            <w:tcBorders>
              <w:top w:val="nil"/>
              <w:left w:val="nil"/>
              <w:bottom w:val="nil"/>
              <w:right w:val="nil"/>
            </w:tcBorders>
            <w:shd w:val="clear" w:color="auto" w:fill="auto"/>
            <w:vAlign w:val="bottom"/>
          </w:tcPr>
          <w:p w14:paraId="619DECA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CAA"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CAB" w14:textId="77777777" w:rsidR="003D72E7" w:rsidRDefault="003D72E7">
            <w:pPr>
              <w:widowControl/>
              <w:jc w:val="left"/>
              <w:rPr>
                <w:rFonts w:ascii="Times New Roman" w:eastAsia="宋体" w:hAnsi="宋体" w:cs="宋体"/>
                <w:kern w:val="0"/>
                <w:sz w:val="24"/>
              </w:rPr>
            </w:pPr>
          </w:p>
        </w:tc>
        <w:tc>
          <w:tcPr>
            <w:tcW w:w="762" w:type="pct"/>
            <w:tcBorders>
              <w:top w:val="nil"/>
              <w:left w:val="nil"/>
              <w:bottom w:val="nil"/>
              <w:right w:val="nil"/>
            </w:tcBorders>
            <w:shd w:val="clear" w:color="auto" w:fill="auto"/>
            <w:vAlign w:val="bottom"/>
          </w:tcPr>
          <w:p w14:paraId="619DECA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CA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CAE"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CA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CB0"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CB1" w14:textId="77777777" w:rsidR="003D72E7" w:rsidRDefault="003D72E7">
            <w:pPr>
              <w:widowControl/>
              <w:jc w:val="left"/>
              <w:rPr>
                <w:rFonts w:ascii="Times New Roman" w:eastAsia="宋体" w:hAnsi="宋体" w:cs="宋体"/>
                <w:kern w:val="0"/>
                <w:sz w:val="24"/>
              </w:rPr>
            </w:pPr>
          </w:p>
        </w:tc>
        <w:tc>
          <w:tcPr>
            <w:tcW w:w="762" w:type="pct"/>
            <w:tcBorders>
              <w:top w:val="nil"/>
              <w:left w:val="nil"/>
              <w:bottom w:val="nil"/>
              <w:right w:val="nil"/>
            </w:tcBorders>
            <w:shd w:val="clear" w:color="auto" w:fill="auto"/>
            <w:vAlign w:val="bottom"/>
          </w:tcPr>
          <w:p w14:paraId="619DECB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CB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CB4"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CB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CB6"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CB7" w14:textId="77777777" w:rsidR="003D72E7" w:rsidRDefault="003D72E7">
            <w:pPr>
              <w:widowControl/>
              <w:jc w:val="left"/>
              <w:rPr>
                <w:rFonts w:ascii="Times New Roman" w:eastAsia="宋体" w:hAnsi="宋体" w:cs="宋体"/>
                <w:kern w:val="0"/>
                <w:sz w:val="24"/>
              </w:rPr>
            </w:pPr>
          </w:p>
        </w:tc>
        <w:tc>
          <w:tcPr>
            <w:tcW w:w="762" w:type="pct"/>
            <w:tcBorders>
              <w:top w:val="nil"/>
              <w:left w:val="nil"/>
              <w:bottom w:val="nil"/>
              <w:right w:val="nil"/>
            </w:tcBorders>
            <w:shd w:val="clear" w:color="auto" w:fill="auto"/>
            <w:vAlign w:val="bottom"/>
          </w:tcPr>
          <w:p w14:paraId="619DECB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CB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CBA"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CB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CBC"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CBD" w14:textId="77777777" w:rsidR="003D72E7" w:rsidRDefault="003D72E7">
            <w:pPr>
              <w:widowControl/>
              <w:jc w:val="left"/>
              <w:rPr>
                <w:rFonts w:ascii="Times New Roman" w:eastAsia="宋体" w:hAnsi="宋体" w:cs="宋体"/>
                <w:kern w:val="0"/>
                <w:sz w:val="24"/>
              </w:rPr>
            </w:pPr>
          </w:p>
        </w:tc>
        <w:tc>
          <w:tcPr>
            <w:tcW w:w="762" w:type="pct"/>
            <w:tcBorders>
              <w:top w:val="nil"/>
              <w:left w:val="nil"/>
              <w:bottom w:val="nil"/>
              <w:right w:val="nil"/>
            </w:tcBorders>
            <w:shd w:val="clear" w:color="auto" w:fill="auto"/>
            <w:vAlign w:val="bottom"/>
          </w:tcPr>
          <w:p w14:paraId="619DECB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CBF" w14:textId="77777777" w:rsidR="003D72E7" w:rsidRDefault="003D72E7">
            <w:pPr>
              <w:widowControl/>
              <w:jc w:val="left"/>
              <w:rPr>
                <w:rFonts w:ascii="Times New Roman" w:eastAsia="宋体" w:hAnsi="宋体" w:cs="宋体"/>
                <w:kern w:val="0"/>
                <w:sz w:val="24"/>
              </w:rPr>
            </w:pPr>
          </w:p>
        </w:tc>
      </w:tr>
      <w:tr w:rsidR="003D72E7" w14:paraId="619DECC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CC1"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ECC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CC3"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ECC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ECC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CC6"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CC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CC8"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CC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CCA"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CC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CC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CC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ECD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CCF" w14:textId="77777777" w:rsidR="003D72E7" w:rsidRDefault="003D72E7">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CD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w:t>
            </w:r>
            <w:r>
              <w:rPr>
                <w:rFonts w:ascii="Times New Roman" w:eastAsia="宋体" w:hAnsi="Times New Roman" w:cs="Times New Roman"/>
                <w:color w:val="000000"/>
                <w:kern w:val="0"/>
                <w:sz w:val="20"/>
                <w:szCs w:val="20"/>
                <w:lang w:bidi="ar"/>
              </w:rPr>
              <w:t>ons)</w:t>
            </w:r>
          </w:p>
        </w:tc>
      </w:tr>
      <w:tr w:rsidR="003D72E7" w14:paraId="619DECD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CD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Deferred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D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D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D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D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D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D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D9" w14:textId="77777777" w:rsidR="003D72E7" w:rsidRDefault="003D72E7">
            <w:pPr>
              <w:widowControl/>
              <w:jc w:val="left"/>
              <w:rPr>
                <w:rFonts w:ascii="Times New Roman" w:eastAsia="宋体" w:hAnsi="宋体" w:cs="宋体"/>
                <w:kern w:val="0"/>
                <w:sz w:val="24"/>
              </w:rPr>
            </w:pPr>
          </w:p>
        </w:tc>
      </w:tr>
      <w:tr w:rsidR="003D72E7" w14:paraId="619DECE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CD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Deferred revenue at beginning of period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CD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CD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31,376 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CD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D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CE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CE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27,617 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CE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E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CE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CE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30,801 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CE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E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CE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CE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27,800 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CEA" w14:textId="77777777" w:rsidR="003D72E7" w:rsidRDefault="003D72E7">
            <w:pPr>
              <w:widowControl/>
              <w:jc w:val="right"/>
              <w:rPr>
                <w:rFonts w:ascii="Times New Roman" w:eastAsia="宋体" w:hAnsi="宋体" w:cs="宋体"/>
                <w:kern w:val="0"/>
                <w:sz w:val="24"/>
              </w:rPr>
            </w:pPr>
          </w:p>
        </w:tc>
      </w:tr>
      <w:tr w:rsidR="003D72E7" w14:paraId="619DECF8"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ECE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Revenue deferrals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CE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CE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E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CF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CF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F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CF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13,154 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CF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CF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CF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CF7" w14:textId="77777777" w:rsidR="003D72E7" w:rsidRDefault="003D72E7">
            <w:pPr>
              <w:widowControl/>
              <w:jc w:val="right"/>
              <w:rPr>
                <w:rFonts w:ascii="Times New Roman" w:eastAsia="宋体" w:hAnsi="宋体" w:cs="宋体"/>
                <w:kern w:val="0"/>
                <w:sz w:val="24"/>
              </w:rPr>
            </w:pPr>
          </w:p>
        </w:tc>
      </w:tr>
      <w:tr w:rsidR="003D72E7" w14:paraId="619DED05"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DECF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Revenue recognized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CF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CF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F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CF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CF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CF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D0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(11,957)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D0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D0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D0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(10,843)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D04" w14:textId="77777777" w:rsidR="003D72E7" w:rsidRDefault="003D72E7">
            <w:pPr>
              <w:widowControl/>
              <w:jc w:val="right"/>
              <w:rPr>
                <w:rFonts w:ascii="Times New Roman" w:eastAsia="宋体" w:hAnsi="宋体" w:cs="宋体"/>
                <w:kern w:val="0"/>
                <w:sz w:val="24"/>
              </w:rPr>
            </w:pPr>
          </w:p>
        </w:tc>
      </w:tr>
      <w:tr w:rsidR="003D72E7" w14:paraId="619DED12"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ED0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D0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D0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D0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D0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D0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D0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D0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D0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D0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D1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D11" w14:textId="77777777" w:rsidR="003D72E7" w:rsidRDefault="003D72E7">
            <w:pPr>
              <w:widowControl/>
              <w:jc w:val="right"/>
              <w:rPr>
                <w:rFonts w:ascii="Times New Roman" w:eastAsia="宋体" w:hAnsi="宋体" w:cs="宋体"/>
                <w:kern w:val="0"/>
                <w:sz w:val="24"/>
              </w:rPr>
            </w:pPr>
          </w:p>
        </w:tc>
      </w:tr>
      <w:tr w:rsidR="003D72E7" w14:paraId="619DED2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D1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Deferred revenue at end of period</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D1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DED1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31,843 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ED1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D1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D1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DED1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28,791 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ED1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D1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D1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DED1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31,843 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ED1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D1F"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D2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DED2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28,791 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ED22" w14:textId="77777777" w:rsidR="003D72E7" w:rsidRDefault="003D72E7">
            <w:pPr>
              <w:widowControl/>
              <w:jc w:val="right"/>
              <w:rPr>
                <w:rFonts w:ascii="Times New Roman" w:eastAsia="宋体" w:hAnsi="宋体" w:cs="宋体"/>
                <w:kern w:val="0"/>
                <w:sz w:val="24"/>
              </w:rPr>
            </w:pPr>
          </w:p>
        </w:tc>
      </w:tr>
      <w:tr w:rsidR="003D72E7" w14:paraId="619DED34"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ED2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Short-term deferred revenue</w:t>
            </w: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619DED2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619DED2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17,003 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619DED2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D28" w14:textId="77777777" w:rsidR="003D72E7" w:rsidRDefault="003D72E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619DED2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619DED2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15,341 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619DED2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D2C" w14:textId="77777777" w:rsidR="003D72E7" w:rsidRDefault="003D72E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619DED2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619DED2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17,003 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619DED2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D30" w14:textId="77777777" w:rsidR="003D72E7" w:rsidRDefault="003D72E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619DED3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CCEEFF"/>
            <w:tcMar>
              <w:top w:w="40" w:type="dxa"/>
              <w:left w:w="0" w:type="dxa"/>
              <w:bottom w:w="40" w:type="dxa"/>
              <w:right w:w="0" w:type="dxa"/>
            </w:tcMar>
            <w:vAlign w:val="bottom"/>
          </w:tcPr>
          <w:p w14:paraId="619DED3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15,341 </w:t>
            </w:r>
          </w:p>
        </w:tc>
        <w:tc>
          <w:tcPr>
            <w:tcW w:w="0" w:type="auto"/>
            <w:tcBorders>
              <w:top w:val="double" w:sz="2" w:space="0" w:color="000000"/>
              <w:left w:val="nil"/>
              <w:bottom w:val="nil"/>
              <w:right w:val="nil"/>
            </w:tcBorders>
            <w:shd w:val="clear" w:color="auto" w:fill="CCEEFF"/>
            <w:tcMar>
              <w:top w:w="40" w:type="dxa"/>
              <w:left w:w="0" w:type="dxa"/>
              <w:bottom w:w="40" w:type="dxa"/>
              <w:right w:w="20" w:type="dxa"/>
            </w:tcMar>
            <w:vAlign w:val="bottom"/>
          </w:tcPr>
          <w:p w14:paraId="619DED33" w14:textId="77777777" w:rsidR="003D72E7" w:rsidRDefault="003D72E7">
            <w:pPr>
              <w:widowControl/>
              <w:jc w:val="right"/>
              <w:rPr>
                <w:rFonts w:ascii="Times New Roman" w:eastAsia="宋体" w:hAnsi="宋体" w:cs="宋体"/>
                <w:kern w:val="0"/>
                <w:sz w:val="24"/>
              </w:rPr>
            </w:pPr>
          </w:p>
        </w:tc>
      </w:tr>
      <w:tr w:rsidR="003D72E7" w14:paraId="619DED45"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ED3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Long-term deferred revenue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D3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D3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14,84</w:t>
            </w:r>
            <w:r>
              <w:rPr>
                <w:rFonts w:ascii="Times New Roman" w:eastAsia="宋体" w:hAnsi="Times New Roman" w:cs="Times New Roman"/>
                <w:color w:val="000000"/>
                <w:kern w:val="0"/>
                <w:sz w:val="20"/>
                <w:szCs w:val="20"/>
                <w:lang w:bidi="ar"/>
              </w:rPr>
              <w:t>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D3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D3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D3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D3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13,450 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D3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D3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D3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D3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14,840 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D4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D4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ED4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ED4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13,450 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D44" w14:textId="77777777" w:rsidR="003D72E7" w:rsidRDefault="003D72E7">
            <w:pPr>
              <w:widowControl/>
              <w:jc w:val="right"/>
              <w:rPr>
                <w:rFonts w:ascii="Times New Roman" w:eastAsia="宋体" w:hAnsi="宋体" w:cs="宋体"/>
                <w:kern w:val="0"/>
                <w:sz w:val="24"/>
              </w:rPr>
            </w:pPr>
          </w:p>
        </w:tc>
      </w:tr>
    </w:tbl>
    <w:p w14:paraId="619DED4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619DED47" w14:textId="77777777" w:rsidR="003D72E7" w:rsidRDefault="00AD6774">
      <w:pPr>
        <w:widowControl/>
        <w:ind w:left="270" w:hanging="27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 For the three and six months ended July 30, 2021, Other represents the reclassification of Boomi deferred revenue to </w:t>
      </w:r>
      <w:r>
        <w:rPr>
          <w:rFonts w:ascii="Times New Roman" w:eastAsia="宋体" w:hAnsi="Times New Roman" w:cs="Times New Roman"/>
          <w:color w:val="000000"/>
          <w:kern w:val="0"/>
          <w:sz w:val="20"/>
          <w:szCs w:val="20"/>
          <w:lang w:bidi="ar"/>
        </w:rPr>
        <w:t>liabilities held for sale. For the six months ended July 31, 2020, Other represents the reclassification of RSA Security deferred revenue to liabilities held for sale. See Note 1 of the Notes to the Condensed Consolidated Financial Statements for more info</w:t>
      </w:r>
      <w:r>
        <w:rPr>
          <w:rFonts w:ascii="Times New Roman" w:eastAsia="宋体" w:hAnsi="Times New Roman" w:cs="Times New Roman"/>
          <w:color w:val="000000"/>
          <w:kern w:val="0"/>
          <w:sz w:val="20"/>
          <w:szCs w:val="20"/>
          <w:lang w:bidi="ar"/>
        </w:rPr>
        <w:t>rmation about the divestitures of Boomi and of RSA Security.</w:t>
      </w:r>
    </w:p>
    <w:p w14:paraId="619DED4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4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Remaining Performance Obligations </w:t>
      </w:r>
      <w:r>
        <w:rPr>
          <w:rFonts w:ascii="Times New Roman" w:eastAsia="宋体" w:hAnsi="Times New Roman" w:cs="Times New Roman"/>
          <w:color w:val="000000"/>
          <w:kern w:val="0"/>
          <w:sz w:val="20"/>
          <w:szCs w:val="20"/>
          <w:lang w:bidi="ar"/>
        </w:rPr>
        <w:t>— Remaining performance obligations represent the aggregate amount of the transaction price allocated to performance obligations not delivered, or partially un</w:t>
      </w:r>
      <w:r>
        <w:rPr>
          <w:rFonts w:ascii="Times New Roman" w:eastAsia="宋体" w:hAnsi="Times New Roman" w:cs="Times New Roman"/>
          <w:color w:val="000000"/>
          <w:kern w:val="0"/>
          <w:sz w:val="20"/>
          <w:szCs w:val="20"/>
          <w:lang w:bidi="ar"/>
        </w:rPr>
        <w:t>delivered, as of the end of the reporting period. Remaining performance obligations include deferred revenue plus unbilled amounts not yet recorded in deferred revenue. The value of the transaction price allocated to remaining performance obligations as of</w:t>
      </w:r>
      <w:r>
        <w:rPr>
          <w:rFonts w:ascii="Times New Roman" w:eastAsia="宋体" w:hAnsi="Times New Roman" w:cs="Times New Roman"/>
          <w:color w:val="000000"/>
          <w:kern w:val="0"/>
          <w:sz w:val="20"/>
          <w:szCs w:val="20"/>
          <w:lang w:bidi="ar"/>
        </w:rPr>
        <w:t xml:space="preserve"> July 30, 2021 was approximately $46 billion. The Company expects to recognize approximately 61% of remaining performance obligations as revenue in the next twelve months, and the remainder thereafter.</w:t>
      </w:r>
    </w:p>
    <w:p w14:paraId="619DED4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4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aggregate amount of the transaction price alloca</w:t>
      </w:r>
      <w:r>
        <w:rPr>
          <w:rFonts w:ascii="Times New Roman" w:eastAsia="宋体" w:hAnsi="Times New Roman" w:cs="Times New Roman"/>
          <w:color w:val="000000"/>
          <w:kern w:val="0"/>
          <w:sz w:val="20"/>
          <w:szCs w:val="20"/>
          <w:lang w:bidi="ar"/>
        </w:rPr>
        <w:t xml:space="preserve">ted to remaining performance obligations does not include amounts owed under cancellable contracts where there is no substantive termination penalty. The Company applied the practical expedient to exclude the value of remaining performance obligations for </w:t>
      </w:r>
      <w:r>
        <w:rPr>
          <w:rFonts w:ascii="Times New Roman" w:eastAsia="宋体" w:hAnsi="Times New Roman" w:cs="Times New Roman"/>
          <w:color w:val="000000"/>
          <w:kern w:val="0"/>
          <w:sz w:val="20"/>
          <w:szCs w:val="20"/>
          <w:lang w:bidi="ar"/>
        </w:rPr>
        <w:t xml:space="preserve">contracts for which revenue is recognized in the amount to which the Company has the right to invoice for services performed. </w:t>
      </w:r>
    </w:p>
    <w:p w14:paraId="619DED4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4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Remaining performance obligation estimates are subject to change and are affected by several factors, including terminations, c</w:t>
      </w:r>
      <w:r>
        <w:rPr>
          <w:rFonts w:ascii="Times New Roman" w:eastAsia="宋体" w:hAnsi="Times New Roman" w:cs="Times New Roman"/>
          <w:color w:val="000000"/>
          <w:kern w:val="0"/>
          <w:sz w:val="20"/>
          <w:szCs w:val="20"/>
          <w:lang w:bidi="ar"/>
        </w:rPr>
        <w:t>hanges in the scope of contracts, periodic revalidation, adjustments for revenue that have not materialized, and adjustments for currency.</w:t>
      </w:r>
    </w:p>
    <w:p w14:paraId="619DED4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4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D5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41</w:t>
      </w:r>
    </w:p>
    <w:p w14:paraId="619DED51"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D52" w14:textId="77777777" w:rsidR="003D72E7" w:rsidRDefault="00AD6774">
      <w:pPr>
        <w:widowControl/>
        <w:jc w:val="center"/>
      </w:pPr>
      <w:r>
        <w:rPr>
          <w:rFonts w:ascii="宋体" w:eastAsia="宋体" w:hAnsi="宋体" w:cs="宋体"/>
          <w:kern w:val="0"/>
          <w:sz w:val="24"/>
        </w:rPr>
        <w:pict w14:anchorId="619E0D94">
          <v:rect id="_x0000_i1065" style="width:6in;height:1.5pt" o:hralign="center" o:hrstd="t" o:hr="t" fillcolor="#a0a0a0" stroked="f"/>
        </w:pict>
      </w:r>
    </w:p>
    <w:p w14:paraId="619DED53"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D5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D55"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ED56"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D57"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D5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9 — COMMITMENTS AND CONTINGENCIES </w:t>
      </w:r>
    </w:p>
    <w:p w14:paraId="619DED5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5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Purchase Obligations</w:t>
      </w:r>
    </w:p>
    <w:p w14:paraId="619DED5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5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has contractual obligations to purchase goods or services, which specify significant terms, incl</w:t>
      </w:r>
      <w:r>
        <w:rPr>
          <w:rFonts w:ascii="Times New Roman" w:eastAsia="宋体" w:hAnsi="Times New Roman" w:cs="Times New Roman"/>
          <w:color w:val="000000"/>
          <w:kern w:val="0"/>
          <w:sz w:val="20"/>
          <w:szCs w:val="20"/>
          <w:lang w:bidi="ar"/>
        </w:rPr>
        <w:t>uding fixed or minimum quantities to be purchased; fixed, minimum, or variable price provisions; and the approximate timing of the transaction. As of July 30, 2021, purchase obligations were $5.2 billion, $0.6 billion, and $0.9 billion for the remaining si</w:t>
      </w:r>
      <w:r>
        <w:rPr>
          <w:rFonts w:ascii="Times New Roman" w:eastAsia="宋体" w:hAnsi="Times New Roman" w:cs="Times New Roman"/>
          <w:color w:val="000000"/>
          <w:kern w:val="0"/>
          <w:sz w:val="20"/>
          <w:szCs w:val="20"/>
          <w:lang w:bidi="ar"/>
        </w:rPr>
        <w:t>x month of Fiscal 2022, Fiscal 2023, and Fiscal 2024 and thereafter, respectively.</w:t>
      </w:r>
    </w:p>
    <w:p w14:paraId="619DED5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5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Legal Matters</w:t>
      </w:r>
    </w:p>
    <w:p w14:paraId="619DED5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6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is involved in various claims, suits, assessments, investigations, and legal proceedings that arise from time to time in the ordinary course of its business, including those identified below, consisting of matters involving consumer, antitrust,</w:t>
      </w:r>
      <w:r>
        <w:rPr>
          <w:rFonts w:ascii="Times New Roman" w:eastAsia="宋体" w:hAnsi="Times New Roman" w:cs="Times New Roman"/>
          <w:color w:val="000000"/>
          <w:kern w:val="0"/>
          <w:sz w:val="20"/>
          <w:szCs w:val="20"/>
          <w:lang w:bidi="ar"/>
        </w:rPr>
        <w:t xml:space="preserve"> tax, intellectual property, and other issues on a global basis. </w:t>
      </w:r>
    </w:p>
    <w:p w14:paraId="619DED6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6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accrues a liability when it believes that it is both probable that a liability has been incurred and that it can reasonably estimate the amount of the loss. The Company reviews</w:t>
      </w:r>
      <w:r>
        <w:rPr>
          <w:rFonts w:ascii="Times New Roman" w:eastAsia="宋体" w:hAnsi="Times New Roman" w:cs="Times New Roman"/>
          <w:color w:val="000000"/>
          <w:kern w:val="0"/>
          <w:sz w:val="20"/>
          <w:szCs w:val="20"/>
          <w:lang w:bidi="ar"/>
        </w:rPr>
        <w:t xml:space="preserve"> these accruals at least quarterly and adjusts them to reflect ongoing negotiations, settlements, rulings, advice of legal counsel, and other relevant information. As additional information is obtained and the Company’s views on the probable outcomes of cl</w:t>
      </w:r>
      <w:r>
        <w:rPr>
          <w:rFonts w:ascii="Times New Roman" w:eastAsia="宋体" w:hAnsi="Times New Roman" w:cs="Times New Roman"/>
          <w:color w:val="000000"/>
          <w:kern w:val="0"/>
          <w:sz w:val="20"/>
          <w:szCs w:val="20"/>
          <w:lang w:bidi="ar"/>
        </w:rPr>
        <w:t>aims, suits, assessments, investigations, or legal proceedings change, the Company would record related impacts to accrued liabilities in the period in which a determination is made. For some matters, the incurrence of a liability is not probable or the am</w:t>
      </w:r>
      <w:r>
        <w:rPr>
          <w:rFonts w:ascii="Times New Roman" w:eastAsia="宋体" w:hAnsi="Times New Roman" w:cs="Times New Roman"/>
          <w:color w:val="000000"/>
          <w:kern w:val="0"/>
          <w:sz w:val="20"/>
          <w:szCs w:val="20"/>
          <w:lang w:bidi="ar"/>
        </w:rPr>
        <w:t xml:space="preserve">ount cannot be reasonably estimated and therefore accruals have not been made. </w:t>
      </w:r>
    </w:p>
    <w:p w14:paraId="619DED6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6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is a discussion of the Company’s significant legal matters and other proceedings:</w:t>
      </w:r>
    </w:p>
    <w:p w14:paraId="619DED6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6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Class Actions Related to the Class V Transaction</w:t>
      </w:r>
      <w:r>
        <w:rPr>
          <w:rFonts w:ascii="Times New Roman" w:eastAsia="宋体" w:hAnsi="Times New Roman" w:cs="Times New Roman"/>
          <w:color w:val="000000"/>
          <w:kern w:val="0"/>
          <w:sz w:val="20"/>
          <w:szCs w:val="20"/>
          <w:lang w:bidi="ar"/>
        </w:rPr>
        <w:t xml:space="preserve"> — Four purported stockholders brought putative class action complaints arising out of the Class V transaction described in Note 1 of the Notes to the Condensed Consolidated Financial Statements. The actions were captioned Hallandale Beach Police and Fire </w:t>
      </w:r>
      <w:r>
        <w:rPr>
          <w:rFonts w:ascii="Times New Roman" w:eastAsia="宋体" w:hAnsi="Times New Roman" w:cs="Times New Roman"/>
          <w:color w:val="000000"/>
          <w:kern w:val="0"/>
          <w:sz w:val="20"/>
          <w:szCs w:val="20"/>
          <w:lang w:bidi="ar"/>
        </w:rPr>
        <w:t>Retirement Plan v. Michael Dell et al. (Civil Action No. 2018-0816-JTL), Howard Karp v. Michael Dell et al. (Civil Action No. 2019-0032-JTL), Miramar Police Officers’ Retirement Plan v. Michael Dell et al. (Civil Action No. 2019-0049-JTL), and Steamfitters</w:t>
      </w:r>
      <w:r>
        <w:rPr>
          <w:rFonts w:ascii="Times New Roman" w:eastAsia="宋体" w:hAnsi="Times New Roman" w:cs="Times New Roman"/>
          <w:color w:val="000000"/>
          <w:kern w:val="0"/>
          <w:sz w:val="20"/>
          <w:szCs w:val="20"/>
          <w:lang w:bidi="ar"/>
        </w:rPr>
        <w:t xml:space="preserve"> Local 449 Pension Plan v. Michael Dell et al. (Civil Action No. 2019-0115-JTL). The four actions were consolidated in the Delaware Chancery Court into In Re Dell Class V Litigation (Consol. C.A. No. 2018-0816-JTL), which names as defendants the Company’s </w:t>
      </w:r>
      <w:r>
        <w:rPr>
          <w:rFonts w:ascii="Times New Roman" w:eastAsia="宋体" w:hAnsi="Times New Roman" w:cs="Times New Roman"/>
          <w:color w:val="000000"/>
          <w:kern w:val="0"/>
          <w:sz w:val="20"/>
          <w:szCs w:val="20"/>
          <w:lang w:bidi="ar"/>
        </w:rPr>
        <w:t>board of directors, Goldman Sachs &amp; Co. LLC, and certain stockholders of the Company, including Michael S. Dell. The plaintiffs generally allege that the defendants breached their fiduciary duties to the former holders of Class V Common Stock in connection</w:t>
      </w:r>
      <w:r>
        <w:rPr>
          <w:rFonts w:ascii="Times New Roman" w:eastAsia="宋体" w:hAnsi="Times New Roman" w:cs="Times New Roman"/>
          <w:color w:val="000000"/>
          <w:kern w:val="0"/>
          <w:sz w:val="20"/>
          <w:szCs w:val="20"/>
          <w:lang w:bidi="ar"/>
        </w:rPr>
        <w:t xml:space="preserve"> with the Class V transaction by allegedly causing the Company to enter into a transaction that favored the interests of the controlling stockholders at the expense of such former stockholders. The plaintiffs seek, among other remedies, a judicial declarat</w:t>
      </w:r>
      <w:r>
        <w:rPr>
          <w:rFonts w:ascii="Times New Roman" w:eastAsia="宋体" w:hAnsi="Times New Roman" w:cs="Times New Roman"/>
          <w:color w:val="000000"/>
          <w:kern w:val="0"/>
          <w:sz w:val="20"/>
          <w:szCs w:val="20"/>
          <w:lang w:bidi="ar"/>
        </w:rPr>
        <w:t>ion that the defendants breached their fiduciary duties and an award of damages, fees, and costs. The plaintiffs filed an amended complaint in August 2019 making substantially similar allegations to those described above. The defendants filed a motion to d</w:t>
      </w:r>
      <w:r>
        <w:rPr>
          <w:rFonts w:ascii="Times New Roman" w:eastAsia="宋体" w:hAnsi="Times New Roman" w:cs="Times New Roman"/>
          <w:color w:val="000000"/>
          <w:kern w:val="0"/>
          <w:sz w:val="20"/>
          <w:szCs w:val="20"/>
          <w:lang w:bidi="ar"/>
        </w:rPr>
        <w:t>ismiss the action in September 2019. The court denied the motion in June 2020 and the case is currently in the discovery phase. Trial is currently scheduled to begin on December 5, 2022.</w:t>
      </w:r>
    </w:p>
    <w:p w14:paraId="619DED6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6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Patent Litigation</w:t>
      </w:r>
      <w:r>
        <w:rPr>
          <w:rFonts w:ascii="Times New Roman" w:eastAsia="宋体" w:hAnsi="Times New Roman" w:cs="Times New Roman"/>
          <w:color w:val="000000"/>
          <w:kern w:val="0"/>
          <w:sz w:val="20"/>
          <w:szCs w:val="20"/>
          <w:lang w:bidi="ar"/>
        </w:rPr>
        <w:t xml:space="preserve"> — On April 25, 2019, Cirba Inc. and Cirba IP, Inc</w:t>
      </w:r>
      <w:r>
        <w:rPr>
          <w:rFonts w:ascii="Times New Roman" w:eastAsia="宋体" w:hAnsi="Times New Roman" w:cs="Times New Roman"/>
          <w:color w:val="000000"/>
          <w:kern w:val="0"/>
          <w:sz w:val="20"/>
          <w:szCs w:val="20"/>
          <w:lang w:bidi="ar"/>
        </w:rPr>
        <w:t>. (collectively, “Cirba”) filed a lawsuit against VMware, Inc. in the United States District Court for the District of Delaware (the “Delaware Court”), alleging two patent infringement claims and three trademark infringement-related claims (the “First Acti</w:t>
      </w:r>
      <w:r>
        <w:rPr>
          <w:rFonts w:ascii="Times New Roman" w:eastAsia="宋体" w:hAnsi="Times New Roman" w:cs="Times New Roman"/>
          <w:color w:val="000000"/>
          <w:kern w:val="0"/>
          <w:sz w:val="20"/>
          <w:szCs w:val="20"/>
          <w:lang w:bidi="ar"/>
        </w:rPr>
        <w:t>on”).  Following a hearing on August 6, 2019, the Delaware Court denied Cirba’s preliminary injunction motion. On August 20, 2019, VMware, Inc. filed counterclaims against Cirba, asserting among other claims that Cirba is infringing four VMware, Inc. paten</w:t>
      </w:r>
      <w:r>
        <w:rPr>
          <w:rFonts w:ascii="Times New Roman" w:eastAsia="宋体" w:hAnsi="Times New Roman" w:cs="Times New Roman"/>
          <w:color w:val="000000"/>
          <w:kern w:val="0"/>
          <w:sz w:val="20"/>
          <w:szCs w:val="20"/>
          <w:lang w:bidi="ar"/>
        </w:rPr>
        <w:t>ts.  The Delaware Court severed those claims from the January 2020 trial on Cirba’s claims. On January 24, 2020, a jury returned a verdict that VMware, Inc. had willfully infringed Cirba’s two patents and awarded approximately $237 million in damages. As t</w:t>
      </w:r>
      <w:r>
        <w:rPr>
          <w:rFonts w:ascii="Times New Roman" w:eastAsia="宋体" w:hAnsi="Times New Roman" w:cs="Times New Roman"/>
          <w:color w:val="000000"/>
          <w:kern w:val="0"/>
          <w:sz w:val="20"/>
          <w:szCs w:val="20"/>
          <w:lang w:bidi="ar"/>
        </w:rPr>
        <w:t>o Cirba’s trademark-related claims, the jury found that VMware, Inc. was not liable. A total of $237 million was accrued for the First Action as of January 31, 2020, which reflected the estimated losses that were considered both probable and reasonably est</w:t>
      </w:r>
      <w:r>
        <w:rPr>
          <w:rFonts w:ascii="Times New Roman" w:eastAsia="宋体" w:hAnsi="Times New Roman" w:cs="Times New Roman"/>
          <w:color w:val="000000"/>
          <w:kern w:val="0"/>
          <w:sz w:val="20"/>
          <w:szCs w:val="20"/>
          <w:lang w:bidi="ar"/>
        </w:rPr>
        <w:t xml:space="preserve">imable at that time. The amount accrued for this matter was included in Accrued and other in the Consolidated Statements of Financial Position as of January 31, 2020, and the charge was classified in Selling, general and administrative in the Consolidated </w:t>
      </w:r>
      <w:r>
        <w:rPr>
          <w:rFonts w:ascii="Times New Roman" w:eastAsia="宋体" w:hAnsi="Times New Roman" w:cs="Times New Roman"/>
          <w:color w:val="000000"/>
          <w:kern w:val="0"/>
          <w:sz w:val="20"/>
          <w:szCs w:val="20"/>
          <w:lang w:bidi="ar"/>
        </w:rPr>
        <w:t>Statements of Income (Loss) for the fiscal year ended January 31, 2020. On March 9, 2020, the parties filed post-trial motions in the First Action. On December 21, 2020, the Delaware Court granted VMware, Inc.’s request for a new trial based, in part, on C</w:t>
      </w:r>
      <w:r>
        <w:rPr>
          <w:rFonts w:ascii="Times New Roman" w:eastAsia="宋体" w:hAnsi="Times New Roman" w:cs="Times New Roman"/>
          <w:color w:val="000000"/>
          <w:kern w:val="0"/>
          <w:sz w:val="20"/>
          <w:szCs w:val="20"/>
          <w:lang w:bidi="ar"/>
        </w:rPr>
        <w:t>irba’s Inc.’s lack of standing, set aside the verdict and damages award, and denied Cirba’s post-trial motions (the “Post-Trial Order”).</w:t>
      </w:r>
    </w:p>
    <w:p w14:paraId="619DED69"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D6A"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p w14:paraId="619DED6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D6C" w14:textId="77777777" w:rsidR="003D72E7" w:rsidRDefault="00AD6774">
      <w:pPr>
        <w:widowControl/>
        <w:jc w:val="center"/>
      </w:pPr>
      <w:r>
        <w:rPr>
          <w:rFonts w:ascii="宋体" w:eastAsia="宋体" w:hAnsi="宋体" w:cs="宋体"/>
          <w:kern w:val="0"/>
          <w:sz w:val="24"/>
        </w:rPr>
        <w:pict w14:anchorId="619E0D95">
          <v:rect id="_x0000_i1066" style="width:6in;height:1.5pt" o:hralign="center" o:hrstd="t" o:hr="t" fillcolor="#a0a0a0" stroked="f"/>
        </w:pict>
      </w:r>
    </w:p>
    <w:p w14:paraId="619DED6D"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D6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D6F"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 xml:space="preserve">NOTES TO </w:t>
      </w:r>
      <w:r>
        <w:rPr>
          <w:rFonts w:ascii="Times New Roman" w:eastAsia="宋体" w:hAnsi="Times New Roman" w:cs="Times New Roman"/>
          <w:b/>
          <w:bCs/>
          <w:color w:val="000000"/>
          <w:kern w:val="0"/>
          <w:sz w:val="20"/>
          <w:szCs w:val="20"/>
          <w:shd w:val="clear" w:color="auto" w:fill="FFFFFF"/>
          <w:lang w:bidi="ar"/>
        </w:rPr>
        <w:t>THE CONDENSED CONSOLIDATED FINANCIAL STATEMENTS (Continued)</w:t>
      </w:r>
    </w:p>
    <w:p w14:paraId="619DED7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D71"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D7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7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On October 22, 2019, VMware, Inc. filed a separate lawsuit against Cirba in the United States District Court for the Eastern District of Virginia alleging infringement of four addi</w:t>
      </w:r>
      <w:r>
        <w:rPr>
          <w:rFonts w:ascii="Times New Roman" w:eastAsia="宋体" w:hAnsi="Times New Roman" w:cs="Times New Roman"/>
          <w:color w:val="000000"/>
          <w:kern w:val="0"/>
          <w:sz w:val="20"/>
          <w:szCs w:val="20"/>
          <w:lang w:bidi="ar"/>
        </w:rPr>
        <w:t xml:space="preserve">tional VMware, Inc. patents (The “Second Action”). The Virginia court transferred the Second Action to the Delaware Court on February 25, 2020. On March 23, 2020, Cirba filed a counterclaim asserting one additional patent against VMware, Inc. The Delaware </w:t>
      </w:r>
      <w:r>
        <w:rPr>
          <w:rFonts w:ascii="Times New Roman" w:eastAsia="宋体" w:hAnsi="Times New Roman" w:cs="Times New Roman"/>
          <w:color w:val="000000"/>
          <w:kern w:val="0"/>
          <w:sz w:val="20"/>
          <w:szCs w:val="20"/>
          <w:lang w:bidi="ar"/>
        </w:rPr>
        <w:t>Court consolidated the First and Second Actions and ordered a consolidated trial on all of the parties’ patent infringement claims and counterclaims. On May 3, 2021, the Court denied Cirba’s motion to certify the Post-Trial Order to enable an interlocutory</w:t>
      </w:r>
      <w:r>
        <w:rPr>
          <w:rFonts w:ascii="Times New Roman" w:eastAsia="宋体" w:hAnsi="Times New Roman" w:cs="Times New Roman"/>
          <w:color w:val="000000"/>
          <w:kern w:val="0"/>
          <w:sz w:val="20"/>
          <w:szCs w:val="20"/>
          <w:lang w:bidi="ar"/>
        </w:rPr>
        <w:t xml:space="preserve"> appeal to the United States Court of Appeals for the Federal Circuit. Also, on May 3, 2021, the Court granted Cirba’s motion for leave to assert an additional patent against VMware, Inc. Separately, VMware has filed challenges with the United States Paten</w:t>
      </w:r>
      <w:r>
        <w:rPr>
          <w:rFonts w:ascii="Times New Roman" w:eastAsia="宋体" w:hAnsi="Times New Roman" w:cs="Times New Roman"/>
          <w:color w:val="000000"/>
          <w:kern w:val="0"/>
          <w:sz w:val="20"/>
          <w:szCs w:val="20"/>
          <w:lang w:bidi="ar"/>
        </w:rPr>
        <w:t xml:space="preserve">t and Trademark Office against each of the four patents that are subject of Cirba’s allegation. To date, of the four challenges, two </w:t>
      </w:r>
      <w:r>
        <w:rPr>
          <w:rFonts w:ascii="Times New Roman" w:eastAsia="宋体" w:hAnsi="Times New Roman" w:cs="Times New Roman"/>
          <w:i/>
          <w:iCs/>
          <w:color w:val="000000"/>
          <w:kern w:val="0"/>
          <w:sz w:val="20"/>
          <w:szCs w:val="20"/>
          <w:lang w:bidi="ar"/>
        </w:rPr>
        <w:t>ex parte</w:t>
      </w:r>
      <w:r>
        <w:rPr>
          <w:rFonts w:ascii="Times New Roman" w:eastAsia="宋体" w:hAnsi="Times New Roman" w:cs="Times New Roman"/>
          <w:color w:val="000000"/>
          <w:kern w:val="0"/>
          <w:sz w:val="20"/>
          <w:szCs w:val="20"/>
          <w:lang w:bidi="ar"/>
        </w:rPr>
        <w:t xml:space="preserve"> reexams have been granted and one </w:t>
      </w:r>
      <w:r>
        <w:rPr>
          <w:rFonts w:ascii="Times New Roman" w:eastAsia="宋体" w:hAnsi="Times New Roman" w:cs="Times New Roman"/>
          <w:i/>
          <w:iCs/>
          <w:color w:val="000000"/>
          <w:kern w:val="0"/>
          <w:sz w:val="20"/>
          <w:szCs w:val="20"/>
          <w:lang w:bidi="ar"/>
        </w:rPr>
        <w:t>Inter Partes</w:t>
      </w:r>
      <w:r>
        <w:rPr>
          <w:rFonts w:ascii="Times New Roman" w:eastAsia="宋体" w:hAnsi="Times New Roman" w:cs="Times New Roman"/>
          <w:color w:val="000000"/>
          <w:kern w:val="0"/>
          <w:sz w:val="20"/>
          <w:szCs w:val="20"/>
          <w:lang w:bidi="ar"/>
        </w:rPr>
        <w:t xml:space="preserve"> Review has been instituted. As of January 29, 2021, VMware, Inc. reassessed its estimated loss accrual for the First Action based on the Post-Trial Order and determined that a loss was no longer probable and reasonably estimable with respect to the consol</w:t>
      </w:r>
      <w:r>
        <w:rPr>
          <w:rFonts w:ascii="Times New Roman" w:eastAsia="宋体" w:hAnsi="Times New Roman" w:cs="Times New Roman"/>
          <w:color w:val="000000"/>
          <w:kern w:val="0"/>
          <w:sz w:val="20"/>
          <w:szCs w:val="20"/>
          <w:lang w:bidi="ar"/>
        </w:rPr>
        <w:t xml:space="preserve">idated First and Second Actions. Accordingly, the estimated loss accrual recognized during the fiscal year ended January 31, 2020 totaling $237 million was adjusted to $0 with the credit included in Selling, general, and administrative in the Consolidated </w:t>
      </w:r>
      <w:r>
        <w:rPr>
          <w:rFonts w:ascii="Times New Roman" w:eastAsia="宋体" w:hAnsi="Times New Roman" w:cs="Times New Roman"/>
          <w:color w:val="000000"/>
          <w:kern w:val="0"/>
          <w:sz w:val="20"/>
          <w:szCs w:val="20"/>
          <w:lang w:bidi="ar"/>
        </w:rPr>
        <w:t xml:space="preserve">Statements of Income (Loss) for the fiscal year ended January 29, 2021. VMware, Inc. has reported that it is unable at this time to assess whether, or to what extent, it may be found liable and, if found liable, the amount any damages that may be awarded. </w:t>
      </w:r>
      <w:r>
        <w:rPr>
          <w:rFonts w:ascii="Times New Roman" w:eastAsia="宋体" w:hAnsi="Times New Roman" w:cs="Times New Roman"/>
          <w:color w:val="000000"/>
          <w:kern w:val="0"/>
          <w:sz w:val="20"/>
          <w:szCs w:val="20"/>
          <w:lang w:bidi="ar"/>
        </w:rPr>
        <w:t>VMware, Inc. intends to vigorously defend itself in this matter.</w:t>
      </w:r>
    </w:p>
    <w:p w14:paraId="619DED7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7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Class Actions Related to VMware, Inc.’s Acquisition of Pivotal</w:t>
      </w:r>
      <w:r>
        <w:rPr>
          <w:rFonts w:ascii="Times New Roman" w:eastAsia="宋体" w:hAnsi="Times New Roman" w:cs="Times New Roman"/>
          <w:color w:val="000000"/>
          <w:kern w:val="0"/>
          <w:sz w:val="20"/>
          <w:szCs w:val="20"/>
          <w:lang w:bidi="ar"/>
        </w:rPr>
        <w:t xml:space="preserve"> — Two purported stockholders brought putative class action complaints arising out of VMware, Inc.’s acquisition of Pivotal Sof</w:t>
      </w:r>
      <w:r>
        <w:rPr>
          <w:rFonts w:ascii="Times New Roman" w:eastAsia="宋体" w:hAnsi="Times New Roman" w:cs="Times New Roman"/>
          <w:color w:val="000000"/>
          <w:kern w:val="0"/>
          <w:sz w:val="20"/>
          <w:szCs w:val="20"/>
          <w:lang w:bidi="ar"/>
        </w:rPr>
        <w:t>tware, Inc. on December 30, 2019 as described in Note 1 of the Notes to the Condensed Consolidated Financial Statements. The two actions were consolidated in the Delaware Chancery Court into In re: Pivotal Software, Inc. Stockholders Litigation (Civil Acti</w:t>
      </w:r>
      <w:r>
        <w:rPr>
          <w:rFonts w:ascii="Times New Roman" w:eastAsia="宋体" w:hAnsi="Times New Roman" w:cs="Times New Roman"/>
          <w:color w:val="000000"/>
          <w:kern w:val="0"/>
          <w:sz w:val="20"/>
          <w:szCs w:val="20"/>
          <w:lang w:bidi="ar"/>
        </w:rPr>
        <w:t>on No. 2020-0440-KSJM). The complaint names as defendants the Company, VMware, Inc., Michael S. Dell, and certain officers of Pivotal. The plaintiffs generally allege that the defendants breached their fiduciary duties to the former holders of Pivotal Clas</w:t>
      </w:r>
      <w:r>
        <w:rPr>
          <w:rFonts w:ascii="Times New Roman" w:eastAsia="宋体" w:hAnsi="Times New Roman" w:cs="Times New Roman"/>
          <w:color w:val="000000"/>
          <w:kern w:val="0"/>
          <w:sz w:val="20"/>
          <w:szCs w:val="20"/>
          <w:lang w:bidi="ar"/>
        </w:rPr>
        <w:t>s A common stock in connection with VMware, Inc.’s acquisition of Pivotal by allegedly causing Pivotal to enter into a transaction that favored the interests of Pivotal’s controlling stockholders at the expense of such former stockholders. The plaintiffs s</w:t>
      </w:r>
      <w:r>
        <w:rPr>
          <w:rFonts w:ascii="Times New Roman" w:eastAsia="宋体" w:hAnsi="Times New Roman" w:cs="Times New Roman"/>
          <w:color w:val="000000"/>
          <w:kern w:val="0"/>
          <w:sz w:val="20"/>
          <w:szCs w:val="20"/>
          <w:lang w:bidi="ar"/>
        </w:rPr>
        <w:t>eek, among other remedies, a judicial declaration that the defendants breached their fiduciary duties and an award of damages, fees, and costs. Trial is currently scheduled to begin on July 6, 2022.</w:t>
      </w:r>
    </w:p>
    <w:p w14:paraId="619DED7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7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Other Litigation </w:t>
      </w:r>
      <w:r>
        <w:rPr>
          <w:rFonts w:ascii="Times New Roman" w:eastAsia="宋体" w:hAnsi="Times New Roman" w:cs="Times New Roman"/>
          <w:color w:val="000000"/>
          <w:kern w:val="0"/>
          <w:sz w:val="20"/>
          <w:szCs w:val="20"/>
          <w:lang w:bidi="ar"/>
        </w:rPr>
        <w:t xml:space="preserve">— Dell does not currently expect that </w:t>
      </w:r>
      <w:r>
        <w:rPr>
          <w:rFonts w:ascii="Times New Roman" w:eastAsia="宋体" w:hAnsi="Times New Roman" w:cs="Times New Roman"/>
          <w:color w:val="000000"/>
          <w:kern w:val="0"/>
          <w:sz w:val="20"/>
          <w:szCs w:val="20"/>
          <w:lang w:bidi="ar"/>
        </w:rPr>
        <w:t>any other proceedings or matters will have a material adverse effect on its business, financial condition, results of operations, or cash flows.</w:t>
      </w:r>
    </w:p>
    <w:p w14:paraId="619DED7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7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accordance with the relevant accounting guidance, the Company provides disclosures of matters where it is </w:t>
      </w:r>
      <w:r>
        <w:rPr>
          <w:rFonts w:ascii="Times New Roman" w:eastAsia="宋体" w:hAnsi="Times New Roman" w:cs="Times New Roman"/>
          <w:color w:val="000000"/>
          <w:kern w:val="0"/>
          <w:sz w:val="20"/>
          <w:szCs w:val="20"/>
          <w:lang w:bidi="ar"/>
        </w:rPr>
        <w:t xml:space="preserve">at least reasonably possible that the Company could experience a material loss exceeding the amounts already accrued for these or other proceedings or matters. In addition, the Company also discloses matters based on its consideration of other matters and </w:t>
      </w:r>
      <w:r>
        <w:rPr>
          <w:rFonts w:ascii="Times New Roman" w:eastAsia="宋体" w:hAnsi="Times New Roman" w:cs="Times New Roman"/>
          <w:color w:val="000000"/>
          <w:kern w:val="0"/>
          <w:sz w:val="20"/>
          <w:szCs w:val="20"/>
          <w:lang w:bidi="ar"/>
        </w:rPr>
        <w:t>qualitative factors, including the experience of other companies in the industry, and investor, customer, and employee relations considerations. As of July 30, 2021, the Company does not believe there is a reasonable possibility that a material loss exceed</w:t>
      </w:r>
      <w:r>
        <w:rPr>
          <w:rFonts w:ascii="Times New Roman" w:eastAsia="宋体" w:hAnsi="Times New Roman" w:cs="Times New Roman"/>
          <w:color w:val="000000"/>
          <w:kern w:val="0"/>
          <w:sz w:val="20"/>
          <w:szCs w:val="20"/>
          <w:lang w:bidi="ar"/>
        </w:rPr>
        <w:t>ing the amounts already accrued for these or other proceedings or matters has been incurred. However, since the ultimate resolution of any such proceedings and matters is inherently unpredictable, the Company’s business, financial condition, results of ope</w:t>
      </w:r>
      <w:r>
        <w:rPr>
          <w:rFonts w:ascii="Times New Roman" w:eastAsia="宋体" w:hAnsi="Times New Roman" w:cs="Times New Roman"/>
          <w:color w:val="000000"/>
          <w:kern w:val="0"/>
          <w:sz w:val="20"/>
          <w:szCs w:val="20"/>
          <w:lang w:bidi="ar"/>
        </w:rPr>
        <w:t>rations, or cash flows could be materially affected in any particular period by unfavorable outcomes in one or more of these proceedings or matters. Whether the outcome of any claim, suit, assessment, investigation, or legal proceeding, individually or col</w:t>
      </w:r>
      <w:r>
        <w:rPr>
          <w:rFonts w:ascii="Times New Roman" w:eastAsia="宋体" w:hAnsi="Times New Roman" w:cs="Times New Roman"/>
          <w:color w:val="000000"/>
          <w:kern w:val="0"/>
          <w:sz w:val="20"/>
          <w:szCs w:val="20"/>
          <w:lang w:bidi="ar"/>
        </w:rPr>
        <w:t>lectively, could have a material adverse effect on the Company’s business, financial condition, results of operations, or cash flows will depend on a number of factors, including the nature, timing, and amount of any associated expenses, amounts paid in se</w:t>
      </w:r>
      <w:r>
        <w:rPr>
          <w:rFonts w:ascii="Times New Roman" w:eastAsia="宋体" w:hAnsi="Times New Roman" w:cs="Times New Roman"/>
          <w:color w:val="000000"/>
          <w:kern w:val="0"/>
          <w:sz w:val="20"/>
          <w:szCs w:val="20"/>
          <w:lang w:bidi="ar"/>
        </w:rPr>
        <w:t>ttlement, damages, or other remedies or consequences.</w:t>
      </w:r>
    </w:p>
    <w:p w14:paraId="619DED7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7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Indemnifications</w:t>
      </w:r>
    </w:p>
    <w:p w14:paraId="619DED7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7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the ordinary course of business, the Company enters into contractual arrangements under which it may agree to indemnify other parties for losses incurred from certain </w:t>
      </w:r>
      <w:r>
        <w:rPr>
          <w:rFonts w:ascii="Times New Roman" w:eastAsia="宋体" w:hAnsi="Times New Roman" w:cs="Times New Roman"/>
          <w:color w:val="000000"/>
          <w:kern w:val="0"/>
          <w:sz w:val="20"/>
          <w:szCs w:val="20"/>
          <w:lang w:bidi="ar"/>
        </w:rPr>
        <w:t>events as defined in the relevant contract, such as litigation, regulatory penalties, or claims relating to past performance. Such indemnification obligations may not be subject to maximum loss clauses. Historically, payments related to these indemnificati</w:t>
      </w:r>
      <w:r>
        <w:rPr>
          <w:rFonts w:ascii="Times New Roman" w:eastAsia="宋体" w:hAnsi="Times New Roman" w:cs="Times New Roman"/>
          <w:color w:val="000000"/>
          <w:kern w:val="0"/>
          <w:sz w:val="20"/>
          <w:szCs w:val="20"/>
          <w:lang w:bidi="ar"/>
        </w:rPr>
        <w:t>ons have not been material to the Company.</w:t>
      </w:r>
    </w:p>
    <w:p w14:paraId="619DED7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7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D8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43</w:t>
      </w:r>
    </w:p>
    <w:p w14:paraId="619DED81"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D82" w14:textId="77777777" w:rsidR="003D72E7" w:rsidRDefault="00AD6774">
      <w:pPr>
        <w:widowControl/>
        <w:jc w:val="center"/>
      </w:pPr>
      <w:r>
        <w:rPr>
          <w:rFonts w:ascii="宋体" w:eastAsia="宋体" w:hAnsi="宋体" w:cs="宋体"/>
          <w:kern w:val="0"/>
          <w:sz w:val="24"/>
        </w:rPr>
        <w:pict w14:anchorId="619E0D96">
          <v:rect id="_x0000_i1067" style="width:6in;height:1.5pt" o:hralign="center" o:hrstd="t" o:hr="t" fillcolor="#a0a0a0" stroked="f"/>
        </w:pict>
      </w:r>
    </w:p>
    <w:p w14:paraId="619DED83"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D8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D85"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ED86"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D87"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D8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10 — INCOME AND OTHER TAXES </w:t>
      </w:r>
    </w:p>
    <w:p w14:paraId="619DED8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8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For the three months ended July 30, 2021 and July 31, 2020, the Company’s effective income tax rate was 13.1% and -119.8%, respectively, on pre-tax income of $1.0 billion and $0.5 billion, respectively. For the six months ended July 30, 2021 and July 31, 2</w:t>
      </w:r>
      <w:r>
        <w:rPr>
          <w:rFonts w:ascii="Times New Roman" w:eastAsia="宋体" w:hAnsi="Times New Roman" w:cs="Times New Roman"/>
          <w:color w:val="000000"/>
          <w:kern w:val="0"/>
          <w:sz w:val="20"/>
          <w:szCs w:val="20"/>
          <w:lang w:bidi="ar"/>
        </w:rPr>
        <w:t>020, the Company’s effective income tax rate was 9.1% and -101.4%, respectively, on pre-tax income of $2.0 billion and $0.6 billion, respectively. The changes in the Company’s effective income tax rate are primarily driven by lower discrete tax benefits on</w:t>
      </w:r>
      <w:r>
        <w:rPr>
          <w:rFonts w:ascii="Times New Roman" w:eastAsia="宋体" w:hAnsi="Times New Roman" w:cs="Times New Roman"/>
          <w:color w:val="000000"/>
          <w:kern w:val="0"/>
          <w:sz w:val="20"/>
          <w:szCs w:val="20"/>
          <w:lang w:bidi="ar"/>
        </w:rPr>
        <w:t xml:space="preserve"> higher pre-tax income and a change in the Company’s jurisdictional mix of income. For the six months ended July 30, 2021, the Company’s effective income tax rate includes discrete tax benefits of $131 million related to stock-based compensation. In compar</w:t>
      </w:r>
      <w:r>
        <w:rPr>
          <w:rFonts w:ascii="Times New Roman" w:eastAsia="宋体" w:hAnsi="Times New Roman" w:cs="Times New Roman"/>
          <w:color w:val="000000"/>
          <w:kern w:val="0"/>
          <w:sz w:val="20"/>
          <w:szCs w:val="20"/>
          <w:lang w:bidi="ar"/>
        </w:rPr>
        <w:t>ison, for the six months ended July 31, 2020, the Company’s effective income tax rate includes discrete tax benefits of $746 million related to an audit settlement that was recorded in the second quarter within that period. The effective income tax rate fo</w:t>
      </w:r>
      <w:r>
        <w:rPr>
          <w:rFonts w:ascii="Times New Roman" w:eastAsia="宋体" w:hAnsi="Times New Roman" w:cs="Times New Roman"/>
          <w:color w:val="000000"/>
          <w:kern w:val="0"/>
          <w:sz w:val="20"/>
          <w:szCs w:val="20"/>
          <w:lang w:bidi="ar"/>
        </w:rPr>
        <w:t xml:space="preserve">r future quarters of Fiscal 2022 may be impacted by the actual mix of jurisdictions in which income is generated, as well as the impact of any discrete tax items. </w:t>
      </w:r>
    </w:p>
    <w:p w14:paraId="619DED8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8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differences between the estimated effective income tax rates and the U.S. federal stat</w:t>
      </w:r>
      <w:r>
        <w:rPr>
          <w:rFonts w:ascii="Times New Roman" w:eastAsia="宋体" w:hAnsi="Times New Roman" w:cs="Times New Roman"/>
          <w:color w:val="000000"/>
          <w:kern w:val="0"/>
          <w:sz w:val="20"/>
          <w:szCs w:val="20"/>
          <w:lang w:bidi="ar"/>
        </w:rPr>
        <w:t>utory rate of 21% principally result from the Company’s geographical distribution of income, differences between the book and tax treatment of certain items, and the discrete tax items discussed above. In certain jurisdictions, the Company’s tax rate is si</w:t>
      </w:r>
      <w:r>
        <w:rPr>
          <w:rFonts w:ascii="Times New Roman" w:eastAsia="宋体" w:hAnsi="Times New Roman" w:cs="Times New Roman"/>
          <w:color w:val="000000"/>
          <w:kern w:val="0"/>
          <w:sz w:val="20"/>
          <w:szCs w:val="20"/>
          <w:lang w:bidi="ar"/>
        </w:rPr>
        <w:t>gnificantly less than the applicable statutory rate as a result of tax holidays. The majority of the Company’s foreign income that is subject to these tax holidays and lower tax rates is attributable to Singapore and China. A significant portion of these i</w:t>
      </w:r>
      <w:r>
        <w:rPr>
          <w:rFonts w:ascii="Times New Roman" w:eastAsia="宋体" w:hAnsi="Times New Roman" w:cs="Times New Roman"/>
          <w:color w:val="000000"/>
          <w:kern w:val="0"/>
          <w:sz w:val="20"/>
          <w:szCs w:val="20"/>
          <w:lang w:bidi="ar"/>
        </w:rPr>
        <w:t>ncome tax benefits relate to a tax holiday that will be effective until January 31, 2029. The Company’s other tax holidays will expire in whole or in part during fiscal years 2022 through 2030. Many of these tax holidays and reduced tax rates may be extend</w:t>
      </w:r>
      <w:r>
        <w:rPr>
          <w:rFonts w:ascii="Times New Roman" w:eastAsia="宋体" w:hAnsi="Times New Roman" w:cs="Times New Roman"/>
          <w:color w:val="000000"/>
          <w:kern w:val="0"/>
          <w:sz w:val="20"/>
          <w:szCs w:val="20"/>
          <w:lang w:bidi="ar"/>
        </w:rPr>
        <w:t xml:space="preserve">ed when certain conditions are met or may be terminated early if certain conditions are not met. As of July 30, 2021, the Company was not aware of any matters of non-compliance related to these tax holidays. </w:t>
      </w:r>
    </w:p>
    <w:p w14:paraId="619DED8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8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Internal Revenue Service is currently exa</w:t>
      </w:r>
      <w:r>
        <w:rPr>
          <w:rFonts w:ascii="Times New Roman" w:eastAsia="宋体" w:hAnsi="Times New Roman" w:cs="Times New Roman"/>
          <w:color w:val="000000"/>
          <w:kern w:val="0"/>
          <w:sz w:val="20"/>
          <w:szCs w:val="20"/>
          <w:lang w:bidi="ar"/>
        </w:rPr>
        <w:t>mining fiscal years 2015 through 2019. The Company is also currently under income tax audits in various state and foreign jurisdictions. The Company is undergoing negotiations, and in some cases contested proceedings, relating to tax matters with the taxin</w:t>
      </w:r>
      <w:r>
        <w:rPr>
          <w:rFonts w:ascii="Times New Roman" w:eastAsia="宋体" w:hAnsi="Times New Roman" w:cs="Times New Roman"/>
          <w:color w:val="000000"/>
          <w:kern w:val="0"/>
          <w:sz w:val="20"/>
          <w:szCs w:val="20"/>
          <w:lang w:bidi="ar"/>
        </w:rPr>
        <w:t xml:space="preserve">g authorities in these jurisdictions. The Company believes that it has valid positions supporting its tax returns and that it has provided adequate reserves related to all matters contained in tax periods open to examination. Although the Company believes </w:t>
      </w:r>
      <w:r>
        <w:rPr>
          <w:rFonts w:ascii="Times New Roman" w:eastAsia="宋体" w:hAnsi="Times New Roman" w:cs="Times New Roman"/>
          <w:color w:val="000000"/>
          <w:kern w:val="0"/>
          <w:sz w:val="20"/>
          <w:szCs w:val="20"/>
          <w:lang w:bidi="ar"/>
        </w:rPr>
        <w:t>it has made adequate provisions for the uncertainties surrounding these audits, should the Company experience unfavorable outcomes, such outcomes could have a material impact on its results of operations, financial position, and cash flows. With respect to</w:t>
      </w:r>
      <w:r>
        <w:rPr>
          <w:rFonts w:ascii="Times New Roman" w:eastAsia="宋体" w:hAnsi="Times New Roman" w:cs="Times New Roman"/>
          <w:color w:val="000000"/>
          <w:kern w:val="0"/>
          <w:sz w:val="20"/>
          <w:szCs w:val="20"/>
          <w:lang w:bidi="ar"/>
        </w:rPr>
        <w:t xml:space="preserve"> major U.S., state and foreign taxing jurisdictions, the Company is generally not subject to tax examinations for years prior to the fiscal year ended January 29, 2010.</w:t>
      </w:r>
    </w:p>
    <w:p w14:paraId="619DED8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9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Judgment is required in evaluating the Company’s uncertain tax positions and determin</w:t>
      </w:r>
      <w:r>
        <w:rPr>
          <w:rFonts w:ascii="Times New Roman" w:eastAsia="宋体" w:hAnsi="Times New Roman" w:cs="Times New Roman"/>
          <w:color w:val="000000"/>
          <w:kern w:val="0"/>
          <w:sz w:val="20"/>
          <w:szCs w:val="20"/>
          <w:lang w:bidi="ar"/>
        </w:rPr>
        <w:t>ing the Company’s provision for income taxes. The unrecognized tax benefits were $1.4 billion as of both July 30, 2021 and January 29, 2021, and are included in Other non-current liabilities in the Condensed Consolidated Statements of Financial Position. T</w:t>
      </w:r>
      <w:r>
        <w:rPr>
          <w:rFonts w:ascii="Times New Roman" w:eastAsia="宋体" w:hAnsi="Times New Roman" w:cs="Times New Roman"/>
          <w:color w:val="000000"/>
          <w:kern w:val="0"/>
          <w:sz w:val="20"/>
          <w:szCs w:val="20"/>
          <w:lang w:bidi="ar"/>
        </w:rPr>
        <w:t>he Company does not anticipate a significant change to the total amount of unrecognized tax benefits within the next twelve months.</w:t>
      </w:r>
    </w:p>
    <w:p w14:paraId="619DED9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9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takes certain non-income tax positions in the jurisdictions in which it operates and has received certain non-</w:t>
      </w:r>
      <w:r>
        <w:rPr>
          <w:rFonts w:ascii="Times New Roman" w:eastAsia="宋体" w:hAnsi="Times New Roman" w:cs="Times New Roman"/>
          <w:color w:val="000000"/>
          <w:kern w:val="0"/>
          <w:sz w:val="20"/>
          <w:szCs w:val="20"/>
          <w:lang w:bidi="ar"/>
        </w:rPr>
        <w:t>income tax assessments from various jurisdictions. The Company believes that a material loss in these matters is not probable and that it is not reasonably possible that a material loss exceeding amounts already accrued has been incurred.  The Company beli</w:t>
      </w:r>
      <w:r>
        <w:rPr>
          <w:rFonts w:ascii="Times New Roman" w:eastAsia="宋体" w:hAnsi="Times New Roman" w:cs="Times New Roman"/>
          <w:color w:val="000000"/>
          <w:kern w:val="0"/>
          <w:sz w:val="20"/>
          <w:szCs w:val="20"/>
          <w:lang w:bidi="ar"/>
        </w:rPr>
        <w:t xml:space="preserve">eves its positions in these non-income tax litigation matters are supportable and that it ultimately will prevail in the matters. In the normal course of business, the Company’s positions and conclusions related to its non-income taxes could be challenged </w:t>
      </w:r>
      <w:r>
        <w:rPr>
          <w:rFonts w:ascii="Times New Roman" w:eastAsia="宋体" w:hAnsi="Times New Roman" w:cs="Times New Roman"/>
          <w:color w:val="000000"/>
          <w:kern w:val="0"/>
          <w:sz w:val="20"/>
          <w:szCs w:val="20"/>
          <w:lang w:bidi="ar"/>
        </w:rPr>
        <w:t>and assessments may be made. To the extent new information is obtained and the Company’s views on its positions, probable outcomes of assessments, or litigation change, changes in estimates to the Company’s accrued liabilities would be recorded in the peri</w:t>
      </w:r>
      <w:r>
        <w:rPr>
          <w:rFonts w:ascii="Times New Roman" w:eastAsia="宋体" w:hAnsi="Times New Roman" w:cs="Times New Roman"/>
          <w:color w:val="000000"/>
          <w:kern w:val="0"/>
          <w:sz w:val="20"/>
          <w:szCs w:val="20"/>
          <w:lang w:bidi="ar"/>
        </w:rPr>
        <w:t>od in which such a determination is made. In the resolution process for income tax and non-income tax audits, the Company is required in certain situations to provide collateral guarantees or indemnification to regulators and tax authorities until the matt</w:t>
      </w:r>
      <w:r>
        <w:rPr>
          <w:rFonts w:ascii="Times New Roman" w:eastAsia="宋体" w:hAnsi="Times New Roman" w:cs="Times New Roman"/>
          <w:color w:val="000000"/>
          <w:kern w:val="0"/>
          <w:sz w:val="20"/>
          <w:szCs w:val="20"/>
          <w:lang w:bidi="ar"/>
        </w:rPr>
        <w:t>er is resolved.</w:t>
      </w:r>
    </w:p>
    <w:p w14:paraId="619DED9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94"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D95"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w:t>
      </w:r>
    </w:p>
    <w:p w14:paraId="619DED96"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D97" w14:textId="77777777" w:rsidR="003D72E7" w:rsidRDefault="00AD6774">
      <w:pPr>
        <w:widowControl/>
        <w:jc w:val="center"/>
      </w:pPr>
      <w:r>
        <w:rPr>
          <w:rFonts w:ascii="宋体" w:eastAsia="宋体" w:hAnsi="宋体" w:cs="宋体"/>
          <w:kern w:val="0"/>
          <w:sz w:val="24"/>
        </w:rPr>
        <w:pict w14:anchorId="619E0D97">
          <v:rect id="_x0000_i1068" style="width:6in;height:1.5pt" o:hralign="center" o:hrstd="t" o:hr="t" fillcolor="#a0a0a0" stroked="f"/>
        </w:pict>
      </w:r>
    </w:p>
    <w:p w14:paraId="619DED98"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D99"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D9A"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ED9B"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D9C"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D9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11 — ACCUMULATED OTHER COMPREHENSIVE INCOME (LOSS) </w:t>
      </w:r>
    </w:p>
    <w:p w14:paraId="619DED9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9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Accumulated other comprehensive income (loss) is presented in stockholders’ equity (deficit) in the Condensed Consolidated Statements of Financial Position and consists of amounts related to foreig</w:t>
      </w:r>
      <w:r>
        <w:rPr>
          <w:rFonts w:ascii="Times New Roman" w:eastAsia="宋体" w:hAnsi="Times New Roman" w:cs="Times New Roman"/>
          <w:color w:val="000000"/>
          <w:kern w:val="0"/>
          <w:sz w:val="20"/>
          <w:szCs w:val="20"/>
          <w:lang w:bidi="ar"/>
        </w:rPr>
        <w:t>n currency translation adjustments, unrealized net gains (losses) on cash flow hedges, and actuarial net gains (losses) from pension and other postretirement plans.</w:t>
      </w:r>
    </w:p>
    <w:p w14:paraId="619DEDA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DA1"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changes in accumulated other comprehensive income (loss), ne</w:t>
      </w:r>
      <w:r>
        <w:rPr>
          <w:rFonts w:ascii="Times New Roman" w:eastAsia="宋体" w:hAnsi="Times New Roman" w:cs="Times New Roman"/>
          <w:color w:val="000000"/>
          <w:kern w:val="0"/>
          <w:sz w:val="20"/>
          <w:szCs w:val="20"/>
          <w:lang w:bidi="ar"/>
        </w:rPr>
        <w:t>t of tax, by the following components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2475"/>
        <w:gridCol w:w="37"/>
        <w:gridCol w:w="121"/>
        <w:gridCol w:w="1123"/>
        <w:gridCol w:w="36"/>
        <w:gridCol w:w="36"/>
        <w:gridCol w:w="36"/>
        <w:gridCol w:w="36"/>
        <w:gridCol w:w="36"/>
        <w:gridCol w:w="36"/>
        <w:gridCol w:w="121"/>
        <w:gridCol w:w="1124"/>
        <w:gridCol w:w="36"/>
        <w:gridCol w:w="36"/>
        <w:gridCol w:w="36"/>
        <w:gridCol w:w="36"/>
        <w:gridCol w:w="121"/>
        <w:gridCol w:w="1228"/>
        <w:gridCol w:w="36"/>
        <w:gridCol w:w="36"/>
        <w:gridCol w:w="36"/>
        <w:gridCol w:w="36"/>
        <w:gridCol w:w="121"/>
        <w:gridCol w:w="1281"/>
        <w:gridCol w:w="36"/>
      </w:tblGrid>
      <w:tr w:rsidR="003D72E7" w14:paraId="619DEDBC" w14:textId="77777777">
        <w:trPr>
          <w:jc w:val="center"/>
        </w:trPr>
        <w:tc>
          <w:tcPr>
            <w:tcW w:w="50" w:type="pct"/>
            <w:tcBorders>
              <w:top w:val="nil"/>
              <w:left w:val="nil"/>
              <w:bottom w:val="nil"/>
              <w:right w:val="nil"/>
            </w:tcBorders>
            <w:shd w:val="clear" w:color="auto" w:fill="auto"/>
            <w:vAlign w:val="bottom"/>
          </w:tcPr>
          <w:p w14:paraId="619DEDA2" w14:textId="77777777" w:rsidR="003D72E7" w:rsidRDefault="003D72E7">
            <w:pPr>
              <w:widowControl/>
              <w:jc w:val="left"/>
              <w:rPr>
                <w:rFonts w:ascii="Times New Roman" w:eastAsia="宋体" w:hAnsi="宋体" w:cs="宋体"/>
                <w:kern w:val="0"/>
                <w:sz w:val="24"/>
              </w:rPr>
            </w:pPr>
          </w:p>
        </w:tc>
        <w:tc>
          <w:tcPr>
            <w:tcW w:w="1611" w:type="pct"/>
            <w:tcBorders>
              <w:top w:val="nil"/>
              <w:left w:val="nil"/>
              <w:bottom w:val="nil"/>
              <w:right w:val="nil"/>
            </w:tcBorders>
            <w:shd w:val="clear" w:color="auto" w:fill="auto"/>
            <w:vAlign w:val="bottom"/>
          </w:tcPr>
          <w:p w14:paraId="619DEDA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DA4"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DA5"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EDA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DA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DA8"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DA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DA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DAB"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DAC" w14:textId="77777777" w:rsidR="003D72E7" w:rsidRDefault="003D72E7">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619DEDAD"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EDA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DA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DB0"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DB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DB2"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DB3"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EDB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DB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DB6"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DB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DB8"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DB9"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EDB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DBB" w14:textId="77777777" w:rsidR="003D72E7" w:rsidRDefault="003D72E7">
            <w:pPr>
              <w:widowControl/>
              <w:jc w:val="left"/>
              <w:rPr>
                <w:rFonts w:ascii="Times New Roman" w:eastAsia="宋体" w:hAnsi="宋体" w:cs="宋体"/>
                <w:kern w:val="0"/>
                <w:sz w:val="24"/>
              </w:rPr>
            </w:pPr>
          </w:p>
        </w:tc>
      </w:tr>
      <w:tr w:rsidR="003D72E7" w14:paraId="619DEDC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DB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EDB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Foreign Currency Translation Adjustments</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DB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619DEDC0"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single" w:sz="8" w:space="0" w:color="000000"/>
              <w:right w:val="nil"/>
            </w:tcBorders>
            <w:shd w:val="clear" w:color="auto" w:fill="auto"/>
            <w:vAlign w:val="bottom"/>
          </w:tcPr>
          <w:p w14:paraId="619DEDC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EDC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Cash Flow Hedges</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DC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EDC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Pension and Other Postretirement Plans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DC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EDC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Accumulated Other Comprehensive Income (Loss)</w:t>
            </w:r>
          </w:p>
        </w:tc>
      </w:tr>
      <w:tr w:rsidR="003D72E7" w14:paraId="619DEDD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DC8" w14:textId="77777777" w:rsidR="003D72E7" w:rsidRDefault="003D72E7">
            <w:pPr>
              <w:widowControl/>
              <w:jc w:val="left"/>
              <w:rPr>
                <w:rFonts w:ascii="Times New Roman" w:eastAsia="宋体" w:hAnsi="宋体" w:cs="宋体"/>
                <w:kern w:val="0"/>
                <w:sz w:val="24"/>
              </w:rPr>
            </w:pPr>
          </w:p>
        </w:tc>
        <w:tc>
          <w:tcPr>
            <w:tcW w:w="0" w:type="auto"/>
            <w:gridSpan w:val="17"/>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DC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c>
          <w:tcPr>
            <w:tcW w:w="0" w:type="auto"/>
            <w:tcBorders>
              <w:top w:val="nil"/>
              <w:left w:val="nil"/>
              <w:bottom w:val="nil"/>
              <w:right w:val="nil"/>
            </w:tcBorders>
            <w:shd w:val="clear" w:color="auto" w:fill="auto"/>
            <w:vAlign w:val="bottom"/>
          </w:tcPr>
          <w:p w14:paraId="619DEDC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DC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DC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DC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DC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DCF" w14:textId="77777777" w:rsidR="003D72E7" w:rsidRDefault="003D72E7">
            <w:pPr>
              <w:widowControl/>
              <w:jc w:val="left"/>
              <w:rPr>
                <w:rFonts w:ascii="Times New Roman" w:eastAsia="宋体" w:hAnsi="宋体" w:cs="宋体"/>
                <w:kern w:val="0"/>
                <w:sz w:val="24"/>
              </w:rPr>
            </w:pPr>
          </w:p>
        </w:tc>
      </w:tr>
      <w:tr w:rsidR="003D72E7" w14:paraId="619DEDE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EDD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Balances as of January 29, </w:t>
            </w:r>
            <w:r>
              <w:rPr>
                <w:rFonts w:ascii="Times New Roman" w:eastAsia="宋体" w:hAnsi="Times New Roman" w:cs="Times New Roman"/>
                <w:i/>
                <w:iCs/>
                <w:color w:val="000000"/>
                <w:kern w:val="0"/>
                <w:sz w:val="20"/>
                <w:szCs w:val="20"/>
                <w:lang w:bidi="ar"/>
              </w:rPr>
              <w:t>2021</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DD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DD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DD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DD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DD6"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DD7"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DD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DD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DD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DD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DD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DD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DD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DD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EDE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EDE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DE2" w14:textId="77777777" w:rsidR="003D72E7" w:rsidRDefault="003D72E7">
            <w:pPr>
              <w:widowControl/>
              <w:jc w:val="right"/>
              <w:rPr>
                <w:rFonts w:ascii="Times New Roman" w:eastAsia="宋体" w:hAnsi="宋体" w:cs="宋体"/>
                <w:kern w:val="0"/>
                <w:sz w:val="24"/>
              </w:rPr>
            </w:pPr>
          </w:p>
        </w:tc>
      </w:tr>
      <w:tr w:rsidR="003D72E7" w14:paraId="619DEDEE" w14:textId="77777777">
        <w:trPr>
          <w:jc w:val="center"/>
          <w:hidden/>
        </w:trPr>
        <w:tc>
          <w:tcPr>
            <w:tcW w:w="0" w:type="auto"/>
            <w:gridSpan w:val="3"/>
            <w:tcBorders>
              <w:top w:val="nil"/>
              <w:left w:val="nil"/>
              <w:bottom w:val="nil"/>
              <w:right w:val="nil"/>
            </w:tcBorders>
            <w:shd w:val="clear" w:color="auto" w:fill="auto"/>
            <w:vAlign w:val="bottom"/>
          </w:tcPr>
          <w:p w14:paraId="619DEDE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DE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DE6"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DE7"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DE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DE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DE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DE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DE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DED" w14:textId="77777777" w:rsidR="003D72E7" w:rsidRDefault="003D72E7">
            <w:pPr>
              <w:widowControl/>
              <w:jc w:val="left"/>
              <w:rPr>
                <w:rFonts w:ascii="Times New Roman" w:eastAsia="宋体" w:hAnsi="宋体" w:cs="宋体"/>
                <w:vanish/>
                <w:kern w:val="0"/>
                <w:sz w:val="24"/>
              </w:rPr>
            </w:pPr>
          </w:p>
        </w:tc>
      </w:tr>
      <w:tr w:rsidR="003D72E7" w14:paraId="619DEDFD" w14:textId="77777777">
        <w:trPr>
          <w:jc w:val="center"/>
        </w:trPr>
        <w:tc>
          <w:tcPr>
            <w:tcW w:w="0" w:type="auto"/>
            <w:gridSpan w:val="3"/>
            <w:tcBorders>
              <w:top w:val="nil"/>
              <w:left w:val="nil"/>
              <w:bottom w:val="nil"/>
              <w:right w:val="nil"/>
            </w:tcBorders>
            <w:shd w:val="clear" w:color="auto" w:fill="FFFFFF"/>
            <w:tcMar>
              <w:top w:w="40" w:type="dxa"/>
              <w:left w:w="125" w:type="dxa"/>
              <w:bottom w:w="40" w:type="dxa"/>
              <w:right w:w="20" w:type="dxa"/>
            </w:tcMar>
            <w:vAlign w:val="bottom"/>
          </w:tcPr>
          <w:p w14:paraId="619DEDE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comprehensive income (loss) before reclassifications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DF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DF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DF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DF3"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DF4" w14:textId="77777777" w:rsidR="003D72E7" w:rsidRDefault="003D72E7">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DF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DF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DF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DF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DF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DF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EDF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EDFC" w14:textId="77777777" w:rsidR="003D72E7" w:rsidRDefault="003D72E7">
            <w:pPr>
              <w:widowControl/>
              <w:jc w:val="right"/>
              <w:rPr>
                <w:rFonts w:ascii="Times New Roman" w:eastAsia="宋体" w:hAnsi="宋体" w:cs="宋体"/>
                <w:kern w:val="0"/>
                <w:sz w:val="24"/>
              </w:rPr>
            </w:pPr>
          </w:p>
        </w:tc>
      </w:tr>
      <w:tr w:rsidR="003D72E7" w14:paraId="619DEE0C" w14:textId="77777777">
        <w:trPr>
          <w:jc w:val="center"/>
        </w:trPr>
        <w:tc>
          <w:tcPr>
            <w:tcW w:w="0" w:type="auto"/>
            <w:gridSpan w:val="3"/>
            <w:tcBorders>
              <w:top w:val="nil"/>
              <w:left w:val="nil"/>
              <w:bottom w:val="nil"/>
              <w:right w:val="nil"/>
            </w:tcBorders>
            <w:shd w:val="clear" w:color="auto" w:fill="CCEEFF"/>
            <w:tcMar>
              <w:top w:w="40" w:type="dxa"/>
              <w:left w:w="125" w:type="dxa"/>
              <w:bottom w:w="40" w:type="dxa"/>
              <w:right w:w="20" w:type="dxa"/>
            </w:tcMar>
            <w:vAlign w:val="bottom"/>
          </w:tcPr>
          <w:p w14:paraId="619DEDF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Amounts reclassified from accumulated other comprehensive income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DF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E0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0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02"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03" w14:textId="77777777" w:rsidR="003D72E7" w:rsidRDefault="003D72E7">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E0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E0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0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E0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E0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0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E0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E0B" w14:textId="77777777" w:rsidR="003D72E7" w:rsidRDefault="003D72E7">
            <w:pPr>
              <w:widowControl/>
              <w:jc w:val="right"/>
              <w:rPr>
                <w:rFonts w:ascii="Times New Roman" w:eastAsia="宋体" w:hAnsi="宋体" w:cs="宋体"/>
                <w:kern w:val="0"/>
                <w:sz w:val="24"/>
              </w:rPr>
            </w:pPr>
          </w:p>
        </w:tc>
      </w:tr>
      <w:tr w:rsidR="003D72E7" w14:paraId="619DEE1B" w14:textId="77777777">
        <w:trPr>
          <w:jc w:val="center"/>
        </w:trPr>
        <w:tc>
          <w:tcPr>
            <w:tcW w:w="0" w:type="auto"/>
            <w:gridSpan w:val="3"/>
            <w:tcBorders>
              <w:top w:val="nil"/>
              <w:left w:val="nil"/>
              <w:bottom w:val="nil"/>
              <w:right w:val="nil"/>
            </w:tcBorders>
            <w:shd w:val="clear" w:color="auto" w:fill="FFFFFF"/>
            <w:tcMar>
              <w:top w:w="40" w:type="dxa"/>
              <w:left w:w="275" w:type="dxa"/>
              <w:bottom w:w="40" w:type="dxa"/>
              <w:right w:w="20" w:type="dxa"/>
            </w:tcMar>
            <w:vAlign w:val="bottom"/>
          </w:tcPr>
          <w:p w14:paraId="619DEE0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change for the period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E0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EE0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E1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11"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12" w14:textId="77777777" w:rsidR="003D72E7" w:rsidRDefault="003D72E7">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E1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EE1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E15"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E1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EE1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E18"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EE1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EE1A" w14:textId="77777777" w:rsidR="003D72E7" w:rsidRDefault="003D72E7">
            <w:pPr>
              <w:widowControl/>
              <w:jc w:val="right"/>
              <w:rPr>
                <w:rFonts w:ascii="Times New Roman" w:eastAsia="宋体" w:hAnsi="宋体" w:cs="宋体"/>
                <w:kern w:val="0"/>
                <w:sz w:val="24"/>
              </w:rPr>
            </w:pPr>
          </w:p>
        </w:tc>
      </w:tr>
      <w:tr w:rsidR="003D72E7" w14:paraId="619DEE2A" w14:textId="77777777">
        <w:trPr>
          <w:jc w:val="center"/>
        </w:trPr>
        <w:tc>
          <w:tcPr>
            <w:tcW w:w="0" w:type="auto"/>
            <w:gridSpan w:val="3"/>
            <w:tcBorders>
              <w:top w:val="nil"/>
              <w:left w:val="nil"/>
              <w:bottom w:val="nil"/>
              <w:right w:val="nil"/>
            </w:tcBorders>
            <w:shd w:val="clear" w:color="auto" w:fill="CCEEFF"/>
            <w:tcMar>
              <w:top w:w="40" w:type="dxa"/>
              <w:left w:w="125" w:type="dxa"/>
              <w:bottom w:w="40" w:type="dxa"/>
              <w:right w:w="20" w:type="dxa"/>
            </w:tcMar>
            <w:vAlign w:val="bottom"/>
          </w:tcPr>
          <w:p w14:paraId="619DEE1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Less: Change in comprehensive income (loss) attributable to 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E1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E1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1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20"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21" w14:textId="77777777" w:rsidR="003D72E7" w:rsidRDefault="003D72E7">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E2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E2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2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E2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E2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2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EE2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EE29" w14:textId="77777777" w:rsidR="003D72E7" w:rsidRDefault="003D72E7">
            <w:pPr>
              <w:widowControl/>
              <w:jc w:val="right"/>
              <w:rPr>
                <w:rFonts w:ascii="Times New Roman" w:eastAsia="宋体" w:hAnsi="宋体" w:cs="宋体"/>
                <w:kern w:val="0"/>
                <w:sz w:val="24"/>
              </w:rPr>
            </w:pPr>
          </w:p>
        </w:tc>
      </w:tr>
      <w:tr w:rsidR="003D72E7" w14:paraId="619DEE3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EE2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Balances as of July 30, 2021</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E2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E2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E2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E2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30"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31" w14:textId="77777777" w:rsidR="003D72E7" w:rsidRDefault="003D72E7">
            <w:pPr>
              <w:widowControl/>
              <w:jc w:val="left"/>
              <w:rPr>
                <w:rFonts w:ascii="Times New Roman" w:eastAsia="宋体" w:hAnsi="宋体" w:cs="宋体"/>
                <w:vanish/>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E3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E3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E3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E35"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E3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E3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E3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E39"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EE3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EE3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EE3C" w14:textId="77777777" w:rsidR="003D72E7" w:rsidRDefault="003D72E7">
            <w:pPr>
              <w:widowControl/>
              <w:jc w:val="right"/>
              <w:rPr>
                <w:rFonts w:ascii="Times New Roman" w:eastAsia="宋体" w:hAnsi="宋体" w:cs="宋体"/>
                <w:kern w:val="0"/>
                <w:sz w:val="24"/>
              </w:rPr>
            </w:pPr>
          </w:p>
        </w:tc>
      </w:tr>
    </w:tbl>
    <w:p w14:paraId="619DEE3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E3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Amounts related t</w:t>
      </w:r>
      <w:r>
        <w:rPr>
          <w:rFonts w:ascii="Times New Roman" w:eastAsia="宋体" w:hAnsi="Times New Roman" w:cs="Times New Roman"/>
          <w:color w:val="000000"/>
          <w:kern w:val="0"/>
          <w:sz w:val="20"/>
          <w:szCs w:val="20"/>
          <w:lang w:bidi="ar"/>
        </w:rPr>
        <w:t>o the Company’s cash flow hedges are reclassified to net income during the same period in which the items being hedged are recognized in earnings. See Note 6 of the Notes to the Condensed Consolidated Financial Statements for more information on the Compan</w:t>
      </w:r>
      <w:r>
        <w:rPr>
          <w:rFonts w:ascii="Times New Roman" w:eastAsia="宋体" w:hAnsi="Times New Roman" w:cs="Times New Roman"/>
          <w:color w:val="000000"/>
          <w:kern w:val="0"/>
          <w:sz w:val="20"/>
          <w:szCs w:val="20"/>
          <w:lang w:bidi="ar"/>
        </w:rPr>
        <w:t>y’s derivative instruments.</w:t>
      </w:r>
    </w:p>
    <w:p w14:paraId="619DEE4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EE41"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E4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45</w:t>
      </w:r>
    </w:p>
    <w:p w14:paraId="619DEE4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E44" w14:textId="77777777" w:rsidR="003D72E7" w:rsidRDefault="00AD6774">
      <w:pPr>
        <w:widowControl/>
        <w:jc w:val="center"/>
      </w:pPr>
      <w:r>
        <w:rPr>
          <w:rFonts w:ascii="宋体" w:eastAsia="宋体" w:hAnsi="宋体" w:cs="宋体"/>
          <w:kern w:val="0"/>
          <w:sz w:val="24"/>
        </w:rPr>
        <w:pict w14:anchorId="619E0D98">
          <v:rect id="_x0000_i1069" style="width:6in;height:1.5pt" o:hralign="center" o:hrstd="t" o:hr="t" fillcolor="#a0a0a0" stroked="f"/>
        </w:pict>
      </w:r>
    </w:p>
    <w:p w14:paraId="619DEE45"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E46"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E47"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EE48"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EE49"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E4A"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w:t>
      </w:r>
      <w:r>
        <w:rPr>
          <w:rFonts w:ascii="Times New Roman" w:eastAsia="宋体" w:hAnsi="Times New Roman" w:cs="Times New Roman"/>
          <w:color w:val="000000"/>
          <w:kern w:val="0"/>
          <w:sz w:val="20"/>
          <w:szCs w:val="20"/>
          <w:lang w:bidi="ar"/>
        </w:rPr>
        <w:t>presents reclassifications out of accumulated other comprehensive income (loss), net of tax, to net income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9"/>
        <w:gridCol w:w="2468"/>
        <w:gridCol w:w="37"/>
        <w:gridCol w:w="36"/>
        <w:gridCol w:w="36"/>
        <w:gridCol w:w="121"/>
        <w:gridCol w:w="692"/>
        <w:gridCol w:w="36"/>
        <w:gridCol w:w="36"/>
        <w:gridCol w:w="36"/>
        <w:gridCol w:w="36"/>
        <w:gridCol w:w="121"/>
        <w:gridCol w:w="704"/>
        <w:gridCol w:w="36"/>
        <w:gridCol w:w="36"/>
        <w:gridCol w:w="36"/>
        <w:gridCol w:w="36"/>
        <w:gridCol w:w="121"/>
        <w:gridCol w:w="681"/>
        <w:gridCol w:w="36"/>
        <w:gridCol w:w="36"/>
        <w:gridCol w:w="36"/>
        <w:gridCol w:w="36"/>
        <w:gridCol w:w="36"/>
        <w:gridCol w:w="36"/>
        <w:gridCol w:w="121"/>
        <w:gridCol w:w="693"/>
        <w:gridCol w:w="36"/>
        <w:gridCol w:w="36"/>
        <w:gridCol w:w="36"/>
        <w:gridCol w:w="36"/>
        <w:gridCol w:w="121"/>
        <w:gridCol w:w="704"/>
        <w:gridCol w:w="36"/>
        <w:gridCol w:w="36"/>
        <w:gridCol w:w="36"/>
        <w:gridCol w:w="36"/>
        <w:gridCol w:w="120"/>
        <w:gridCol w:w="683"/>
        <w:gridCol w:w="36"/>
      </w:tblGrid>
      <w:tr w:rsidR="003D72E7" w14:paraId="619DEE73" w14:textId="77777777">
        <w:tc>
          <w:tcPr>
            <w:tcW w:w="50" w:type="pct"/>
            <w:tcBorders>
              <w:top w:val="nil"/>
              <w:left w:val="nil"/>
              <w:bottom w:val="nil"/>
              <w:right w:val="nil"/>
            </w:tcBorders>
            <w:shd w:val="clear" w:color="auto" w:fill="auto"/>
            <w:vAlign w:val="bottom"/>
          </w:tcPr>
          <w:p w14:paraId="619DEE4B" w14:textId="77777777" w:rsidR="003D72E7" w:rsidRDefault="003D72E7">
            <w:pPr>
              <w:widowControl/>
              <w:jc w:val="left"/>
              <w:rPr>
                <w:rFonts w:ascii="Times New Roman" w:eastAsia="宋体" w:hAnsi="宋体" w:cs="宋体"/>
                <w:kern w:val="0"/>
                <w:sz w:val="24"/>
              </w:rPr>
            </w:pPr>
          </w:p>
        </w:tc>
        <w:tc>
          <w:tcPr>
            <w:tcW w:w="1597" w:type="pct"/>
            <w:tcBorders>
              <w:top w:val="nil"/>
              <w:left w:val="nil"/>
              <w:bottom w:val="nil"/>
              <w:right w:val="nil"/>
            </w:tcBorders>
            <w:shd w:val="clear" w:color="auto" w:fill="auto"/>
            <w:vAlign w:val="bottom"/>
          </w:tcPr>
          <w:p w14:paraId="619DEE4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E4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4E"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4F" w14:textId="77777777" w:rsidR="003D72E7" w:rsidRDefault="003D72E7">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619DEE50" w14:textId="77777777" w:rsidR="003D72E7" w:rsidRDefault="003D72E7">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619DEE5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E5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E5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E5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E5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E56" w14:textId="77777777" w:rsidR="003D72E7" w:rsidRDefault="003D72E7">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619DEE5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E5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E5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E5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E5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E5C" w14:textId="77777777" w:rsidR="003D72E7" w:rsidRDefault="003D72E7">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619DEE5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E5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E5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E6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E6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62"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63" w14:textId="77777777" w:rsidR="003D72E7" w:rsidRDefault="003D72E7">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619DEE64" w14:textId="77777777" w:rsidR="003D72E7" w:rsidRDefault="003D72E7">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619DEE6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E6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E67"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E6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E6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E6A" w14:textId="77777777" w:rsidR="003D72E7" w:rsidRDefault="003D72E7">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619DEE6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E6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E6D"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EE6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E6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EE70" w14:textId="77777777" w:rsidR="003D72E7" w:rsidRDefault="003D72E7">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619DEE7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EE72" w14:textId="77777777" w:rsidR="003D72E7" w:rsidRDefault="003D72E7">
            <w:pPr>
              <w:widowControl/>
              <w:jc w:val="left"/>
              <w:rPr>
                <w:rFonts w:ascii="Times New Roman" w:eastAsia="宋体" w:hAnsi="宋体" w:cs="宋体"/>
                <w:kern w:val="0"/>
                <w:sz w:val="24"/>
              </w:rPr>
            </w:pPr>
          </w:p>
        </w:tc>
      </w:tr>
      <w:tr w:rsidR="003D72E7" w14:paraId="619DEE7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E7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75"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76" w14:textId="77777777" w:rsidR="003D72E7" w:rsidRDefault="003D72E7">
            <w:pPr>
              <w:widowControl/>
              <w:jc w:val="left"/>
              <w:rPr>
                <w:rFonts w:ascii="Times New Roman" w:eastAsia="宋体" w:hAnsi="宋体" w:cs="宋体"/>
                <w:vanish/>
                <w:kern w:val="0"/>
                <w:sz w:val="24"/>
              </w:rPr>
            </w:pPr>
          </w:p>
        </w:tc>
        <w:tc>
          <w:tcPr>
            <w:tcW w:w="0" w:type="auto"/>
            <w:gridSpan w:val="29"/>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EE7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tcBorders>
              <w:top w:val="nil"/>
              <w:left w:val="nil"/>
              <w:bottom w:val="single" w:sz="8" w:space="0" w:color="000000"/>
              <w:right w:val="nil"/>
            </w:tcBorders>
            <w:shd w:val="clear" w:color="auto" w:fill="auto"/>
            <w:vAlign w:val="bottom"/>
          </w:tcPr>
          <w:p w14:paraId="619DEE7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619DEE7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619DEE7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619DEE7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619DEE7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619DEE7D" w14:textId="77777777" w:rsidR="003D72E7" w:rsidRDefault="003D72E7">
            <w:pPr>
              <w:widowControl/>
              <w:jc w:val="left"/>
              <w:rPr>
                <w:rFonts w:ascii="Times New Roman" w:eastAsia="宋体" w:hAnsi="宋体" w:cs="宋体"/>
                <w:kern w:val="0"/>
                <w:sz w:val="24"/>
              </w:rPr>
            </w:pPr>
          </w:p>
        </w:tc>
      </w:tr>
      <w:tr w:rsidR="003D72E7" w14:paraId="619DEE8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E7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80"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81" w14:textId="77777777" w:rsidR="003D72E7" w:rsidRDefault="003D72E7">
            <w:pPr>
              <w:widowControl/>
              <w:jc w:val="left"/>
              <w:rPr>
                <w:rFonts w:ascii="Times New Roman" w:eastAsia="宋体" w:hAnsi="宋体" w:cs="宋体"/>
                <w:vanish/>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E8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EE8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84"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85" w14:textId="77777777" w:rsidR="003D72E7" w:rsidRDefault="003D72E7">
            <w:pPr>
              <w:widowControl/>
              <w:jc w:val="left"/>
              <w:rPr>
                <w:rFonts w:ascii="Times New Roman" w:eastAsia="宋体" w:hAnsi="宋体" w:cs="宋体"/>
                <w:vanish/>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E8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EE9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E8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89"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8A" w14:textId="77777777" w:rsidR="003D72E7" w:rsidRDefault="003D72E7">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E8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Cash Flow Hedges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E8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E8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Pensions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E8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E8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E9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619DEE91"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single" w:sz="8" w:space="0" w:color="000000"/>
              <w:right w:val="nil"/>
            </w:tcBorders>
            <w:shd w:val="clear" w:color="auto" w:fill="auto"/>
            <w:vAlign w:val="bottom"/>
          </w:tcPr>
          <w:p w14:paraId="619DEE92" w14:textId="77777777" w:rsidR="003D72E7" w:rsidRDefault="003D72E7">
            <w:pPr>
              <w:widowControl/>
              <w:jc w:val="left"/>
              <w:rPr>
                <w:rFonts w:ascii="Times New Roman" w:eastAsia="宋体" w:hAnsi="宋体" w:cs="宋体"/>
                <w:vanish/>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E9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Cash Flow Hedges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E94"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E9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Pensions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EE96"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E9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3D72E7" w14:paraId="619DEEA3"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E9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9A"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9B" w14:textId="77777777" w:rsidR="003D72E7" w:rsidRDefault="003D72E7">
            <w:pPr>
              <w:widowControl/>
              <w:jc w:val="left"/>
              <w:rPr>
                <w:rFonts w:ascii="Times New Roman" w:eastAsia="宋体" w:hAnsi="宋体" w:cs="宋体"/>
                <w:vanish/>
                <w:kern w:val="0"/>
                <w:sz w:val="24"/>
              </w:rPr>
            </w:pPr>
          </w:p>
        </w:tc>
        <w:tc>
          <w:tcPr>
            <w:tcW w:w="0" w:type="auto"/>
            <w:gridSpan w:val="29"/>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619DEE9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c>
          <w:tcPr>
            <w:tcW w:w="0" w:type="auto"/>
            <w:tcBorders>
              <w:top w:val="nil"/>
              <w:left w:val="nil"/>
              <w:bottom w:val="nil"/>
              <w:right w:val="nil"/>
            </w:tcBorders>
            <w:shd w:val="clear" w:color="auto" w:fill="auto"/>
            <w:vAlign w:val="bottom"/>
          </w:tcPr>
          <w:p w14:paraId="619DEE9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9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9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A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A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A2" w14:textId="77777777" w:rsidR="003D72E7" w:rsidRDefault="003D72E7">
            <w:pPr>
              <w:widowControl/>
              <w:jc w:val="left"/>
              <w:rPr>
                <w:rFonts w:ascii="Times New Roman" w:eastAsia="宋体" w:hAnsi="宋体" w:cs="宋体"/>
                <w:kern w:val="0"/>
                <w:sz w:val="24"/>
              </w:rPr>
            </w:pPr>
          </w:p>
        </w:tc>
      </w:tr>
      <w:tr w:rsidR="003D72E7" w14:paraId="619DEEB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EA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Total reclassifications, net of tax:</w:t>
            </w:r>
          </w:p>
        </w:tc>
        <w:tc>
          <w:tcPr>
            <w:tcW w:w="0" w:type="auto"/>
            <w:tcBorders>
              <w:top w:val="nil"/>
              <w:left w:val="nil"/>
              <w:bottom w:val="nil"/>
              <w:right w:val="nil"/>
            </w:tcBorders>
            <w:shd w:val="clear" w:color="auto" w:fill="auto"/>
            <w:vAlign w:val="bottom"/>
          </w:tcPr>
          <w:p w14:paraId="619DEEA5"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A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A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A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A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A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A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A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AD"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A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A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B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B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B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B3" w14:textId="77777777" w:rsidR="003D72E7" w:rsidRDefault="003D72E7">
            <w:pPr>
              <w:widowControl/>
              <w:jc w:val="left"/>
              <w:rPr>
                <w:rFonts w:ascii="Times New Roman" w:eastAsia="宋体" w:hAnsi="宋体" w:cs="宋体"/>
                <w:kern w:val="0"/>
                <w:sz w:val="24"/>
              </w:rPr>
            </w:pPr>
          </w:p>
        </w:tc>
      </w:tr>
      <w:tr w:rsidR="003D72E7" w14:paraId="619DEED1"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EEB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Net revenue</w:t>
            </w:r>
          </w:p>
        </w:tc>
        <w:tc>
          <w:tcPr>
            <w:tcW w:w="0" w:type="auto"/>
            <w:tcBorders>
              <w:top w:val="nil"/>
              <w:left w:val="nil"/>
              <w:bottom w:val="nil"/>
              <w:right w:val="nil"/>
            </w:tcBorders>
            <w:shd w:val="clear" w:color="auto" w:fill="auto"/>
            <w:vAlign w:val="bottom"/>
          </w:tcPr>
          <w:p w14:paraId="619DEEB6"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B7"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EB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EB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EB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EB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EB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EB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EB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EB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EC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EC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EC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EC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C4"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C5"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EC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EC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EC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EC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EC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EC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EC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EC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EC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EC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ED0" w14:textId="77777777" w:rsidR="003D72E7" w:rsidRDefault="003D72E7">
            <w:pPr>
              <w:widowControl/>
              <w:jc w:val="right"/>
              <w:rPr>
                <w:rFonts w:ascii="Times New Roman" w:eastAsia="宋体" w:hAnsi="宋体" w:cs="宋体"/>
                <w:kern w:val="0"/>
                <w:sz w:val="24"/>
              </w:rPr>
            </w:pPr>
          </w:p>
        </w:tc>
      </w:tr>
      <w:tr w:rsidR="003D72E7" w14:paraId="619DEEE8"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DEED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Cost of net revenue</w:t>
            </w:r>
          </w:p>
        </w:tc>
        <w:tc>
          <w:tcPr>
            <w:tcW w:w="0" w:type="auto"/>
            <w:tcBorders>
              <w:top w:val="nil"/>
              <w:left w:val="nil"/>
              <w:bottom w:val="nil"/>
              <w:right w:val="nil"/>
            </w:tcBorders>
            <w:shd w:val="clear" w:color="auto" w:fill="auto"/>
            <w:vAlign w:val="bottom"/>
          </w:tcPr>
          <w:p w14:paraId="619DEED3"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D4" w14:textId="77777777" w:rsidR="003D72E7" w:rsidRDefault="003D72E7">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ED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ED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D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ED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ED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D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ED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ED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D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DE"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DF" w14:textId="77777777" w:rsidR="003D72E7" w:rsidRDefault="003D72E7">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EE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EE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E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EE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EE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EE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EE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EE7" w14:textId="77777777" w:rsidR="003D72E7" w:rsidRDefault="003D72E7">
            <w:pPr>
              <w:widowControl/>
              <w:jc w:val="right"/>
              <w:rPr>
                <w:rFonts w:ascii="Times New Roman" w:eastAsia="宋体" w:hAnsi="宋体" w:cs="宋体"/>
                <w:kern w:val="0"/>
                <w:sz w:val="24"/>
              </w:rPr>
            </w:pPr>
          </w:p>
        </w:tc>
      </w:tr>
      <w:tr w:rsidR="003D72E7" w14:paraId="619DEEFF"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EEE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Operating expenses</w:t>
            </w:r>
          </w:p>
        </w:tc>
        <w:tc>
          <w:tcPr>
            <w:tcW w:w="0" w:type="auto"/>
            <w:tcBorders>
              <w:top w:val="nil"/>
              <w:left w:val="nil"/>
              <w:bottom w:val="nil"/>
              <w:right w:val="nil"/>
            </w:tcBorders>
            <w:shd w:val="clear" w:color="auto" w:fill="auto"/>
            <w:vAlign w:val="bottom"/>
          </w:tcPr>
          <w:p w14:paraId="619DEEEA"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EB" w14:textId="77777777" w:rsidR="003D72E7" w:rsidRDefault="003D72E7">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EE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EE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EE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EE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EF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EF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EF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EF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EF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EF5"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EF6" w14:textId="77777777" w:rsidR="003D72E7" w:rsidRDefault="003D72E7">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EF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EF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EF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EF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EF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EF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EF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EFE" w14:textId="77777777" w:rsidR="003D72E7" w:rsidRDefault="003D72E7">
            <w:pPr>
              <w:widowControl/>
              <w:jc w:val="right"/>
              <w:rPr>
                <w:rFonts w:ascii="Times New Roman" w:eastAsia="宋体" w:hAnsi="宋体" w:cs="宋体"/>
                <w:kern w:val="0"/>
                <w:sz w:val="24"/>
              </w:rPr>
            </w:pPr>
          </w:p>
        </w:tc>
      </w:tr>
      <w:tr w:rsidR="003D72E7" w14:paraId="619DEF10" w14:textId="77777777">
        <w:trPr>
          <w:hidden/>
        </w:trPr>
        <w:tc>
          <w:tcPr>
            <w:tcW w:w="0" w:type="auto"/>
            <w:gridSpan w:val="3"/>
            <w:tcBorders>
              <w:top w:val="nil"/>
              <w:left w:val="nil"/>
              <w:bottom w:val="nil"/>
              <w:right w:val="nil"/>
            </w:tcBorders>
            <w:shd w:val="clear" w:color="auto" w:fill="auto"/>
            <w:vAlign w:val="bottom"/>
          </w:tcPr>
          <w:p w14:paraId="619DEF00"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01"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0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0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0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0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0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0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08"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09"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0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0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0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0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0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0F" w14:textId="77777777" w:rsidR="003D72E7" w:rsidRDefault="003D72E7">
            <w:pPr>
              <w:widowControl/>
              <w:jc w:val="left"/>
              <w:rPr>
                <w:rFonts w:ascii="Times New Roman" w:eastAsia="宋体" w:hAnsi="宋体" w:cs="宋体"/>
                <w:vanish/>
                <w:kern w:val="0"/>
                <w:sz w:val="24"/>
              </w:rPr>
            </w:pPr>
          </w:p>
        </w:tc>
      </w:tr>
      <w:tr w:rsidR="003D72E7" w14:paraId="619DEF2D"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center"/>
          </w:tcPr>
          <w:p w14:paraId="619DEF1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reclassifications, net of tax</w:t>
            </w:r>
          </w:p>
        </w:tc>
        <w:tc>
          <w:tcPr>
            <w:tcW w:w="0" w:type="auto"/>
            <w:tcBorders>
              <w:top w:val="nil"/>
              <w:left w:val="nil"/>
              <w:bottom w:val="nil"/>
              <w:right w:val="nil"/>
            </w:tcBorders>
            <w:shd w:val="clear" w:color="auto" w:fill="auto"/>
            <w:vAlign w:val="bottom"/>
          </w:tcPr>
          <w:p w14:paraId="619DEF12"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13" w14:textId="77777777" w:rsidR="003D72E7" w:rsidRDefault="003D72E7">
            <w:pPr>
              <w:widowControl/>
              <w:jc w:val="left"/>
              <w:rPr>
                <w:rFonts w:ascii="Times New Roman" w:eastAsia="宋体" w:hAnsi="宋体" w:cs="宋体"/>
                <w:vanish/>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EF1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F1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F1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1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EF1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F1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F1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1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EF1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F1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F1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1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20"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21" w14:textId="77777777" w:rsidR="003D72E7" w:rsidRDefault="003D72E7">
            <w:pPr>
              <w:widowControl/>
              <w:jc w:val="left"/>
              <w:rPr>
                <w:rFonts w:ascii="Times New Roman" w:eastAsia="宋体" w:hAnsi="宋体" w:cs="宋体"/>
                <w:vanish/>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EF2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F2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F2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25"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EF2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F2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F2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29"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EF2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F2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F2C" w14:textId="77777777" w:rsidR="003D72E7" w:rsidRDefault="003D72E7">
            <w:pPr>
              <w:widowControl/>
              <w:jc w:val="right"/>
              <w:rPr>
                <w:rFonts w:ascii="Times New Roman" w:eastAsia="宋体" w:hAnsi="宋体" w:cs="宋体"/>
                <w:kern w:val="0"/>
                <w:sz w:val="24"/>
              </w:rPr>
            </w:pPr>
          </w:p>
        </w:tc>
      </w:tr>
      <w:tr w:rsidR="003D72E7" w14:paraId="619DEF3E"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F2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2F"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30" w14:textId="77777777" w:rsidR="003D72E7" w:rsidRDefault="003D72E7">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DEF3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F32"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DEF3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F34"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DEF3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F3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37"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38" w14:textId="77777777" w:rsidR="003D72E7" w:rsidRDefault="003D72E7">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DEF3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F3A"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DEF3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F3C"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DEF3D" w14:textId="77777777" w:rsidR="003D72E7" w:rsidRDefault="003D72E7">
            <w:pPr>
              <w:widowControl/>
              <w:jc w:val="left"/>
              <w:rPr>
                <w:rFonts w:ascii="Times New Roman" w:eastAsia="宋体" w:hAnsi="宋体" w:cs="宋体"/>
                <w:kern w:val="0"/>
                <w:sz w:val="24"/>
              </w:rPr>
            </w:pPr>
          </w:p>
        </w:tc>
      </w:tr>
      <w:tr w:rsidR="003D72E7" w14:paraId="619DEF4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F3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40"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41" w14:textId="77777777" w:rsidR="003D72E7" w:rsidRDefault="003D72E7">
            <w:pPr>
              <w:widowControl/>
              <w:jc w:val="left"/>
              <w:rPr>
                <w:rFonts w:ascii="Times New Roman" w:eastAsia="宋体" w:hAnsi="宋体" w:cs="宋体"/>
                <w:vanish/>
                <w:kern w:val="0"/>
                <w:sz w:val="24"/>
              </w:rPr>
            </w:pPr>
          </w:p>
        </w:tc>
        <w:tc>
          <w:tcPr>
            <w:tcW w:w="0" w:type="auto"/>
            <w:gridSpan w:val="29"/>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619DEF4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c>
          <w:tcPr>
            <w:tcW w:w="0" w:type="auto"/>
            <w:tcBorders>
              <w:top w:val="nil"/>
              <w:left w:val="nil"/>
              <w:bottom w:val="single" w:sz="8" w:space="0" w:color="000000"/>
              <w:right w:val="nil"/>
            </w:tcBorders>
            <w:shd w:val="clear" w:color="auto" w:fill="auto"/>
            <w:vAlign w:val="bottom"/>
          </w:tcPr>
          <w:p w14:paraId="619DEF4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619DEF4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619DEF4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619DEF4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619DEF4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619DEF48" w14:textId="77777777" w:rsidR="003D72E7" w:rsidRDefault="003D72E7">
            <w:pPr>
              <w:widowControl/>
              <w:jc w:val="left"/>
              <w:rPr>
                <w:rFonts w:ascii="Times New Roman" w:eastAsia="宋体" w:hAnsi="宋体" w:cs="宋体"/>
                <w:kern w:val="0"/>
                <w:sz w:val="24"/>
              </w:rPr>
            </w:pPr>
          </w:p>
        </w:tc>
      </w:tr>
      <w:tr w:rsidR="003D72E7" w14:paraId="619DEF5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F4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4B"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4C" w14:textId="77777777" w:rsidR="003D72E7" w:rsidRDefault="003D72E7">
            <w:pPr>
              <w:widowControl/>
              <w:jc w:val="left"/>
              <w:rPr>
                <w:rFonts w:ascii="Times New Roman" w:eastAsia="宋体" w:hAnsi="宋体" w:cs="宋体"/>
                <w:vanish/>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F4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EF4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4F"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50" w14:textId="77777777" w:rsidR="003D72E7" w:rsidRDefault="003D72E7">
            <w:pPr>
              <w:widowControl/>
              <w:jc w:val="left"/>
              <w:rPr>
                <w:rFonts w:ascii="Times New Roman" w:eastAsia="宋体" w:hAnsi="宋体" w:cs="宋体"/>
                <w:vanish/>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F5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EF6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EF5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54"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55" w14:textId="77777777" w:rsidR="003D72E7" w:rsidRDefault="003D72E7">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EF5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Cash Flow Hedges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F5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F5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Pensions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F5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F5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EF5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619DEF5C"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single" w:sz="8" w:space="0" w:color="000000"/>
              <w:right w:val="nil"/>
            </w:tcBorders>
            <w:shd w:val="clear" w:color="auto" w:fill="auto"/>
            <w:vAlign w:val="bottom"/>
          </w:tcPr>
          <w:p w14:paraId="619DEF5D" w14:textId="77777777" w:rsidR="003D72E7" w:rsidRDefault="003D72E7">
            <w:pPr>
              <w:widowControl/>
              <w:jc w:val="left"/>
              <w:rPr>
                <w:rFonts w:ascii="Times New Roman" w:eastAsia="宋体" w:hAnsi="宋体" w:cs="宋体"/>
                <w:vanish/>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F5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Cash Flow Hedges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EF5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F6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Pensions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EF6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EF6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w:t>
            </w:r>
          </w:p>
        </w:tc>
      </w:tr>
      <w:tr w:rsidR="003D72E7" w14:paraId="619DEF6E"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F6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65"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66" w14:textId="77777777" w:rsidR="003D72E7" w:rsidRDefault="003D72E7">
            <w:pPr>
              <w:widowControl/>
              <w:jc w:val="left"/>
              <w:rPr>
                <w:rFonts w:ascii="Times New Roman" w:eastAsia="宋体" w:hAnsi="宋体" w:cs="宋体"/>
                <w:vanish/>
                <w:kern w:val="0"/>
                <w:sz w:val="24"/>
              </w:rPr>
            </w:pPr>
          </w:p>
        </w:tc>
        <w:tc>
          <w:tcPr>
            <w:tcW w:w="0" w:type="auto"/>
            <w:gridSpan w:val="29"/>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619DEF6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c>
          <w:tcPr>
            <w:tcW w:w="0" w:type="auto"/>
            <w:tcBorders>
              <w:top w:val="nil"/>
              <w:left w:val="nil"/>
              <w:bottom w:val="nil"/>
              <w:right w:val="nil"/>
            </w:tcBorders>
            <w:shd w:val="clear" w:color="auto" w:fill="auto"/>
            <w:vAlign w:val="bottom"/>
          </w:tcPr>
          <w:p w14:paraId="619DEF6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6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6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6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6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6D" w14:textId="77777777" w:rsidR="003D72E7" w:rsidRDefault="003D72E7">
            <w:pPr>
              <w:widowControl/>
              <w:jc w:val="left"/>
              <w:rPr>
                <w:rFonts w:ascii="Times New Roman" w:eastAsia="宋体" w:hAnsi="宋体" w:cs="宋体"/>
                <w:kern w:val="0"/>
                <w:sz w:val="24"/>
              </w:rPr>
            </w:pPr>
          </w:p>
        </w:tc>
      </w:tr>
      <w:tr w:rsidR="003D72E7" w14:paraId="619DEF7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EF6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Total reclassifications, net of tax:</w:t>
            </w:r>
          </w:p>
        </w:tc>
        <w:tc>
          <w:tcPr>
            <w:tcW w:w="0" w:type="auto"/>
            <w:tcBorders>
              <w:top w:val="nil"/>
              <w:left w:val="nil"/>
              <w:bottom w:val="nil"/>
              <w:right w:val="nil"/>
            </w:tcBorders>
            <w:shd w:val="clear" w:color="auto" w:fill="auto"/>
            <w:vAlign w:val="bottom"/>
          </w:tcPr>
          <w:p w14:paraId="619DEF70"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7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7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7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7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7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7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7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78"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7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7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7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7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7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7E" w14:textId="77777777" w:rsidR="003D72E7" w:rsidRDefault="003D72E7">
            <w:pPr>
              <w:widowControl/>
              <w:jc w:val="left"/>
              <w:rPr>
                <w:rFonts w:ascii="Times New Roman" w:eastAsia="宋体" w:hAnsi="宋体" w:cs="宋体"/>
                <w:kern w:val="0"/>
                <w:sz w:val="24"/>
              </w:rPr>
            </w:pPr>
          </w:p>
        </w:tc>
      </w:tr>
      <w:tr w:rsidR="003D72E7" w14:paraId="619DEF9C"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EF8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Net revenue</w:t>
            </w:r>
          </w:p>
        </w:tc>
        <w:tc>
          <w:tcPr>
            <w:tcW w:w="0" w:type="auto"/>
            <w:tcBorders>
              <w:top w:val="nil"/>
              <w:left w:val="nil"/>
              <w:bottom w:val="nil"/>
              <w:right w:val="nil"/>
            </w:tcBorders>
            <w:shd w:val="clear" w:color="auto" w:fill="auto"/>
            <w:vAlign w:val="bottom"/>
          </w:tcPr>
          <w:p w14:paraId="619DEF81"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82"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F8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F8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(35)</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F8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F8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F8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F8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F8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F8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F8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F8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(35)</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F8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F8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8F"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90"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F9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F9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F9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F9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F9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F9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F9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F9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EF9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EF9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F9B" w14:textId="77777777" w:rsidR="003D72E7" w:rsidRDefault="003D72E7">
            <w:pPr>
              <w:widowControl/>
              <w:jc w:val="right"/>
              <w:rPr>
                <w:rFonts w:ascii="Times New Roman" w:eastAsia="宋体" w:hAnsi="宋体" w:cs="宋体"/>
                <w:kern w:val="0"/>
                <w:sz w:val="24"/>
              </w:rPr>
            </w:pPr>
          </w:p>
        </w:tc>
      </w:tr>
      <w:tr w:rsidR="003D72E7" w14:paraId="619DEFB3"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DEF9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Cost of net revenue</w:t>
            </w:r>
          </w:p>
        </w:tc>
        <w:tc>
          <w:tcPr>
            <w:tcW w:w="0" w:type="auto"/>
            <w:tcBorders>
              <w:top w:val="nil"/>
              <w:left w:val="nil"/>
              <w:bottom w:val="nil"/>
              <w:right w:val="nil"/>
            </w:tcBorders>
            <w:shd w:val="clear" w:color="auto" w:fill="auto"/>
            <w:vAlign w:val="bottom"/>
          </w:tcPr>
          <w:p w14:paraId="619DEF9E"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9F" w14:textId="77777777" w:rsidR="003D72E7" w:rsidRDefault="003D72E7">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FA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FA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A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FA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FA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A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FA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FA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A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A9"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AA" w14:textId="77777777" w:rsidR="003D72E7" w:rsidRDefault="003D72E7">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FA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FA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A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FA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FA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B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EFB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EFB2" w14:textId="77777777" w:rsidR="003D72E7" w:rsidRDefault="003D72E7">
            <w:pPr>
              <w:widowControl/>
              <w:jc w:val="right"/>
              <w:rPr>
                <w:rFonts w:ascii="Times New Roman" w:eastAsia="宋体" w:hAnsi="宋体" w:cs="宋体"/>
                <w:kern w:val="0"/>
                <w:sz w:val="24"/>
              </w:rPr>
            </w:pPr>
          </w:p>
        </w:tc>
      </w:tr>
      <w:tr w:rsidR="003D72E7" w14:paraId="619DEFCA"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EFB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Operating expenses</w:t>
            </w:r>
          </w:p>
        </w:tc>
        <w:tc>
          <w:tcPr>
            <w:tcW w:w="0" w:type="auto"/>
            <w:tcBorders>
              <w:top w:val="nil"/>
              <w:left w:val="nil"/>
              <w:bottom w:val="nil"/>
              <w:right w:val="nil"/>
            </w:tcBorders>
            <w:shd w:val="clear" w:color="auto" w:fill="auto"/>
            <w:vAlign w:val="bottom"/>
          </w:tcPr>
          <w:p w14:paraId="619DEFB5"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B6" w14:textId="77777777" w:rsidR="003D72E7" w:rsidRDefault="003D72E7">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FB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FB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FB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FB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FB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FB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FB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FB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FB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C0"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C1" w14:textId="77777777" w:rsidR="003D72E7" w:rsidRDefault="003D72E7">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FC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FC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FC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FC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FC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EFC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EFC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EFC9" w14:textId="77777777" w:rsidR="003D72E7" w:rsidRDefault="003D72E7">
            <w:pPr>
              <w:widowControl/>
              <w:jc w:val="right"/>
              <w:rPr>
                <w:rFonts w:ascii="Times New Roman" w:eastAsia="宋体" w:hAnsi="宋体" w:cs="宋体"/>
                <w:kern w:val="0"/>
                <w:sz w:val="24"/>
              </w:rPr>
            </w:pPr>
          </w:p>
        </w:tc>
      </w:tr>
      <w:tr w:rsidR="003D72E7" w14:paraId="619DEFDB" w14:textId="77777777">
        <w:trPr>
          <w:hidden/>
        </w:trPr>
        <w:tc>
          <w:tcPr>
            <w:tcW w:w="0" w:type="auto"/>
            <w:gridSpan w:val="3"/>
            <w:tcBorders>
              <w:top w:val="nil"/>
              <w:left w:val="nil"/>
              <w:bottom w:val="nil"/>
              <w:right w:val="nil"/>
            </w:tcBorders>
            <w:shd w:val="clear" w:color="auto" w:fill="auto"/>
            <w:vAlign w:val="bottom"/>
          </w:tcPr>
          <w:p w14:paraId="619DEFCB"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CC"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C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C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C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D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D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D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D3"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D4"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D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D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D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D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D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EFDA" w14:textId="77777777" w:rsidR="003D72E7" w:rsidRDefault="003D72E7">
            <w:pPr>
              <w:widowControl/>
              <w:jc w:val="left"/>
              <w:rPr>
                <w:rFonts w:ascii="Times New Roman" w:eastAsia="宋体" w:hAnsi="宋体" w:cs="宋体"/>
                <w:vanish/>
                <w:kern w:val="0"/>
                <w:sz w:val="24"/>
              </w:rPr>
            </w:pPr>
          </w:p>
        </w:tc>
      </w:tr>
      <w:tr w:rsidR="003D72E7" w14:paraId="619DEFF8"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center"/>
          </w:tcPr>
          <w:p w14:paraId="619DEFD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reclassifications, net of tax</w:t>
            </w:r>
          </w:p>
        </w:tc>
        <w:tc>
          <w:tcPr>
            <w:tcW w:w="0" w:type="auto"/>
            <w:tcBorders>
              <w:top w:val="nil"/>
              <w:left w:val="nil"/>
              <w:bottom w:val="nil"/>
              <w:right w:val="nil"/>
            </w:tcBorders>
            <w:shd w:val="clear" w:color="auto" w:fill="auto"/>
            <w:vAlign w:val="bottom"/>
          </w:tcPr>
          <w:p w14:paraId="619DEFDD"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DE" w14:textId="77777777" w:rsidR="003D72E7" w:rsidRDefault="003D72E7">
            <w:pPr>
              <w:widowControl/>
              <w:jc w:val="left"/>
              <w:rPr>
                <w:rFonts w:ascii="Times New Roman" w:eastAsia="宋体" w:hAnsi="宋体" w:cs="宋体"/>
                <w:vanish/>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EFD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FE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FE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E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EFE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FE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FE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E6"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EFE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FE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FE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E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EFEB"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EFEC" w14:textId="77777777" w:rsidR="003D72E7" w:rsidRDefault="003D72E7">
            <w:pPr>
              <w:widowControl/>
              <w:jc w:val="left"/>
              <w:rPr>
                <w:rFonts w:ascii="Times New Roman" w:eastAsia="宋体" w:hAnsi="宋体" w:cs="宋体"/>
                <w:vanish/>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EFE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FE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FE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F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EFF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FF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FF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EFF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619DEFF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EFF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EFF7" w14:textId="77777777" w:rsidR="003D72E7" w:rsidRDefault="003D72E7">
            <w:pPr>
              <w:widowControl/>
              <w:jc w:val="right"/>
              <w:rPr>
                <w:rFonts w:ascii="Times New Roman" w:eastAsia="宋体" w:hAnsi="宋体" w:cs="宋体"/>
                <w:kern w:val="0"/>
                <w:sz w:val="24"/>
              </w:rPr>
            </w:pPr>
          </w:p>
        </w:tc>
      </w:tr>
    </w:tbl>
    <w:p w14:paraId="619DEFF9"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FFA"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46</w:t>
      </w:r>
    </w:p>
    <w:p w14:paraId="619DEFF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EFFC" w14:textId="77777777" w:rsidR="003D72E7" w:rsidRDefault="00AD6774">
      <w:pPr>
        <w:widowControl/>
        <w:jc w:val="center"/>
      </w:pPr>
      <w:r>
        <w:rPr>
          <w:rFonts w:ascii="宋体" w:eastAsia="宋体" w:hAnsi="宋体" w:cs="宋体"/>
          <w:kern w:val="0"/>
          <w:sz w:val="24"/>
        </w:rPr>
        <w:pict w14:anchorId="619E0D99">
          <v:rect id="_x0000_i1070" style="width:6in;height:1.5pt" o:hralign="center" o:hrstd="t" o:hr="t" fillcolor="#a0a0a0" stroked="f"/>
        </w:pict>
      </w:r>
    </w:p>
    <w:p w14:paraId="619DEFFD"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EFF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EFFF"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F00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F001"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00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 12</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b/>
          <w:bCs/>
          <w:color w:val="000000"/>
          <w:kern w:val="0"/>
          <w:sz w:val="20"/>
          <w:szCs w:val="20"/>
          <w:lang w:bidi="ar"/>
        </w:rPr>
        <w:t xml:space="preserve">— NON-CONTROLLING INTERESTS </w:t>
      </w:r>
    </w:p>
    <w:p w14:paraId="619DF00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00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VMware, Inc.</w:t>
      </w:r>
      <w:r>
        <w:rPr>
          <w:rFonts w:ascii="Times New Roman" w:eastAsia="宋体" w:hAnsi="Times New Roman" w:cs="Times New Roman"/>
          <w:color w:val="000000"/>
          <w:kern w:val="0"/>
          <w:sz w:val="20"/>
          <w:szCs w:val="20"/>
          <w:lang w:bidi="ar"/>
        </w:rPr>
        <w:t xml:space="preserve"> — The non-controlling interests’ share of equity in VMware, Inc. is reflected as a component of the non-controlling interests in the Condensed Consolidated Statements of Financial Position and was $5 billion as o</w:t>
      </w:r>
      <w:r>
        <w:rPr>
          <w:rFonts w:ascii="Times New Roman" w:eastAsia="宋体" w:hAnsi="Times New Roman" w:cs="Times New Roman"/>
          <w:color w:val="000000"/>
          <w:kern w:val="0"/>
          <w:sz w:val="20"/>
          <w:szCs w:val="20"/>
          <w:lang w:bidi="ar"/>
        </w:rPr>
        <w:t>f both July 30, 2021 and January 29, 2021. As of both July 30, 2021 and January 29, 2021, the Company held approximately 80.6% of the outstanding equity interest in VMware, Inc.</w:t>
      </w:r>
    </w:p>
    <w:p w14:paraId="619DF00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00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Secureworks</w:t>
      </w:r>
      <w:r>
        <w:rPr>
          <w:rFonts w:ascii="Times New Roman" w:eastAsia="宋体" w:hAnsi="Times New Roman" w:cs="Times New Roman"/>
          <w:color w:val="000000"/>
          <w:kern w:val="0"/>
          <w:sz w:val="20"/>
          <w:szCs w:val="20"/>
          <w:lang w:bidi="ar"/>
        </w:rPr>
        <w:t xml:space="preserve"> — The non-controlling interests’ share of equity in Secureworks is reflected as a component of the non-controlling interests in the Condensed Consolidated Statements of Financial Position and was $105 million and $96 million as of July 30, 2021 and Januar</w:t>
      </w:r>
      <w:r>
        <w:rPr>
          <w:rFonts w:ascii="Times New Roman" w:eastAsia="宋体" w:hAnsi="Times New Roman" w:cs="Times New Roman"/>
          <w:color w:val="000000"/>
          <w:kern w:val="0"/>
          <w:sz w:val="20"/>
          <w:szCs w:val="20"/>
          <w:lang w:bidi="ar"/>
        </w:rPr>
        <w:t>y 29, 2021, respectively. As of July 30, 2021 and January 29, 2021, the Company held approximately 84.1% and 85.7%, respectively, of the outstanding equity interest in Secureworks, excluding restricted stock awards (“RSAs”) and 83.2% and 84.9%, respectivel</w:t>
      </w:r>
      <w:r>
        <w:rPr>
          <w:rFonts w:ascii="Times New Roman" w:eastAsia="宋体" w:hAnsi="Times New Roman" w:cs="Times New Roman"/>
          <w:color w:val="000000"/>
          <w:kern w:val="0"/>
          <w:sz w:val="20"/>
          <w:szCs w:val="20"/>
          <w:lang w:bidi="ar"/>
        </w:rPr>
        <w:t>y, including RSAs.</w:t>
      </w:r>
    </w:p>
    <w:p w14:paraId="619DF00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008"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effect of changes in the Company’s ownership interest in VMware, Inc. and Secureworks on the Company’s equity for the period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9"/>
        <w:gridCol w:w="6419"/>
        <w:gridCol w:w="38"/>
        <w:gridCol w:w="121"/>
        <w:gridCol w:w="1457"/>
        <w:gridCol w:w="36"/>
        <w:gridCol w:w="36"/>
        <w:gridCol w:w="36"/>
        <w:gridCol w:w="36"/>
        <w:gridCol w:w="36"/>
        <w:gridCol w:w="36"/>
        <w:gridCol w:w="36"/>
      </w:tblGrid>
      <w:tr w:rsidR="003D72E7" w14:paraId="619DF011" w14:textId="77777777">
        <w:tc>
          <w:tcPr>
            <w:tcW w:w="50" w:type="pct"/>
            <w:tcBorders>
              <w:top w:val="nil"/>
              <w:left w:val="nil"/>
              <w:bottom w:val="nil"/>
              <w:right w:val="nil"/>
            </w:tcBorders>
            <w:shd w:val="clear" w:color="auto" w:fill="auto"/>
            <w:vAlign w:val="bottom"/>
          </w:tcPr>
          <w:p w14:paraId="619DF009" w14:textId="77777777" w:rsidR="003D72E7" w:rsidRDefault="003D72E7">
            <w:pPr>
              <w:widowControl/>
              <w:jc w:val="left"/>
              <w:rPr>
                <w:rFonts w:ascii="Times New Roman" w:eastAsia="宋体" w:hAnsi="宋体" w:cs="宋体"/>
                <w:kern w:val="0"/>
                <w:sz w:val="24"/>
              </w:rPr>
            </w:pPr>
          </w:p>
        </w:tc>
        <w:tc>
          <w:tcPr>
            <w:tcW w:w="3972" w:type="pct"/>
            <w:tcBorders>
              <w:top w:val="nil"/>
              <w:left w:val="nil"/>
              <w:bottom w:val="nil"/>
              <w:right w:val="nil"/>
            </w:tcBorders>
            <w:shd w:val="clear" w:color="auto" w:fill="auto"/>
            <w:vAlign w:val="bottom"/>
          </w:tcPr>
          <w:p w14:paraId="619DF00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00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00C" w14:textId="77777777" w:rsidR="003D72E7" w:rsidRDefault="003D72E7">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619DF00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00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F00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010" w14:textId="77777777" w:rsidR="003D72E7" w:rsidRDefault="003D72E7">
            <w:pPr>
              <w:widowControl/>
              <w:jc w:val="left"/>
              <w:rPr>
                <w:rFonts w:ascii="Times New Roman" w:eastAsia="宋体" w:hAnsi="宋体" w:cs="宋体"/>
                <w:vanish/>
                <w:kern w:val="0"/>
                <w:sz w:val="24"/>
              </w:rPr>
            </w:pPr>
          </w:p>
        </w:tc>
      </w:tr>
      <w:tr w:rsidR="003D72E7" w14:paraId="619DF01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01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F01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c>
          <w:tcPr>
            <w:tcW w:w="0" w:type="auto"/>
            <w:tcBorders>
              <w:top w:val="nil"/>
              <w:left w:val="nil"/>
              <w:bottom w:val="nil"/>
              <w:right w:val="nil"/>
            </w:tcBorders>
            <w:shd w:val="clear" w:color="auto" w:fill="auto"/>
            <w:vAlign w:val="bottom"/>
          </w:tcPr>
          <w:p w14:paraId="619DF01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F01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F01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F01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F01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F019" w14:textId="77777777" w:rsidR="003D72E7" w:rsidRDefault="003D72E7">
            <w:pPr>
              <w:widowControl/>
              <w:jc w:val="left"/>
              <w:rPr>
                <w:rFonts w:ascii="Times New Roman" w:eastAsia="宋体" w:hAnsi="宋体" w:cs="宋体"/>
                <w:kern w:val="0"/>
                <w:sz w:val="24"/>
              </w:rPr>
            </w:pPr>
          </w:p>
        </w:tc>
      </w:tr>
      <w:tr w:rsidR="003D72E7" w14:paraId="619DF01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01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F01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nil"/>
              <w:right w:val="nil"/>
            </w:tcBorders>
            <w:shd w:val="clear" w:color="auto" w:fill="auto"/>
            <w:vAlign w:val="bottom"/>
          </w:tcPr>
          <w:p w14:paraId="619DF01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01E" w14:textId="77777777" w:rsidR="003D72E7" w:rsidRDefault="003D72E7">
            <w:pPr>
              <w:widowControl/>
              <w:jc w:val="left"/>
              <w:rPr>
                <w:rFonts w:ascii="Times New Roman" w:eastAsia="宋体" w:hAnsi="宋体" w:cs="宋体"/>
                <w:vanish/>
                <w:kern w:val="0"/>
                <w:sz w:val="24"/>
              </w:rPr>
            </w:pPr>
          </w:p>
        </w:tc>
      </w:tr>
      <w:tr w:rsidR="003D72E7" w14:paraId="619DF02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02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02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c>
          <w:tcPr>
            <w:tcW w:w="0" w:type="auto"/>
            <w:tcBorders>
              <w:top w:val="nil"/>
              <w:left w:val="nil"/>
              <w:bottom w:val="nil"/>
              <w:right w:val="nil"/>
            </w:tcBorders>
            <w:shd w:val="clear" w:color="auto" w:fill="auto"/>
            <w:vAlign w:val="bottom"/>
          </w:tcPr>
          <w:p w14:paraId="619DF02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F02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F02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F02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F02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F027" w14:textId="77777777" w:rsidR="003D72E7" w:rsidRDefault="003D72E7">
            <w:pPr>
              <w:widowControl/>
              <w:jc w:val="left"/>
              <w:rPr>
                <w:rFonts w:ascii="Times New Roman" w:eastAsia="宋体" w:hAnsi="宋体" w:cs="宋体"/>
                <w:kern w:val="0"/>
                <w:sz w:val="24"/>
              </w:rPr>
            </w:pPr>
          </w:p>
        </w:tc>
      </w:tr>
      <w:tr w:rsidR="003D72E7" w14:paraId="619DF02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02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 attributable to Dell Technologies Inc.</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F02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F02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02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F02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02E" w14:textId="77777777" w:rsidR="003D72E7" w:rsidRDefault="003D72E7">
            <w:pPr>
              <w:widowControl/>
              <w:jc w:val="left"/>
              <w:rPr>
                <w:rFonts w:ascii="Times New Roman" w:eastAsia="宋体" w:hAnsi="宋体" w:cs="宋体"/>
                <w:vanish/>
                <w:kern w:val="0"/>
                <w:sz w:val="24"/>
              </w:rPr>
            </w:pPr>
          </w:p>
        </w:tc>
      </w:tr>
      <w:tr w:rsidR="003D72E7" w14:paraId="619DF03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03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Transfers (to)/from the non-controlling interests: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03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F03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033" w14:textId="77777777" w:rsidR="003D72E7" w:rsidRDefault="003D72E7">
            <w:pPr>
              <w:widowControl/>
              <w:jc w:val="left"/>
              <w:rPr>
                <w:rFonts w:ascii="Times New Roman" w:eastAsia="宋体" w:hAnsi="宋体" w:cs="宋体"/>
                <w:vanish/>
                <w:kern w:val="0"/>
                <w:sz w:val="24"/>
              </w:rPr>
            </w:pPr>
          </w:p>
        </w:tc>
      </w:tr>
      <w:tr w:rsidR="003D72E7" w14:paraId="619DF03A"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F03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Increase in Dell Technologies Inc. additional paid-in-capital for equity issuances and other equity activity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03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03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F03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039" w14:textId="77777777" w:rsidR="003D72E7" w:rsidRDefault="003D72E7">
            <w:pPr>
              <w:widowControl/>
              <w:jc w:val="left"/>
              <w:rPr>
                <w:rFonts w:ascii="Times New Roman" w:eastAsia="宋体" w:hAnsi="宋体" w:cs="宋体"/>
                <w:vanish/>
                <w:kern w:val="0"/>
                <w:sz w:val="24"/>
              </w:rPr>
            </w:pPr>
          </w:p>
        </w:tc>
      </w:tr>
      <w:tr w:rsidR="003D72E7" w14:paraId="619DF040"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DF03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Decrease in Dell Technologies Inc. additional paid-in-capital for equity issuances and other equity activity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03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03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F03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03F" w14:textId="77777777" w:rsidR="003D72E7" w:rsidRDefault="003D72E7">
            <w:pPr>
              <w:widowControl/>
              <w:jc w:val="left"/>
              <w:rPr>
                <w:rFonts w:ascii="Times New Roman" w:eastAsia="宋体" w:hAnsi="宋体" w:cs="宋体"/>
                <w:vanish/>
                <w:kern w:val="0"/>
                <w:sz w:val="24"/>
              </w:rPr>
            </w:pPr>
          </w:p>
        </w:tc>
      </w:tr>
      <w:tr w:rsidR="003D72E7" w14:paraId="619DF04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04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transfers to non-controlling interests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04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04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F04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045" w14:textId="77777777" w:rsidR="003D72E7" w:rsidRDefault="003D72E7">
            <w:pPr>
              <w:widowControl/>
              <w:jc w:val="left"/>
              <w:rPr>
                <w:rFonts w:ascii="Times New Roman" w:eastAsia="宋体" w:hAnsi="宋体" w:cs="宋体"/>
                <w:vanish/>
                <w:kern w:val="0"/>
                <w:sz w:val="24"/>
              </w:rPr>
            </w:pPr>
          </w:p>
        </w:tc>
      </w:tr>
      <w:tr w:rsidR="003D72E7" w14:paraId="619DF04D"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DF04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Change from net income attributable to Dell Technologies Inc. and transfers to </w:t>
            </w:r>
            <w:r>
              <w:rPr>
                <w:rFonts w:ascii="Times New Roman" w:eastAsia="宋体" w:hAnsi="Times New Roman" w:cs="Times New Roman"/>
                <w:color w:val="000000"/>
                <w:kern w:val="0"/>
                <w:sz w:val="20"/>
                <w:szCs w:val="20"/>
                <w:lang w:bidi="ar"/>
              </w:rPr>
              <w:t>the non-controlling interests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F04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F04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F04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619DF04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04C" w14:textId="77777777" w:rsidR="003D72E7" w:rsidRDefault="003D72E7">
            <w:pPr>
              <w:widowControl/>
              <w:jc w:val="left"/>
              <w:rPr>
                <w:rFonts w:ascii="Times New Roman" w:eastAsia="宋体" w:hAnsi="宋体" w:cs="宋体"/>
                <w:vanish/>
                <w:kern w:val="0"/>
                <w:sz w:val="24"/>
              </w:rPr>
            </w:pPr>
          </w:p>
        </w:tc>
      </w:tr>
    </w:tbl>
    <w:p w14:paraId="619DF04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04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05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w:t>
      </w:r>
    </w:p>
    <w:p w14:paraId="619DF051"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052" w14:textId="77777777" w:rsidR="003D72E7" w:rsidRDefault="00AD6774">
      <w:pPr>
        <w:widowControl/>
        <w:jc w:val="center"/>
      </w:pPr>
      <w:r>
        <w:rPr>
          <w:rFonts w:ascii="宋体" w:eastAsia="宋体" w:hAnsi="宋体" w:cs="宋体"/>
          <w:kern w:val="0"/>
          <w:sz w:val="24"/>
        </w:rPr>
        <w:pict w14:anchorId="619E0D9A">
          <v:rect id="_x0000_i1071" style="width:6in;height:1.5pt" o:hralign="center" o:hrstd="t" o:hr="t" fillcolor="#a0a0a0" stroked="f"/>
        </w:pict>
      </w:r>
    </w:p>
    <w:p w14:paraId="619DF053"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05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F055"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F056"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F057"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05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 13</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b/>
          <w:bCs/>
          <w:color w:val="000000"/>
          <w:kern w:val="0"/>
          <w:sz w:val="20"/>
          <w:szCs w:val="20"/>
          <w:lang w:bidi="ar"/>
        </w:rPr>
        <w:t xml:space="preserve">— </w:t>
      </w:r>
      <w:r>
        <w:rPr>
          <w:rFonts w:ascii="Times New Roman" w:eastAsia="宋体" w:hAnsi="Times New Roman" w:cs="Times New Roman"/>
          <w:b/>
          <w:bCs/>
          <w:color w:val="000000"/>
          <w:kern w:val="0"/>
          <w:sz w:val="20"/>
          <w:szCs w:val="20"/>
          <w:lang w:bidi="ar"/>
        </w:rPr>
        <w:t>CAPITALIZATION</w:t>
      </w:r>
      <w:r>
        <w:rPr>
          <w:rFonts w:ascii="Times New Roman" w:eastAsia="宋体" w:hAnsi="Times New Roman" w:cs="Times New Roman"/>
          <w:color w:val="000000"/>
          <w:kern w:val="0"/>
          <w:sz w:val="20"/>
          <w:szCs w:val="20"/>
          <w:lang w:bidi="ar"/>
        </w:rPr>
        <w:t xml:space="preserve"> </w:t>
      </w:r>
    </w:p>
    <w:p w14:paraId="619DF05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05A"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Company’s authorized, issued, and outstanding common stock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3914"/>
        <w:gridCol w:w="36"/>
        <w:gridCol w:w="60"/>
        <w:gridCol w:w="1276"/>
        <w:gridCol w:w="36"/>
        <w:gridCol w:w="36"/>
        <w:gridCol w:w="36"/>
        <w:gridCol w:w="36"/>
        <w:gridCol w:w="55"/>
        <w:gridCol w:w="1281"/>
        <w:gridCol w:w="36"/>
        <w:gridCol w:w="36"/>
        <w:gridCol w:w="36"/>
        <w:gridCol w:w="36"/>
        <w:gridCol w:w="66"/>
        <w:gridCol w:w="1270"/>
        <w:gridCol w:w="36"/>
      </w:tblGrid>
      <w:tr w:rsidR="003D72E7" w14:paraId="619DF06D" w14:textId="77777777">
        <w:trPr>
          <w:jc w:val="center"/>
        </w:trPr>
        <w:tc>
          <w:tcPr>
            <w:tcW w:w="50" w:type="pct"/>
            <w:tcBorders>
              <w:top w:val="nil"/>
              <w:left w:val="nil"/>
              <w:bottom w:val="nil"/>
              <w:right w:val="nil"/>
            </w:tcBorders>
            <w:shd w:val="clear" w:color="auto" w:fill="auto"/>
            <w:vAlign w:val="bottom"/>
          </w:tcPr>
          <w:p w14:paraId="619DF05B" w14:textId="77777777" w:rsidR="003D72E7" w:rsidRDefault="003D72E7">
            <w:pPr>
              <w:widowControl/>
              <w:jc w:val="left"/>
              <w:rPr>
                <w:rFonts w:ascii="Times New Roman" w:eastAsia="宋体" w:hAnsi="宋体" w:cs="宋体"/>
                <w:kern w:val="0"/>
                <w:sz w:val="24"/>
              </w:rPr>
            </w:pPr>
          </w:p>
        </w:tc>
        <w:tc>
          <w:tcPr>
            <w:tcW w:w="2364" w:type="pct"/>
            <w:tcBorders>
              <w:top w:val="nil"/>
              <w:left w:val="nil"/>
              <w:bottom w:val="nil"/>
              <w:right w:val="nil"/>
            </w:tcBorders>
            <w:shd w:val="clear" w:color="auto" w:fill="auto"/>
            <w:vAlign w:val="bottom"/>
          </w:tcPr>
          <w:p w14:paraId="619DF05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05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05E" w14:textId="77777777" w:rsidR="003D72E7" w:rsidRDefault="003D72E7">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619DF05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06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061"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06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06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064" w14:textId="77777777" w:rsidR="003D72E7" w:rsidRDefault="003D72E7">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619DF06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06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067"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06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06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06A" w14:textId="77777777" w:rsidR="003D72E7" w:rsidRDefault="003D72E7">
            <w:pPr>
              <w:widowControl/>
              <w:jc w:val="left"/>
              <w:rPr>
                <w:rFonts w:ascii="Times New Roman" w:eastAsia="宋体" w:hAnsi="宋体" w:cs="宋体"/>
                <w:kern w:val="0"/>
                <w:sz w:val="24"/>
              </w:rPr>
            </w:pPr>
          </w:p>
        </w:tc>
        <w:tc>
          <w:tcPr>
            <w:tcW w:w="785" w:type="pct"/>
            <w:tcBorders>
              <w:top w:val="nil"/>
              <w:left w:val="nil"/>
              <w:bottom w:val="nil"/>
              <w:right w:val="nil"/>
            </w:tcBorders>
            <w:shd w:val="clear" w:color="auto" w:fill="auto"/>
            <w:vAlign w:val="bottom"/>
          </w:tcPr>
          <w:p w14:paraId="619DF06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06C" w14:textId="77777777" w:rsidR="003D72E7" w:rsidRDefault="003D72E7">
            <w:pPr>
              <w:widowControl/>
              <w:jc w:val="left"/>
              <w:rPr>
                <w:rFonts w:ascii="Times New Roman" w:eastAsia="宋体" w:hAnsi="宋体" w:cs="宋体"/>
                <w:kern w:val="0"/>
                <w:sz w:val="24"/>
              </w:rPr>
            </w:pPr>
          </w:p>
        </w:tc>
      </w:tr>
      <w:tr w:rsidR="003D72E7" w14:paraId="619DF07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06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F06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Authorized</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F07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F07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Issued</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F07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F07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Outstanding</w:t>
            </w:r>
          </w:p>
        </w:tc>
      </w:tr>
      <w:tr w:rsidR="003D72E7" w14:paraId="619DF07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075" w14:textId="77777777" w:rsidR="003D72E7" w:rsidRDefault="003D72E7">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F076"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F079" w14:textId="77777777">
        <w:trPr>
          <w:jc w:val="center"/>
        </w:trPr>
        <w:tc>
          <w:tcPr>
            <w:tcW w:w="0" w:type="auto"/>
            <w:gridSpan w:val="18"/>
            <w:tcBorders>
              <w:top w:val="nil"/>
              <w:left w:val="nil"/>
              <w:bottom w:val="nil"/>
              <w:right w:val="nil"/>
            </w:tcBorders>
            <w:shd w:val="clear" w:color="auto" w:fill="CCEEFF"/>
            <w:tcMar>
              <w:top w:w="40" w:type="dxa"/>
              <w:left w:w="20" w:type="dxa"/>
              <w:bottom w:w="40" w:type="dxa"/>
              <w:right w:w="20" w:type="dxa"/>
            </w:tcMar>
            <w:vAlign w:val="center"/>
          </w:tcPr>
          <w:p w14:paraId="619DF07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Common stock as of July 30, 2021</w:t>
            </w:r>
          </w:p>
        </w:tc>
      </w:tr>
      <w:tr w:rsidR="003D72E7" w14:paraId="619DF08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F07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Class 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7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600 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7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07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7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7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08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8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82" w14:textId="77777777" w:rsidR="003D72E7" w:rsidRDefault="003D72E7">
            <w:pPr>
              <w:widowControl/>
              <w:jc w:val="right"/>
              <w:rPr>
                <w:rFonts w:ascii="Times New Roman" w:eastAsia="宋体" w:hAnsi="宋体" w:cs="宋体"/>
                <w:kern w:val="0"/>
                <w:sz w:val="24"/>
              </w:rPr>
            </w:pPr>
          </w:p>
        </w:tc>
      </w:tr>
      <w:tr w:rsidR="003D72E7" w14:paraId="619DF08D"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DF08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Class B</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08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08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08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08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08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08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08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08C" w14:textId="77777777" w:rsidR="003D72E7" w:rsidRDefault="003D72E7">
            <w:pPr>
              <w:widowControl/>
              <w:jc w:val="right"/>
              <w:rPr>
                <w:rFonts w:ascii="Times New Roman" w:eastAsia="宋体" w:hAnsi="宋体" w:cs="宋体"/>
                <w:kern w:val="0"/>
                <w:sz w:val="24"/>
              </w:rPr>
            </w:pPr>
          </w:p>
        </w:tc>
      </w:tr>
      <w:tr w:rsidR="003D72E7" w14:paraId="619DF097"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F08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Class 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8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7,900 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9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09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9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9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09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9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96" w14:textId="77777777" w:rsidR="003D72E7" w:rsidRDefault="003D72E7">
            <w:pPr>
              <w:widowControl/>
              <w:jc w:val="right"/>
              <w:rPr>
                <w:rFonts w:ascii="Times New Roman" w:eastAsia="宋体" w:hAnsi="宋体" w:cs="宋体"/>
                <w:kern w:val="0"/>
                <w:sz w:val="24"/>
              </w:rPr>
            </w:pPr>
          </w:p>
        </w:tc>
      </w:tr>
      <w:tr w:rsidR="003D72E7" w14:paraId="619DF0A1"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DF09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Class 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09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09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09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09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09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09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09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0A0" w14:textId="77777777" w:rsidR="003D72E7" w:rsidRDefault="003D72E7">
            <w:pPr>
              <w:widowControl/>
              <w:jc w:val="right"/>
              <w:rPr>
                <w:rFonts w:ascii="Times New Roman" w:eastAsia="宋体" w:hAnsi="宋体" w:cs="宋体"/>
                <w:kern w:val="0"/>
                <w:sz w:val="24"/>
              </w:rPr>
            </w:pPr>
          </w:p>
        </w:tc>
      </w:tr>
      <w:tr w:rsidR="003D72E7" w14:paraId="619DF0AB"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F0A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Class V</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A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343 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A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0A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A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A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0A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A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AA" w14:textId="77777777" w:rsidR="003D72E7" w:rsidRDefault="003D72E7">
            <w:pPr>
              <w:widowControl/>
              <w:jc w:val="right"/>
              <w:rPr>
                <w:rFonts w:ascii="Times New Roman" w:eastAsia="宋体" w:hAnsi="宋体" w:cs="宋体"/>
                <w:kern w:val="0"/>
                <w:sz w:val="24"/>
              </w:rPr>
            </w:pPr>
          </w:p>
        </w:tc>
      </w:tr>
      <w:tr w:rsidR="003D72E7" w14:paraId="619DF0B5" w14:textId="77777777">
        <w:trPr>
          <w:jc w:val="center"/>
        </w:trPr>
        <w:tc>
          <w:tcPr>
            <w:tcW w:w="0" w:type="auto"/>
            <w:gridSpan w:val="3"/>
            <w:tcBorders>
              <w:top w:val="nil"/>
              <w:left w:val="nil"/>
              <w:bottom w:val="nil"/>
              <w:right w:val="nil"/>
            </w:tcBorders>
            <w:shd w:val="clear" w:color="auto" w:fill="CCEEFF"/>
            <w:tcMar>
              <w:top w:w="0" w:type="dxa"/>
              <w:left w:w="155" w:type="dxa"/>
              <w:bottom w:w="0" w:type="dxa"/>
              <w:right w:w="20" w:type="dxa"/>
            </w:tcMar>
            <w:vAlign w:val="bottom"/>
          </w:tcPr>
          <w:p w14:paraId="619DF0AC"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0A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9,143 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F0A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0AF"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0B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773 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F0B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0B2"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0B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765 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F0B4" w14:textId="77777777" w:rsidR="003D72E7" w:rsidRDefault="003D72E7">
            <w:pPr>
              <w:widowControl/>
              <w:jc w:val="right"/>
              <w:rPr>
                <w:rFonts w:ascii="Times New Roman" w:eastAsia="宋体" w:hAnsi="宋体" w:cs="宋体"/>
                <w:kern w:val="0"/>
                <w:sz w:val="24"/>
              </w:rPr>
            </w:pPr>
          </w:p>
        </w:tc>
      </w:tr>
      <w:tr w:rsidR="003D72E7" w14:paraId="619DF0BC"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0B6"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0B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0B8"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0B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0BA"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0BB" w14:textId="77777777" w:rsidR="003D72E7" w:rsidRDefault="003D72E7">
            <w:pPr>
              <w:widowControl/>
              <w:jc w:val="left"/>
              <w:rPr>
                <w:rFonts w:ascii="Times New Roman" w:eastAsia="宋体" w:hAnsi="宋体" w:cs="宋体"/>
                <w:kern w:val="0"/>
                <w:sz w:val="24"/>
              </w:rPr>
            </w:pPr>
          </w:p>
        </w:tc>
      </w:tr>
      <w:tr w:rsidR="003D72E7" w14:paraId="619DF0BE" w14:textId="77777777">
        <w:trPr>
          <w:jc w:val="center"/>
        </w:trPr>
        <w:tc>
          <w:tcPr>
            <w:tcW w:w="0" w:type="auto"/>
            <w:gridSpan w:val="18"/>
            <w:tcBorders>
              <w:top w:val="nil"/>
              <w:left w:val="nil"/>
              <w:bottom w:val="nil"/>
              <w:right w:val="nil"/>
            </w:tcBorders>
            <w:shd w:val="clear" w:color="auto" w:fill="CCEEFF"/>
            <w:tcMar>
              <w:top w:w="40" w:type="dxa"/>
              <w:left w:w="20" w:type="dxa"/>
              <w:bottom w:w="40" w:type="dxa"/>
              <w:right w:w="20" w:type="dxa"/>
            </w:tcMar>
            <w:vAlign w:val="center"/>
          </w:tcPr>
          <w:p w14:paraId="619DF0B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Common stock as of January 29, 2021</w:t>
            </w:r>
          </w:p>
        </w:tc>
      </w:tr>
      <w:tr w:rsidR="003D72E7" w14:paraId="619DF0C8"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F0B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Class 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C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600 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C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0C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C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385 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C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0C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C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385 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C7" w14:textId="77777777" w:rsidR="003D72E7" w:rsidRDefault="003D72E7">
            <w:pPr>
              <w:widowControl/>
              <w:jc w:val="right"/>
              <w:rPr>
                <w:rFonts w:ascii="Times New Roman" w:eastAsia="宋体" w:hAnsi="宋体" w:cs="宋体"/>
                <w:kern w:val="0"/>
                <w:sz w:val="24"/>
              </w:rPr>
            </w:pPr>
          </w:p>
        </w:tc>
      </w:tr>
      <w:tr w:rsidR="003D72E7" w14:paraId="619DF0D2"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DF0C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Class B</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0C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0C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0C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0C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0C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0C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0D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0D1" w14:textId="77777777" w:rsidR="003D72E7" w:rsidRDefault="003D72E7">
            <w:pPr>
              <w:widowControl/>
              <w:jc w:val="right"/>
              <w:rPr>
                <w:rFonts w:ascii="Times New Roman" w:eastAsia="宋体" w:hAnsi="宋体" w:cs="宋体"/>
                <w:kern w:val="0"/>
                <w:sz w:val="24"/>
              </w:rPr>
            </w:pPr>
          </w:p>
        </w:tc>
      </w:tr>
      <w:tr w:rsidR="003D72E7" w14:paraId="619DF0DC"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F0D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Class 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D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7,900 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D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0D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D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D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0D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D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DB" w14:textId="77777777" w:rsidR="003D72E7" w:rsidRDefault="003D72E7">
            <w:pPr>
              <w:widowControl/>
              <w:jc w:val="right"/>
              <w:rPr>
                <w:rFonts w:ascii="Times New Roman" w:eastAsia="宋体" w:hAnsi="宋体" w:cs="宋体"/>
                <w:kern w:val="0"/>
                <w:sz w:val="24"/>
              </w:rPr>
            </w:pPr>
          </w:p>
        </w:tc>
      </w:tr>
      <w:tr w:rsidR="003D72E7" w14:paraId="619DF0E6"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DF0D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Class 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0D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0D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0E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0E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0E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0E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0E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0E5" w14:textId="77777777" w:rsidR="003D72E7" w:rsidRDefault="003D72E7">
            <w:pPr>
              <w:widowControl/>
              <w:jc w:val="right"/>
              <w:rPr>
                <w:rFonts w:ascii="Times New Roman" w:eastAsia="宋体" w:hAnsi="宋体" w:cs="宋体"/>
                <w:kern w:val="0"/>
                <w:sz w:val="24"/>
              </w:rPr>
            </w:pPr>
          </w:p>
        </w:tc>
      </w:tr>
      <w:tr w:rsidR="003D72E7" w14:paraId="619DF0F0"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F0E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Class V</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E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343 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E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0E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E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E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0E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0E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0EF" w14:textId="77777777" w:rsidR="003D72E7" w:rsidRDefault="003D72E7">
            <w:pPr>
              <w:widowControl/>
              <w:jc w:val="right"/>
              <w:rPr>
                <w:rFonts w:ascii="Times New Roman" w:eastAsia="宋体" w:hAnsi="宋体" w:cs="宋体"/>
                <w:kern w:val="0"/>
                <w:sz w:val="24"/>
              </w:rPr>
            </w:pPr>
          </w:p>
        </w:tc>
      </w:tr>
      <w:tr w:rsidR="003D72E7" w14:paraId="619DF0FA" w14:textId="77777777">
        <w:trPr>
          <w:jc w:val="center"/>
        </w:trPr>
        <w:tc>
          <w:tcPr>
            <w:tcW w:w="0" w:type="auto"/>
            <w:gridSpan w:val="3"/>
            <w:tcBorders>
              <w:top w:val="nil"/>
              <w:left w:val="nil"/>
              <w:bottom w:val="nil"/>
              <w:right w:val="nil"/>
            </w:tcBorders>
            <w:shd w:val="clear" w:color="auto" w:fill="CCEEFF"/>
            <w:tcMar>
              <w:top w:w="0" w:type="dxa"/>
              <w:left w:w="155" w:type="dxa"/>
              <w:bottom w:w="0" w:type="dxa"/>
              <w:right w:w="20" w:type="dxa"/>
            </w:tcMar>
            <w:vAlign w:val="bottom"/>
          </w:tcPr>
          <w:p w14:paraId="619DF0F1"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0F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9,143 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0F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0F4"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0F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0F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0F7"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0F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0F9" w14:textId="77777777" w:rsidR="003D72E7" w:rsidRDefault="003D72E7">
            <w:pPr>
              <w:widowControl/>
              <w:jc w:val="right"/>
              <w:rPr>
                <w:rFonts w:ascii="Times New Roman" w:eastAsia="宋体" w:hAnsi="宋体" w:cs="宋体"/>
                <w:kern w:val="0"/>
                <w:sz w:val="24"/>
              </w:rPr>
            </w:pPr>
          </w:p>
        </w:tc>
      </w:tr>
    </w:tbl>
    <w:p w14:paraId="619DF0F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0F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Under the Company’s certificate of incorporation as amended and restated upon the completion of the Class V transaction described in Note 1 of the Notes to the Condensed Consolidated Finan</w:t>
      </w:r>
      <w:r>
        <w:rPr>
          <w:rFonts w:ascii="Times New Roman" w:eastAsia="宋体" w:hAnsi="Times New Roman" w:cs="Times New Roman"/>
          <w:color w:val="000000"/>
          <w:kern w:val="0"/>
          <w:sz w:val="20"/>
          <w:szCs w:val="20"/>
          <w:lang w:bidi="ar"/>
        </w:rPr>
        <w:t>cial Statements, the Company is prohibited from issuing any of the authorized shares of Class V Common Stock.</w:t>
      </w:r>
    </w:p>
    <w:p w14:paraId="619DF0F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0F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Preferred Stock</w:t>
      </w:r>
    </w:p>
    <w:p w14:paraId="619DF0F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0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Company is authorized to issue one million shares of preferred stock, par value $0.01 per share. As of July 30, 2021 and January 29, 2021, no shares of preferred stock were issued or outstanding. </w:t>
      </w:r>
    </w:p>
    <w:p w14:paraId="619DF10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0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Common Stock</w:t>
      </w:r>
    </w:p>
    <w:p w14:paraId="619DF10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0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Dell Technologies Common Stock </w:t>
      </w:r>
      <w:r>
        <w:rPr>
          <w:rFonts w:ascii="Times New Roman" w:eastAsia="宋体" w:hAnsi="Times New Roman" w:cs="Times New Roman"/>
          <w:color w:val="000000"/>
          <w:kern w:val="0"/>
          <w:sz w:val="20"/>
          <w:szCs w:val="20"/>
          <w:lang w:bidi="ar"/>
        </w:rPr>
        <w:t>— The C</w:t>
      </w:r>
      <w:r>
        <w:rPr>
          <w:rFonts w:ascii="Times New Roman" w:eastAsia="宋体" w:hAnsi="Times New Roman" w:cs="Times New Roman"/>
          <w:color w:val="000000"/>
          <w:kern w:val="0"/>
          <w:sz w:val="20"/>
          <w:szCs w:val="20"/>
          <w:lang w:bidi="ar"/>
        </w:rPr>
        <w:t>lass A Common Stock, the Class B Common Stock, the Class C Common Stock, and the Class D Common Stock are collectively referred to as Dell Technologies Common Stock. The par value for all classes of Dell Technologies Common Stock is $0.01 per share. The Cl</w:t>
      </w:r>
      <w:r>
        <w:rPr>
          <w:rFonts w:ascii="Times New Roman" w:eastAsia="宋体" w:hAnsi="Times New Roman" w:cs="Times New Roman"/>
          <w:color w:val="000000"/>
          <w:kern w:val="0"/>
          <w:sz w:val="20"/>
          <w:szCs w:val="20"/>
          <w:lang w:bidi="ar"/>
        </w:rPr>
        <w:t xml:space="preserve">ass A Common Stock, the Class B Common Stock, the Class C Common Stock, and the Class D Common Stock share equally in dividends declared or accumulated and have equal participation rights in undistributed earnings. </w:t>
      </w:r>
    </w:p>
    <w:p w14:paraId="619DF10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0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Voting Rights</w:t>
      </w:r>
      <w:r>
        <w:rPr>
          <w:rFonts w:ascii="Times New Roman" w:eastAsia="宋体" w:hAnsi="Times New Roman" w:cs="Times New Roman"/>
          <w:color w:val="000000"/>
          <w:kern w:val="0"/>
          <w:sz w:val="20"/>
          <w:szCs w:val="20"/>
          <w:lang w:bidi="ar"/>
        </w:rPr>
        <w:t xml:space="preserve"> — Each holder of record </w:t>
      </w:r>
      <w:r>
        <w:rPr>
          <w:rFonts w:ascii="Times New Roman" w:eastAsia="宋体" w:hAnsi="Times New Roman" w:cs="Times New Roman"/>
          <w:color w:val="000000"/>
          <w:kern w:val="0"/>
          <w:sz w:val="20"/>
          <w:szCs w:val="20"/>
          <w:lang w:bidi="ar"/>
        </w:rPr>
        <w:t>of (a) Class A Common Stock is entitled to ten votes per share of Class A Common Stock; (b) Class B Common Stock is entitled to ten votes per share of Class B Common Stock; (c) Class C Common Stock is entitled to one vote per share of Class C Common Stock;</w:t>
      </w:r>
      <w:r>
        <w:rPr>
          <w:rFonts w:ascii="Times New Roman" w:eastAsia="宋体" w:hAnsi="Times New Roman" w:cs="Times New Roman"/>
          <w:color w:val="000000"/>
          <w:kern w:val="0"/>
          <w:sz w:val="20"/>
          <w:szCs w:val="20"/>
          <w:lang w:bidi="ar"/>
        </w:rPr>
        <w:t xml:space="preserve"> and (d) Class D Common Stock is not entitled to any vote on any matter except to the extent required by provisions of Delaware law (in which case such holder is entitled to one vote per share of Class D Common Stock).</w:t>
      </w:r>
    </w:p>
    <w:p w14:paraId="619DF107"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108"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48</w:t>
      </w:r>
    </w:p>
    <w:p w14:paraId="619DF109"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10A" w14:textId="77777777" w:rsidR="003D72E7" w:rsidRDefault="00AD6774">
      <w:pPr>
        <w:widowControl/>
        <w:jc w:val="center"/>
      </w:pPr>
      <w:r>
        <w:rPr>
          <w:rFonts w:ascii="宋体" w:eastAsia="宋体" w:hAnsi="宋体" w:cs="宋体"/>
          <w:kern w:val="0"/>
          <w:sz w:val="24"/>
        </w:rPr>
        <w:pict w14:anchorId="619E0D9B">
          <v:rect id="_x0000_i1072" style="width:6in;height:1.5pt" o:hralign="center" o:hrstd="t" o:hr="t" fillcolor="#a0a0a0" stroked="f"/>
        </w:pict>
      </w:r>
    </w:p>
    <w:p w14:paraId="619DF10B"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10C"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F10D"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F10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F10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11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11"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Conversion Rights</w:t>
      </w:r>
      <w:r>
        <w:rPr>
          <w:rFonts w:ascii="Times New Roman" w:eastAsia="宋体" w:hAnsi="Times New Roman" w:cs="Times New Roman"/>
          <w:color w:val="000000"/>
          <w:kern w:val="0"/>
          <w:sz w:val="20"/>
          <w:szCs w:val="20"/>
          <w:lang w:bidi="ar"/>
        </w:rPr>
        <w:t xml:space="preserve"> — Under the Company’s certificate of incorporation, at any time and from time to time, any holder of Class A Common Stock or Class B Common Stock has the right to convert all or any of the shares of Class A Common Stock or Class B Common Stock, as applica</w:t>
      </w:r>
      <w:r>
        <w:rPr>
          <w:rFonts w:ascii="Times New Roman" w:eastAsia="宋体" w:hAnsi="Times New Roman" w:cs="Times New Roman"/>
          <w:color w:val="000000"/>
          <w:kern w:val="0"/>
          <w:sz w:val="20"/>
          <w:szCs w:val="20"/>
          <w:lang w:bidi="ar"/>
        </w:rPr>
        <w:t xml:space="preserve">ble, held by such holder into shares of Class C Common Stock on a one-to-one basis.  During the six months ended July 30, 2021, the Company issued 5,549,209 shares of Class C Common Stock to stockholders upon the conversion of the same number of shares of </w:t>
      </w:r>
      <w:r>
        <w:rPr>
          <w:rFonts w:ascii="Times New Roman" w:eastAsia="宋体" w:hAnsi="Times New Roman" w:cs="Times New Roman"/>
          <w:color w:val="000000"/>
          <w:kern w:val="0"/>
          <w:sz w:val="20"/>
          <w:szCs w:val="20"/>
          <w:lang w:bidi="ar"/>
        </w:rPr>
        <w:t>Class A Common Stock into Class C Common Stock in accordance with the Company’s certificate of incorporation. During the six months ended July 30, 2021, the Company issued 6,334,990 shares of Class C Common Stock to stockholders upon their conversion of th</w:t>
      </w:r>
      <w:r>
        <w:rPr>
          <w:rFonts w:ascii="Times New Roman" w:eastAsia="宋体" w:hAnsi="Times New Roman" w:cs="Times New Roman"/>
          <w:color w:val="000000"/>
          <w:kern w:val="0"/>
          <w:sz w:val="20"/>
          <w:szCs w:val="20"/>
          <w:lang w:bidi="ar"/>
        </w:rPr>
        <w:t>e same number of shares of Class B Common Stock into Class C Common Stock in accordance with the Company’s certificate of incorporation.</w:t>
      </w:r>
    </w:p>
    <w:p w14:paraId="619DF11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1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Repurchases of Common Stock</w:t>
      </w:r>
    </w:p>
    <w:p w14:paraId="619DF11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1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Dell Technologies Common Stock Repurchases by Dell Technologies</w:t>
      </w:r>
    </w:p>
    <w:p w14:paraId="619DF11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1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On February 24, </w:t>
      </w:r>
      <w:r>
        <w:rPr>
          <w:rFonts w:ascii="Times New Roman" w:eastAsia="宋体" w:hAnsi="Times New Roman" w:cs="Times New Roman"/>
          <w:color w:val="000000"/>
          <w:kern w:val="0"/>
          <w:sz w:val="20"/>
          <w:szCs w:val="20"/>
          <w:lang w:bidi="ar"/>
        </w:rPr>
        <w:t>2020, the Company’s board of directors approved a stock repurchase program under which the Company is authorized to repurchase up to $1.0 billion of shares of the Class C Common Stock over a 24-month period expiring on February 28, 2022, of which approxima</w:t>
      </w:r>
      <w:r>
        <w:rPr>
          <w:rFonts w:ascii="Times New Roman" w:eastAsia="宋体" w:hAnsi="Times New Roman" w:cs="Times New Roman"/>
          <w:color w:val="000000"/>
          <w:kern w:val="0"/>
          <w:sz w:val="20"/>
          <w:szCs w:val="20"/>
          <w:lang w:bidi="ar"/>
        </w:rPr>
        <w:t>tely $760 million remained available as of July 30, 2021. During the six months ended July 31, 2020, the Company repurchased approximately 6 million shares of Class C Common Stock for approximately $240 million and subsequently suspended activity under its</w:t>
      </w:r>
      <w:r>
        <w:rPr>
          <w:rFonts w:ascii="Times New Roman" w:eastAsia="宋体" w:hAnsi="Times New Roman" w:cs="Times New Roman"/>
          <w:color w:val="000000"/>
          <w:kern w:val="0"/>
          <w:sz w:val="20"/>
          <w:szCs w:val="20"/>
          <w:lang w:bidi="ar"/>
        </w:rPr>
        <w:t xml:space="preserve"> stock repurchase program.</w:t>
      </w:r>
    </w:p>
    <w:p w14:paraId="619DF11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1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To the extent not retired, shares repurchased under the repurchase program are placed in the Company’s treasury.</w:t>
      </w:r>
    </w:p>
    <w:p w14:paraId="619DF11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1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VMware, Inc. Class A Common Stock Repurchases by VMware, Inc.</w:t>
      </w:r>
      <w:r>
        <w:rPr>
          <w:rFonts w:ascii="Times New Roman" w:eastAsia="宋体" w:hAnsi="Times New Roman" w:cs="Times New Roman"/>
          <w:color w:val="000000"/>
          <w:kern w:val="0"/>
          <w:sz w:val="20"/>
          <w:szCs w:val="20"/>
          <w:u w:val="single"/>
          <w:lang w:bidi="ar"/>
        </w:rPr>
        <w:t xml:space="preserve"> </w:t>
      </w:r>
    </w:p>
    <w:p w14:paraId="619DF11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1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On May 29, 2019, VMware, Inc.’s board of direct</w:t>
      </w:r>
      <w:r>
        <w:rPr>
          <w:rFonts w:ascii="Times New Roman" w:eastAsia="宋体" w:hAnsi="Times New Roman" w:cs="Times New Roman"/>
          <w:color w:val="000000"/>
          <w:kern w:val="0"/>
          <w:sz w:val="20"/>
          <w:szCs w:val="20"/>
          <w:lang w:bidi="ar"/>
        </w:rPr>
        <w:t>ors authorized the repurchase of up to $1.5 billion of VMware, Inc.’s Class A common stock through January 29, 2021. On July 15, 2020, VMware, Inc.’s board of directors extended authorization of VMware, Inc.’s existing repurchase program and authorized the</w:t>
      </w:r>
      <w:r>
        <w:rPr>
          <w:rFonts w:ascii="Times New Roman" w:eastAsia="宋体" w:hAnsi="Times New Roman" w:cs="Times New Roman"/>
          <w:color w:val="000000"/>
          <w:kern w:val="0"/>
          <w:sz w:val="20"/>
          <w:szCs w:val="20"/>
          <w:lang w:bidi="ar"/>
        </w:rPr>
        <w:t xml:space="preserve"> repurchase of up to an additional $1.0 billion of VMware, Inc.’s Class A common stock through January 28, 2022. As of July 30, 2021, the cumulative authorized amount remaining for stock repurchases was $326 million. </w:t>
      </w:r>
    </w:p>
    <w:p w14:paraId="619DF11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1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six months ended July 30,</w:t>
      </w:r>
      <w:r>
        <w:rPr>
          <w:rFonts w:ascii="Times New Roman" w:eastAsia="宋体" w:hAnsi="Times New Roman" w:cs="Times New Roman"/>
          <w:color w:val="000000"/>
          <w:kern w:val="0"/>
          <w:sz w:val="20"/>
          <w:szCs w:val="20"/>
          <w:lang w:bidi="ar"/>
        </w:rPr>
        <w:t xml:space="preserve"> 2021, VMware, Inc. repurchased 4.7 million shares of its Class A common stock in the open market for approximately $729 million. During the six months ended July 31, 2020, VMware, Inc. repurchased approximately 2.5 million shares of its Class A common sto</w:t>
      </w:r>
      <w:r>
        <w:rPr>
          <w:rFonts w:ascii="Times New Roman" w:eastAsia="宋体" w:hAnsi="Times New Roman" w:cs="Times New Roman"/>
          <w:color w:val="000000"/>
          <w:kern w:val="0"/>
          <w:sz w:val="20"/>
          <w:szCs w:val="20"/>
          <w:lang w:bidi="ar"/>
        </w:rPr>
        <w:t>ck in the open market for approximately $311 million.</w:t>
      </w:r>
    </w:p>
    <w:p w14:paraId="619DF120" w14:textId="77777777" w:rsidR="003D72E7" w:rsidRDefault="00AD6774">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21"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All shares repurchased under VMware, Inc.’s stock repurchase programs are retired.</w:t>
      </w:r>
    </w:p>
    <w:p w14:paraId="619DF12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2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above VMware, Inc. Class A common stock repurchases for the six months ended July 30, 2021 and July 31, </w:t>
      </w:r>
      <w:r>
        <w:rPr>
          <w:rFonts w:ascii="Times New Roman" w:eastAsia="宋体" w:hAnsi="Times New Roman" w:cs="Times New Roman"/>
          <w:color w:val="000000"/>
          <w:kern w:val="0"/>
          <w:sz w:val="20"/>
          <w:szCs w:val="20"/>
          <w:lang w:bidi="ar"/>
        </w:rPr>
        <w:t>2020 exclude shares repurchased to settle employee tax withholding related to the vesting of VMware, Inc. stock awards of $243 million and $275 million, respectively.</w:t>
      </w:r>
    </w:p>
    <w:p w14:paraId="619DF12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25"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126"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49</w:t>
      </w:r>
    </w:p>
    <w:p w14:paraId="619DF127"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128" w14:textId="77777777" w:rsidR="003D72E7" w:rsidRDefault="00AD6774">
      <w:pPr>
        <w:widowControl/>
        <w:jc w:val="center"/>
      </w:pPr>
      <w:r>
        <w:rPr>
          <w:rFonts w:ascii="宋体" w:eastAsia="宋体" w:hAnsi="宋体" w:cs="宋体"/>
          <w:kern w:val="0"/>
          <w:sz w:val="24"/>
        </w:rPr>
        <w:pict w14:anchorId="619E0D9C">
          <v:rect id="_x0000_i1073" style="width:6in;height:1.5pt" o:hralign="center" o:hrstd="t" o:hr="t" fillcolor="#a0a0a0" stroked="f"/>
        </w:pict>
      </w:r>
    </w:p>
    <w:p w14:paraId="619DF129"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12A"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F12B"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F12C"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F12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12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14 — EARNINGS PER SHARE </w:t>
      </w:r>
    </w:p>
    <w:p w14:paraId="619DF12F" w14:textId="77777777" w:rsidR="003D72E7" w:rsidRDefault="00AD6774">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619DF13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Basic earnings per share is based on the </w:t>
      </w:r>
      <w:r>
        <w:rPr>
          <w:rFonts w:ascii="Times New Roman" w:eastAsia="宋体" w:hAnsi="Times New Roman" w:cs="Times New Roman"/>
          <w:color w:val="000000"/>
          <w:kern w:val="0"/>
          <w:sz w:val="20"/>
          <w:szCs w:val="20"/>
          <w:lang w:bidi="ar"/>
        </w:rPr>
        <w:t>weighted-average effect of all common shares issued and outstanding and is calculated by dividing net income by the weighted-average shares outstanding during the period. Diluted earnings per share is calculated by dividing net income by the weighted-avera</w:t>
      </w:r>
      <w:r>
        <w:rPr>
          <w:rFonts w:ascii="Times New Roman" w:eastAsia="宋体" w:hAnsi="Times New Roman" w:cs="Times New Roman"/>
          <w:color w:val="000000"/>
          <w:kern w:val="0"/>
          <w:sz w:val="20"/>
          <w:szCs w:val="20"/>
          <w:lang w:bidi="ar"/>
        </w:rPr>
        <w:t>ge number of common shares used in the basic earnings per share calculation, adjusted for incremental dilution from non-controlling interests, plus the number of common shares that would be issued assuming exercise or conversion of all potentially dilutive</w:t>
      </w:r>
      <w:r>
        <w:rPr>
          <w:rFonts w:ascii="Times New Roman" w:eastAsia="宋体" w:hAnsi="Times New Roman" w:cs="Times New Roman"/>
          <w:color w:val="000000"/>
          <w:kern w:val="0"/>
          <w:sz w:val="20"/>
          <w:szCs w:val="20"/>
          <w:lang w:bidi="ar"/>
        </w:rPr>
        <w:t xml:space="preserve"> instruments. The Company excludes equity instruments from the calculation of diluted earnings per share if the effect of including such instruments is antidilutive.</w:t>
      </w:r>
    </w:p>
    <w:p w14:paraId="619DF13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3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For purposes of calculating earnings per share, the Company uses the two-class method. A</w:t>
      </w:r>
      <w:r>
        <w:rPr>
          <w:rFonts w:ascii="Times New Roman" w:eastAsia="宋体" w:hAnsi="Times New Roman" w:cs="Times New Roman"/>
          <w:color w:val="000000"/>
          <w:kern w:val="0"/>
          <w:sz w:val="20"/>
          <w:szCs w:val="20"/>
          <w:lang w:bidi="ar"/>
        </w:rPr>
        <w:t>s all classes of Dell Technologies Common Stock share the same rights in dividends, basic and diluted earnings per share are the same for each class of Dell Technologies Common Stock.</w:t>
      </w:r>
    </w:p>
    <w:p w14:paraId="619DF13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34"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basic and diluted earnings per </w:t>
      </w:r>
      <w:r>
        <w:rPr>
          <w:rFonts w:ascii="Times New Roman" w:eastAsia="宋体" w:hAnsi="Times New Roman" w:cs="Times New Roman"/>
          <w:color w:val="000000"/>
          <w:kern w:val="0"/>
          <w:sz w:val="20"/>
          <w:szCs w:val="20"/>
          <w:lang w:bidi="ar"/>
        </w:rPr>
        <w:t>share for Dell Technologies Common Stock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3066"/>
        <w:gridCol w:w="36"/>
        <w:gridCol w:w="120"/>
        <w:gridCol w:w="1062"/>
        <w:gridCol w:w="36"/>
        <w:gridCol w:w="36"/>
        <w:gridCol w:w="36"/>
        <w:gridCol w:w="36"/>
        <w:gridCol w:w="120"/>
        <w:gridCol w:w="1062"/>
        <w:gridCol w:w="36"/>
        <w:gridCol w:w="36"/>
        <w:gridCol w:w="36"/>
        <w:gridCol w:w="36"/>
        <w:gridCol w:w="120"/>
        <w:gridCol w:w="1062"/>
        <w:gridCol w:w="36"/>
        <w:gridCol w:w="36"/>
        <w:gridCol w:w="36"/>
        <w:gridCol w:w="36"/>
        <w:gridCol w:w="120"/>
        <w:gridCol w:w="1063"/>
        <w:gridCol w:w="36"/>
      </w:tblGrid>
      <w:tr w:rsidR="003D72E7" w14:paraId="619DF14D" w14:textId="77777777">
        <w:tc>
          <w:tcPr>
            <w:tcW w:w="50" w:type="pct"/>
            <w:tcBorders>
              <w:top w:val="nil"/>
              <w:left w:val="nil"/>
              <w:bottom w:val="nil"/>
              <w:right w:val="nil"/>
            </w:tcBorders>
            <w:shd w:val="clear" w:color="auto" w:fill="auto"/>
            <w:vAlign w:val="bottom"/>
          </w:tcPr>
          <w:p w14:paraId="619DF135" w14:textId="77777777" w:rsidR="003D72E7" w:rsidRDefault="003D72E7">
            <w:pPr>
              <w:widowControl/>
              <w:jc w:val="left"/>
              <w:rPr>
                <w:rFonts w:ascii="Times New Roman" w:eastAsia="宋体" w:hAnsi="宋体" w:cs="宋体"/>
                <w:kern w:val="0"/>
                <w:sz w:val="24"/>
              </w:rPr>
            </w:pPr>
          </w:p>
        </w:tc>
        <w:tc>
          <w:tcPr>
            <w:tcW w:w="1903" w:type="pct"/>
            <w:tcBorders>
              <w:top w:val="nil"/>
              <w:left w:val="nil"/>
              <w:bottom w:val="nil"/>
              <w:right w:val="nil"/>
            </w:tcBorders>
            <w:shd w:val="clear" w:color="auto" w:fill="auto"/>
            <w:vAlign w:val="bottom"/>
          </w:tcPr>
          <w:p w14:paraId="619DF13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3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138" w14:textId="77777777" w:rsidR="003D72E7" w:rsidRDefault="003D72E7">
            <w:pPr>
              <w:widowControl/>
              <w:jc w:val="left"/>
              <w:rPr>
                <w:rFonts w:ascii="Times New Roman" w:eastAsia="宋体" w:hAnsi="宋体" w:cs="宋体"/>
                <w:kern w:val="0"/>
                <w:sz w:val="24"/>
              </w:rPr>
            </w:pPr>
          </w:p>
        </w:tc>
        <w:tc>
          <w:tcPr>
            <w:tcW w:w="683" w:type="pct"/>
            <w:tcBorders>
              <w:top w:val="nil"/>
              <w:left w:val="nil"/>
              <w:bottom w:val="nil"/>
              <w:right w:val="nil"/>
            </w:tcBorders>
            <w:shd w:val="clear" w:color="auto" w:fill="auto"/>
            <w:vAlign w:val="bottom"/>
          </w:tcPr>
          <w:p w14:paraId="619DF13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3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3B"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13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3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13E" w14:textId="77777777" w:rsidR="003D72E7" w:rsidRDefault="003D72E7">
            <w:pPr>
              <w:widowControl/>
              <w:jc w:val="left"/>
              <w:rPr>
                <w:rFonts w:ascii="Times New Roman" w:eastAsia="宋体" w:hAnsi="宋体" w:cs="宋体"/>
                <w:kern w:val="0"/>
                <w:sz w:val="24"/>
              </w:rPr>
            </w:pPr>
          </w:p>
        </w:tc>
        <w:tc>
          <w:tcPr>
            <w:tcW w:w="683" w:type="pct"/>
            <w:tcBorders>
              <w:top w:val="nil"/>
              <w:left w:val="nil"/>
              <w:bottom w:val="nil"/>
              <w:right w:val="nil"/>
            </w:tcBorders>
            <w:shd w:val="clear" w:color="auto" w:fill="auto"/>
            <w:vAlign w:val="bottom"/>
          </w:tcPr>
          <w:p w14:paraId="619DF13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4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41"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14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4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144" w14:textId="77777777" w:rsidR="003D72E7" w:rsidRDefault="003D72E7">
            <w:pPr>
              <w:widowControl/>
              <w:jc w:val="left"/>
              <w:rPr>
                <w:rFonts w:ascii="Times New Roman" w:eastAsia="宋体" w:hAnsi="宋体" w:cs="宋体"/>
                <w:kern w:val="0"/>
                <w:sz w:val="24"/>
              </w:rPr>
            </w:pPr>
          </w:p>
        </w:tc>
        <w:tc>
          <w:tcPr>
            <w:tcW w:w="683" w:type="pct"/>
            <w:tcBorders>
              <w:top w:val="nil"/>
              <w:left w:val="nil"/>
              <w:bottom w:val="nil"/>
              <w:right w:val="nil"/>
            </w:tcBorders>
            <w:shd w:val="clear" w:color="auto" w:fill="auto"/>
            <w:vAlign w:val="bottom"/>
          </w:tcPr>
          <w:p w14:paraId="619DF14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4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47"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14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4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14A" w14:textId="77777777" w:rsidR="003D72E7" w:rsidRDefault="003D72E7">
            <w:pPr>
              <w:widowControl/>
              <w:jc w:val="left"/>
              <w:rPr>
                <w:rFonts w:ascii="Times New Roman" w:eastAsia="宋体" w:hAnsi="宋体" w:cs="宋体"/>
                <w:kern w:val="0"/>
                <w:sz w:val="24"/>
              </w:rPr>
            </w:pPr>
          </w:p>
        </w:tc>
        <w:tc>
          <w:tcPr>
            <w:tcW w:w="683" w:type="pct"/>
            <w:tcBorders>
              <w:top w:val="nil"/>
              <w:left w:val="nil"/>
              <w:bottom w:val="nil"/>
              <w:right w:val="nil"/>
            </w:tcBorders>
            <w:shd w:val="clear" w:color="auto" w:fill="auto"/>
            <w:vAlign w:val="bottom"/>
          </w:tcPr>
          <w:p w14:paraId="619DF14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4C" w14:textId="77777777" w:rsidR="003D72E7" w:rsidRDefault="003D72E7">
            <w:pPr>
              <w:widowControl/>
              <w:jc w:val="left"/>
              <w:rPr>
                <w:rFonts w:ascii="Times New Roman" w:eastAsia="宋体" w:hAnsi="宋体" w:cs="宋体"/>
                <w:kern w:val="0"/>
                <w:sz w:val="24"/>
              </w:rPr>
            </w:pPr>
          </w:p>
        </w:tc>
      </w:tr>
      <w:tr w:rsidR="003D72E7" w14:paraId="619DF15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F14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14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150"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15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F15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F15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15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F155"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15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15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15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DF15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15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F161" w14:textId="77777777">
        <w:tc>
          <w:tcPr>
            <w:tcW w:w="0" w:type="auto"/>
            <w:gridSpan w:val="12"/>
            <w:tcBorders>
              <w:top w:val="nil"/>
              <w:left w:val="nil"/>
              <w:bottom w:val="nil"/>
              <w:right w:val="nil"/>
            </w:tcBorders>
            <w:shd w:val="clear" w:color="auto" w:fill="CCEEFF"/>
            <w:tcMar>
              <w:top w:w="40" w:type="dxa"/>
              <w:left w:w="20" w:type="dxa"/>
              <w:bottom w:w="40" w:type="dxa"/>
              <w:right w:w="20" w:type="dxa"/>
            </w:tcMar>
            <w:vAlign w:val="center"/>
          </w:tcPr>
          <w:p w14:paraId="619DF15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Earnings per share attributable to Dell Technologies Inc.</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5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F15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5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F160" w14:textId="77777777" w:rsidR="003D72E7" w:rsidRDefault="003D72E7">
            <w:pPr>
              <w:widowControl/>
              <w:jc w:val="left"/>
              <w:rPr>
                <w:rFonts w:ascii="Times New Roman" w:eastAsia="宋体" w:hAnsi="宋体" w:cs="宋体"/>
                <w:kern w:val="0"/>
                <w:sz w:val="24"/>
              </w:rPr>
            </w:pPr>
          </w:p>
        </w:tc>
      </w:tr>
      <w:tr w:rsidR="003D72E7" w14:paraId="619DF172"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center"/>
          </w:tcPr>
          <w:p w14:paraId="619DF16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Dell Technologies Common Stock — Basic</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16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16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16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16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16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16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16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16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16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16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16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16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16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17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171" w14:textId="77777777" w:rsidR="003D72E7" w:rsidRDefault="003D72E7">
            <w:pPr>
              <w:widowControl/>
              <w:jc w:val="right"/>
              <w:rPr>
                <w:rFonts w:ascii="Times New Roman" w:eastAsia="宋体" w:hAnsi="宋体" w:cs="宋体"/>
                <w:kern w:val="0"/>
                <w:sz w:val="24"/>
              </w:rPr>
            </w:pPr>
          </w:p>
        </w:tc>
      </w:tr>
      <w:tr w:rsidR="003D72E7" w14:paraId="619DF183"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center"/>
          </w:tcPr>
          <w:p w14:paraId="619DF17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Dell Technologies Common Stock — Diluted</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17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17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17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7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17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17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17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7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17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17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2.18 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17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7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18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18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182" w14:textId="77777777" w:rsidR="003D72E7" w:rsidRDefault="003D72E7">
            <w:pPr>
              <w:widowControl/>
              <w:jc w:val="right"/>
              <w:rPr>
                <w:rFonts w:ascii="Times New Roman" w:eastAsia="宋体" w:hAnsi="宋体" w:cs="宋体"/>
                <w:kern w:val="0"/>
                <w:sz w:val="24"/>
              </w:rPr>
            </w:pPr>
          </w:p>
        </w:tc>
      </w:tr>
      <w:tr w:rsidR="003D72E7" w14:paraId="619DF18C" w14:textId="77777777">
        <w:trPr>
          <w:hidden/>
        </w:trPr>
        <w:tc>
          <w:tcPr>
            <w:tcW w:w="0" w:type="auto"/>
            <w:gridSpan w:val="3"/>
            <w:tcBorders>
              <w:top w:val="nil"/>
              <w:left w:val="nil"/>
              <w:bottom w:val="nil"/>
              <w:right w:val="nil"/>
            </w:tcBorders>
            <w:shd w:val="clear" w:color="auto" w:fill="auto"/>
            <w:vAlign w:val="bottom"/>
          </w:tcPr>
          <w:p w14:paraId="619DF18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18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18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18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18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18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18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18B" w14:textId="77777777" w:rsidR="003D72E7" w:rsidRDefault="003D72E7">
            <w:pPr>
              <w:widowControl/>
              <w:jc w:val="left"/>
              <w:rPr>
                <w:rFonts w:ascii="Times New Roman" w:eastAsia="宋体" w:hAnsi="宋体" w:cs="宋体"/>
                <w:vanish/>
                <w:kern w:val="0"/>
                <w:sz w:val="24"/>
              </w:rPr>
            </w:pPr>
          </w:p>
        </w:tc>
      </w:tr>
      <w:tr w:rsidR="003D72E7" w14:paraId="619DF195" w14:textId="77777777">
        <w:trPr>
          <w:hidden/>
        </w:trPr>
        <w:tc>
          <w:tcPr>
            <w:tcW w:w="0" w:type="auto"/>
            <w:gridSpan w:val="3"/>
            <w:tcBorders>
              <w:top w:val="nil"/>
              <w:left w:val="nil"/>
              <w:bottom w:val="nil"/>
              <w:right w:val="nil"/>
            </w:tcBorders>
            <w:shd w:val="clear" w:color="auto" w:fill="auto"/>
            <w:vAlign w:val="bottom"/>
          </w:tcPr>
          <w:p w14:paraId="619DF18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18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18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19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19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19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19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194" w14:textId="77777777" w:rsidR="003D72E7" w:rsidRDefault="003D72E7">
            <w:pPr>
              <w:widowControl/>
              <w:jc w:val="left"/>
              <w:rPr>
                <w:rFonts w:ascii="Times New Roman" w:eastAsia="宋体" w:hAnsi="宋体" w:cs="宋体"/>
                <w:vanish/>
                <w:kern w:val="0"/>
                <w:sz w:val="24"/>
              </w:rPr>
            </w:pPr>
          </w:p>
        </w:tc>
      </w:tr>
    </w:tbl>
    <w:p w14:paraId="619DF19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197"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the computation of basic and diluted earnings per share for the periods </w:t>
      </w:r>
      <w:r>
        <w:rPr>
          <w:rFonts w:ascii="Times New Roman" w:eastAsia="宋体" w:hAnsi="Times New Roman" w:cs="Times New Roman"/>
          <w:color w:val="000000"/>
          <w:kern w:val="0"/>
          <w:sz w:val="20"/>
          <w:szCs w:val="20"/>
          <w:lang w:bidi="ar"/>
        </w:rPr>
        <w:t>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063"/>
        <w:gridCol w:w="38"/>
        <w:gridCol w:w="120"/>
        <w:gridCol w:w="1062"/>
        <w:gridCol w:w="36"/>
        <w:gridCol w:w="36"/>
        <w:gridCol w:w="36"/>
        <w:gridCol w:w="36"/>
        <w:gridCol w:w="120"/>
        <w:gridCol w:w="1062"/>
        <w:gridCol w:w="36"/>
        <w:gridCol w:w="36"/>
        <w:gridCol w:w="36"/>
        <w:gridCol w:w="36"/>
        <w:gridCol w:w="120"/>
        <w:gridCol w:w="1062"/>
        <w:gridCol w:w="36"/>
        <w:gridCol w:w="36"/>
        <w:gridCol w:w="36"/>
        <w:gridCol w:w="36"/>
        <w:gridCol w:w="120"/>
        <w:gridCol w:w="1062"/>
        <w:gridCol w:w="36"/>
      </w:tblGrid>
      <w:tr w:rsidR="003D72E7" w14:paraId="619DF1B0" w14:textId="77777777">
        <w:tc>
          <w:tcPr>
            <w:tcW w:w="50" w:type="pct"/>
            <w:tcBorders>
              <w:top w:val="nil"/>
              <w:left w:val="nil"/>
              <w:bottom w:val="nil"/>
              <w:right w:val="nil"/>
            </w:tcBorders>
            <w:shd w:val="clear" w:color="auto" w:fill="auto"/>
            <w:vAlign w:val="bottom"/>
          </w:tcPr>
          <w:p w14:paraId="619DF198" w14:textId="77777777" w:rsidR="003D72E7" w:rsidRDefault="003D72E7">
            <w:pPr>
              <w:widowControl/>
              <w:jc w:val="left"/>
              <w:rPr>
                <w:rFonts w:ascii="Times New Roman" w:eastAsia="宋体" w:hAnsi="宋体" w:cs="宋体"/>
                <w:kern w:val="0"/>
                <w:sz w:val="24"/>
              </w:rPr>
            </w:pPr>
          </w:p>
        </w:tc>
        <w:tc>
          <w:tcPr>
            <w:tcW w:w="1903" w:type="pct"/>
            <w:tcBorders>
              <w:top w:val="nil"/>
              <w:left w:val="nil"/>
              <w:bottom w:val="nil"/>
              <w:right w:val="nil"/>
            </w:tcBorders>
            <w:shd w:val="clear" w:color="auto" w:fill="auto"/>
            <w:vAlign w:val="bottom"/>
          </w:tcPr>
          <w:p w14:paraId="619DF19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9A"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19B" w14:textId="77777777" w:rsidR="003D72E7" w:rsidRDefault="003D72E7">
            <w:pPr>
              <w:widowControl/>
              <w:jc w:val="left"/>
              <w:rPr>
                <w:rFonts w:ascii="Times New Roman" w:eastAsia="宋体" w:hAnsi="宋体" w:cs="宋体"/>
                <w:kern w:val="0"/>
                <w:sz w:val="24"/>
              </w:rPr>
            </w:pPr>
          </w:p>
        </w:tc>
        <w:tc>
          <w:tcPr>
            <w:tcW w:w="683" w:type="pct"/>
            <w:tcBorders>
              <w:top w:val="nil"/>
              <w:left w:val="nil"/>
              <w:bottom w:val="nil"/>
              <w:right w:val="nil"/>
            </w:tcBorders>
            <w:shd w:val="clear" w:color="auto" w:fill="auto"/>
            <w:vAlign w:val="bottom"/>
          </w:tcPr>
          <w:p w14:paraId="619DF19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9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9E"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19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A0"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1A1" w14:textId="77777777" w:rsidR="003D72E7" w:rsidRDefault="003D72E7">
            <w:pPr>
              <w:widowControl/>
              <w:jc w:val="left"/>
              <w:rPr>
                <w:rFonts w:ascii="Times New Roman" w:eastAsia="宋体" w:hAnsi="宋体" w:cs="宋体"/>
                <w:kern w:val="0"/>
                <w:sz w:val="24"/>
              </w:rPr>
            </w:pPr>
          </w:p>
        </w:tc>
        <w:tc>
          <w:tcPr>
            <w:tcW w:w="683" w:type="pct"/>
            <w:tcBorders>
              <w:top w:val="nil"/>
              <w:left w:val="nil"/>
              <w:bottom w:val="nil"/>
              <w:right w:val="nil"/>
            </w:tcBorders>
            <w:shd w:val="clear" w:color="auto" w:fill="auto"/>
            <w:vAlign w:val="bottom"/>
          </w:tcPr>
          <w:p w14:paraId="619DF1A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A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A4"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1A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A6"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1A7" w14:textId="77777777" w:rsidR="003D72E7" w:rsidRDefault="003D72E7">
            <w:pPr>
              <w:widowControl/>
              <w:jc w:val="left"/>
              <w:rPr>
                <w:rFonts w:ascii="Times New Roman" w:eastAsia="宋体" w:hAnsi="宋体" w:cs="宋体"/>
                <w:kern w:val="0"/>
                <w:sz w:val="24"/>
              </w:rPr>
            </w:pPr>
          </w:p>
        </w:tc>
        <w:tc>
          <w:tcPr>
            <w:tcW w:w="683" w:type="pct"/>
            <w:tcBorders>
              <w:top w:val="nil"/>
              <w:left w:val="nil"/>
              <w:bottom w:val="nil"/>
              <w:right w:val="nil"/>
            </w:tcBorders>
            <w:shd w:val="clear" w:color="auto" w:fill="auto"/>
            <w:vAlign w:val="bottom"/>
          </w:tcPr>
          <w:p w14:paraId="619DF1A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A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AA"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1A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AC"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1AD" w14:textId="77777777" w:rsidR="003D72E7" w:rsidRDefault="003D72E7">
            <w:pPr>
              <w:widowControl/>
              <w:jc w:val="left"/>
              <w:rPr>
                <w:rFonts w:ascii="Times New Roman" w:eastAsia="宋体" w:hAnsi="宋体" w:cs="宋体"/>
                <w:kern w:val="0"/>
                <w:sz w:val="24"/>
              </w:rPr>
            </w:pPr>
          </w:p>
        </w:tc>
        <w:tc>
          <w:tcPr>
            <w:tcW w:w="683" w:type="pct"/>
            <w:tcBorders>
              <w:top w:val="nil"/>
              <w:left w:val="nil"/>
              <w:bottom w:val="nil"/>
              <w:right w:val="nil"/>
            </w:tcBorders>
            <w:shd w:val="clear" w:color="auto" w:fill="auto"/>
            <w:vAlign w:val="bottom"/>
          </w:tcPr>
          <w:p w14:paraId="619DF1A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1AF" w14:textId="77777777" w:rsidR="003D72E7" w:rsidRDefault="003D72E7">
            <w:pPr>
              <w:widowControl/>
              <w:jc w:val="left"/>
              <w:rPr>
                <w:rFonts w:ascii="Times New Roman" w:eastAsia="宋体" w:hAnsi="宋体" w:cs="宋体"/>
                <w:kern w:val="0"/>
                <w:sz w:val="24"/>
              </w:rPr>
            </w:pPr>
          </w:p>
        </w:tc>
      </w:tr>
      <w:tr w:rsidR="003D72E7" w14:paraId="619DF1B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1B1"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1B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1B3"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1B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F1B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1B6"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1B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1B8"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1B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F1BA"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1B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1B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1B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F1C1" w14:textId="77777777">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1BF" w14:textId="77777777" w:rsidR="003D72E7" w:rsidRDefault="003D72E7">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619DF1C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3D72E7" w14:paraId="619DF1C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1C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Numerator: Dell Technologies Common Stock</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C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C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C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C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C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C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C9" w14:textId="77777777" w:rsidR="003D72E7" w:rsidRDefault="003D72E7">
            <w:pPr>
              <w:widowControl/>
              <w:jc w:val="left"/>
              <w:rPr>
                <w:rFonts w:ascii="Times New Roman" w:eastAsia="宋体" w:hAnsi="宋体" w:cs="宋体"/>
                <w:kern w:val="0"/>
                <w:sz w:val="24"/>
              </w:rPr>
            </w:pPr>
          </w:p>
        </w:tc>
      </w:tr>
      <w:tr w:rsidR="003D72E7" w14:paraId="619DF1D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1C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Net income attributable to Dell Technologies </w:t>
            </w: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xml:space="preserve"> basic</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1C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1C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1C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1C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1D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1D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1D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1D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1D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1D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1D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1D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1D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1D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1DA" w14:textId="77777777" w:rsidR="003D72E7" w:rsidRDefault="003D72E7">
            <w:pPr>
              <w:widowControl/>
              <w:jc w:val="right"/>
              <w:rPr>
                <w:rFonts w:ascii="Times New Roman" w:eastAsia="宋体" w:hAnsi="宋体" w:cs="宋体"/>
                <w:kern w:val="0"/>
                <w:sz w:val="24"/>
              </w:rPr>
            </w:pPr>
          </w:p>
        </w:tc>
      </w:tr>
      <w:tr w:rsidR="003D72E7" w14:paraId="619DF1E8" w14:textId="77777777">
        <w:tc>
          <w:tcPr>
            <w:tcW w:w="0" w:type="auto"/>
            <w:gridSpan w:val="3"/>
            <w:tcBorders>
              <w:top w:val="nil"/>
              <w:left w:val="nil"/>
              <w:bottom w:val="nil"/>
              <w:right w:val="nil"/>
            </w:tcBorders>
            <w:shd w:val="clear" w:color="auto" w:fill="CCEEFF"/>
            <w:tcMar>
              <w:top w:w="40" w:type="dxa"/>
              <w:left w:w="365" w:type="dxa"/>
              <w:bottom w:w="40" w:type="dxa"/>
              <w:right w:w="20" w:type="dxa"/>
            </w:tcMar>
            <w:vAlign w:val="bottom"/>
          </w:tcPr>
          <w:p w14:paraId="619DF1D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Incremental dilution from VMware, Inc. attributable to Dell Technologies (a)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1D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1D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D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1E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1E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E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1E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1E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E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1E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1E7" w14:textId="77777777" w:rsidR="003D72E7" w:rsidRDefault="003D72E7">
            <w:pPr>
              <w:widowControl/>
              <w:jc w:val="right"/>
              <w:rPr>
                <w:rFonts w:ascii="Times New Roman" w:eastAsia="宋体" w:hAnsi="宋体" w:cs="宋体"/>
                <w:kern w:val="0"/>
                <w:sz w:val="24"/>
              </w:rPr>
            </w:pPr>
          </w:p>
        </w:tc>
      </w:tr>
      <w:tr w:rsidR="003D72E7" w14:paraId="619DF1F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1E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Net income attributable to Dell Technologies </w:t>
            </w: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xml:space="preserve"> diluted</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1E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619DF1E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19DF1E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1E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1E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619DF1E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1,045 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19DF1F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1F1"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1F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619DF1F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19DF1F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1F5"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1F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bottom"/>
          </w:tcPr>
          <w:p w14:paraId="619DF1F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619DF1F8" w14:textId="77777777" w:rsidR="003D72E7" w:rsidRDefault="003D72E7">
            <w:pPr>
              <w:widowControl/>
              <w:jc w:val="right"/>
              <w:rPr>
                <w:rFonts w:ascii="Times New Roman" w:eastAsia="宋体" w:hAnsi="宋体" w:cs="宋体"/>
                <w:kern w:val="0"/>
                <w:sz w:val="24"/>
              </w:rPr>
            </w:pPr>
          </w:p>
        </w:tc>
      </w:tr>
      <w:tr w:rsidR="003D72E7" w14:paraId="619DF202" w14:textId="77777777">
        <w:trPr>
          <w:trHeight w:val="28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FA"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F1F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F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F1F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1F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F1F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20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DF201" w14:textId="77777777" w:rsidR="003D72E7" w:rsidRDefault="003D72E7">
            <w:pPr>
              <w:widowControl/>
              <w:jc w:val="left"/>
              <w:rPr>
                <w:rFonts w:ascii="Times New Roman" w:eastAsia="宋体" w:hAnsi="宋体" w:cs="宋体"/>
                <w:kern w:val="0"/>
                <w:sz w:val="24"/>
              </w:rPr>
            </w:pPr>
          </w:p>
        </w:tc>
      </w:tr>
      <w:tr w:rsidR="003D72E7" w14:paraId="619DF208" w14:textId="77777777">
        <w:tc>
          <w:tcPr>
            <w:tcW w:w="0" w:type="auto"/>
            <w:gridSpan w:val="12"/>
            <w:tcBorders>
              <w:top w:val="nil"/>
              <w:left w:val="nil"/>
              <w:bottom w:val="nil"/>
              <w:right w:val="nil"/>
            </w:tcBorders>
            <w:shd w:val="clear" w:color="auto" w:fill="FFFFFF"/>
            <w:tcMar>
              <w:top w:w="40" w:type="dxa"/>
              <w:left w:w="20" w:type="dxa"/>
              <w:bottom w:w="40" w:type="dxa"/>
              <w:right w:w="20" w:type="dxa"/>
            </w:tcMar>
            <w:vAlign w:val="bottom"/>
          </w:tcPr>
          <w:p w14:paraId="619DF20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Denominator: Dell Technologies Common Stock weighted-average shares outstanding</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20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20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20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207" w14:textId="77777777" w:rsidR="003D72E7" w:rsidRDefault="003D72E7">
            <w:pPr>
              <w:widowControl/>
              <w:jc w:val="left"/>
              <w:rPr>
                <w:rFonts w:ascii="Times New Roman" w:eastAsia="宋体" w:hAnsi="宋体" w:cs="宋体"/>
                <w:kern w:val="0"/>
                <w:sz w:val="24"/>
              </w:rPr>
            </w:pPr>
          </w:p>
        </w:tc>
      </w:tr>
      <w:tr w:rsidR="003D72E7" w14:paraId="619DF21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20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Weighted-average shares outstanding </w:t>
            </w: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xml:space="preserve"> basic</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20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20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20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20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20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20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21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21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21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21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214" w14:textId="77777777" w:rsidR="003D72E7" w:rsidRDefault="003D72E7">
            <w:pPr>
              <w:widowControl/>
              <w:jc w:val="right"/>
              <w:rPr>
                <w:rFonts w:ascii="Times New Roman" w:eastAsia="宋体" w:hAnsi="宋体" w:cs="宋体"/>
                <w:kern w:val="0"/>
                <w:sz w:val="24"/>
              </w:rPr>
            </w:pPr>
          </w:p>
        </w:tc>
      </w:tr>
      <w:tr w:rsidR="003D72E7" w14:paraId="619DF222" w14:textId="77777777">
        <w:tc>
          <w:tcPr>
            <w:tcW w:w="0" w:type="auto"/>
            <w:gridSpan w:val="3"/>
            <w:tcBorders>
              <w:top w:val="nil"/>
              <w:left w:val="nil"/>
              <w:bottom w:val="nil"/>
              <w:right w:val="nil"/>
            </w:tcBorders>
            <w:shd w:val="clear" w:color="auto" w:fill="FFFFFF"/>
            <w:tcMar>
              <w:top w:w="40" w:type="dxa"/>
              <w:left w:w="365" w:type="dxa"/>
              <w:bottom w:w="40" w:type="dxa"/>
              <w:right w:w="20" w:type="dxa"/>
            </w:tcMar>
            <w:vAlign w:val="bottom"/>
          </w:tcPr>
          <w:p w14:paraId="619DF21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Dilutive effect of options, restricted stock units, restricted stock,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21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21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21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21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21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21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21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21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21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22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221" w14:textId="77777777" w:rsidR="003D72E7" w:rsidRDefault="003D72E7">
            <w:pPr>
              <w:widowControl/>
              <w:jc w:val="right"/>
              <w:rPr>
                <w:rFonts w:ascii="Times New Roman" w:eastAsia="宋体" w:hAnsi="宋体" w:cs="宋体"/>
                <w:kern w:val="0"/>
                <w:sz w:val="24"/>
              </w:rPr>
            </w:pPr>
          </w:p>
        </w:tc>
      </w:tr>
      <w:tr w:rsidR="003D72E7" w14:paraId="619DF22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22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Weighted-average shares outstanding </w:t>
            </w: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xml:space="preserve"> diluted</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22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22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226"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22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22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229"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22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22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22C"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22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22E" w14:textId="77777777" w:rsidR="003D72E7" w:rsidRDefault="003D72E7">
            <w:pPr>
              <w:widowControl/>
              <w:jc w:val="right"/>
              <w:rPr>
                <w:rFonts w:ascii="Times New Roman" w:eastAsia="宋体" w:hAnsi="宋体" w:cs="宋体"/>
                <w:kern w:val="0"/>
                <w:sz w:val="24"/>
              </w:rPr>
            </w:pPr>
          </w:p>
        </w:tc>
      </w:tr>
      <w:tr w:rsidR="003D72E7" w14:paraId="619DF23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23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Weighted-average shares outstanding </w:t>
            </w:r>
            <w:r>
              <w:rPr>
                <w:rFonts w:ascii="Times New Roman" w:eastAsia="宋体" w:hAnsi="Times New Roman" w:cs="Times New Roman"/>
                <w:b/>
                <w:bCs/>
                <w:color w:val="000000"/>
                <w:kern w:val="0"/>
                <w:sz w:val="20"/>
                <w:szCs w:val="20"/>
                <w:lang w:bidi="ar"/>
              </w:rPr>
              <w:t>—</w:t>
            </w:r>
            <w:r>
              <w:rPr>
                <w:rFonts w:ascii="Times New Roman" w:eastAsia="宋体" w:hAnsi="Times New Roman" w:cs="Times New Roman"/>
                <w:color w:val="000000"/>
                <w:kern w:val="0"/>
                <w:sz w:val="20"/>
                <w:szCs w:val="20"/>
                <w:lang w:bidi="ar"/>
              </w:rPr>
              <w:t xml:space="preserve"> antidilutive</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19DF23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619DF23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233" w14:textId="77777777" w:rsidR="003D72E7" w:rsidRDefault="003D72E7">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19DF23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619DF23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236" w14:textId="77777777" w:rsidR="003D72E7" w:rsidRDefault="003D72E7">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19DF23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619DF23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239" w14:textId="77777777" w:rsidR="003D72E7" w:rsidRDefault="003D72E7">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19DF23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619DF23B" w14:textId="77777777" w:rsidR="003D72E7" w:rsidRDefault="003D72E7">
            <w:pPr>
              <w:widowControl/>
              <w:jc w:val="right"/>
              <w:rPr>
                <w:rFonts w:ascii="Times New Roman" w:eastAsia="宋体" w:hAnsi="宋体" w:cs="宋体"/>
                <w:kern w:val="0"/>
                <w:sz w:val="24"/>
              </w:rPr>
            </w:pPr>
          </w:p>
        </w:tc>
      </w:tr>
    </w:tbl>
    <w:p w14:paraId="619DF23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619DF23E"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(a)The incremental dilution from VMware, Inc. attributable to Dell Technologies repre</w:t>
      </w:r>
      <w:r>
        <w:rPr>
          <w:rFonts w:ascii="Times New Roman" w:eastAsia="宋体" w:hAnsi="Times New Roman" w:cs="Times New Roman"/>
          <w:color w:val="000000"/>
          <w:kern w:val="0"/>
          <w:sz w:val="20"/>
          <w:szCs w:val="20"/>
          <w:lang w:bidi="ar"/>
        </w:rPr>
        <w:t>sents the impact of VMware, Inc.’s dilutive securities on diluted earnings per share of Dell Technologies Common Stock, and is calculated by multiplying the difference between VMware, Inc.’s basic and diluted earnings per share by the number of shares of V</w:t>
      </w:r>
      <w:r>
        <w:rPr>
          <w:rFonts w:ascii="Times New Roman" w:eastAsia="宋体" w:hAnsi="Times New Roman" w:cs="Times New Roman"/>
          <w:color w:val="000000"/>
          <w:kern w:val="0"/>
          <w:sz w:val="20"/>
          <w:szCs w:val="20"/>
          <w:lang w:bidi="ar"/>
        </w:rPr>
        <w:t>Mware, Inc. common stock held by the Company. For both periods presented, there was no incremental dilution from Secureworks due to its net loss position.</w:t>
      </w:r>
    </w:p>
    <w:p w14:paraId="619DF23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24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50</w:t>
      </w:r>
    </w:p>
    <w:p w14:paraId="619DF241"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242" w14:textId="77777777" w:rsidR="003D72E7" w:rsidRDefault="00AD6774">
      <w:pPr>
        <w:widowControl/>
        <w:jc w:val="center"/>
      </w:pPr>
      <w:r>
        <w:rPr>
          <w:rFonts w:ascii="宋体" w:eastAsia="宋体" w:hAnsi="宋体" w:cs="宋体"/>
          <w:kern w:val="0"/>
          <w:sz w:val="24"/>
        </w:rPr>
        <w:pict w14:anchorId="619E0D9D">
          <v:rect id="_x0000_i1074" style="width:6in;height:1.5pt" o:hralign="center" o:hrstd="t" o:hr="t" fillcolor="#a0a0a0" stroked="f"/>
        </w:pict>
      </w:r>
    </w:p>
    <w:p w14:paraId="619DF243"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24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F245"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F246"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F247"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24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NOTE 15</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b/>
          <w:bCs/>
          <w:color w:val="000000"/>
          <w:kern w:val="0"/>
          <w:sz w:val="20"/>
          <w:szCs w:val="20"/>
          <w:lang w:bidi="ar"/>
        </w:rPr>
        <w:t xml:space="preserve">— REDEEMABLE SHARES </w:t>
      </w:r>
    </w:p>
    <w:p w14:paraId="619DF24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24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Through June 27, 2021, awards under the </w:t>
      </w:r>
      <w:r>
        <w:rPr>
          <w:rFonts w:ascii="Times New Roman" w:eastAsia="宋体" w:hAnsi="Times New Roman" w:cs="Times New Roman"/>
          <w:color w:val="000000"/>
          <w:kern w:val="0"/>
          <w:sz w:val="20"/>
          <w:szCs w:val="20"/>
          <w:lang w:bidi="ar"/>
        </w:rPr>
        <w:t>Company’s stock incentive plans included certain rights that allowed the holder to exercise a put feature for the underlying Class A or Class C Common Stock after a six month holding period following the issuance of such common stock. The put feature requi</w:t>
      </w:r>
      <w:r>
        <w:rPr>
          <w:rFonts w:ascii="Times New Roman" w:eastAsia="宋体" w:hAnsi="Times New Roman" w:cs="Times New Roman"/>
          <w:color w:val="000000"/>
          <w:kern w:val="0"/>
          <w:sz w:val="20"/>
          <w:szCs w:val="20"/>
          <w:lang w:bidi="ar"/>
        </w:rPr>
        <w:t>red the Company to purchase the stock at its fair market value. Accordingly, these awards and such common stock were subject to reclassification from equity to temporary equity.</w:t>
      </w:r>
      <w:r>
        <w:rPr>
          <w:rFonts w:ascii="Times New Roman" w:eastAsia="宋体" w:hAnsi="Times New Roman" w:cs="Times New Roman"/>
          <w:color w:val="000000"/>
          <w:kern w:val="0"/>
          <w:sz w:val="24"/>
          <w:lang w:bidi="ar"/>
        </w:rPr>
        <w:t xml:space="preserve"> </w:t>
      </w:r>
      <w:r>
        <w:rPr>
          <w:rFonts w:ascii="Times New Roman" w:eastAsia="宋体" w:hAnsi="Times New Roman" w:cs="Times New Roman"/>
          <w:color w:val="000000"/>
          <w:kern w:val="0"/>
          <w:sz w:val="20"/>
          <w:szCs w:val="20"/>
          <w:lang w:bidi="ar"/>
        </w:rPr>
        <w:t xml:space="preserve">The put feature expired on June 27, 2021, and as a result there were no </w:t>
      </w:r>
      <w:r>
        <w:rPr>
          <w:rFonts w:ascii="Times New Roman" w:eastAsia="宋体" w:hAnsi="Times New Roman" w:cs="Times New Roman"/>
          <w:color w:val="000000"/>
          <w:kern w:val="0"/>
          <w:sz w:val="20"/>
          <w:szCs w:val="20"/>
          <w:lang w:bidi="ar"/>
        </w:rPr>
        <w:t>issued and outstanding awards that were reclassified as temporary equity as of July 30, 2021.</w:t>
      </w:r>
    </w:p>
    <w:p w14:paraId="619DF24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24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of the fiscal year ended January 29, 2021, the Company determined the award amounts to be classified as temporary equity as follows:</w:t>
      </w:r>
    </w:p>
    <w:p w14:paraId="619DF24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24E"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•For stock options to </w:t>
      </w:r>
      <w:r>
        <w:rPr>
          <w:rFonts w:ascii="Times New Roman" w:eastAsia="宋体" w:hAnsi="Times New Roman" w:cs="Times New Roman"/>
          <w:color w:val="000000"/>
          <w:kern w:val="0"/>
          <w:sz w:val="20"/>
          <w:szCs w:val="20"/>
          <w:lang w:bidi="ar"/>
        </w:rPr>
        <w:t>purchase Class C Common Stock subject to service requirements, the intrinsic value of the option was multiplied by the portion of the option for which services had been rendered. Upon exercise of the option, the amount in temporary equity represented the f</w:t>
      </w:r>
      <w:r>
        <w:rPr>
          <w:rFonts w:ascii="Times New Roman" w:eastAsia="宋体" w:hAnsi="Times New Roman" w:cs="Times New Roman"/>
          <w:color w:val="000000"/>
          <w:kern w:val="0"/>
          <w:sz w:val="20"/>
          <w:szCs w:val="20"/>
          <w:lang w:bidi="ar"/>
        </w:rPr>
        <w:t>air value of the Class C Common Stock.</w:t>
      </w:r>
    </w:p>
    <w:p w14:paraId="619DF24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250"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•For stock appreciation rights, restricted stock units, or restricted stock awards, any of which stock award types are subject to service requirements, the fair value of the share is multiplied by the portion of the</w:t>
      </w:r>
      <w:r>
        <w:rPr>
          <w:rFonts w:ascii="Times New Roman" w:eastAsia="宋体" w:hAnsi="Times New Roman" w:cs="Times New Roman"/>
          <w:color w:val="000000"/>
          <w:kern w:val="0"/>
          <w:sz w:val="20"/>
          <w:szCs w:val="20"/>
          <w:lang w:bidi="ar"/>
        </w:rPr>
        <w:t xml:space="preserve"> share for which services have been rendered.</w:t>
      </w:r>
    </w:p>
    <w:p w14:paraId="619DF25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252"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•For share-based arrangements that were subject to the occurrence of a contingent event, those amounts were reclassified to temporary equity based on a probability assessment performed by the Company on a per</w:t>
      </w:r>
      <w:r>
        <w:rPr>
          <w:rFonts w:ascii="Times New Roman" w:eastAsia="宋体" w:hAnsi="Times New Roman" w:cs="Times New Roman"/>
          <w:color w:val="000000"/>
          <w:kern w:val="0"/>
          <w:sz w:val="20"/>
          <w:szCs w:val="20"/>
          <w:lang w:bidi="ar"/>
        </w:rPr>
        <w:t>iodic basis. Contingent events included the achievement of performance-based metrics.</w:t>
      </w:r>
    </w:p>
    <w:p w14:paraId="619DF25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254"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the amount of redeemable shares classified as temporary equity and summarizes the award type as of the fiscal year ended January 29, 2021: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6830"/>
        <w:gridCol w:w="36"/>
        <w:gridCol w:w="36"/>
        <w:gridCol w:w="36"/>
        <w:gridCol w:w="36"/>
        <w:gridCol w:w="36"/>
        <w:gridCol w:w="121"/>
        <w:gridCol w:w="1132"/>
        <w:gridCol w:w="36"/>
      </w:tblGrid>
      <w:tr w:rsidR="003D72E7" w14:paraId="619DF25F" w14:textId="77777777">
        <w:tc>
          <w:tcPr>
            <w:tcW w:w="50" w:type="pct"/>
            <w:tcBorders>
              <w:top w:val="nil"/>
              <w:left w:val="nil"/>
              <w:bottom w:val="nil"/>
              <w:right w:val="nil"/>
            </w:tcBorders>
            <w:shd w:val="clear" w:color="auto" w:fill="auto"/>
            <w:vAlign w:val="bottom"/>
          </w:tcPr>
          <w:p w14:paraId="619DF255" w14:textId="77777777" w:rsidR="003D72E7" w:rsidRDefault="003D72E7">
            <w:pPr>
              <w:widowControl/>
              <w:jc w:val="left"/>
              <w:rPr>
                <w:rFonts w:ascii="Times New Roman" w:eastAsia="宋体" w:hAnsi="宋体" w:cs="宋体"/>
                <w:kern w:val="0"/>
                <w:sz w:val="24"/>
              </w:rPr>
            </w:pPr>
          </w:p>
        </w:tc>
        <w:tc>
          <w:tcPr>
            <w:tcW w:w="4147" w:type="pct"/>
            <w:tcBorders>
              <w:top w:val="nil"/>
              <w:left w:val="nil"/>
              <w:bottom w:val="nil"/>
              <w:right w:val="nil"/>
            </w:tcBorders>
            <w:shd w:val="clear" w:color="auto" w:fill="auto"/>
            <w:vAlign w:val="bottom"/>
          </w:tcPr>
          <w:p w14:paraId="619DF25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25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F258" w14:textId="77777777" w:rsidR="003D72E7" w:rsidRDefault="003D72E7">
            <w:pPr>
              <w:widowControl/>
              <w:jc w:val="left"/>
              <w:rPr>
                <w:rFonts w:ascii="Times New Roman" w:eastAsia="宋体" w:hAnsi="宋体" w:cs="宋体"/>
                <w:vanish/>
                <w:kern w:val="0"/>
                <w:sz w:val="24"/>
              </w:rPr>
            </w:pPr>
          </w:p>
        </w:tc>
        <w:tc>
          <w:tcPr>
            <w:tcW w:w="5" w:type="pct"/>
            <w:tcBorders>
              <w:top w:val="nil"/>
              <w:left w:val="nil"/>
              <w:bottom w:val="nil"/>
              <w:right w:val="nil"/>
            </w:tcBorders>
            <w:shd w:val="clear" w:color="auto" w:fill="auto"/>
            <w:vAlign w:val="bottom"/>
          </w:tcPr>
          <w:p w14:paraId="619DF25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25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25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25C" w14:textId="77777777" w:rsidR="003D72E7" w:rsidRDefault="003D72E7">
            <w:pPr>
              <w:widowControl/>
              <w:jc w:val="left"/>
              <w:rPr>
                <w:rFonts w:ascii="Times New Roman" w:eastAsia="宋体" w:hAnsi="宋体" w:cs="宋体"/>
                <w:kern w:val="0"/>
                <w:sz w:val="24"/>
              </w:rPr>
            </w:pPr>
          </w:p>
        </w:tc>
        <w:tc>
          <w:tcPr>
            <w:tcW w:w="712" w:type="pct"/>
            <w:tcBorders>
              <w:top w:val="nil"/>
              <w:left w:val="nil"/>
              <w:bottom w:val="nil"/>
              <w:right w:val="nil"/>
            </w:tcBorders>
            <w:shd w:val="clear" w:color="auto" w:fill="auto"/>
            <w:vAlign w:val="bottom"/>
          </w:tcPr>
          <w:p w14:paraId="619DF25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25E" w14:textId="77777777" w:rsidR="003D72E7" w:rsidRDefault="003D72E7">
            <w:pPr>
              <w:widowControl/>
              <w:jc w:val="left"/>
              <w:rPr>
                <w:rFonts w:ascii="Times New Roman" w:eastAsia="宋体" w:hAnsi="宋体" w:cs="宋体"/>
                <w:kern w:val="0"/>
                <w:sz w:val="24"/>
              </w:rPr>
            </w:pPr>
          </w:p>
        </w:tc>
      </w:tr>
      <w:tr w:rsidR="003D72E7" w14:paraId="619DF26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26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F26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26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F26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F26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26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F266" w14:textId="77777777" w:rsidR="003D72E7" w:rsidRDefault="003D72E7">
            <w:pPr>
              <w:widowControl/>
              <w:jc w:val="left"/>
              <w:rPr>
                <w:rFonts w:ascii="Times New Roman" w:eastAsia="宋体" w:hAnsi="宋体" w:cs="宋体"/>
                <w:vanish/>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619DF26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F26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F26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Redeemable shares classified as temporary equity</w:t>
            </w:r>
          </w:p>
        </w:tc>
        <w:tc>
          <w:tcPr>
            <w:tcW w:w="0" w:type="auto"/>
            <w:tcBorders>
              <w:top w:val="nil"/>
              <w:left w:val="nil"/>
              <w:bottom w:val="nil"/>
              <w:right w:val="nil"/>
            </w:tcBorders>
            <w:shd w:val="clear" w:color="auto" w:fill="auto"/>
            <w:vAlign w:val="bottom"/>
          </w:tcPr>
          <w:p w14:paraId="619DF26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26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26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26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26E" w14:textId="77777777" w:rsidR="003D72E7" w:rsidRDefault="003D72E7">
            <w:pPr>
              <w:widowControl/>
              <w:jc w:val="right"/>
              <w:rPr>
                <w:rFonts w:ascii="Times New Roman" w:eastAsia="宋体" w:hAnsi="宋体" w:cs="宋体"/>
                <w:kern w:val="0"/>
                <w:sz w:val="24"/>
              </w:rPr>
            </w:pPr>
          </w:p>
        </w:tc>
      </w:tr>
      <w:tr w:rsidR="003D72E7" w14:paraId="619DF274" w14:textId="77777777">
        <w:trPr>
          <w:trHeight w:val="3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27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DF27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27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273" w14:textId="77777777" w:rsidR="003D72E7" w:rsidRDefault="003D72E7">
            <w:pPr>
              <w:widowControl/>
              <w:jc w:val="left"/>
              <w:rPr>
                <w:rFonts w:ascii="Times New Roman" w:eastAsia="宋体" w:hAnsi="宋体" w:cs="宋体"/>
                <w:kern w:val="0"/>
                <w:sz w:val="24"/>
              </w:rPr>
            </w:pPr>
          </w:p>
        </w:tc>
      </w:tr>
      <w:tr w:rsidR="003D72E7" w14:paraId="619DF27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F27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Issued and outstanding unrestricted common shares</w:t>
            </w:r>
          </w:p>
        </w:tc>
        <w:tc>
          <w:tcPr>
            <w:tcW w:w="0" w:type="auto"/>
            <w:tcBorders>
              <w:top w:val="nil"/>
              <w:left w:val="nil"/>
              <w:bottom w:val="nil"/>
              <w:right w:val="nil"/>
            </w:tcBorders>
            <w:shd w:val="clear" w:color="auto" w:fill="auto"/>
            <w:vAlign w:val="bottom"/>
          </w:tcPr>
          <w:p w14:paraId="619DF27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27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27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279" w14:textId="77777777" w:rsidR="003D72E7" w:rsidRDefault="003D72E7">
            <w:pPr>
              <w:widowControl/>
              <w:jc w:val="right"/>
              <w:rPr>
                <w:rFonts w:ascii="Times New Roman" w:eastAsia="宋体" w:hAnsi="宋体" w:cs="宋体"/>
                <w:kern w:val="0"/>
                <w:sz w:val="24"/>
              </w:rPr>
            </w:pPr>
          </w:p>
        </w:tc>
      </w:tr>
      <w:tr w:rsidR="003D72E7" w14:paraId="619DF27F" w14:textId="77777777">
        <w:trPr>
          <w:hidden/>
        </w:trPr>
        <w:tc>
          <w:tcPr>
            <w:tcW w:w="0" w:type="auto"/>
            <w:gridSpan w:val="3"/>
            <w:tcBorders>
              <w:top w:val="nil"/>
              <w:left w:val="nil"/>
              <w:bottom w:val="nil"/>
              <w:right w:val="nil"/>
            </w:tcBorders>
            <w:shd w:val="clear" w:color="auto" w:fill="auto"/>
            <w:vAlign w:val="bottom"/>
          </w:tcPr>
          <w:p w14:paraId="619DF27B"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F27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27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27E" w14:textId="77777777" w:rsidR="003D72E7" w:rsidRDefault="003D72E7">
            <w:pPr>
              <w:widowControl/>
              <w:jc w:val="left"/>
              <w:rPr>
                <w:rFonts w:ascii="Times New Roman" w:eastAsia="宋体" w:hAnsi="宋体" w:cs="宋体"/>
                <w:vanish/>
                <w:kern w:val="0"/>
                <w:sz w:val="24"/>
              </w:rPr>
            </w:pPr>
          </w:p>
        </w:tc>
      </w:tr>
      <w:tr w:rsidR="003D72E7" w14:paraId="619DF284" w14:textId="77777777">
        <w:trPr>
          <w:hidden/>
        </w:trPr>
        <w:tc>
          <w:tcPr>
            <w:tcW w:w="0" w:type="auto"/>
            <w:gridSpan w:val="3"/>
            <w:tcBorders>
              <w:top w:val="nil"/>
              <w:left w:val="nil"/>
              <w:bottom w:val="nil"/>
              <w:right w:val="nil"/>
            </w:tcBorders>
            <w:shd w:val="clear" w:color="auto" w:fill="auto"/>
            <w:vAlign w:val="bottom"/>
          </w:tcPr>
          <w:p w14:paraId="619DF280"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DF28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28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283" w14:textId="77777777" w:rsidR="003D72E7" w:rsidRDefault="003D72E7">
            <w:pPr>
              <w:widowControl/>
              <w:jc w:val="left"/>
              <w:rPr>
                <w:rFonts w:ascii="Times New Roman" w:eastAsia="宋体" w:hAnsi="宋体" w:cs="宋体"/>
                <w:vanish/>
                <w:kern w:val="0"/>
                <w:sz w:val="24"/>
              </w:rPr>
            </w:pPr>
          </w:p>
        </w:tc>
      </w:tr>
      <w:tr w:rsidR="003D72E7" w14:paraId="619DF28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F28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Outstanding stock options</w:t>
            </w:r>
          </w:p>
        </w:tc>
        <w:tc>
          <w:tcPr>
            <w:tcW w:w="0" w:type="auto"/>
            <w:tcBorders>
              <w:top w:val="nil"/>
              <w:left w:val="nil"/>
              <w:bottom w:val="nil"/>
              <w:right w:val="nil"/>
            </w:tcBorders>
            <w:shd w:val="clear" w:color="auto" w:fill="auto"/>
            <w:vAlign w:val="bottom"/>
          </w:tcPr>
          <w:p w14:paraId="619DF28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28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28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289" w14:textId="77777777" w:rsidR="003D72E7" w:rsidRDefault="003D72E7">
            <w:pPr>
              <w:widowControl/>
              <w:jc w:val="right"/>
              <w:rPr>
                <w:rFonts w:ascii="Times New Roman" w:eastAsia="宋体" w:hAnsi="宋体" w:cs="宋体"/>
                <w:kern w:val="0"/>
                <w:sz w:val="24"/>
              </w:rPr>
            </w:pPr>
          </w:p>
        </w:tc>
      </w:tr>
    </w:tbl>
    <w:p w14:paraId="619DF28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28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28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28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51</w:t>
      </w:r>
    </w:p>
    <w:p w14:paraId="619DF28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290" w14:textId="77777777" w:rsidR="003D72E7" w:rsidRDefault="00AD6774">
      <w:pPr>
        <w:widowControl/>
        <w:jc w:val="center"/>
      </w:pPr>
      <w:r>
        <w:rPr>
          <w:rFonts w:ascii="宋体" w:eastAsia="宋体" w:hAnsi="宋体" w:cs="宋体"/>
          <w:kern w:val="0"/>
          <w:sz w:val="24"/>
        </w:rPr>
        <w:pict w14:anchorId="619E0D9E">
          <v:rect id="_x0000_i1075" style="width:6in;height:1.5pt" o:hralign="center" o:hrstd="t" o:hr="t" fillcolor="#a0a0a0" stroked="f"/>
        </w:pict>
      </w:r>
    </w:p>
    <w:p w14:paraId="619DF291"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29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F29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F29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F295"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29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16 — SEGMENT INFORMATION </w:t>
      </w:r>
    </w:p>
    <w:p w14:paraId="619DF29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29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Company has three </w:t>
      </w:r>
      <w:r>
        <w:rPr>
          <w:rFonts w:ascii="Times New Roman" w:eastAsia="宋体" w:hAnsi="Times New Roman" w:cs="Times New Roman"/>
          <w:color w:val="000000"/>
          <w:kern w:val="0"/>
          <w:sz w:val="20"/>
          <w:szCs w:val="20"/>
          <w:lang w:bidi="ar"/>
        </w:rPr>
        <w:t>reportable segments that are based on the following business units: Infrastructure Solutions Group (“ISG”); Client Solutions Group (“CSG”); and VMware.</w:t>
      </w:r>
    </w:p>
    <w:p w14:paraId="619DF29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29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ISG enables the digital transformation of the Company’s customers through its trusted multi-cloud and </w:t>
      </w:r>
      <w:r>
        <w:rPr>
          <w:rFonts w:ascii="Times New Roman" w:eastAsia="宋体" w:hAnsi="Times New Roman" w:cs="Times New Roman"/>
          <w:color w:val="000000"/>
          <w:kern w:val="0"/>
          <w:sz w:val="20"/>
          <w:szCs w:val="20"/>
          <w:lang w:bidi="ar"/>
        </w:rPr>
        <w:t xml:space="preserve">big data solutions, which are built upon a modern data center infrastructure. The ISG comprehensive portfolio of advanced storage solutions includes traditional as well as next-generation storage solutions (such as all-flash arrays, scale-out file, object </w:t>
      </w:r>
      <w:r>
        <w:rPr>
          <w:rFonts w:ascii="Times New Roman" w:eastAsia="宋体" w:hAnsi="Times New Roman" w:cs="Times New Roman"/>
          <w:color w:val="000000"/>
          <w:kern w:val="0"/>
          <w:sz w:val="20"/>
          <w:szCs w:val="20"/>
          <w:lang w:bidi="ar"/>
        </w:rPr>
        <w:t>platforms, and software-defined solutions), while the Company’s server portfolio includes high-performance rack, blade, tower, and hyperscale servers. The ISG networking portfolio helps business customers transform and modernize their infrastructure, mobil</w:t>
      </w:r>
      <w:r>
        <w:rPr>
          <w:rFonts w:ascii="Times New Roman" w:eastAsia="宋体" w:hAnsi="Times New Roman" w:cs="Times New Roman"/>
          <w:color w:val="000000"/>
          <w:kern w:val="0"/>
          <w:sz w:val="20"/>
          <w:szCs w:val="20"/>
          <w:lang w:bidi="ar"/>
        </w:rPr>
        <w:t>ize and enrich end-user experiences, and accelerate business applications and processes. ISG also offers attached software, peripherals, and services, including support and deployment, configuration, and extended warranty services.</w:t>
      </w:r>
    </w:p>
    <w:p w14:paraId="619DF29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29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CSG includes sales to </w:t>
      </w:r>
      <w:r>
        <w:rPr>
          <w:rFonts w:ascii="Times New Roman" w:eastAsia="宋体" w:hAnsi="Times New Roman" w:cs="Times New Roman"/>
          <w:color w:val="000000"/>
          <w:kern w:val="0"/>
          <w:sz w:val="20"/>
          <w:szCs w:val="20"/>
          <w:lang w:bidi="ar"/>
        </w:rPr>
        <w:t>commercial and consumer customers of branded hardware (such as desktops, workstations, and notebooks) and branded peripherals (such as displays and projectors), as well as services and third-party software and peripherals. CSG also offers attached software</w:t>
      </w:r>
      <w:r>
        <w:rPr>
          <w:rFonts w:ascii="Times New Roman" w:eastAsia="宋体" w:hAnsi="Times New Roman" w:cs="Times New Roman"/>
          <w:color w:val="000000"/>
          <w:kern w:val="0"/>
          <w:sz w:val="20"/>
          <w:szCs w:val="20"/>
          <w:lang w:bidi="ar"/>
        </w:rPr>
        <w:t>, peripherals, and services, including support and deployment, configuration, and extended warranty services.</w:t>
      </w:r>
    </w:p>
    <w:p w14:paraId="619DF29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29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VMware works with customers in the areas of hybrid and multi-cloud, virtual cloud networking, digital workspaces, modern applications, and intri</w:t>
      </w:r>
      <w:r>
        <w:rPr>
          <w:rFonts w:ascii="Times New Roman" w:eastAsia="宋体" w:hAnsi="Times New Roman" w:cs="Times New Roman"/>
          <w:color w:val="000000"/>
          <w:kern w:val="0"/>
          <w:sz w:val="20"/>
          <w:szCs w:val="20"/>
          <w:lang w:bidi="ar"/>
        </w:rPr>
        <w:t xml:space="preserve">nsic security, helping customers manage their IT resources across private clouds and complex multi-cloud, multi-device environments. VMware enables its customers to digitally transform their operations as they ready their applications, infrastructure, and </w:t>
      </w:r>
      <w:r>
        <w:rPr>
          <w:rFonts w:ascii="Times New Roman" w:eastAsia="宋体" w:hAnsi="Times New Roman" w:cs="Times New Roman"/>
          <w:color w:val="000000"/>
          <w:kern w:val="0"/>
          <w:sz w:val="20"/>
          <w:szCs w:val="20"/>
          <w:lang w:bidi="ar"/>
        </w:rPr>
        <w:t xml:space="preserve">employees for constantly evolving business needs. </w:t>
      </w:r>
    </w:p>
    <w:p w14:paraId="619DF29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2A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reportable segments disclosed herein are based on information reviewed by the Company’s management to evaluate the business segment results. The Company’s measure of segment revenue and segment opera</w:t>
      </w:r>
      <w:r>
        <w:rPr>
          <w:rFonts w:ascii="Times New Roman" w:eastAsia="宋体" w:hAnsi="Times New Roman" w:cs="Times New Roman"/>
          <w:color w:val="000000"/>
          <w:kern w:val="0"/>
          <w:sz w:val="20"/>
          <w:szCs w:val="20"/>
          <w:lang w:bidi="ar"/>
        </w:rPr>
        <w:t>ting income for management reporting purposes excludes the impact of Other businesses, unallocated corporate transactions, the impact of purchase accounting, amortization of intangible assets, transaction-related expenses, stock-based compensation expense,</w:t>
      </w:r>
      <w:r>
        <w:rPr>
          <w:rFonts w:ascii="Times New Roman" w:eastAsia="宋体" w:hAnsi="Times New Roman" w:cs="Times New Roman"/>
          <w:color w:val="000000"/>
          <w:kern w:val="0"/>
          <w:sz w:val="20"/>
          <w:szCs w:val="20"/>
          <w:lang w:bidi="ar"/>
        </w:rPr>
        <w:t xml:space="preserve"> and other corporate expenses, as applicable. The Company does not allocate assets to its reportable segments for internal reporting purposes.</w:t>
      </w:r>
    </w:p>
    <w:p w14:paraId="619DF2A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2A2"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2A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52</w:t>
      </w:r>
    </w:p>
    <w:p w14:paraId="619DF2A4"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2A5" w14:textId="77777777" w:rsidR="003D72E7" w:rsidRDefault="00AD6774">
      <w:pPr>
        <w:widowControl/>
        <w:jc w:val="center"/>
      </w:pPr>
      <w:r>
        <w:rPr>
          <w:rFonts w:ascii="宋体" w:eastAsia="宋体" w:hAnsi="宋体" w:cs="宋体"/>
          <w:kern w:val="0"/>
          <w:sz w:val="24"/>
        </w:rPr>
        <w:pict w14:anchorId="619E0D9F">
          <v:rect id="_x0000_i1076" style="width:6in;height:1.5pt" o:hralign="center" o:hrstd="t" o:hr="t" fillcolor="#a0a0a0" stroked="f"/>
        </w:pict>
      </w:r>
    </w:p>
    <w:p w14:paraId="619DF2A6"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2A7"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F2A8"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w:t>
      </w:r>
      <w:r>
        <w:rPr>
          <w:rFonts w:ascii="Times New Roman" w:eastAsia="宋体" w:hAnsi="Times New Roman" w:cs="Times New Roman"/>
          <w:b/>
          <w:bCs/>
          <w:color w:val="000000"/>
          <w:kern w:val="0"/>
          <w:sz w:val="20"/>
          <w:szCs w:val="20"/>
          <w:shd w:val="clear" w:color="auto" w:fill="FFFFFF"/>
          <w:lang w:bidi="ar"/>
        </w:rPr>
        <w:t>TES TO THE CONDENSED CONSOLIDATED FINANCIAL STATEMENTS (Continued)</w:t>
      </w:r>
    </w:p>
    <w:p w14:paraId="619DF2A9"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F2AA"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2AB"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a reconciliation of net revenue by the Company’s reportable segments to the Company’s consolidated net revenue as well as a </w:t>
      </w:r>
      <w:r>
        <w:rPr>
          <w:rFonts w:ascii="Times New Roman" w:eastAsia="宋体" w:hAnsi="Times New Roman" w:cs="Times New Roman"/>
          <w:color w:val="000000"/>
          <w:kern w:val="0"/>
          <w:sz w:val="20"/>
          <w:szCs w:val="20"/>
          <w:lang w:bidi="ar"/>
        </w:rPr>
        <w:t>reconciliation of consolidated segment operating income to the Company’s consolidated operating income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4"/>
        <w:gridCol w:w="2607"/>
        <w:gridCol w:w="39"/>
        <w:gridCol w:w="120"/>
        <w:gridCol w:w="1172"/>
        <w:gridCol w:w="36"/>
        <w:gridCol w:w="36"/>
        <w:gridCol w:w="36"/>
        <w:gridCol w:w="36"/>
        <w:gridCol w:w="120"/>
        <w:gridCol w:w="1172"/>
        <w:gridCol w:w="36"/>
        <w:gridCol w:w="36"/>
        <w:gridCol w:w="36"/>
        <w:gridCol w:w="36"/>
        <w:gridCol w:w="120"/>
        <w:gridCol w:w="1172"/>
        <w:gridCol w:w="36"/>
        <w:gridCol w:w="36"/>
        <w:gridCol w:w="36"/>
        <w:gridCol w:w="36"/>
        <w:gridCol w:w="120"/>
        <w:gridCol w:w="1172"/>
        <w:gridCol w:w="36"/>
      </w:tblGrid>
      <w:tr w:rsidR="003D72E7" w14:paraId="619DF2C4" w14:textId="77777777">
        <w:tc>
          <w:tcPr>
            <w:tcW w:w="50" w:type="pct"/>
            <w:tcBorders>
              <w:top w:val="nil"/>
              <w:left w:val="nil"/>
              <w:bottom w:val="nil"/>
              <w:right w:val="nil"/>
            </w:tcBorders>
            <w:shd w:val="clear" w:color="auto" w:fill="auto"/>
            <w:vAlign w:val="bottom"/>
          </w:tcPr>
          <w:p w14:paraId="619DF2AC" w14:textId="77777777" w:rsidR="003D72E7" w:rsidRDefault="003D72E7">
            <w:pPr>
              <w:widowControl/>
              <w:jc w:val="left"/>
              <w:rPr>
                <w:rFonts w:ascii="Times New Roman" w:eastAsia="宋体" w:hAnsi="宋体" w:cs="宋体"/>
                <w:kern w:val="0"/>
                <w:sz w:val="24"/>
              </w:rPr>
            </w:pPr>
          </w:p>
        </w:tc>
        <w:tc>
          <w:tcPr>
            <w:tcW w:w="1639" w:type="pct"/>
            <w:tcBorders>
              <w:top w:val="nil"/>
              <w:left w:val="nil"/>
              <w:bottom w:val="nil"/>
              <w:right w:val="nil"/>
            </w:tcBorders>
            <w:shd w:val="clear" w:color="auto" w:fill="auto"/>
            <w:vAlign w:val="bottom"/>
          </w:tcPr>
          <w:p w14:paraId="619DF2A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2AE"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2AF" w14:textId="77777777" w:rsidR="003D72E7" w:rsidRDefault="003D72E7">
            <w:pPr>
              <w:widowControl/>
              <w:jc w:val="left"/>
              <w:rPr>
                <w:rFonts w:ascii="Times New Roman" w:eastAsia="宋体" w:hAnsi="宋体" w:cs="宋体"/>
                <w:kern w:val="0"/>
                <w:sz w:val="24"/>
              </w:rPr>
            </w:pPr>
          </w:p>
        </w:tc>
        <w:tc>
          <w:tcPr>
            <w:tcW w:w="749" w:type="pct"/>
            <w:tcBorders>
              <w:top w:val="nil"/>
              <w:left w:val="nil"/>
              <w:bottom w:val="nil"/>
              <w:right w:val="nil"/>
            </w:tcBorders>
            <w:shd w:val="clear" w:color="auto" w:fill="auto"/>
            <w:vAlign w:val="bottom"/>
          </w:tcPr>
          <w:p w14:paraId="619DF2B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2B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2B2"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2B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2B4"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2B5" w14:textId="77777777" w:rsidR="003D72E7" w:rsidRDefault="003D72E7">
            <w:pPr>
              <w:widowControl/>
              <w:jc w:val="left"/>
              <w:rPr>
                <w:rFonts w:ascii="Times New Roman" w:eastAsia="宋体" w:hAnsi="宋体" w:cs="宋体"/>
                <w:kern w:val="0"/>
                <w:sz w:val="24"/>
              </w:rPr>
            </w:pPr>
          </w:p>
        </w:tc>
        <w:tc>
          <w:tcPr>
            <w:tcW w:w="749" w:type="pct"/>
            <w:tcBorders>
              <w:top w:val="nil"/>
              <w:left w:val="nil"/>
              <w:bottom w:val="nil"/>
              <w:right w:val="nil"/>
            </w:tcBorders>
            <w:shd w:val="clear" w:color="auto" w:fill="auto"/>
            <w:vAlign w:val="bottom"/>
          </w:tcPr>
          <w:p w14:paraId="619DF2B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2B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2B8"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2B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2BA"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2BB" w14:textId="77777777" w:rsidR="003D72E7" w:rsidRDefault="003D72E7">
            <w:pPr>
              <w:widowControl/>
              <w:jc w:val="left"/>
              <w:rPr>
                <w:rFonts w:ascii="Times New Roman" w:eastAsia="宋体" w:hAnsi="宋体" w:cs="宋体"/>
                <w:kern w:val="0"/>
                <w:sz w:val="24"/>
              </w:rPr>
            </w:pPr>
          </w:p>
        </w:tc>
        <w:tc>
          <w:tcPr>
            <w:tcW w:w="749" w:type="pct"/>
            <w:tcBorders>
              <w:top w:val="nil"/>
              <w:left w:val="nil"/>
              <w:bottom w:val="nil"/>
              <w:right w:val="nil"/>
            </w:tcBorders>
            <w:shd w:val="clear" w:color="auto" w:fill="auto"/>
            <w:vAlign w:val="bottom"/>
          </w:tcPr>
          <w:p w14:paraId="619DF2B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2B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2BE"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2B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2C0"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2C1" w14:textId="77777777" w:rsidR="003D72E7" w:rsidRDefault="003D72E7">
            <w:pPr>
              <w:widowControl/>
              <w:jc w:val="left"/>
              <w:rPr>
                <w:rFonts w:ascii="Times New Roman" w:eastAsia="宋体" w:hAnsi="宋体" w:cs="宋体"/>
                <w:kern w:val="0"/>
                <w:sz w:val="24"/>
              </w:rPr>
            </w:pPr>
          </w:p>
        </w:tc>
        <w:tc>
          <w:tcPr>
            <w:tcW w:w="749" w:type="pct"/>
            <w:tcBorders>
              <w:top w:val="nil"/>
              <w:left w:val="nil"/>
              <w:bottom w:val="nil"/>
              <w:right w:val="nil"/>
            </w:tcBorders>
            <w:shd w:val="clear" w:color="auto" w:fill="auto"/>
            <w:vAlign w:val="bottom"/>
          </w:tcPr>
          <w:p w14:paraId="619DF2C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2C3" w14:textId="77777777" w:rsidR="003D72E7" w:rsidRDefault="003D72E7">
            <w:pPr>
              <w:widowControl/>
              <w:jc w:val="left"/>
              <w:rPr>
                <w:rFonts w:ascii="Times New Roman" w:eastAsia="宋体" w:hAnsi="宋体" w:cs="宋体"/>
                <w:kern w:val="0"/>
                <w:sz w:val="24"/>
              </w:rPr>
            </w:pPr>
          </w:p>
        </w:tc>
      </w:tr>
      <w:tr w:rsidR="003D72E7" w14:paraId="619DF2C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F2C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2C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2C7"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2C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F2D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F2C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2C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2C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2C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F2C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2C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2D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2D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F2D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19DF2D3"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F2D4"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F2D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2D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Consolidated net revenue:</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2D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2D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2D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2D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2D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2D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2D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3D72E7" w14:paraId="619DF2E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2D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Infrastructure Solutions Group</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2E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2E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2E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2E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2E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2E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2E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2E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2E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2E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16,343 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2E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2E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2E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2E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15,776 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2EE" w14:textId="77777777" w:rsidR="003D72E7" w:rsidRDefault="003D72E7">
            <w:pPr>
              <w:widowControl/>
              <w:jc w:val="right"/>
              <w:rPr>
                <w:rFonts w:ascii="Times New Roman" w:eastAsia="宋体" w:hAnsi="宋体" w:cs="宋体"/>
                <w:kern w:val="0"/>
                <w:sz w:val="24"/>
              </w:rPr>
            </w:pPr>
          </w:p>
        </w:tc>
      </w:tr>
      <w:tr w:rsidR="003D72E7" w14:paraId="619DF2F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2F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Client Solutions Group</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2F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14,263 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2F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2F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2F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11,203 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2F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2F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2F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27,568 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2F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2F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2F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22,307 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2FB" w14:textId="77777777" w:rsidR="003D72E7" w:rsidRDefault="003D72E7">
            <w:pPr>
              <w:widowControl/>
              <w:jc w:val="right"/>
              <w:rPr>
                <w:rFonts w:ascii="Times New Roman" w:eastAsia="宋体" w:hAnsi="宋体" w:cs="宋体"/>
                <w:kern w:val="0"/>
                <w:sz w:val="24"/>
              </w:rPr>
            </w:pPr>
          </w:p>
        </w:tc>
      </w:tr>
      <w:tr w:rsidR="003D72E7" w14:paraId="619DF30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2F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VMware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2F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2F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0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0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0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0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0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0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0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0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08" w14:textId="77777777" w:rsidR="003D72E7" w:rsidRDefault="003D72E7">
            <w:pPr>
              <w:widowControl/>
              <w:jc w:val="right"/>
              <w:rPr>
                <w:rFonts w:ascii="Times New Roman" w:eastAsia="宋体" w:hAnsi="宋体" w:cs="宋体"/>
                <w:kern w:val="0"/>
                <w:sz w:val="24"/>
              </w:rPr>
            </w:pPr>
          </w:p>
        </w:tc>
      </w:tr>
      <w:tr w:rsidR="003D72E7" w14:paraId="619DF316"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F30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Reportable segment net revenue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30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25,843 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30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0D"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30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22,318 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30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10"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31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31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13"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31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43,746 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315" w14:textId="77777777" w:rsidR="003D72E7" w:rsidRDefault="003D72E7">
            <w:pPr>
              <w:widowControl/>
              <w:jc w:val="right"/>
              <w:rPr>
                <w:rFonts w:ascii="Times New Roman" w:eastAsia="宋体" w:hAnsi="宋体" w:cs="宋体"/>
                <w:kern w:val="0"/>
                <w:sz w:val="24"/>
              </w:rPr>
            </w:pPr>
          </w:p>
        </w:tc>
      </w:tr>
      <w:tr w:rsidR="003D72E7" w14:paraId="619DF32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31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businesses (a)</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31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F31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1A"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31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F31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1D"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31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F31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20"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32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F322" w14:textId="77777777" w:rsidR="003D72E7" w:rsidRDefault="003D72E7">
            <w:pPr>
              <w:widowControl/>
              <w:jc w:val="right"/>
              <w:rPr>
                <w:rFonts w:ascii="Times New Roman" w:eastAsia="宋体" w:hAnsi="宋体" w:cs="宋体"/>
                <w:kern w:val="0"/>
                <w:sz w:val="24"/>
              </w:rPr>
            </w:pPr>
          </w:p>
        </w:tc>
      </w:tr>
      <w:tr w:rsidR="003D72E7" w14:paraId="619DF330"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32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Unallocated transactions (b)</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2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2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2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2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2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2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2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2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2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2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2F" w14:textId="77777777" w:rsidR="003D72E7" w:rsidRDefault="003D72E7">
            <w:pPr>
              <w:widowControl/>
              <w:jc w:val="right"/>
              <w:rPr>
                <w:rFonts w:ascii="Times New Roman" w:eastAsia="宋体" w:hAnsi="宋体" w:cs="宋体"/>
                <w:kern w:val="0"/>
                <w:sz w:val="24"/>
              </w:rPr>
            </w:pPr>
          </w:p>
        </w:tc>
      </w:tr>
      <w:tr w:rsidR="003D72E7" w14:paraId="619DF33D"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33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Impact of purchase </w:t>
            </w:r>
            <w:r>
              <w:rPr>
                <w:rFonts w:ascii="Times New Roman" w:eastAsia="宋体" w:hAnsi="Times New Roman" w:cs="Times New Roman"/>
                <w:color w:val="000000"/>
                <w:kern w:val="0"/>
                <w:sz w:val="20"/>
                <w:szCs w:val="20"/>
                <w:lang w:bidi="ar"/>
              </w:rPr>
              <w:t>accounting (c)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3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3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3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3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3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3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3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3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3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3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3C" w14:textId="77777777" w:rsidR="003D72E7" w:rsidRDefault="003D72E7">
            <w:pPr>
              <w:widowControl/>
              <w:jc w:val="right"/>
              <w:rPr>
                <w:rFonts w:ascii="Times New Roman" w:eastAsia="宋体" w:hAnsi="宋体" w:cs="宋体"/>
                <w:kern w:val="0"/>
                <w:sz w:val="24"/>
              </w:rPr>
            </w:pPr>
          </w:p>
        </w:tc>
      </w:tr>
      <w:tr w:rsidR="003D72E7" w14:paraId="619DF34E"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19DF33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consolidated net revenue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33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34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26,122 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34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4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34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34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22,733 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34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46"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34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34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50,609 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34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4A"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34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34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44,630 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34D" w14:textId="77777777" w:rsidR="003D72E7" w:rsidRDefault="003D72E7">
            <w:pPr>
              <w:widowControl/>
              <w:jc w:val="right"/>
              <w:rPr>
                <w:rFonts w:ascii="Times New Roman" w:eastAsia="宋体" w:hAnsi="宋体" w:cs="宋体"/>
                <w:kern w:val="0"/>
                <w:sz w:val="24"/>
              </w:rPr>
            </w:pPr>
          </w:p>
        </w:tc>
      </w:tr>
      <w:tr w:rsidR="003D72E7" w14:paraId="619DF357"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4F"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35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51"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35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53"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35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55"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356" w14:textId="77777777" w:rsidR="003D72E7" w:rsidRDefault="003D72E7">
            <w:pPr>
              <w:widowControl/>
              <w:jc w:val="left"/>
              <w:rPr>
                <w:rFonts w:ascii="Times New Roman" w:eastAsia="宋体" w:hAnsi="宋体" w:cs="宋体"/>
                <w:kern w:val="0"/>
                <w:sz w:val="24"/>
              </w:rPr>
            </w:pPr>
          </w:p>
        </w:tc>
      </w:tr>
      <w:tr w:rsidR="003D72E7" w14:paraId="619DF36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35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Consolidated operating income: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5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5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5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5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5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5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5F" w14:textId="77777777" w:rsidR="003D72E7" w:rsidRDefault="003D72E7">
            <w:pPr>
              <w:widowControl/>
              <w:jc w:val="left"/>
              <w:rPr>
                <w:rFonts w:ascii="Times New Roman" w:eastAsia="宋体" w:hAnsi="宋体" w:cs="宋体"/>
                <w:kern w:val="0"/>
                <w:sz w:val="24"/>
              </w:rPr>
            </w:pPr>
          </w:p>
        </w:tc>
      </w:tr>
      <w:tr w:rsidR="003D72E7" w14:paraId="619DF37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36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Infrastructure Solutions Group</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36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36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6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6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36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36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6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6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36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36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6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6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36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36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70" w14:textId="77777777" w:rsidR="003D72E7" w:rsidRDefault="003D72E7">
            <w:pPr>
              <w:widowControl/>
              <w:jc w:val="right"/>
              <w:rPr>
                <w:rFonts w:ascii="Times New Roman" w:eastAsia="宋体" w:hAnsi="宋体" w:cs="宋体"/>
                <w:kern w:val="0"/>
                <w:sz w:val="24"/>
              </w:rPr>
            </w:pPr>
          </w:p>
        </w:tc>
      </w:tr>
      <w:tr w:rsidR="003D72E7" w14:paraId="619DF37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37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Client Solutions Group</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7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7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7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7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7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7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7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7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7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7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7D" w14:textId="77777777" w:rsidR="003D72E7" w:rsidRDefault="003D72E7">
            <w:pPr>
              <w:widowControl/>
              <w:jc w:val="right"/>
              <w:rPr>
                <w:rFonts w:ascii="Times New Roman" w:eastAsia="宋体" w:hAnsi="宋体" w:cs="宋体"/>
                <w:kern w:val="0"/>
                <w:sz w:val="24"/>
              </w:rPr>
            </w:pPr>
          </w:p>
        </w:tc>
      </w:tr>
      <w:tr w:rsidR="003D72E7" w14:paraId="619DF38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37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VMware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8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8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8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8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8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8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8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8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8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8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8A" w14:textId="77777777" w:rsidR="003D72E7" w:rsidRDefault="003D72E7">
            <w:pPr>
              <w:widowControl/>
              <w:jc w:val="right"/>
              <w:rPr>
                <w:rFonts w:ascii="Times New Roman" w:eastAsia="宋体" w:hAnsi="宋体" w:cs="宋体"/>
                <w:kern w:val="0"/>
                <w:sz w:val="24"/>
              </w:rPr>
            </w:pPr>
          </w:p>
        </w:tc>
      </w:tr>
      <w:tr w:rsidR="003D72E7" w14:paraId="619DF398"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F38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Reportable segment operating income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38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2,814 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38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8F"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39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2,582 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39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92"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39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39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95"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39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4,679 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397" w14:textId="77777777" w:rsidR="003D72E7" w:rsidRDefault="003D72E7">
            <w:pPr>
              <w:widowControl/>
              <w:jc w:val="right"/>
              <w:rPr>
                <w:rFonts w:ascii="Times New Roman" w:eastAsia="宋体" w:hAnsi="宋体" w:cs="宋体"/>
                <w:kern w:val="0"/>
                <w:sz w:val="24"/>
              </w:rPr>
            </w:pPr>
          </w:p>
        </w:tc>
      </w:tr>
      <w:tr w:rsidR="003D72E7" w14:paraId="619DF3A5"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39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businesses (a)</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39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F39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9C"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39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F39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9F"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3A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F3A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A2"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3A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F3A4" w14:textId="77777777" w:rsidR="003D72E7" w:rsidRDefault="003D72E7">
            <w:pPr>
              <w:widowControl/>
              <w:jc w:val="right"/>
              <w:rPr>
                <w:rFonts w:ascii="Times New Roman" w:eastAsia="宋体" w:hAnsi="宋体" w:cs="宋体"/>
                <w:kern w:val="0"/>
                <w:sz w:val="24"/>
              </w:rPr>
            </w:pPr>
          </w:p>
        </w:tc>
      </w:tr>
      <w:tr w:rsidR="003D72E7" w14:paraId="619DF3B2"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3A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Unallocated transactions (b)</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A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A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A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A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A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A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A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A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A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B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B1" w14:textId="77777777" w:rsidR="003D72E7" w:rsidRDefault="003D72E7">
            <w:pPr>
              <w:widowControl/>
              <w:jc w:val="right"/>
              <w:rPr>
                <w:rFonts w:ascii="Times New Roman" w:eastAsia="宋体" w:hAnsi="宋体" w:cs="宋体"/>
                <w:kern w:val="0"/>
                <w:sz w:val="24"/>
              </w:rPr>
            </w:pPr>
          </w:p>
        </w:tc>
      </w:tr>
      <w:tr w:rsidR="003D72E7" w14:paraId="619DF3BF"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3B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 (c)</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B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B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B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B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B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B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B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B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B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B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BE" w14:textId="77777777" w:rsidR="003D72E7" w:rsidRDefault="003D72E7">
            <w:pPr>
              <w:widowControl/>
              <w:jc w:val="right"/>
              <w:rPr>
                <w:rFonts w:ascii="Times New Roman" w:eastAsia="宋体" w:hAnsi="宋体" w:cs="宋体"/>
                <w:kern w:val="0"/>
                <w:sz w:val="24"/>
              </w:rPr>
            </w:pPr>
          </w:p>
        </w:tc>
      </w:tr>
      <w:tr w:rsidR="003D72E7" w14:paraId="619DF3C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3C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intangibles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C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C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C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C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C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C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C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C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C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C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CB" w14:textId="77777777" w:rsidR="003D72E7" w:rsidRDefault="003D72E7">
            <w:pPr>
              <w:widowControl/>
              <w:jc w:val="right"/>
              <w:rPr>
                <w:rFonts w:ascii="Times New Roman" w:eastAsia="宋体" w:hAnsi="宋体" w:cs="宋体"/>
                <w:kern w:val="0"/>
                <w:sz w:val="24"/>
              </w:rPr>
            </w:pPr>
          </w:p>
        </w:tc>
      </w:tr>
      <w:tr w:rsidR="003D72E7" w14:paraId="619DF3D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3C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Transaction-related expenses (d)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C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C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D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D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D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D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D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D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D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D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D8" w14:textId="77777777" w:rsidR="003D72E7" w:rsidRDefault="003D72E7">
            <w:pPr>
              <w:widowControl/>
              <w:jc w:val="right"/>
              <w:rPr>
                <w:rFonts w:ascii="Times New Roman" w:eastAsia="宋体" w:hAnsi="宋体" w:cs="宋体"/>
                <w:kern w:val="0"/>
                <w:sz w:val="24"/>
              </w:rPr>
            </w:pPr>
          </w:p>
        </w:tc>
      </w:tr>
      <w:tr w:rsidR="003D72E7" w14:paraId="619DF3E6"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3D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 (e)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D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D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D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D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D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E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E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(934)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E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E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3E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3E5" w14:textId="77777777" w:rsidR="003D72E7" w:rsidRDefault="003D72E7">
            <w:pPr>
              <w:widowControl/>
              <w:jc w:val="right"/>
              <w:rPr>
                <w:rFonts w:ascii="Times New Roman" w:eastAsia="宋体" w:hAnsi="宋体" w:cs="宋体"/>
                <w:kern w:val="0"/>
                <w:sz w:val="24"/>
              </w:rPr>
            </w:pPr>
          </w:p>
        </w:tc>
      </w:tr>
      <w:tr w:rsidR="003D72E7" w14:paraId="619DF3F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3E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corporate expenses (f)</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E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E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E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E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E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E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E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E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3F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3F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3F2" w14:textId="77777777" w:rsidR="003D72E7" w:rsidRDefault="003D72E7">
            <w:pPr>
              <w:widowControl/>
              <w:jc w:val="right"/>
              <w:rPr>
                <w:rFonts w:ascii="Times New Roman" w:eastAsia="宋体" w:hAnsi="宋体" w:cs="宋体"/>
                <w:kern w:val="0"/>
                <w:sz w:val="24"/>
              </w:rPr>
            </w:pPr>
          </w:p>
        </w:tc>
      </w:tr>
      <w:tr w:rsidR="003D72E7" w14:paraId="619DF404"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19DF3F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consolidated operating income</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3F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3F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1,372 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3F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F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3F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3F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1,136 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3F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3F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3F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3F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2,747 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3F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0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40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40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1,838 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403" w14:textId="77777777" w:rsidR="003D72E7" w:rsidRDefault="003D72E7">
            <w:pPr>
              <w:widowControl/>
              <w:jc w:val="right"/>
              <w:rPr>
                <w:rFonts w:ascii="Times New Roman" w:eastAsia="宋体" w:hAnsi="宋体" w:cs="宋体"/>
                <w:kern w:val="0"/>
                <w:sz w:val="24"/>
              </w:rPr>
            </w:pPr>
          </w:p>
        </w:tc>
      </w:tr>
    </w:tbl>
    <w:p w14:paraId="619DF40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619DF406"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(a)Secureworks, Virtustream, and Boomi constitute Other businesses and do not meet the requirements for a reportable segment, either </w:t>
      </w:r>
      <w:r>
        <w:rPr>
          <w:rFonts w:ascii="Times New Roman" w:eastAsia="宋体" w:hAnsi="Times New Roman" w:cs="Times New Roman"/>
          <w:color w:val="000000"/>
          <w:kern w:val="0"/>
          <w:sz w:val="20"/>
          <w:szCs w:val="20"/>
          <w:lang w:bidi="ar"/>
        </w:rPr>
        <w:t>individually or collectively. The results of Other businesses are not material to the Company’s overall results. On September 1, 2020, the Company completed the sale of RSA Security. Prior to the divestiture, RSA Security’s results were included within Oth</w:t>
      </w:r>
      <w:r>
        <w:rPr>
          <w:rFonts w:ascii="Times New Roman" w:eastAsia="宋体" w:hAnsi="Times New Roman" w:cs="Times New Roman"/>
          <w:color w:val="000000"/>
          <w:kern w:val="0"/>
          <w:sz w:val="20"/>
          <w:szCs w:val="20"/>
          <w:lang w:bidi="ar"/>
        </w:rPr>
        <w:t>er businesses. See Note 1 of the Notes to the Condensed Consolidated Financial Statements for more information about the divestiture of RSA Security.</w:t>
      </w:r>
    </w:p>
    <w:p w14:paraId="619DF407"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(b)Unallocated transactions includes other corporate items that are not allocated to Dell Technologies’ re</w:t>
      </w:r>
      <w:r>
        <w:rPr>
          <w:rFonts w:ascii="Times New Roman" w:eastAsia="宋体" w:hAnsi="Times New Roman" w:cs="Times New Roman"/>
          <w:color w:val="000000"/>
          <w:kern w:val="0"/>
          <w:sz w:val="20"/>
          <w:szCs w:val="20"/>
          <w:lang w:bidi="ar"/>
        </w:rPr>
        <w:t>portable segments.</w:t>
      </w:r>
    </w:p>
    <w:p w14:paraId="619DF408"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(c)Impact of purchase accounting includes non-cash purchase accounting adjustments that are primarily related to the EMC merger transaction.</w:t>
      </w:r>
    </w:p>
    <w:p w14:paraId="619DF409"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(d)Transaction-related expenses includes acquisition, integration, and divestiture related costs</w:t>
      </w:r>
      <w:r>
        <w:rPr>
          <w:rFonts w:ascii="Times New Roman" w:eastAsia="宋体" w:hAnsi="Times New Roman" w:cs="Times New Roman"/>
          <w:color w:val="000000"/>
          <w:kern w:val="0"/>
          <w:sz w:val="20"/>
          <w:szCs w:val="20"/>
          <w:lang w:bidi="ar"/>
        </w:rPr>
        <w:t>.</w:t>
      </w:r>
    </w:p>
    <w:p w14:paraId="619DF40A"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(e)Stock-based compensation expense consists of equity awards granted based on the estimated fair value of those awards at grant date. </w:t>
      </w:r>
    </w:p>
    <w:p w14:paraId="619DF40B"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(f)Other corporate expenses includes impairment charges, incentive charges related to equity investments, severance, f</w:t>
      </w:r>
      <w:r>
        <w:rPr>
          <w:rFonts w:ascii="Times New Roman" w:eastAsia="宋体" w:hAnsi="Times New Roman" w:cs="Times New Roman"/>
          <w:color w:val="000000"/>
          <w:kern w:val="0"/>
          <w:sz w:val="20"/>
          <w:szCs w:val="20"/>
          <w:lang w:bidi="ar"/>
        </w:rPr>
        <w:t xml:space="preserve">acilities action, and other costs. </w:t>
      </w:r>
    </w:p>
    <w:p w14:paraId="619DF40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40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40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53</w:t>
      </w:r>
    </w:p>
    <w:p w14:paraId="619DF40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410" w14:textId="77777777" w:rsidR="003D72E7" w:rsidRDefault="00AD6774">
      <w:pPr>
        <w:widowControl/>
        <w:jc w:val="center"/>
      </w:pPr>
      <w:r>
        <w:rPr>
          <w:rFonts w:ascii="宋体" w:eastAsia="宋体" w:hAnsi="宋体" w:cs="宋体"/>
          <w:kern w:val="0"/>
          <w:sz w:val="24"/>
        </w:rPr>
        <w:pict w14:anchorId="619E0DA0">
          <v:rect id="_x0000_i1077" style="width:6in;height:1.5pt" o:hralign="center" o:hrstd="t" o:hr="t" fillcolor="#a0a0a0" stroked="f"/>
        </w:pict>
      </w:r>
    </w:p>
    <w:p w14:paraId="619DF411"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41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F41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F41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F415"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416"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w:t>
      </w:r>
      <w:r>
        <w:rPr>
          <w:rFonts w:ascii="Times New Roman" w:eastAsia="宋体" w:hAnsi="Times New Roman" w:cs="Times New Roman"/>
          <w:color w:val="000000"/>
          <w:kern w:val="0"/>
          <w:sz w:val="20"/>
          <w:szCs w:val="20"/>
          <w:lang w:bidi="ar"/>
        </w:rPr>
        <w:t>presents the disaggregation of net revenue by reportable segment, and by major product categories within the segments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4"/>
        <w:gridCol w:w="2573"/>
        <w:gridCol w:w="37"/>
        <w:gridCol w:w="120"/>
        <w:gridCol w:w="1183"/>
        <w:gridCol w:w="36"/>
        <w:gridCol w:w="36"/>
        <w:gridCol w:w="36"/>
        <w:gridCol w:w="36"/>
        <w:gridCol w:w="120"/>
        <w:gridCol w:w="1183"/>
        <w:gridCol w:w="36"/>
        <w:gridCol w:w="36"/>
        <w:gridCol w:w="36"/>
        <w:gridCol w:w="36"/>
        <w:gridCol w:w="120"/>
        <w:gridCol w:w="1184"/>
        <w:gridCol w:w="36"/>
        <w:gridCol w:w="36"/>
        <w:gridCol w:w="36"/>
        <w:gridCol w:w="36"/>
        <w:gridCol w:w="120"/>
        <w:gridCol w:w="1184"/>
        <w:gridCol w:w="36"/>
      </w:tblGrid>
      <w:tr w:rsidR="003D72E7" w14:paraId="619DF42F" w14:textId="77777777">
        <w:tc>
          <w:tcPr>
            <w:tcW w:w="50" w:type="pct"/>
            <w:tcBorders>
              <w:top w:val="nil"/>
              <w:left w:val="nil"/>
              <w:bottom w:val="nil"/>
              <w:right w:val="nil"/>
            </w:tcBorders>
            <w:shd w:val="clear" w:color="auto" w:fill="auto"/>
            <w:vAlign w:val="bottom"/>
          </w:tcPr>
          <w:p w14:paraId="619DF417" w14:textId="77777777" w:rsidR="003D72E7" w:rsidRDefault="003D72E7">
            <w:pPr>
              <w:widowControl/>
              <w:jc w:val="left"/>
              <w:rPr>
                <w:rFonts w:ascii="Times New Roman" w:eastAsia="宋体" w:hAnsi="宋体" w:cs="宋体"/>
                <w:kern w:val="0"/>
                <w:sz w:val="24"/>
              </w:rPr>
            </w:pPr>
          </w:p>
        </w:tc>
        <w:tc>
          <w:tcPr>
            <w:tcW w:w="1611" w:type="pct"/>
            <w:tcBorders>
              <w:top w:val="nil"/>
              <w:left w:val="nil"/>
              <w:bottom w:val="nil"/>
              <w:right w:val="nil"/>
            </w:tcBorders>
            <w:shd w:val="clear" w:color="auto" w:fill="auto"/>
            <w:vAlign w:val="bottom"/>
          </w:tcPr>
          <w:p w14:paraId="619DF41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41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41A"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41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41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41D"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41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41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420"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42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42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42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42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42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426"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42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42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42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42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42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42C"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42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42E" w14:textId="77777777" w:rsidR="003D72E7" w:rsidRDefault="003D72E7">
            <w:pPr>
              <w:widowControl/>
              <w:jc w:val="left"/>
              <w:rPr>
                <w:rFonts w:ascii="Times New Roman" w:eastAsia="宋体" w:hAnsi="宋体" w:cs="宋体"/>
                <w:kern w:val="0"/>
                <w:sz w:val="24"/>
              </w:rPr>
            </w:pPr>
          </w:p>
        </w:tc>
      </w:tr>
      <w:tr w:rsidR="003D72E7" w14:paraId="619DF43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F43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43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432"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43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F43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F43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43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43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43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F43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43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43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43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F44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19DF43E"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F43F"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F44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F44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Net revenue:</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F44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4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F44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4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DF44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4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48" w14:textId="77777777" w:rsidR="003D72E7" w:rsidRDefault="003D72E7">
            <w:pPr>
              <w:widowControl/>
              <w:jc w:val="left"/>
              <w:rPr>
                <w:rFonts w:ascii="Times New Roman" w:eastAsia="宋体" w:hAnsi="宋体" w:cs="宋体"/>
                <w:kern w:val="0"/>
                <w:sz w:val="24"/>
              </w:rPr>
            </w:pPr>
          </w:p>
        </w:tc>
      </w:tr>
      <w:tr w:rsidR="003D72E7" w14:paraId="619DF452"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F44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Infrastructure Solutions Group:</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4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4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4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4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4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5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51" w14:textId="77777777" w:rsidR="003D72E7" w:rsidRDefault="003D72E7">
            <w:pPr>
              <w:widowControl/>
              <w:jc w:val="left"/>
              <w:rPr>
                <w:rFonts w:ascii="Times New Roman" w:eastAsia="宋体" w:hAnsi="宋体" w:cs="宋体"/>
                <w:kern w:val="0"/>
                <w:sz w:val="24"/>
              </w:rPr>
            </w:pPr>
          </w:p>
        </w:tc>
      </w:tr>
      <w:tr w:rsidR="003D72E7" w14:paraId="619DF463"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vAlign w:val="center"/>
          </w:tcPr>
          <w:p w14:paraId="619DF45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Servers and networking</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45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45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4,462 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45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5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45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45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4,196 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45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5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45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45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8,571 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45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5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46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46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7,954 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462" w14:textId="77777777" w:rsidR="003D72E7" w:rsidRDefault="003D72E7">
            <w:pPr>
              <w:widowControl/>
              <w:jc w:val="right"/>
              <w:rPr>
                <w:rFonts w:ascii="Times New Roman" w:eastAsia="宋体" w:hAnsi="宋体" w:cs="宋体"/>
                <w:kern w:val="0"/>
                <w:sz w:val="24"/>
              </w:rPr>
            </w:pPr>
          </w:p>
        </w:tc>
      </w:tr>
      <w:tr w:rsidR="003D72E7" w14:paraId="619DF470"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vAlign w:val="center"/>
          </w:tcPr>
          <w:p w14:paraId="619DF46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Storage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46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3,970 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46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6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46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4,011 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46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6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46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7,772 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46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6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46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7,822 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46F" w14:textId="77777777" w:rsidR="003D72E7" w:rsidRDefault="003D72E7">
            <w:pPr>
              <w:widowControl/>
              <w:jc w:val="right"/>
              <w:rPr>
                <w:rFonts w:ascii="Times New Roman" w:eastAsia="宋体" w:hAnsi="宋体" w:cs="宋体"/>
                <w:kern w:val="0"/>
                <w:sz w:val="24"/>
              </w:rPr>
            </w:pPr>
          </w:p>
        </w:tc>
      </w:tr>
      <w:tr w:rsidR="003D72E7" w14:paraId="619DF47D" w14:textId="77777777">
        <w:tc>
          <w:tcPr>
            <w:tcW w:w="0" w:type="auto"/>
            <w:gridSpan w:val="3"/>
            <w:tcBorders>
              <w:top w:val="nil"/>
              <w:left w:val="nil"/>
              <w:bottom w:val="nil"/>
              <w:right w:val="nil"/>
            </w:tcBorders>
            <w:shd w:val="clear" w:color="auto" w:fill="CCEEFF"/>
            <w:tcMar>
              <w:top w:w="40" w:type="dxa"/>
              <w:left w:w="485" w:type="dxa"/>
              <w:bottom w:w="40" w:type="dxa"/>
              <w:right w:w="20" w:type="dxa"/>
            </w:tcMar>
            <w:vAlign w:val="center"/>
          </w:tcPr>
          <w:p w14:paraId="619DF47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ISG net revenue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47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8,432 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619DF47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74"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47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8,207 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619DF47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77"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47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16,343 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619DF47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7A"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47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15,776 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619DF47C" w14:textId="77777777" w:rsidR="003D72E7" w:rsidRDefault="003D72E7">
            <w:pPr>
              <w:widowControl/>
              <w:jc w:val="right"/>
              <w:rPr>
                <w:rFonts w:ascii="Times New Roman" w:eastAsia="宋体" w:hAnsi="宋体" w:cs="宋体"/>
                <w:kern w:val="0"/>
                <w:sz w:val="24"/>
              </w:rPr>
            </w:pPr>
          </w:p>
        </w:tc>
      </w:tr>
      <w:tr w:rsidR="003D72E7" w14:paraId="619DF48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F47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Client Solutions Group:</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F47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8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F48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82"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F48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84"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F485" w14:textId="77777777" w:rsidR="003D72E7" w:rsidRDefault="003D72E7">
            <w:pPr>
              <w:widowControl/>
              <w:jc w:val="left"/>
              <w:rPr>
                <w:rFonts w:ascii="Times New Roman" w:eastAsia="宋体" w:hAnsi="宋体" w:cs="宋体"/>
                <w:kern w:val="0"/>
                <w:sz w:val="24"/>
              </w:rPr>
            </w:pPr>
          </w:p>
        </w:tc>
      </w:tr>
      <w:tr w:rsidR="003D72E7" w14:paraId="619DF493"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vAlign w:val="center"/>
          </w:tcPr>
          <w:p w14:paraId="619DF48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w:t>
            </w:r>
            <w:r>
              <w:rPr>
                <w:rFonts w:ascii="Times New Roman" w:eastAsia="宋体" w:hAnsi="Times New Roman" w:cs="Times New Roman"/>
                <w:color w:val="000000"/>
                <w:kern w:val="0"/>
                <w:sz w:val="20"/>
                <w:szCs w:val="20"/>
                <w:lang w:bidi="ar"/>
              </w:rPr>
              <w:t>ommercial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48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10,573 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48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8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48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8,039 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48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8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48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20,376 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48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9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49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16,673 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492" w14:textId="77777777" w:rsidR="003D72E7" w:rsidRDefault="003D72E7">
            <w:pPr>
              <w:widowControl/>
              <w:jc w:val="right"/>
              <w:rPr>
                <w:rFonts w:ascii="Times New Roman" w:eastAsia="宋体" w:hAnsi="宋体" w:cs="宋体"/>
                <w:kern w:val="0"/>
                <w:sz w:val="24"/>
              </w:rPr>
            </w:pPr>
          </w:p>
        </w:tc>
      </w:tr>
      <w:tr w:rsidR="003D72E7" w14:paraId="619DF4A0"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vAlign w:val="center"/>
          </w:tcPr>
          <w:p w14:paraId="619DF49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Consumer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49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3,690 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49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9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49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3,164 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49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9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49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7,192 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49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9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49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5,634 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49F" w14:textId="77777777" w:rsidR="003D72E7" w:rsidRDefault="003D72E7">
            <w:pPr>
              <w:widowControl/>
              <w:jc w:val="right"/>
              <w:rPr>
                <w:rFonts w:ascii="Times New Roman" w:eastAsia="宋体" w:hAnsi="宋体" w:cs="宋体"/>
                <w:kern w:val="0"/>
                <w:sz w:val="24"/>
              </w:rPr>
            </w:pPr>
          </w:p>
        </w:tc>
      </w:tr>
      <w:tr w:rsidR="003D72E7" w14:paraId="619DF4AD" w14:textId="77777777">
        <w:tc>
          <w:tcPr>
            <w:tcW w:w="0" w:type="auto"/>
            <w:gridSpan w:val="3"/>
            <w:tcBorders>
              <w:top w:val="nil"/>
              <w:left w:val="nil"/>
              <w:bottom w:val="nil"/>
              <w:right w:val="nil"/>
            </w:tcBorders>
            <w:shd w:val="clear" w:color="auto" w:fill="CCEEFF"/>
            <w:tcMar>
              <w:top w:w="40" w:type="dxa"/>
              <w:left w:w="485" w:type="dxa"/>
              <w:bottom w:w="40" w:type="dxa"/>
              <w:right w:w="20" w:type="dxa"/>
            </w:tcMar>
            <w:vAlign w:val="center"/>
          </w:tcPr>
          <w:p w14:paraId="619DF4A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CSG net revenue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4A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14,263 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619DF4A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A4"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4A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11,203 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619DF4A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A7"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4A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27,568 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619DF4A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AA"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4A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22,307 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619DF4AC" w14:textId="77777777" w:rsidR="003D72E7" w:rsidRDefault="003D72E7">
            <w:pPr>
              <w:widowControl/>
              <w:jc w:val="right"/>
              <w:rPr>
                <w:rFonts w:ascii="Times New Roman" w:eastAsia="宋体" w:hAnsi="宋体" w:cs="宋体"/>
                <w:kern w:val="0"/>
                <w:sz w:val="24"/>
              </w:rPr>
            </w:pPr>
          </w:p>
        </w:tc>
      </w:tr>
      <w:tr w:rsidR="003D72E7" w14:paraId="619DF4B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DF4A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VMware:</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F4A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B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F4B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B2"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F4B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B4"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619DF4B5" w14:textId="77777777" w:rsidR="003D72E7" w:rsidRDefault="003D72E7">
            <w:pPr>
              <w:widowControl/>
              <w:jc w:val="left"/>
              <w:rPr>
                <w:rFonts w:ascii="Times New Roman" w:eastAsia="宋体" w:hAnsi="宋体" w:cs="宋体"/>
                <w:kern w:val="0"/>
                <w:sz w:val="24"/>
              </w:rPr>
            </w:pPr>
          </w:p>
        </w:tc>
      </w:tr>
      <w:tr w:rsidR="003D72E7" w14:paraId="619DF4C3" w14:textId="77777777">
        <w:tc>
          <w:tcPr>
            <w:tcW w:w="0" w:type="auto"/>
            <w:gridSpan w:val="3"/>
            <w:tcBorders>
              <w:top w:val="nil"/>
              <w:left w:val="nil"/>
              <w:bottom w:val="nil"/>
              <w:right w:val="nil"/>
            </w:tcBorders>
            <w:shd w:val="clear" w:color="auto" w:fill="CCEEFF"/>
            <w:tcMar>
              <w:top w:w="40" w:type="dxa"/>
              <w:left w:w="485" w:type="dxa"/>
              <w:bottom w:w="40" w:type="dxa"/>
              <w:right w:w="20" w:type="dxa"/>
            </w:tcMar>
            <w:vAlign w:val="center"/>
          </w:tcPr>
          <w:p w14:paraId="619DF4B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VMware net revenue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4B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3,148 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4B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B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4B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2,908 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4B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B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4B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6,139 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4B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C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4C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5,663 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4C2" w14:textId="77777777" w:rsidR="003D72E7" w:rsidRDefault="003D72E7">
            <w:pPr>
              <w:widowControl/>
              <w:jc w:val="right"/>
              <w:rPr>
                <w:rFonts w:ascii="Times New Roman" w:eastAsia="宋体" w:hAnsi="宋体" w:cs="宋体"/>
                <w:kern w:val="0"/>
                <w:sz w:val="24"/>
              </w:rPr>
            </w:pPr>
          </w:p>
        </w:tc>
      </w:tr>
      <w:tr w:rsidR="003D72E7" w14:paraId="619DF4D4" w14:textId="77777777">
        <w:tc>
          <w:tcPr>
            <w:tcW w:w="0" w:type="auto"/>
            <w:gridSpan w:val="3"/>
            <w:tcBorders>
              <w:top w:val="nil"/>
              <w:left w:val="nil"/>
              <w:bottom w:val="nil"/>
              <w:right w:val="nil"/>
            </w:tcBorders>
            <w:shd w:val="clear" w:color="auto" w:fill="FFFFFF"/>
            <w:tcMar>
              <w:top w:w="40" w:type="dxa"/>
              <w:left w:w="755" w:type="dxa"/>
              <w:bottom w:w="40" w:type="dxa"/>
              <w:right w:w="20" w:type="dxa"/>
            </w:tcMar>
            <w:vAlign w:val="center"/>
          </w:tcPr>
          <w:p w14:paraId="619DF4C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segment net revenue</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F4C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4C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25,843 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4C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C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F4C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4C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22,318 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4C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C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F4C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4C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50,050 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4C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4D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F4D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4D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43,746 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4D3" w14:textId="77777777" w:rsidR="003D72E7" w:rsidRDefault="003D72E7">
            <w:pPr>
              <w:widowControl/>
              <w:jc w:val="right"/>
              <w:rPr>
                <w:rFonts w:ascii="Times New Roman" w:eastAsia="宋体" w:hAnsi="宋体" w:cs="宋体"/>
                <w:kern w:val="0"/>
                <w:sz w:val="24"/>
              </w:rPr>
            </w:pPr>
          </w:p>
        </w:tc>
      </w:tr>
    </w:tbl>
    <w:p w14:paraId="619DF4D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4D6"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4D7"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54</w:t>
      </w:r>
    </w:p>
    <w:p w14:paraId="619DF4D8"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4D9" w14:textId="77777777" w:rsidR="003D72E7" w:rsidRDefault="00AD6774">
      <w:pPr>
        <w:widowControl/>
        <w:jc w:val="center"/>
      </w:pPr>
      <w:r>
        <w:rPr>
          <w:rFonts w:ascii="宋体" w:eastAsia="宋体" w:hAnsi="宋体" w:cs="宋体"/>
          <w:kern w:val="0"/>
          <w:sz w:val="24"/>
        </w:rPr>
        <w:pict w14:anchorId="619E0DA1">
          <v:rect id="_x0000_i1078" style="width:6in;height:1.5pt" o:hralign="center" o:hrstd="t" o:hr="t" fillcolor="#a0a0a0" stroked="f"/>
        </w:pict>
      </w:r>
    </w:p>
    <w:p w14:paraId="619DF4DA"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4DB"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F4DC"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F4DD"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F4DE"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4D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17 — SUPPLEMENTAL CONSOLIDATED FINANCIAL INFORMATION </w:t>
      </w:r>
    </w:p>
    <w:p w14:paraId="619DF4E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4E1"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additional information on selected accounts included in the Condensed Consolidated Statements of Financial Position as of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425"/>
        <w:gridCol w:w="39"/>
        <w:gridCol w:w="120"/>
        <w:gridCol w:w="1206"/>
        <w:gridCol w:w="36"/>
        <w:gridCol w:w="36"/>
        <w:gridCol w:w="36"/>
        <w:gridCol w:w="36"/>
        <w:gridCol w:w="120"/>
        <w:gridCol w:w="1206"/>
        <w:gridCol w:w="36"/>
      </w:tblGrid>
      <w:tr w:rsidR="003D72E7" w14:paraId="619DF4EE" w14:textId="77777777">
        <w:tc>
          <w:tcPr>
            <w:tcW w:w="50" w:type="pct"/>
            <w:tcBorders>
              <w:top w:val="nil"/>
              <w:left w:val="nil"/>
              <w:bottom w:val="nil"/>
              <w:right w:val="nil"/>
            </w:tcBorders>
            <w:shd w:val="clear" w:color="auto" w:fill="auto"/>
            <w:vAlign w:val="bottom"/>
          </w:tcPr>
          <w:p w14:paraId="619DF4E2" w14:textId="77777777" w:rsidR="003D72E7" w:rsidRDefault="003D72E7">
            <w:pPr>
              <w:widowControl/>
              <w:jc w:val="left"/>
              <w:rPr>
                <w:rFonts w:ascii="Times New Roman" w:eastAsia="宋体" w:hAnsi="宋体" w:cs="宋体"/>
                <w:kern w:val="0"/>
                <w:sz w:val="24"/>
              </w:rPr>
            </w:pPr>
          </w:p>
        </w:tc>
        <w:tc>
          <w:tcPr>
            <w:tcW w:w="3292" w:type="pct"/>
            <w:tcBorders>
              <w:top w:val="nil"/>
              <w:left w:val="nil"/>
              <w:bottom w:val="nil"/>
              <w:right w:val="nil"/>
            </w:tcBorders>
            <w:shd w:val="clear" w:color="auto" w:fill="auto"/>
            <w:vAlign w:val="bottom"/>
          </w:tcPr>
          <w:p w14:paraId="619DF4E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4E4"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4E5"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4E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4E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4E8"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4E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4EA"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4EB"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4E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4ED" w14:textId="77777777" w:rsidR="003D72E7" w:rsidRDefault="003D72E7">
            <w:pPr>
              <w:widowControl/>
              <w:jc w:val="left"/>
              <w:rPr>
                <w:rFonts w:ascii="Times New Roman" w:eastAsia="宋体" w:hAnsi="宋体" w:cs="宋体"/>
                <w:kern w:val="0"/>
                <w:sz w:val="24"/>
              </w:rPr>
            </w:pPr>
          </w:p>
        </w:tc>
      </w:tr>
      <w:tr w:rsidR="003D72E7" w14:paraId="619DF4F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F4E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F4F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July </w:t>
            </w:r>
            <w:r>
              <w:rPr>
                <w:rFonts w:ascii="Times New Roman" w:eastAsia="宋体" w:hAnsi="Times New Roman" w:cs="Times New Roman"/>
                <w:b/>
                <w:bCs/>
                <w:color w:val="000000"/>
                <w:kern w:val="0"/>
                <w:sz w:val="20"/>
                <w:szCs w:val="20"/>
                <w:lang w:bidi="ar"/>
              </w:rPr>
              <w:t>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F4F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DF4F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DF4F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19DF4F4"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F4F5"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F4F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4F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Cash, cash equivalents, and restricted cash:</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F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F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4FA" w14:textId="77777777" w:rsidR="003D72E7" w:rsidRDefault="003D72E7">
            <w:pPr>
              <w:widowControl/>
              <w:jc w:val="left"/>
              <w:rPr>
                <w:rFonts w:ascii="Times New Roman" w:eastAsia="宋体" w:hAnsi="宋体" w:cs="宋体"/>
                <w:kern w:val="0"/>
                <w:sz w:val="24"/>
              </w:rPr>
            </w:pPr>
          </w:p>
        </w:tc>
      </w:tr>
      <w:tr w:rsidR="003D72E7" w14:paraId="619DF504"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F4F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and cash equivalents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4F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4F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11,719 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4F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50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50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50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14,201 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503" w14:textId="77777777" w:rsidR="003D72E7" w:rsidRDefault="003D72E7">
            <w:pPr>
              <w:widowControl/>
              <w:jc w:val="right"/>
              <w:rPr>
                <w:rFonts w:ascii="Times New Roman" w:eastAsia="宋体" w:hAnsi="宋体" w:cs="宋体"/>
                <w:kern w:val="0"/>
                <w:sz w:val="24"/>
              </w:rPr>
            </w:pPr>
          </w:p>
        </w:tc>
      </w:tr>
      <w:tr w:rsidR="003D72E7" w14:paraId="619DF50B"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F50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Restricted cash - other current assets (a)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50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50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50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50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50A" w14:textId="77777777" w:rsidR="003D72E7" w:rsidRDefault="003D72E7">
            <w:pPr>
              <w:widowControl/>
              <w:jc w:val="right"/>
              <w:rPr>
                <w:rFonts w:ascii="Times New Roman" w:eastAsia="宋体" w:hAnsi="宋体" w:cs="宋体"/>
                <w:kern w:val="0"/>
                <w:sz w:val="24"/>
              </w:rPr>
            </w:pPr>
          </w:p>
        </w:tc>
      </w:tr>
      <w:tr w:rsidR="003D72E7" w14:paraId="619DF512"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F50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Restricted cash - other non-current assets (a)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50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50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50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51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511" w14:textId="77777777" w:rsidR="003D72E7" w:rsidRDefault="003D72E7">
            <w:pPr>
              <w:widowControl/>
              <w:jc w:val="right"/>
              <w:rPr>
                <w:rFonts w:ascii="Times New Roman" w:eastAsia="宋体" w:hAnsi="宋体" w:cs="宋体"/>
                <w:kern w:val="0"/>
                <w:sz w:val="24"/>
              </w:rPr>
            </w:pPr>
          </w:p>
        </w:tc>
      </w:tr>
      <w:tr w:rsidR="003D72E7" w14:paraId="619DF51B"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51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cash, cash equivalents, and restricted cash</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51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51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12,627 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51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51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51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51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15,184 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51A" w14:textId="77777777" w:rsidR="003D72E7" w:rsidRDefault="003D72E7">
            <w:pPr>
              <w:widowControl/>
              <w:jc w:val="right"/>
              <w:rPr>
                <w:rFonts w:ascii="Times New Roman" w:eastAsia="宋体" w:hAnsi="宋体" w:cs="宋体"/>
                <w:kern w:val="0"/>
                <w:sz w:val="24"/>
              </w:rPr>
            </w:pPr>
          </w:p>
        </w:tc>
      </w:tr>
      <w:tr w:rsidR="003D72E7" w14:paraId="619DF52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51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Inventories, net:</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51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51E"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51F" w14:textId="77777777" w:rsidR="003D72E7" w:rsidRDefault="003D72E7">
            <w:pPr>
              <w:widowControl/>
              <w:jc w:val="left"/>
              <w:rPr>
                <w:rFonts w:ascii="Times New Roman" w:eastAsia="宋体" w:hAnsi="宋体" w:cs="宋体"/>
                <w:kern w:val="0"/>
                <w:sz w:val="24"/>
              </w:rPr>
            </w:pPr>
          </w:p>
        </w:tc>
      </w:tr>
      <w:tr w:rsidR="003D72E7" w14:paraId="619DF529"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F52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Production materials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F52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F52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2,332 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52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52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F52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F52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528" w14:textId="77777777" w:rsidR="003D72E7" w:rsidRDefault="003D72E7">
            <w:pPr>
              <w:widowControl/>
              <w:jc w:val="right"/>
              <w:rPr>
                <w:rFonts w:ascii="Times New Roman" w:eastAsia="宋体" w:hAnsi="宋体" w:cs="宋体"/>
                <w:kern w:val="0"/>
                <w:sz w:val="24"/>
              </w:rPr>
            </w:pPr>
          </w:p>
        </w:tc>
      </w:tr>
      <w:tr w:rsidR="003D72E7" w14:paraId="619DF530"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F52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Work-in-process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52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52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52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52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52F" w14:textId="77777777" w:rsidR="003D72E7" w:rsidRDefault="003D72E7">
            <w:pPr>
              <w:widowControl/>
              <w:jc w:val="right"/>
              <w:rPr>
                <w:rFonts w:ascii="Times New Roman" w:eastAsia="宋体" w:hAnsi="宋体" w:cs="宋体"/>
                <w:kern w:val="0"/>
                <w:sz w:val="24"/>
              </w:rPr>
            </w:pPr>
          </w:p>
        </w:tc>
      </w:tr>
      <w:tr w:rsidR="003D72E7" w14:paraId="619DF537"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F53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Finished goods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53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53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53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53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536" w14:textId="77777777" w:rsidR="003D72E7" w:rsidRDefault="003D72E7">
            <w:pPr>
              <w:widowControl/>
              <w:jc w:val="right"/>
              <w:rPr>
                <w:rFonts w:ascii="Times New Roman" w:eastAsia="宋体" w:hAnsi="宋体" w:cs="宋体"/>
                <w:kern w:val="0"/>
                <w:sz w:val="24"/>
              </w:rPr>
            </w:pPr>
          </w:p>
        </w:tc>
      </w:tr>
      <w:tr w:rsidR="003D72E7" w14:paraId="619DF540"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53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inventories, net</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53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DF53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4,223 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F53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53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53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DF53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3,402 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DF53F" w14:textId="77777777" w:rsidR="003D72E7" w:rsidRDefault="003D72E7">
            <w:pPr>
              <w:widowControl/>
              <w:jc w:val="right"/>
              <w:rPr>
                <w:rFonts w:ascii="Times New Roman" w:eastAsia="宋体" w:hAnsi="宋体" w:cs="宋体"/>
                <w:kern w:val="0"/>
                <w:sz w:val="24"/>
              </w:rPr>
            </w:pPr>
          </w:p>
        </w:tc>
      </w:tr>
      <w:tr w:rsidR="003D72E7" w14:paraId="619DF545" w14:textId="77777777">
        <w:trPr>
          <w:hidden/>
        </w:trPr>
        <w:tc>
          <w:tcPr>
            <w:tcW w:w="0" w:type="auto"/>
            <w:gridSpan w:val="3"/>
            <w:tcBorders>
              <w:top w:val="nil"/>
              <w:left w:val="nil"/>
              <w:bottom w:val="nil"/>
              <w:right w:val="nil"/>
            </w:tcBorders>
            <w:shd w:val="clear" w:color="auto" w:fill="auto"/>
            <w:vAlign w:val="bottom"/>
          </w:tcPr>
          <w:p w14:paraId="619DF54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4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4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44" w14:textId="77777777" w:rsidR="003D72E7" w:rsidRDefault="003D72E7">
            <w:pPr>
              <w:widowControl/>
              <w:jc w:val="left"/>
              <w:rPr>
                <w:rFonts w:ascii="Times New Roman" w:eastAsia="宋体" w:hAnsi="宋体" w:cs="宋体"/>
                <w:vanish/>
                <w:kern w:val="0"/>
                <w:sz w:val="24"/>
              </w:rPr>
            </w:pPr>
          </w:p>
        </w:tc>
      </w:tr>
      <w:tr w:rsidR="003D72E7" w14:paraId="619DF54A" w14:textId="77777777">
        <w:trPr>
          <w:hidden/>
        </w:trPr>
        <w:tc>
          <w:tcPr>
            <w:tcW w:w="0" w:type="auto"/>
            <w:gridSpan w:val="3"/>
            <w:tcBorders>
              <w:top w:val="nil"/>
              <w:left w:val="nil"/>
              <w:bottom w:val="nil"/>
              <w:right w:val="nil"/>
            </w:tcBorders>
            <w:shd w:val="clear" w:color="auto" w:fill="auto"/>
            <w:vAlign w:val="bottom"/>
          </w:tcPr>
          <w:p w14:paraId="619DF54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4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4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49" w14:textId="77777777" w:rsidR="003D72E7" w:rsidRDefault="003D72E7">
            <w:pPr>
              <w:widowControl/>
              <w:jc w:val="left"/>
              <w:rPr>
                <w:rFonts w:ascii="Times New Roman" w:eastAsia="宋体" w:hAnsi="宋体" w:cs="宋体"/>
                <w:vanish/>
                <w:kern w:val="0"/>
                <w:sz w:val="24"/>
              </w:rPr>
            </w:pPr>
          </w:p>
        </w:tc>
      </w:tr>
      <w:tr w:rsidR="003D72E7" w14:paraId="619DF54F" w14:textId="77777777">
        <w:trPr>
          <w:hidden/>
        </w:trPr>
        <w:tc>
          <w:tcPr>
            <w:tcW w:w="0" w:type="auto"/>
            <w:gridSpan w:val="3"/>
            <w:tcBorders>
              <w:top w:val="nil"/>
              <w:left w:val="nil"/>
              <w:bottom w:val="nil"/>
              <w:right w:val="nil"/>
            </w:tcBorders>
            <w:shd w:val="clear" w:color="auto" w:fill="auto"/>
            <w:vAlign w:val="bottom"/>
          </w:tcPr>
          <w:p w14:paraId="619DF54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4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4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4E" w14:textId="77777777" w:rsidR="003D72E7" w:rsidRDefault="003D72E7">
            <w:pPr>
              <w:widowControl/>
              <w:jc w:val="left"/>
              <w:rPr>
                <w:rFonts w:ascii="Times New Roman" w:eastAsia="宋体" w:hAnsi="宋体" w:cs="宋体"/>
                <w:vanish/>
                <w:kern w:val="0"/>
                <w:sz w:val="24"/>
              </w:rPr>
            </w:pPr>
          </w:p>
        </w:tc>
      </w:tr>
      <w:tr w:rsidR="003D72E7" w14:paraId="619DF554" w14:textId="77777777">
        <w:trPr>
          <w:hidden/>
        </w:trPr>
        <w:tc>
          <w:tcPr>
            <w:tcW w:w="0" w:type="auto"/>
            <w:gridSpan w:val="3"/>
            <w:tcBorders>
              <w:top w:val="nil"/>
              <w:left w:val="nil"/>
              <w:bottom w:val="nil"/>
              <w:right w:val="nil"/>
            </w:tcBorders>
            <w:shd w:val="clear" w:color="auto" w:fill="auto"/>
            <w:vAlign w:val="bottom"/>
          </w:tcPr>
          <w:p w14:paraId="619DF55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5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5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53" w14:textId="77777777" w:rsidR="003D72E7" w:rsidRDefault="003D72E7">
            <w:pPr>
              <w:widowControl/>
              <w:jc w:val="left"/>
              <w:rPr>
                <w:rFonts w:ascii="Times New Roman" w:eastAsia="宋体" w:hAnsi="宋体" w:cs="宋体"/>
                <w:vanish/>
                <w:kern w:val="0"/>
                <w:sz w:val="24"/>
              </w:rPr>
            </w:pPr>
          </w:p>
        </w:tc>
      </w:tr>
      <w:tr w:rsidR="003D72E7" w14:paraId="619DF559" w14:textId="77777777">
        <w:trPr>
          <w:hidden/>
        </w:trPr>
        <w:tc>
          <w:tcPr>
            <w:tcW w:w="0" w:type="auto"/>
            <w:gridSpan w:val="3"/>
            <w:tcBorders>
              <w:top w:val="nil"/>
              <w:left w:val="nil"/>
              <w:bottom w:val="nil"/>
              <w:right w:val="nil"/>
            </w:tcBorders>
            <w:shd w:val="clear" w:color="auto" w:fill="auto"/>
            <w:vAlign w:val="bottom"/>
          </w:tcPr>
          <w:p w14:paraId="619DF55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5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5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58" w14:textId="77777777" w:rsidR="003D72E7" w:rsidRDefault="003D72E7">
            <w:pPr>
              <w:widowControl/>
              <w:jc w:val="left"/>
              <w:rPr>
                <w:rFonts w:ascii="Times New Roman" w:eastAsia="宋体" w:hAnsi="宋体" w:cs="宋体"/>
                <w:vanish/>
                <w:kern w:val="0"/>
                <w:sz w:val="24"/>
              </w:rPr>
            </w:pPr>
          </w:p>
        </w:tc>
      </w:tr>
      <w:tr w:rsidR="003D72E7" w14:paraId="619DF55E" w14:textId="77777777">
        <w:trPr>
          <w:hidden/>
        </w:trPr>
        <w:tc>
          <w:tcPr>
            <w:tcW w:w="0" w:type="auto"/>
            <w:gridSpan w:val="3"/>
            <w:tcBorders>
              <w:top w:val="nil"/>
              <w:left w:val="nil"/>
              <w:bottom w:val="nil"/>
              <w:right w:val="nil"/>
            </w:tcBorders>
            <w:shd w:val="clear" w:color="auto" w:fill="auto"/>
            <w:vAlign w:val="bottom"/>
          </w:tcPr>
          <w:p w14:paraId="619DF55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5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5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5D" w14:textId="77777777" w:rsidR="003D72E7" w:rsidRDefault="003D72E7">
            <w:pPr>
              <w:widowControl/>
              <w:jc w:val="left"/>
              <w:rPr>
                <w:rFonts w:ascii="Times New Roman" w:eastAsia="宋体" w:hAnsi="宋体" w:cs="宋体"/>
                <w:vanish/>
                <w:kern w:val="0"/>
                <w:sz w:val="24"/>
              </w:rPr>
            </w:pPr>
          </w:p>
        </w:tc>
      </w:tr>
      <w:tr w:rsidR="003D72E7" w14:paraId="619DF56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55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Property, plant, and equipment, net: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56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561"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562" w14:textId="77777777" w:rsidR="003D72E7" w:rsidRDefault="003D72E7">
            <w:pPr>
              <w:widowControl/>
              <w:jc w:val="left"/>
              <w:rPr>
                <w:rFonts w:ascii="Times New Roman" w:eastAsia="宋体" w:hAnsi="宋体" w:cs="宋体"/>
                <w:kern w:val="0"/>
                <w:sz w:val="24"/>
              </w:rPr>
            </w:pPr>
          </w:p>
        </w:tc>
      </w:tr>
      <w:tr w:rsidR="003D72E7" w14:paraId="619DF56A"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F56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Computer equipment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56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7,134 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56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56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56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569" w14:textId="77777777" w:rsidR="003D72E7" w:rsidRDefault="003D72E7">
            <w:pPr>
              <w:widowControl/>
              <w:jc w:val="right"/>
              <w:rPr>
                <w:rFonts w:ascii="Times New Roman" w:eastAsia="宋体" w:hAnsi="宋体" w:cs="宋体"/>
                <w:kern w:val="0"/>
                <w:sz w:val="24"/>
              </w:rPr>
            </w:pPr>
          </w:p>
        </w:tc>
      </w:tr>
      <w:tr w:rsidR="003D72E7" w14:paraId="619DF571"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F56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Land and buildings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56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56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56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56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570" w14:textId="77777777" w:rsidR="003D72E7" w:rsidRDefault="003D72E7">
            <w:pPr>
              <w:widowControl/>
              <w:jc w:val="right"/>
              <w:rPr>
                <w:rFonts w:ascii="Times New Roman" w:eastAsia="宋体" w:hAnsi="宋体" w:cs="宋体"/>
                <w:kern w:val="0"/>
                <w:sz w:val="24"/>
              </w:rPr>
            </w:pPr>
          </w:p>
        </w:tc>
      </w:tr>
      <w:tr w:rsidR="003D72E7" w14:paraId="619DF578"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F57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Machinery and other equipment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57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4,076 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57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57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57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577" w14:textId="77777777" w:rsidR="003D72E7" w:rsidRDefault="003D72E7">
            <w:pPr>
              <w:widowControl/>
              <w:jc w:val="right"/>
              <w:rPr>
                <w:rFonts w:ascii="Times New Roman" w:eastAsia="宋体" w:hAnsi="宋体" w:cs="宋体"/>
                <w:kern w:val="0"/>
                <w:sz w:val="24"/>
              </w:rPr>
            </w:pPr>
          </w:p>
        </w:tc>
      </w:tr>
      <w:tr w:rsidR="003D72E7" w14:paraId="619DF57F"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57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property, plant, and equipment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57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15,930 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57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57C"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57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15,184 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57E" w14:textId="77777777" w:rsidR="003D72E7" w:rsidRDefault="003D72E7">
            <w:pPr>
              <w:widowControl/>
              <w:jc w:val="right"/>
              <w:rPr>
                <w:rFonts w:ascii="Times New Roman" w:eastAsia="宋体" w:hAnsi="宋体" w:cs="宋体"/>
                <w:kern w:val="0"/>
                <w:sz w:val="24"/>
              </w:rPr>
            </w:pPr>
          </w:p>
        </w:tc>
      </w:tr>
      <w:tr w:rsidR="003D72E7" w14:paraId="619DF58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F58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Accumulated 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58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(9,269)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58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58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58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(8,753)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585" w14:textId="77777777" w:rsidR="003D72E7" w:rsidRDefault="003D72E7">
            <w:pPr>
              <w:widowControl/>
              <w:jc w:val="right"/>
              <w:rPr>
                <w:rFonts w:ascii="Times New Roman" w:eastAsia="宋体" w:hAnsi="宋体" w:cs="宋体"/>
                <w:kern w:val="0"/>
                <w:sz w:val="24"/>
              </w:rPr>
            </w:pPr>
          </w:p>
        </w:tc>
      </w:tr>
      <w:tr w:rsidR="003D72E7" w14:paraId="619DF58D"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58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property, plant, and equipment, net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58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6,661 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58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58A"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58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6,431 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58C" w14:textId="77777777" w:rsidR="003D72E7" w:rsidRDefault="003D72E7">
            <w:pPr>
              <w:widowControl/>
              <w:jc w:val="right"/>
              <w:rPr>
                <w:rFonts w:ascii="Times New Roman" w:eastAsia="宋体" w:hAnsi="宋体" w:cs="宋体"/>
                <w:kern w:val="0"/>
                <w:sz w:val="24"/>
              </w:rPr>
            </w:pPr>
          </w:p>
        </w:tc>
      </w:tr>
      <w:tr w:rsidR="003D72E7" w14:paraId="619DF59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58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Other non-current assets: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58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590"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591" w14:textId="77777777" w:rsidR="003D72E7" w:rsidRDefault="003D72E7">
            <w:pPr>
              <w:widowControl/>
              <w:jc w:val="left"/>
              <w:rPr>
                <w:rFonts w:ascii="Times New Roman" w:eastAsia="宋体" w:hAnsi="宋体" w:cs="宋体"/>
                <w:kern w:val="0"/>
                <w:sz w:val="24"/>
              </w:rPr>
            </w:pPr>
          </w:p>
        </w:tc>
      </w:tr>
      <w:tr w:rsidR="003D72E7" w14:paraId="619DF59B"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F59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Deferred and other tax assets </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F59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F59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6,397 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59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59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F59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F59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6,230 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59A" w14:textId="77777777" w:rsidR="003D72E7" w:rsidRDefault="003D72E7">
            <w:pPr>
              <w:widowControl/>
              <w:jc w:val="right"/>
              <w:rPr>
                <w:rFonts w:ascii="Times New Roman" w:eastAsia="宋体" w:hAnsi="宋体" w:cs="宋体"/>
                <w:kern w:val="0"/>
                <w:sz w:val="24"/>
              </w:rPr>
            </w:pPr>
          </w:p>
        </w:tc>
      </w:tr>
      <w:tr w:rsidR="003D72E7" w14:paraId="619DF5A2"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F59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Operating lease right of use assets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59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59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59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5A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5A1" w14:textId="77777777" w:rsidR="003D72E7" w:rsidRDefault="003D72E7">
            <w:pPr>
              <w:widowControl/>
              <w:jc w:val="right"/>
              <w:rPr>
                <w:rFonts w:ascii="Times New Roman" w:eastAsia="宋体" w:hAnsi="宋体" w:cs="宋体"/>
                <w:kern w:val="0"/>
                <w:sz w:val="24"/>
              </w:rPr>
            </w:pPr>
          </w:p>
        </w:tc>
      </w:tr>
      <w:tr w:rsidR="003D72E7" w14:paraId="619DF5A9"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F5A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Deferred commissions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5A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5A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5A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5A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5A8" w14:textId="77777777" w:rsidR="003D72E7" w:rsidRDefault="003D72E7">
            <w:pPr>
              <w:widowControl/>
              <w:jc w:val="right"/>
              <w:rPr>
                <w:rFonts w:ascii="Times New Roman" w:eastAsia="宋体" w:hAnsi="宋体" w:cs="宋体"/>
                <w:kern w:val="0"/>
                <w:sz w:val="24"/>
              </w:rPr>
            </w:pPr>
          </w:p>
        </w:tc>
      </w:tr>
      <w:tr w:rsidR="003D72E7" w14:paraId="619DF5B0"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F5A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5A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5A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5A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5A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5AF" w14:textId="77777777" w:rsidR="003D72E7" w:rsidRDefault="003D72E7">
            <w:pPr>
              <w:widowControl/>
              <w:jc w:val="right"/>
              <w:rPr>
                <w:rFonts w:ascii="Times New Roman" w:eastAsia="宋体" w:hAnsi="宋体" w:cs="宋体"/>
                <w:kern w:val="0"/>
                <w:sz w:val="24"/>
              </w:rPr>
            </w:pPr>
          </w:p>
        </w:tc>
      </w:tr>
      <w:tr w:rsidR="003D72E7" w14:paraId="619DF5B9"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5B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other non-current assets</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5B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5B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11,502 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5B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5B5"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5B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5B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11,196 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5B8" w14:textId="77777777" w:rsidR="003D72E7" w:rsidRDefault="003D72E7">
            <w:pPr>
              <w:widowControl/>
              <w:jc w:val="right"/>
              <w:rPr>
                <w:rFonts w:ascii="Times New Roman" w:eastAsia="宋体" w:hAnsi="宋体" w:cs="宋体"/>
                <w:kern w:val="0"/>
                <w:sz w:val="24"/>
              </w:rPr>
            </w:pPr>
          </w:p>
        </w:tc>
      </w:tr>
      <w:tr w:rsidR="003D72E7" w14:paraId="619DF5BE" w14:textId="77777777">
        <w:trPr>
          <w:hidden/>
        </w:trPr>
        <w:tc>
          <w:tcPr>
            <w:tcW w:w="0" w:type="auto"/>
            <w:gridSpan w:val="3"/>
            <w:tcBorders>
              <w:top w:val="nil"/>
              <w:left w:val="nil"/>
              <w:bottom w:val="nil"/>
              <w:right w:val="nil"/>
            </w:tcBorders>
            <w:shd w:val="clear" w:color="auto" w:fill="auto"/>
            <w:vAlign w:val="bottom"/>
          </w:tcPr>
          <w:p w14:paraId="619DF5B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B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B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BD" w14:textId="77777777" w:rsidR="003D72E7" w:rsidRDefault="003D72E7">
            <w:pPr>
              <w:widowControl/>
              <w:jc w:val="left"/>
              <w:rPr>
                <w:rFonts w:ascii="Times New Roman" w:eastAsia="宋体" w:hAnsi="宋体" w:cs="宋体"/>
                <w:vanish/>
                <w:kern w:val="0"/>
                <w:sz w:val="24"/>
              </w:rPr>
            </w:pPr>
          </w:p>
        </w:tc>
      </w:tr>
      <w:tr w:rsidR="003D72E7" w14:paraId="619DF5C3" w14:textId="77777777">
        <w:trPr>
          <w:hidden/>
        </w:trPr>
        <w:tc>
          <w:tcPr>
            <w:tcW w:w="0" w:type="auto"/>
            <w:gridSpan w:val="3"/>
            <w:tcBorders>
              <w:top w:val="nil"/>
              <w:left w:val="nil"/>
              <w:bottom w:val="nil"/>
              <w:right w:val="nil"/>
            </w:tcBorders>
            <w:shd w:val="clear" w:color="auto" w:fill="auto"/>
            <w:vAlign w:val="bottom"/>
          </w:tcPr>
          <w:p w14:paraId="619DF5B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C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C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C2" w14:textId="77777777" w:rsidR="003D72E7" w:rsidRDefault="003D72E7">
            <w:pPr>
              <w:widowControl/>
              <w:jc w:val="left"/>
              <w:rPr>
                <w:rFonts w:ascii="Times New Roman" w:eastAsia="宋体" w:hAnsi="宋体" w:cs="宋体"/>
                <w:vanish/>
                <w:kern w:val="0"/>
                <w:sz w:val="24"/>
              </w:rPr>
            </w:pPr>
          </w:p>
        </w:tc>
      </w:tr>
      <w:tr w:rsidR="003D72E7" w14:paraId="619DF5C8" w14:textId="77777777">
        <w:trPr>
          <w:hidden/>
        </w:trPr>
        <w:tc>
          <w:tcPr>
            <w:tcW w:w="0" w:type="auto"/>
            <w:gridSpan w:val="3"/>
            <w:tcBorders>
              <w:top w:val="nil"/>
              <w:left w:val="nil"/>
              <w:bottom w:val="nil"/>
              <w:right w:val="nil"/>
            </w:tcBorders>
            <w:shd w:val="clear" w:color="auto" w:fill="auto"/>
            <w:vAlign w:val="bottom"/>
          </w:tcPr>
          <w:p w14:paraId="619DF5C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C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C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C7" w14:textId="77777777" w:rsidR="003D72E7" w:rsidRDefault="003D72E7">
            <w:pPr>
              <w:widowControl/>
              <w:jc w:val="left"/>
              <w:rPr>
                <w:rFonts w:ascii="Times New Roman" w:eastAsia="宋体" w:hAnsi="宋体" w:cs="宋体"/>
                <w:vanish/>
                <w:kern w:val="0"/>
                <w:sz w:val="24"/>
              </w:rPr>
            </w:pPr>
          </w:p>
        </w:tc>
      </w:tr>
      <w:tr w:rsidR="003D72E7" w14:paraId="619DF5CD" w14:textId="77777777">
        <w:trPr>
          <w:hidden/>
        </w:trPr>
        <w:tc>
          <w:tcPr>
            <w:tcW w:w="0" w:type="auto"/>
            <w:gridSpan w:val="3"/>
            <w:tcBorders>
              <w:top w:val="nil"/>
              <w:left w:val="nil"/>
              <w:bottom w:val="nil"/>
              <w:right w:val="nil"/>
            </w:tcBorders>
            <w:shd w:val="clear" w:color="auto" w:fill="auto"/>
            <w:vAlign w:val="bottom"/>
          </w:tcPr>
          <w:p w14:paraId="619DF5C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C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C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CC" w14:textId="77777777" w:rsidR="003D72E7" w:rsidRDefault="003D72E7">
            <w:pPr>
              <w:widowControl/>
              <w:jc w:val="left"/>
              <w:rPr>
                <w:rFonts w:ascii="Times New Roman" w:eastAsia="宋体" w:hAnsi="宋体" w:cs="宋体"/>
                <w:vanish/>
                <w:kern w:val="0"/>
                <w:sz w:val="24"/>
              </w:rPr>
            </w:pPr>
          </w:p>
        </w:tc>
      </w:tr>
      <w:tr w:rsidR="003D72E7" w14:paraId="619DF5D2" w14:textId="77777777">
        <w:trPr>
          <w:hidden/>
        </w:trPr>
        <w:tc>
          <w:tcPr>
            <w:tcW w:w="0" w:type="auto"/>
            <w:gridSpan w:val="3"/>
            <w:tcBorders>
              <w:top w:val="nil"/>
              <w:left w:val="nil"/>
              <w:bottom w:val="nil"/>
              <w:right w:val="nil"/>
            </w:tcBorders>
            <w:shd w:val="clear" w:color="auto" w:fill="auto"/>
            <w:vAlign w:val="bottom"/>
          </w:tcPr>
          <w:p w14:paraId="619DF5C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C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D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D1" w14:textId="77777777" w:rsidR="003D72E7" w:rsidRDefault="003D72E7">
            <w:pPr>
              <w:widowControl/>
              <w:jc w:val="left"/>
              <w:rPr>
                <w:rFonts w:ascii="Times New Roman" w:eastAsia="宋体" w:hAnsi="宋体" w:cs="宋体"/>
                <w:vanish/>
                <w:kern w:val="0"/>
                <w:sz w:val="24"/>
              </w:rPr>
            </w:pPr>
          </w:p>
        </w:tc>
      </w:tr>
      <w:tr w:rsidR="003D72E7" w14:paraId="619DF5D7" w14:textId="77777777">
        <w:trPr>
          <w:hidden/>
        </w:trPr>
        <w:tc>
          <w:tcPr>
            <w:tcW w:w="0" w:type="auto"/>
            <w:gridSpan w:val="3"/>
            <w:tcBorders>
              <w:top w:val="nil"/>
              <w:left w:val="nil"/>
              <w:bottom w:val="nil"/>
              <w:right w:val="nil"/>
            </w:tcBorders>
            <w:shd w:val="clear" w:color="auto" w:fill="auto"/>
            <w:vAlign w:val="bottom"/>
          </w:tcPr>
          <w:p w14:paraId="619DF5D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D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D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5D6" w14:textId="77777777" w:rsidR="003D72E7" w:rsidRDefault="003D72E7">
            <w:pPr>
              <w:widowControl/>
              <w:jc w:val="left"/>
              <w:rPr>
                <w:rFonts w:ascii="Times New Roman" w:eastAsia="宋体" w:hAnsi="宋体" w:cs="宋体"/>
                <w:vanish/>
                <w:kern w:val="0"/>
                <w:sz w:val="24"/>
              </w:rPr>
            </w:pPr>
          </w:p>
        </w:tc>
      </w:tr>
    </w:tbl>
    <w:p w14:paraId="619DF5D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619DF5D9"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    Restricted cash primarily includes cash required to be held in escrow pursuant to DFS securitization arrangements.</w:t>
      </w:r>
    </w:p>
    <w:p w14:paraId="619DF5DA" w14:textId="77777777" w:rsidR="003D72E7" w:rsidRDefault="00AD6774">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5D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5DC"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55</w:t>
      </w:r>
    </w:p>
    <w:p w14:paraId="619DF5D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5DE" w14:textId="77777777" w:rsidR="003D72E7" w:rsidRDefault="00AD6774">
      <w:pPr>
        <w:widowControl/>
        <w:jc w:val="center"/>
      </w:pPr>
      <w:r>
        <w:rPr>
          <w:rFonts w:ascii="宋体" w:eastAsia="宋体" w:hAnsi="宋体" w:cs="宋体"/>
          <w:kern w:val="0"/>
          <w:sz w:val="24"/>
        </w:rPr>
        <w:pict w14:anchorId="619E0DA2">
          <v:rect id="_x0000_i1079" style="width:6in;height:1.5pt" o:hralign="center" o:hrstd="t" o:hr="t" fillcolor="#a0a0a0" stroked="f"/>
        </w:pict>
      </w:r>
    </w:p>
    <w:p w14:paraId="619DF5DF"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5E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F5E1"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F5E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F5E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5E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Trade Receivables — Allowance for Expected Credit Losses</w:t>
      </w:r>
    </w:p>
    <w:p w14:paraId="619DF5E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5E6"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w:t>
      </w:r>
      <w:r>
        <w:rPr>
          <w:rFonts w:ascii="Times New Roman" w:eastAsia="宋体" w:hAnsi="Times New Roman" w:cs="Times New Roman"/>
          <w:color w:val="000000"/>
          <w:kern w:val="0"/>
          <w:sz w:val="20"/>
          <w:szCs w:val="20"/>
          <w:lang w:bidi="ar"/>
        </w:rPr>
        <w:t>following table presents the changes in the Company’s allowance for expected credit losses for the periods indicated:</w:t>
      </w:r>
    </w:p>
    <w:tbl>
      <w:tblPr>
        <w:tblW w:w="4949" w:type="pct"/>
        <w:tblInd w:w="93" w:type="dxa"/>
        <w:tblCellMar>
          <w:top w:w="15" w:type="dxa"/>
          <w:left w:w="15" w:type="dxa"/>
          <w:bottom w:w="15" w:type="dxa"/>
          <w:right w:w="15" w:type="dxa"/>
        </w:tblCellMar>
        <w:tblLook w:val="04A0" w:firstRow="1" w:lastRow="0" w:firstColumn="1" w:lastColumn="0" w:noHBand="0" w:noVBand="1"/>
      </w:tblPr>
      <w:tblGrid>
        <w:gridCol w:w="38"/>
        <w:gridCol w:w="3077"/>
        <w:gridCol w:w="38"/>
        <w:gridCol w:w="121"/>
        <w:gridCol w:w="1037"/>
        <w:gridCol w:w="37"/>
        <w:gridCol w:w="36"/>
        <w:gridCol w:w="36"/>
        <w:gridCol w:w="36"/>
        <w:gridCol w:w="120"/>
        <w:gridCol w:w="1037"/>
        <w:gridCol w:w="36"/>
        <w:gridCol w:w="36"/>
        <w:gridCol w:w="36"/>
        <w:gridCol w:w="36"/>
        <w:gridCol w:w="120"/>
        <w:gridCol w:w="1037"/>
        <w:gridCol w:w="36"/>
        <w:gridCol w:w="36"/>
        <w:gridCol w:w="36"/>
        <w:gridCol w:w="36"/>
        <w:gridCol w:w="120"/>
        <w:gridCol w:w="1037"/>
        <w:gridCol w:w="36"/>
      </w:tblGrid>
      <w:tr w:rsidR="003D72E7" w14:paraId="619DF5FF" w14:textId="77777777">
        <w:tc>
          <w:tcPr>
            <w:tcW w:w="50" w:type="pct"/>
            <w:tcBorders>
              <w:top w:val="nil"/>
              <w:left w:val="nil"/>
              <w:bottom w:val="nil"/>
              <w:right w:val="nil"/>
            </w:tcBorders>
            <w:shd w:val="clear" w:color="auto" w:fill="auto"/>
            <w:vAlign w:val="bottom"/>
          </w:tcPr>
          <w:p w14:paraId="619DF5E7" w14:textId="77777777" w:rsidR="003D72E7" w:rsidRDefault="003D72E7">
            <w:pPr>
              <w:widowControl/>
              <w:jc w:val="left"/>
              <w:rPr>
                <w:rFonts w:ascii="Times New Roman" w:eastAsia="宋体" w:hAnsi="宋体" w:cs="宋体"/>
                <w:kern w:val="0"/>
                <w:sz w:val="24"/>
              </w:rPr>
            </w:pPr>
          </w:p>
        </w:tc>
        <w:tc>
          <w:tcPr>
            <w:tcW w:w="1931" w:type="pct"/>
            <w:tcBorders>
              <w:top w:val="nil"/>
              <w:left w:val="nil"/>
              <w:bottom w:val="nil"/>
              <w:right w:val="nil"/>
            </w:tcBorders>
            <w:shd w:val="clear" w:color="auto" w:fill="auto"/>
            <w:vAlign w:val="bottom"/>
          </w:tcPr>
          <w:p w14:paraId="619DF5E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5E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5EA" w14:textId="77777777" w:rsidR="003D72E7" w:rsidRDefault="003D72E7">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vAlign w:val="bottom"/>
          </w:tcPr>
          <w:p w14:paraId="619DF5E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5E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5ED"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5E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5E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5F0" w14:textId="77777777" w:rsidR="003D72E7" w:rsidRDefault="003D72E7">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vAlign w:val="bottom"/>
          </w:tcPr>
          <w:p w14:paraId="619DF5F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5F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5F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5F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5F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5F6" w14:textId="77777777" w:rsidR="003D72E7" w:rsidRDefault="003D72E7">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vAlign w:val="bottom"/>
          </w:tcPr>
          <w:p w14:paraId="619DF5F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5F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5F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5F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5F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5FC" w14:textId="77777777" w:rsidR="003D72E7" w:rsidRDefault="003D72E7">
            <w:pPr>
              <w:widowControl/>
              <w:jc w:val="left"/>
              <w:rPr>
                <w:rFonts w:ascii="Times New Roman" w:eastAsia="宋体" w:hAnsi="宋体" w:cs="宋体"/>
                <w:kern w:val="0"/>
                <w:sz w:val="24"/>
              </w:rPr>
            </w:pPr>
          </w:p>
        </w:tc>
        <w:tc>
          <w:tcPr>
            <w:tcW w:w="675" w:type="pct"/>
            <w:tcBorders>
              <w:top w:val="nil"/>
              <w:left w:val="nil"/>
              <w:bottom w:val="nil"/>
              <w:right w:val="nil"/>
            </w:tcBorders>
            <w:shd w:val="clear" w:color="auto" w:fill="auto"/>
            <w:vAlign w:val="bottom"/>
          </w:tcPr>
          <w:p w14:paraId="619DF5F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5FE" w14:textId="77777777" w:rsidR="003D72E7" w:rsidRDefault="003D72E7">
            <w:pPr>
              <w:widowControl/>
              <w:jc w:val="left"/>
              <w:rPr>
                <w:rFonts w:ascii="Times New Roman" w:eastAsia="宋体" w:hAnsi="宋体" w:cs="宋体"/>
                <w:kern w:val="0"/>
                <w:sz w:val="24"/>
              </w:rPr>
            </w:pPr>
          </w:p>
        </w:tc>
      </w:tr>
      <w:tr w:rsidR="003D72E7" w14:paraId="619DF60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600"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60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602"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60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F60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605"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60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60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60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F60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60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60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60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F61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60E" w14:textId="77777777" w:rsidR="003D72E7" w:rsidRDefault="003D72E7">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F60F"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w:t>
            </w:r>
            <w:r>
              <w:rPr>
                <w:rFonts w:ascii="Times New Roman" w:eastAsia="宋体" w:hAnsi="Times New Roman" w:cs="Times New Roman"/>
                <w:color w:val="000000"/>
                <w:kern w:val="0"/>
                <w:sz w:val="20"/>
                <w:szCs w:val="20"/>
                <w:lang w:bidi="ar"/>
              </w:rPr>
              <w:t>ons)</w:t>
            </w:r>
          </w:p>
        </w:tc>
      </w:tr>
      <w:tr w:rsidR="003D72E7" w14:paraId="619DF618" w14:textId="77777777">
        <w:tc>
          <w:tcPr>
            <w:tcW w:w="0" w:type="auto"/>
            <w:gridSpan w:val="6"/>
            <w:tcBorders>
              <w:top w:val="nil"/>
              <w:left w:val="nil"/>
              <w:bottom w:val="nil"/>
              <w:right w:val="nil"/>
            </w:tcBorders>
            <w:shd w:val="clear" w:color="auto" w:fill="CCEEFF"/>
            <w:tcMar>
              <w:top w:w="40" w:type="dxa"/>
              <w:left w:w="20" w:type="dxa"/>
              <w:bottom w:w="40" w:type="dxa"/>
              <w:right w:w="20" w:type="dxa"/>
            </w:tcMar>
            <w:vAlign w:val="center"/>
          </w:tcPr>
          <w:p w14:paraId="619DF61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Trade Receivables </w:t>
            </w:r>
            <w:r>
              <w:rPr>
                <w:rFonts w:ascii="Times New Roman" w:eastAsia="宋体" w:hAnsi="Times New Roman" w:cs="Times New Roman"/>
                <w:b/>
                <w:bCs/>
                <w:i/>
                <w:iCs/>
                <w:color w:val="000000"/>
                <w:kern w:val="0"/>
                <w:sz w:val="20"/>
                <w:szCs w:val="20"/>
                <w:lang w:bidi="ar"/>
              </w:rPr>
              <w:t>—</w:t>
            </w:r>
            <w:r>
              <w:rPr>
                <w:rFonts w:ascii="Times New Roman" w:eastAsia="宋体" w:hAnsi="Times New Roman" w:cs="Times New Roman"/>
                <w:i/>
                <w:iCs/>
                <w:color w:val="000000"/>
                <w:kern w:val="0"/>
                <w:sz w:val="20"/>
                <w:szCs w:val="20"/>
                <w:lang w:bidi="ar"/>
              </w:rPr>
              <w:t xml:space="preserve"> Allowance for expected credit losses: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1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1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1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1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1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17" w14:textId="77777777" w:rsidR="003D72E7" w:rsidRDefault="003D72E7">
            <w:pPr>
              <w:widowControl/>
              <w:jc w:val="left"/>
              <w:rPr>
                <w:rFonts w:ascii="Times New Roman" w:eastAsia="宋体" w:hAnsi="宋体" w:cs="宋体"/>
                <w:kern w:val="0"/>
                <w:sz w:val="24"/>
              </w:rPr>
            </w:pPr>
          </w:p>
        </w:tc>
      </w:tr>
      <w:tr w:rsidR="003D72E7" w14:paraId="619DF62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F61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beginning of period</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61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61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61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1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61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61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62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2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62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62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62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2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62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62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628" w14:textId="77777777" w:rsidR="003D72E7" w:rsidRDefault="003D72E7">
            <w:pPr>
              <w:widowControl/>
              <w:jc w:val="right"/>
              <w:rPr>
                <w:rFonts w:ascii="Times New Roman" w:eastAsia="宋体" w:hAnsi="宋体" w:cs="宋体"/>
                <w:kern w:val="0"/>
                <w:sz w:val="24"/>
              </w:rPr>
            </w:pPr>
          </w:p>
        </w:tc>
      </w:tr>
      <w:tr w:rsidR="003D72E7" w14:paraId="619DF636"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center"/>
          </w:tcPr>
          <w:p w14:paraId="619DF62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Adjustment for adoption of accounting standard (a)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62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62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2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62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62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3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63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63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3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63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635" w14:textId="77777777" w:rsidR="003D72E7" w:rsidRDefault="003D72E7">
            <w:pPr>
              <w:widowControl/>
              <w:jc w:val="right"/>
              <w:rPr>
                <w:rFonts w:ascii="Times New Roman" w:eastAsia="宋体" w:hAnsi="宋体" w:cs="宋体"/>
                <w:kern w:val="0"/>
                <w:sz w:val="24"/>
              </w:rPr>
            </w:pPr>
          </w:p>
        </w:tc>
      </w:tr>
      <w:tr w:rsidR="003D72E7" w14:paraId="619DF63F" w14:textId="77777777">
        <w:trPr>
          <w:hidden/>
        </w:trPr>
        <w:tc>
          <w:tcPr>
            <w:tcW w:w="0" w:type="auto"/>
            <w:gridSpan w:val="3"/>
            <w:tcBorders>
              <w:top w:val="nil"/>
              <w:left w:val="nil"/>
              <w:bottom w:val="nil"/>
              <w:right w:val="nil"/>
            </w:tcBorders>
            <w:shd w:val="clear" w:color="auto" w:fill="auto"/>
            <w:vAlign w:val="bottom"/>
          </w:tcPr>
          <w:p w14:paraId="619DF63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63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63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63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63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63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63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63E" w14:textId="77777777" w:rsidR="003D72E7" w:rsidRDefault="003D72E7">
            <w:pPr>
              <w:widowControl/>
              <w:jc w:val="left"/>
              <w:rPr>
                <w:rFonts w:ascii="Times New Roman" w:eastAsia="宋体" w:hAnsi="宋体" w:cs="宋体"/>
                <w:vanish/>
                <w:kern w:val="0"/>
                <w:sz w:val="24"/>
              </w:rPr>
            </w:pPr>
          </w:p>
        </w:tc>
      </w:tr>
      <w:tr w:rsidR="003D72E7" w14:paraId="619DF64C"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center"/>
          </w:tcPr>
          <w:p w14:paraId="619DF64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Allowance charged to provision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64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64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4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64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64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4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64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64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4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64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64B" w14:textId="77777777" w:rsidR="003D72E7" w:rsidRDefault="003D72E7">
            <w:pPr>
              <w:widowControl/>
              <w:jc w:val="right"/>
              <w:rPr>
                <w:rFonts w:ascii="Times New Roman" w:eastAsia="宋体" w:hAnsi="宋体" w:cs="宋体"/>
                <w:kern w:val="0"/>
                <w:sz w:val="24"/>
              </w:rPr>
            </w:pPr>
          </w:p>
        </w:tc>
      </w:tr>
      <w:tr w:rsidR="003D72E7" w14:paraId="619DF659"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center"/>
          </w:tcPr>
          <w:p w14:paraId="619DF64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Bad debt write-offs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64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64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5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65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65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5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65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65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5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65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658" w14:textId="77777777" w:rsidR="003D72E7" w:rsidRDefault="003D72E7">
            <w:pPr>
              <w:widowControl/>
              <w:jc w:val="right"/>
              <w:rPr>
                <w:rFonts w:ascii="Times New Roman" w:eastAsia="宋体" w:hAnsi="宋体" w:cs="宋体"/>
                <w:kern w:val="0"/>
                <w:sz w:val="24"/>
              </w:rPr>
            </w:pPr>
          </w:p>
        </w:tc>
      </w:tr>
      <w:tr w:rsidR="003D72E7" w14:paraId="619DF66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DF65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Balance at end of period</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F65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F65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F65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5E"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F65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F66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F66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6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F66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F66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F66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66"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F66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F66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F669" w14:textId="77777777" w:rsidR="003D72E7" w:rsidRDefault="003D72E7">
            <w:pPr>
              <w:widowControl/>
              <w:jc w:val="right"/>
              <w:rPr>
                <w:rFonts w:ascii="Times New Roman" w:eastAsia="宋体" w:hAnsi="宋体" w:cs="宋体"/>
                <w:kern w:val="0"/>
                <w:sz w:val="24"/>
              </w:rPr>
            </w:pPr>
          </w:p>
        </w:tc>
      </w:tr>
    </w:tbl>
    <w:p w14:paraId="619DF66B"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619DF66C"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(a)The Company adopted the current expected credit losses standard as of February 1, 2020 using the modified retrospective method, with the </w:t>
      </w:r>
      <w:r>
        <w:rPr>
          <w:rFonts w:ascii="Times New Roman" w:eastAsia="宋体" w:hAnsi="Times New Roman" w:cs="Times New Roman"/>
          <w:color w:val="000000"/>
          <w:kern w:val="0"/>
          <w:sz w:val="20"/>
          <w:szCs w:val="20"/>
          <w:lang w:bidi="ar"/>
        </w:rPr>
        <w:t>cumulative-effect adjustment to the opening balance of stockholders’ equity (deficit) as of the adoption date.</w:t>
      </w:r>
    </w:p>
    <w:p w14:paraId="619DF66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66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Warranty Liability</w:t>
      </w:r>
    </w:p>
    <w:p w14:paraId="619DF66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670"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changes in the Company’s liability for standard limited warranties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590"/>
        <w:gridCol w:w="37"/>
        <w:gridCol w:w="120"/>
        <w:gridCol w:w="1183"/>
        <w:gridCol w:w="36"/>
        <w:gridCol w:w="36"/>
        <w:gridCol w:w="36"/>
        <w:gridCol w:w="36"/>
        <w:gridCol w:w="120"/>
        <w:gridCol w:w="1172"/>
        <w:gridCol w:w="36"/>
        <w:gridCol w:w="36"/>
        <w:gridCol w:w="36"/>
        <w:gridCol w:w="36"/>
        <w:gridCol w:w="120"/>
        <w:gridCol w:w="1184"/>
        <w:gridCol w:w="36"/>
        <w:gridCol w:w="36"/>
        <w:gridCol w:w="36"/>
        <w:gridCol w:w="36"/>
        <w:gridCol w:w="120"/>
        <w:gridCol w:w="1184"/>
        <w:gridCol w:w="36"/>
      </w:tblGrid>
      <w:tr w:rsidR="003D72E7" w14:paraId="619DF689" w14:textId="77777777">
        <w:tc>
          <w:tcPr>
            <w:tcW w:w="50" w:type="pct"/>
            <w:tcBorders>
              <w:top w:val="nil"/>
              <w:left w:val="nil"/>
              <w:bottom w:val="nil"/>
              <w:right w:val="nil"/>
            </w:tcBorders>
            <w:shd w:val="clear" w:color="auto" w:fill="auto"/>
            <w:vAlign w:val="bottom"/>
          </w:tcPr>
          <w:p w14:paraId="619DF671" w14:textId="77777777" w:rsidR="003D72E7" w:rsidRDefault="003D72E7">
            <w:pPr>
              <w:widowControl/>
              <w:jc w:val="left"/>
              <w:rPr>
                <w:rFonts w:ascii="Times New Roman" w:eastAsia="宋体" w:hAnsi="宋体" w:cs="宋体"/>
                <w:kern w:val="0"/>
                <w:sz w:val="24"/>
              </w:rPr>
            </w:pPr>
          </w:p>
        </w:tc>
        <w:tc>
          <w:tcPr>
            <w:tcW w:w="1618" w:type="pct"/>
            <w:tcBorders>
              <w:top w:val="nil"/>
              <w:left w:val="nil"/>
              <w:bottom w:val="nil"/>
              <w:right w:val="nil"/>
            </w:tcBorders>
            <w:shd w:val="clear" w:color="auto" w:fill="auto"/>
            <w:vAlign w:val="bottom"/>
          </w:tcPr>
          <w:p w14:paraId="619DF67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67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674"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67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67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677"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67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67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67A" w14:textId="77777777" w:rsidR="003D72E7" w:rsidRDefault="003D72E7">
            <w:pPr>
              <w:widowControl/>
              <w:jc w:val="left"/>
              <w:rPr>
                <w:rFonts w:ascii="Times New Roman" w:eastAsia="宋体" w:hAnsi="宋体" w:cs="宋体"/>
                <w:kern w:val="0"/>
                <w:sz w:val="24"/>
              </w:rPr>
            </w:pPr>
          </w:p>
        </w:tc>
        <w:tc>
          <w:tcPr>
            <w:tcW w:w="749" w:type="pct"/>
            <w:tcBorders>
              <w:top w:val="nil"/>
              <w:left w:val="nil"/>
              <w:bottom w:val="nil"/>
              <w:right w:val="nil"/>
            </w:tcBorders>
            <w:shd w:val="clear" w:color="auto" w:fill="auto"/>
            <w:vAlign w:val="bottom"/>
          </w:tcPr>
          <w:p w14:paraId="619DF67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67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67D"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67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67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680"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68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68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68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68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68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686"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68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688" w14:textId="77777777" w:rsidR="003D72E7" w:rsidRDefault="003D72E7">
            <w:pPr>
              <w:widowControl/>
              <w:jc w:val="left"/>
              <w:rPr>
                <w:rFonts w:ascii="Times New Roman" w:eastAsia="宋体" w:hAnsi="宋体" w:cs="宋体"/>
                <w:kern w:val="0"/>
                <w:sz w:val="24"/>
              </w:rPr>
            </w:pPr>
          </w:p>
        </w:tc>
      </w:tr>
      <w:tr w:rsidR="003D72E7" w14:paraId="619DF68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68A"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68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68C"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68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F69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68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69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69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69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F69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69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695"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69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F69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698" w14:textId="77777777" w:rsidR="003D72E7" w:rsidRDefault="003D72E7">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69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3D72E7" w14:paraId="619DF6A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69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Warranty liability:</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9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9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9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9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A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A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A2" w14:textId="77777777" w:rsidR="003D72E7" w:rsidRDefault="003D72E7">
            <w:pPr>
              <w:widowControl/>
              <w:jc w:val="left"/>
              <w:rPr>
                <w:rFonts w:ascii="Times New Roman" w:eastAsia="宋体" w:hAnsi="宋体" w:cs="宋体"/>
                <w:kern w:val="0"/>
                <w:sz w:val="24"/>
              </w:rPr>
            </w:pPr>
          </w:p>
        </w:tc>
      </w:tr>
      <w:tr w:rsidR="003D72E7" w14:paraId="619DF6B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6A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Warranty liability at beginning of period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6A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6A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6A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A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6A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6A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6A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A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6A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6A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6A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B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6B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6B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6B3" w14:textId="77777777" w:rsidR="003D72E7" w:rsidRDefault="003D72E7">
            <w:pPr>
              <w:widowControl/>
              <w:jc w:val="right"/>
              <w:rPr>
                <w:rFonts w:ascii="Times New Roman" w:eastAsia="宋体" w:hAnsi="宋体" w:cs="宋体"/>
                <w:kern w:val="0"/>
                <w:sz w:val="24"/>
              </w:rPr>
            </w:pPr>
          </w:p>
        </w:tc>
      </w:tr>
      <w:tr w:rsidR="003D72E7" w14:paraId="619DF6BD" w14:textId="77777777">
        <w:trPr>
          <w:hidden/>
        </w:trPr>
        <w:tc>
          <w:tcPr>
            <w:tcW w:w="0" w:type="auto"/>
            <w:gridSpan w:val="3"/>
            <w:tcBorders>
              <w:top w:val="nil"/>
              <w:left w:val="nil"/>
              <w:bottom w:val="nil"/>
              <w:right w:val="nil"/>
            </w:tcBorders>
            <w:shd w:val="clear" w:color="auto" w:fill="auto"/>
            <w:vAlign w:val="bottom"/>
          </w:tcPr>
          <w:p w14:paraId="619DF6B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6B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6B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6B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6B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6B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6B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6BC" w14:textId="77777777" w:rsidR="003D72E7" w:rsidRDefault="003D72E7">
            <w:pPr>
              <w:widowControl/>
              <w:jc w:val="left"/>
              <w:rPr>
                <w:rFonts w:ascii="Times New Roman" w:eastAsia="宋体" w:hAnsi="宋体" w:cs="宋体"/>
                <w:vanish/>
                <w:kern w:val="0"/>
                <w:sz w:val="24"/>
              </w:rPr>
            </w:pPr>
          </w:p>
        </w:tc>
      </w:tr>
      <w:tr w:rsidR="003D72E7" w14:paraId="619DF6CA"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F6B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Costs accrued for new warranty contracts and changes in estimates for pre-existing warranties (a) (b)</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6B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6C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C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6C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6C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C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6C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6C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C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6C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6C9" w14:textId="77777777" w:rsidR="003D72E7" w:rsidRDefault="003D72E7">
            <w:pPr>
              <w:widowControl/>
              <w:jc w:val="right"/>
              <w:rPr>
                <w:rFonts w:ascii="Times New Roman" w:eastAsia="宋体" w:hAnsi="宋体" w:cs="宋体"/>
                <w:kern w:val="0"/>
                <w:sz w:val="24"/>
              </w:rPr>
            </w:pPr>
          </w:p>
        </w:tc>
      </w:tr>
      <w:tr w:rsidR="003D72E7" w14:paraId="619DF6D7"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F6C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 obligations honored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6C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6C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C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6C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6D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D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6D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6D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D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6D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6D6" w14:textId="77777777" w:rsidR="003D72E7" w:rsidRDefault="003D72E7">
            <w:pPr>
              <w:widowControl/>
              <w:jc w:val="right"/>
              <w:rPr>
                <w:rFonts w:ascii="Times New Roman" w:eastAsia="宋体" w:hAnsi="宋体" w:cs="宋体"/>
                <w:kern w:val="0"/>
                <w:sz w:val="24"/>
              </w:rPr>
            </w:pPr>
          </w:p>
        </w:tc>
      </w:tr>
      <w:tr w:rsidR="003D72E7" w14:paraId="619DF6E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6D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Warranty liability at end of period</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6D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F6D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6D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D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6D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F6D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6D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E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6E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F6E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6E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E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DF6E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DF6E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DF6E7" w14:textId="77777777" w:rsidR="003D72E7" w:rsidRDefault="003D72E7">
            <w:pPr>
              <w:widowControl/>
              <w:jc w:val="right"/>
              <w:rPr>
                <w:rFonts w:ascii="Times New Roman" w:eastAsia="宋体" w:hAnsi="宋体" w:cs="宋体"/>
                <w:kern w:val="0"/>
                <w:sz w:val="24"/>
              </w:rPr>
            </w:pPr>
          </w:p>
        </w:tc>
      </w:tr>
      <w:tr w:rsidR="003D72E7" w14:paraId="619DF6F9"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F6E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 portion</w:t>
            </w: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19DF6E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FFFFFF"/>
            <w:tcMar>
              <w:top w:w="40" w:type="dxa"/>
              <w:left w:w="0" w:type="dxa"/>
              <w:bottom w:w="40" w:type="dxa"/>
              <w:right w:w="0" w:type="dxa"/>
            </w:tcMar>
            <w:vAlign w:val="bottom"/>
          </w:tcPr>
          <w:p w14:paraId="619DF6E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353 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619DF6E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ED" w14:textId="77777777" w:rsidR="003D72E7" w:rsidRDefault="003D72E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19DF6E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FFFFFF"/>
            <w:tcMar>
              <w:top w:w="40" w:type="dxa"/>
              <w:left w:w="0" w:type="dxa"/>
              <w:bottom w:w="40" w:type="dxa"/>
              <w:right w:w="0" w:type="dxa"/>
            </w:tcMar>
            <w:vAlign w:val="bottom"/>
          </w:tcPr>
          <w:p w14:paraId="619DF6E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339 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619DF6F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F1" w14:textId="77777777" w:rsidR="003D72E7" w:rsidRDefault="003D72E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19DF6F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FFFFFF"/>
            <w:tcMar>
              <w:top w:w="40" w:type="dxa"/>
              <w:left w:w="0" w:type="dxa"/>
              <w:bottom w:w="40" w:type="dxa"/>
              <w:right w:w="0" w:type="dxa"/>
            </w:tcMar>
            <w:vAlign w:val="bottom"/>
          </w:tcPr>
          <w:p w14:paraId="619DF6F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353 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619DF6F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6F5" w14:textId="77777777" w:rsidR="003D72E7" w:rsidRDefault="003D72E7">
            <w:pPr>
              <w:widowControl/>
              <w:jc w:val="left"/>
              <w:rPr>
                <w:rFonts w:ascii="Times New Roman" w:eastAsia="宋体" w:hAnsi="宋体" w:cs="宋体"/>
                <w:kern w:val="0"/>
                <w:sz w:val="24"/>
              </w:rPr>
            </w:pPr>
          </w:p>
        </w:tc>
        <w:tc>
          <w:tcPr>
            <w:tcW w:w="0" w:type="auto"/>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619DF6F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double" w:sz="2" w:space="0" w:color="000000"/>
              <w:left w:val="nil"/>
              <w:bottom w:val="nil"/>
              <w:right w:val="nil"/>
            </w:tcBorders>
            <w:shd w:val="clear" w:color="auto" w:fill="FFFFFF"/>
            <w:tcMar>
              <w:top w:w="40" w:type="dxa"/>
              <w:left w:w="0" w:type="dxa"/>
              <w:bottom w:w="40" w:type="dxa"/>
              <w:right w:w="0" w:type="dxa"/>
            </w:tcMar>
            <w:vAlign w:val="bottom"/>
          </w:tcPr>
          <w:p w14:paraId="619DF6F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339 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619DF6F8" w14:textId="77777777" w:rsidR="003D72E7" w:rsidRDefault="003D72E7">
            <w:pPr>
              <w:widowControl/>
              <w:jc w:val="right"/>
              <w:rPr>
                <w:rFonts w:ascii="Times New Roman" w:eastAsia="宋体" w:hAnsi="宋体" w:cs="宋体"/>
                <w:kern w:val="0"/>
                <w:sz w:val="24"/>
              </w:rPr>
            </w:pPr>
          </w:p>
        </w:tc>
      </w:tr>
      <w:tr w:rsidR="003D72E7" w14:paraId="619DF70A"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F6F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Non-current portion</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F6F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F6F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6F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6F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F6F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F70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70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0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F70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F70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70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0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F70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F70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709" w14:textId="77777777" w:rsidR="003D72E7" w:rsidRDefault="003D72E7">
            <w:pPr>
              <w:widowControl/>
              <w:jc w:val="right"/>
              <w:rPr>
                <w:rFonts w:ascii="Times New Roman" w:eastAsia="宋体" w:hAnsi="宋体" w:cs="宋体"/>
                <w:kern w:val="0"/>
                <w:sz w:val="24"/>
              </w:rPr>
            </w:pPr>
          </w:p>
        </w:tc>
      </w:tr>
    </w:tbl>
    <w:p w14:paraId="619DF70B"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619DF70C"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(a)Changes in cost estimates related to pre-existing warranties are aggregated with accruals for new standard warranty contracts. Th</w:t>
      </w:r>
      <w:r>
        <w:rPr>
          <w:rFonts w:ascii="Times New Roman" w:eastAsia="宋体" w:hAnsi="Times New Roman" w:cs="Times New Roman"/>
          <w:color w:val="000000"/>
          <w:kern w:val="0"/>
          <w:sz w:val="20"/>
          <w:szCs w:val="20"/>
          <w:lang w:bidi="ar"/>
        </w:rPr>
        <w:t>e Company’s warranty liability process does not differentiate between estimates made for pre-existing warranties and new warranty obligations.</w:t>
      </w:r>
    </w:p>
    <w:p w14:paraId="619DF70D"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(b)Includes the impact of foreign currency exchange rate fluctuations.</w:t>
      </w:r>
    </w:p>
    <w:p w14:paraId="619DF70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70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t>
      </w:r>
    </w:p>
    <w:p w14:paraId="619DF71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711"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71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56</w:t>
      </w:r>
    </w:p>
    <w:p w14:paraId="619DF71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714" w14:textId="77777777" w:rsidR="003D72E7" w:rsidRDefault="00AD6774">
      <w:pPr>
        <w:widowControl/>
        <w:jc w:val="center"/>
      </w:pPr>
      <w:r>
        <w:rPr>
          <w:rFonts w:ascii="宋体" w:eastAsia="宋体" w:hAnsi="宋体" w:cs="宋体"/>
          <w:kern w:val="0"/>
          <w:sz w:val="24"/>
        </w:rPr>
        <w:pict w14:anchorId="619E0DA3">
          <v:rect id="_x0000_i1080" style="width:6in;height:1.5pt" o:hralign="center" o:hrstd="t" o:hr="t" fillcolor="#a0a0a0" stroked="f"/>
        </w:pict>
      </w:r>
    </w:p>
    <w:p w14:paraId="619DF715"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716"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F717"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NOTES TO THE CONDENSED CONSOLIDATED FINANCIAL STATEMENTS (Continued)</w:t>
      </w:r>
    </w:p>
    <w:p w14:paraId="619DF718"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F719"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71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Severance Charges</w:t>
      </w:r>
    </w:p>
    <w:p w14:paraId="619DF71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71C"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incurs costs related to employee severanc</w:t>
      </w:r>
      <w:r>
        <w:rPr>
          <w:rFonts w:ascii="Times New Roman" w:eastAsia="宋体" w:hAnsi="Times New Roman" w:cs="Times New Roman"/>
          <w:color w:val="000000"/>
          <w:kern w:val="0"/>
          <w:sz w:val="20"/>
          <w:szCs w:val="20"/>
          <w:lang w:bidi="ar"/>
        </w:rPr>
        <w:t>e and records a liability for these costs when it is probable that employees will be entitled to termination benefits and the amounts can be reasonably estimated. The liability related to these actions is included in accrued and other current liabilities i</w:t>
      </w:r>
      <w:r>
        <w:rPr>
          <w:rFonts w:ascii="Times New Roman" w:eastAsia="宋体" w:hAnsi="Times New Roman" w:cs="Times New Roman"/>
          <w:color w:val="000000"/>
          <w:kern w:val="0"/>
          <w:sz w:val="20"/>
          <w:szCs w:val="20"/>
          <w:lang w:bidi="ar"/>
        </w:rPr>
        <w:t>n the Condensed Consolidated Statements of Financial Position. The following table presents the activity related to the Company’s severance liability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579"/>
        <w:gridCol w:w="37"/>
        <w:gridCol w:w="120"/>
        <w:gridCol w:w="1183"/>
        <w:gridCol w:w="36"/>
        <w:gridCol w:w="36"/>
        <w:gridCol w:w="36"/>
        <w:gridCol w:w="36"/>
        <w:gridCol w:w="120"/>
        <w:gridCol w:w="1183"/>
        <w:gridCol w:w="36"/>
        <w:gridCol w:w="36"/>
        <w:gridCol w:w="36"/>
        <w:gridCol w:w="36"/>
        <w:gridCol w:w="120"/>
        <w:gridCol w:w="1184"/>
        <w:gridCol w:w="36"/>
        <w:gridCol w:w="36"/>
        <w:gridCol w:w="36"/>
        <w:gridCol w:w="36"/>
        <w:gridCol w:w="120"/>
        <w:gridCol w:w="1184"/>
        <w:gridCol w:w="36"/>
      </w:tblGrid>
      <w:tr w:rsidR="003D72E7" w14:paraId="619DF735" w14:textId="77777777">
        <w:tc>
          <w:tcPr>
            <w:tcW w:w="50" w:type="pct"/>
            <w:tcBorders>
              <w:top w:val="nil"/>
              <w:left w:val="nil"/>
              <w:bottom w:val="nil"/>
              <w:right w:val="nil"/>
            </w:tcBorders>
            <w:shd w:val="clear" w:color="auto" w:fill="auto"/>
            <w:vAlign w:val="bottom"/>
          </w:tcPr>
          <w:p w14:paraId="619DF71D" w14:textId="77777777" w:rsidR="003D72E7" w:rsidRDefault="003D72E7">
            <w:pPr>
              <w:widowControl/>
              <w:jc w:val="left"/>
              <w:rPr>
                <w:rFonts w:ascii="Times New Roman" w:eastAsia="宋体" w:hAnsi="宋体" w:cs="宋体"/>
                <w:kern w:val="0"/>
                <w:sz w:val="24"/>
              </w:rPr>
            </w:pPr>
          </w:p>
        </w:tc>
        <w:tc>
          <w:tcPr>
            <w:tcW w:w="1611" w:type="pct"/>
            <w:tcBorders>
              <w:top w:val="nil"/>
              <w:left w:val="nil"/>
              <w:bottom w:val="nil"/>
              <w:right w:val="nil"/>
            </w:tcBorders>
            <w:shd w:val="clear" w:color="auto" w:fill="auto"/>
            <w:vAlign w:val="bottom"/>
          </w:tcPr>
          <w:p w14:paraId="619DF71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1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720"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72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2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2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72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2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726"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72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2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2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72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2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72C"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72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2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2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73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3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732"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73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34" w14:textId="77777777" w:rsidR="003D72E7" w:rsidRDefault="003D72E7">
            <w:pPr>
              <w:widowControl/>
              <w:jc w:val="left"/>
              <w:rPr>
                <w:rFonts w:ascii="Times New Roman" w:eastAsia="宋体" w:hAnsi="宋体" w:cs="宋体"/>
                <w:kern w:val="0"/>
                <w:sz w:val="24"/>
              </w:rPr>
            </w:pPr>
          </w:p>
        </w:tc>
      </w:tr>
      <w:tr w:rsidR="003D72E7" w14:paraId="619DF73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736"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73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738"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73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F74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73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73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73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73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F73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74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74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74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F74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744" w14:textId="77777777" w:rsidR="003D72E7" w:rsidRDefault="003D72E7">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74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w:t>
            </w:r>
            <w:r>
              <w:rPr>
                <w:rFonts w:ascii="Times New Roman" w:eastAsia="宋体" w:hAnsi="Times New Roman" w:cs="Times New Roman"/>
                <w:color w:val="000000"/>
                <w:kern w:val="0"/>
                <w:sz w:val="20"/>
                <w:szCs w:val="20"/>
                <w:lang w:bidi="ar"/>
              </w:rPr>
              <w:t>millions)</w:t>
            </w:r>
          </w:p>
        </w:tc>
      </w:tr>
      <w:tr w:rsidR="003D72E7" w14:paraId="619DF74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74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Severance liability:</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4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4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4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4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4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4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4E" w14:textId="77777777" w:rsidR="003D72E7" w:rsidRDefault="003D72E7">
            <w:pPr>
              <w:widowControl/>
              <w:jc w:val="left"/>
              <w:rPr>
                <w:rFonts w:ascii="Times New Roman" w:eastAsia="宋体" w:hAnsi="宋体" w:cs="宋体"/>
                <w:kern w:val="0"/>
                <w:sz w:val="24"/>
              </w:rPr>
            </w:pPr>
          </w:p>
        </w:tc>
      </w:tr>
      <w:tr w:rsidR="003D72E7" w14:paraId="619DF76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75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Severance liability at beginning of period</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75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75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75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75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75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75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75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75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75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75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75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75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75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75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75F" w14:textId="77777777" w:rsidR="003D72E7" w:rsidRDefault="003D72E7">
            <w:pPr>
              <w:widowControl/>
              <w:jc w:val="right"/>
              <w:rPr>
                <w:rFonts w:ascii="Times New Roman" w:eastAsia="宋体" w:hAnsi="宋体" w:cs="宋体"/>
                <w:kern w:val="0"/>
                <w:sz w:val="24"/>
              </w:rPr>
            </w:pPr>
          </w:p>
        </w:tc>
      </w:tr>
      <w:tr w:rsidR="003D72E7" w14:paraId="619DF76D"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F76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Severance charges to provision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76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76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6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76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76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6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76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76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6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76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76C" w14:textId="77777777" w:rsidR="003D72E7" w:rsidRDefault="003D72E7">
            <w:pPr>
              <w:widowControl/>
              <w:jc w:val="right"/>
              <w:rPr>
                <w:rFonts w:ascii="Times New Roman" w:eastAsia="宋体" w:hAnsi="宋体" w:cs="宋体"/>
                <w:kern w:val="0"/>
                <w:sz w:val="24"/>
              </w:rPr>
            </w:pPr>
          </w:p>
        </w:tc>
      </w:tr>
      <w:tr w:rsidR="003D72E7" w14:paraId="619DF77A"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DF76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Cash paid and other (a)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76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77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77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77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77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77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77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77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77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77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779" w14:textId="77777777" w:rsidR="003D72E7" w:rsidRDefault="003D72E7">
            <w:pPr>
              <w:widowControl/>
              <w:jc w:val="right"/>
              <w:rPr>
                <w:rFonts w:ascii="Times New Roman" w:eastAsia="宋体" w:hAnsi="宋体" w:cs="宋体"/>
                <w:kern w:val="0"/>
                <w:sz w:val="24"/>
              </w:rPr>
            </w:pPr>
          </w:p>
        </w:tc>
      </w:tr>
      <w:tr w:rsidR="003D72E7" w14:paraId="619DF78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77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Severance liability at end of period</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77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77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77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7F"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78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78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78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8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78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78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78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8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78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78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78A" w14:textId="77777777" w:rsidR="003D72E7" w:rsidRDefault="003D72E7">
            <w:pPr>
              <w:widowControl/>
              <w:jc w:val="right"/>
              <w:rPr>
                <w:rFonts w:ascii="Times New Roman" w:eastAsia="宋体" w:hAnsi="宋体" w:cs="宋体"/>
                <w:kern w:val="0"/>
                <w:sz w:val="24"/>
              </w:rPr>
            </w:pPr>
          </w:p>
        </w:tc>
      </w:tr>
    </w:tbl>
    <w:p w14:paraId="619DF78C"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619DF78D"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(a)Other a</w:t>
      </w:r>
      <w:r>
        <w:rPr>
          <w:rFonts w:ascii="Times New Roman" w:eastAsia="宋体" w:hAnsi="Times New Roman" w:cs="Times New Roman"/>
          <w:color w:val="000000"/>
          <w:kern w:val="0"/>
          <w:sz w:val="20"/>
          <w:szCs w:val="20"/>
          <w:lang w:bidi="ar"/>
        </w:rPr>
        <w:t>djustments include the impact of foreign currency exchange rate fluctuations.</w:t>
      </w:r>
    </w:p>
    <w:p w14:paraId="619DF78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78F"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severance charges as included in the Condensed Consolidated Statements of Income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577"/>
        <w:gridCol w:w="37"/>
        <w:gridCol w:w="121"/>
        <w:gridCol w:w="1183"/>
        <w:gridCol w:w="37"/>
        <w:gridCol w:w="36"/>
        <w:gridCol w:w="36"/>
        <w:gridCol w:w="36"/>
        <w:gridCol w:w="121"/>
        <w:gridCol w:w="1183"/>
        <w:gridCol w:w="37"/>
        <w:gridCol w:w="36"/>
        <w:gridCol w:w="36"/>
        <w:gridCol w:w="36"/>
        <w:gridCol w:w="120"/>
        <w:gridCol w:w="1183"/>
        <w:gridCol w:w="36"/>
        <w:gridCol w:w="36"/>
        <w:gridCol w:w="36"/>
        <w:gridCol w:w="36"/>
        <w:gridCol w:w="120"/>
        <w:gridCol w:w="1183"/>
        <w:gridCol w:w="36"/>
      </w:tblGrid>
      <w:tr w:rsidR="003D72E7" w14:paraId="619DF7A8" w14:textId="77777777">
        <w:tc>
          <w:tcPr>
            <w:tcW w:w="50" w:type="pct"/>
            <w:tcBorders>
              <w:top w:val="nil"/>
              <w:left w:val="nil"/>
              <w:bottom w:val="nil"/>
              <w:right w:val="nil"/>
            </w:tcBorders>
            <w:shd w:val="clear" w:color="auto" w:fill="auto"/>
            <w:vAlign w:val="bottom"/>
          </w:tcPr>
          <w:p w14:paraId="619DF790" w14:textId="77777777" w:rsidR="003D72E7" w:rsidRDefault="003D72E7">
            <w:pPr>
              <w:widowControl/>
              <w:jc w:val="left"/>
              <w:rPr>
                <w:rFonts w:ascii="Times New Roman" w:eastAsia="宋体" w:hAnsi="宋体" w:cs="宋体"/>
                <w:kern w:val="0"/>
                <w:sz w:val="24"/>
              </w:rPr>
            </w:pPr>
          </w:p>
        </w:tc>
        <w:tc>
          <w:tcPr>
            <w:tcW w:w="1611" w:type="pct"/>
            <w:tcBorders>
              <w:top w:val="nil"/>
              <w:left w:val="nil"/>
              <w:bottom w:val="nil"/>
              <w:right w:val="nil"/>
            </w:tcBorders>
            <w:shd w:val="clear" w:color="auto" w:fill="auto"/>
            <w:vAlign w:val="bottom"/>
          </w:tcPr>
          <w:p w14:paraId="619DF79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92"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793"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79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9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96"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79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98"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799"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79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9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9C"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79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9E"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79F"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7A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A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A2"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7A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A4"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7A5"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7A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7A7" w14:textId="77777777" w:rsidR="003D72E7" w:rsidRDefault="003D72E7">
            <w:pPr>
              <w:widowControl/>
              <w:jc w:val="left"/>
              <w:rPr>
                <w:rFonts w:ascii="Times New Roman" w:eastAsia="宋体" w:hAnsi="宋体" w:cs="宋体"/>
                <w:kern w:val="0"/>
                <w:sz w:val="24"/>
              </w:rPr>
            </w:pPr>
          </w:p>
        </w:tc>
      </w:tr>
      <w:tr w:rsidR="003D72E7" w14:paraId="619DF7A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7A9"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7A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7AB"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7A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F7B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7A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7A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7B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7B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F7B2"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7B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7B4"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7B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F7B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7B7" w14:textId="77777777" w:rsidR="003D72E7" w:rsidRDefault="003D72E7">
            <w:pPr>
              <w:widowControl/>
              <w:jc w:val="left"/>
              <w:rPr>
                <w:rFonts w:ascii="Times New Roman" w:eastAsia="宋体" w:hAnsi="宋体" w:cs="宋体"/>
                <w:kern w:val="0"/>
                <w:sz w:val="24"/>
              </w:rPr>
            </w:pP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7B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w:t>
            </w:r>
            <w:r>
              <w:rPr>
                <w:rFonts w:ascii="Times New Roman" w:eastAsia="宋体" w:hAnsi="Times New Roman" w:cs="Times New Roman"/>
                <w:color w:val="000000"/>
                <w:kern w:val="0"/>
                <w:sz w:val="20"/>
                <w:szCs w:val="20"/>
                <w:lang w:bidi="ar"/>
              </w:rPr>
              <w:t>ons)</w:t>
            </w:r>
          </w:p>
        </w:tc>
      </w:tr>
      <w:tr w:rsidR="003D72E7" w14:paraId="619DF7C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7B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Severance charges: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B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B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B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B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B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C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C1" w14:textId="77777777" w:rsidR="003D72E7" w:rsidRDefault="003D72E7">
            <w:pPr>
              <w:widowControl/>
              <w:jc w:val="left"/>
              <w:rPr>
                <w:rFonts w:ascii="Times New Roman" w:eastAsia="宋体" w:hAnsi="宋体" w:cs="宋体"/>
                <w:kern w:val="0"/>
                <w:sz w:val="24"/>
              </w:rPr>
            </w:pPr>
          </w:p>
        </w:tc>
      </w:tr>
      <w:tr w:rsidR="003D72E7" w14:paraId="619DF7D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7C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Cost of net revenue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7C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7C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7C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7C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7C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7C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7C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7C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7C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7C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7C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7C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7D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7D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7D2" w14:textId="77777777" w:rsidR="003D72E7" w:rsidRDefault="003D72E7">
            <w:pPr>
              <w:widowControl/>
              <w:jc w:val="right"/>
              <w:rPr>
                <w:rFonts w:ascii="Times New Roman" w:eastAsia="宋体" w:hAnsi="宋体" w:cs="宋体"/>
                <w:kern w:val="0"/>
                <w:sz w:val="24"/>
              </w:rPr>
            </w:pPr>
          </w:p>
        </w:tc>
      </w:tr>
      <w:tr w:rsidR="003D72E7" w14:paraId="619DF7E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7D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Selling, general, and administrative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7D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7D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D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7D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7D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D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7D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7D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D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7D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7DF" w14:textId="77777777" w:rsidR="003D72E7" w:rsidRDefault="003D72E7">
            <w:pPr>
              <w:widowControl/>
              <w:jc w:val="right"/>
              <w:rPr>
                <w:rFonts w:ascii="Times New Roman" w:eastAsia="宋体" w:hAnsi="宋体" w:cs="宋体"/>
                <w:kern w:val="0"/>
                <w:sz w:val="24"/>
              </w:rPr>
            </w:pPr>
          </w:p>
        </w:tc>
      </w:tr>
      <w:tr w:rsidR="003D72E7" w14:paraId="619DF7E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7E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Research and development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7E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7E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7E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7E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7E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7E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7E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7E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7E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7E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7EC" w14:textId="77777777" w:rsidR="003D72E7" w:rsidRDefault="003D72E7">
            <w:pPr>
              <w:widowControl/>
              <w:jc w:val="right"/>
              <w:rPr>
                <w:rFonts w:ascii="Times New Roman" w:eastAsia="宋体" w:hAnsi="宋体" w:cs="宋体"/>
                <w:kern w:val="0"/>
                <w:sz w:val="24"/>
              </w:rPr>
            </w:pPr>
          </w:p>
        </w:tc>
      </w:tr>
      <w:tr w:rsidR="003D72E7" w14:paraId="619DF7FE" w14:textId="77777777">
        <w:tc>
          <w:tcPr>
            <w:tcW w:w="0" w:type="auto"/>
            <w:gridSpan w:val="3"/>
            <w:tcBorders>
              <w:top w:val="nil"/>
              <w:left w:val="nil"/>
              <w:bottom w:val="nil"/>
              <w:right w:val="nil"/>
            </w:tcBorders>
            <w:shd w:val="clear" w:color="auto" w:fill="CCEEFF"/>
            <w:tcMar>
              <w:top w:w="40" w:type="dxa"/>
              <w:left w:w="140" w:type="dxa"/>
              <w:bottom w:w="40" w:type="dxa"/>
              <w:right w:w="20" w:type="dxa"/>
            </w:tcMar>
            <w:vAlign w:val="bottom"/>
          </w:tcPr>
          <w:p w14:paraId="619DF7E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severance charges</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7E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7F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7F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F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7F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7F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7F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F6"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7F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7F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7F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7FA"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7F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7F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7FD" w14:textId="77777777" w:rsidR="003D72E7" w:rsidRDefault="003D72E7">
            <w:pPr>
              <w:widowControl/>
              <w:jc w:val="right"/>
              <w:rPr>
                <w:rFonts w:ascii="Times New Roman" w:eastAsia="宋体" w:hAnsi="宋体" w:cs="宋体"/>
                <w:kern w:val="0"/>
                <w:sz w:val="24"/>
              </w:rPr>
            </w:pPr>
          </w:p>
        </w:tc>
      </w:tr>
    </w:tbl>
    <w:p w14:paraId="619DF7F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0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Interest and Other, Net</w:t>
      </w:r>
    </w:p>
    <w:p w14:paraId="619DF80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02"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 xml:space="preserve">The following table provides </w:t>
      </w:r>
      <w:r>
        <w:rPr>
          <w:rFonts w:ascii="Times New Roman" w:eastAsia="宋体" w:hAnsi="Times New Roman" w:cs="Times New Roman"/>
          <w:color w:val="000000"/>
          <w:kern w:val="0"/>
          <w:sz w:val="20"/>
          <w:szCs w:val="20"/>
          <w:lang w:bidi="ar"/>
        </w:rPr>
        <w:t>information regarding</w:t>
      </w:r>
      <w:r>
        <w:rPr>
          <w:rFonts w:ascii="Times New Roman" w:eastAsia="宋体" w:hAnsi="Times New Roman" w:cs="Times New Roman"/>
          <w:color w:val="000000"/>
          <w:kern w:val="0"/>
          <w:sz w:val="20"/>
          <w:szCs w:val="20"/>
          <w:shd w:val="clear" w:color="auto" w:fill="FFFFFF"/>
          <w:lang w:bidi="ar"/>
        </w:rPr>
        <w:t xml:space="preserve"> interest and other, net for the periods indicated: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2773"/>
        <w:gridCol w:w="38"/>
        <w:gridCol w:w="120"/>
        <w:gridCol w:w="1183"/>
        <w:gridCol w:w="36"/>
        <w:gridCol w:w="36"/>
        <w:gridCol w:w="36"/>
        <w:gridCol w:w="36"/>
        <w:gridCol w:w="120"/>
        <w:gridCol w:w="1183"/>
        <w:gridCol w:w="36"/>
        <w:gridCol w:w="36"/>
        <w:gridCol w:w="36"/>
        <w:gridCol w:w="36"/>
        <w:gridCol w:w="120"/>
        <w:gridCol w:w="1085"/>
        <w:gridCol w:w="36"/>
        <w:gridCol w:w="36"/>
        <w:gridCol w:w="36"/>
        <w:gridCol w:w="36"/>
        <w:gridCol w:w="120"/>
        <w:gridCol w:w="1087"/>
        <w:gridCol w:w="36"/>
      </w:tblGrid>
      <w:tr w:rsidR="003D72E7" w14:paraId="619DF81B" w14:textId="77777777">
        <w:tc>
          <w:tcPr>
            <w:tcW w:w="50" w:type="pct"/>
            <w:tcBorders>
              <w:top w:val="nil"/>
              <w:left w:val="nil"/>
              <w:bottom w:val="nil"/>
              <w:right w:val="nil"/>
            </w:tcBorders>
            <w:shd w:val="clear" w:color="auto" w:fill="auto"/>
            <w:vAlign w:val="bottom"/>
          </w:tcPr>
          <w:p w14:paraId="619DF803" w14:textId="77777777" w:rsidR="003D72E7" w:rsidRDefault="003D72E7">
            <w:pPr>
              <w:widowControl/>
              <w:jc w:val="left"/>
              <w:rPr>
                <w:rFonts w:ascii="Times New Roman" w:eastAsia="宋体" w:hAnsi="宋体" w:cs="宋体"/>
                <w:kern w:val="0"/>
                <w:sz w:val="24"/>
              </w:rPr>
            </w:pPr>
          </w:p>
        </w:tc>
        <w:tc>
          <w:tcPr>
            <w:tcW w:w="1728" w:type="pct"/>
            <w:tcBorders>
              <w:top w:val="nil"/>
              <w:left w:val="nil"/>
              <w:bottom w:val="nil"/>
              <w:right w:val="nil"/>
            </w:tcBorders>
            <w:shd w:val="clear" w:color="auto" w:fill="auto"/>
            <w:vAlign w:val="bottom"/>
          </w:tcPr>
          <w:p w14:paraId="619DF80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80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806"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80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80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80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80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80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80C"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DF80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80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80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81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81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812" w14:textId="77777777" w:rsidR="003D72E7" w:rsidRDefault="003D72E7">
            <w:pPr>
              <w:widowControl/>
              <w:jc w:val="left"/>
              <w:rPr>
                <w:rFonts w:ascii="Times New Roman" w:eastAsia="宋体" w:hAnsi="宋体" w:cs="宋体"/>
                <w:kern w:val="0"/>
                <w:sz w:val="24"/>
              </w:rPr>
            </w:pPr>
          </w:p>
        </w:tc>
        <w:tc>
          <w:tcPr>
            <w:tcW w:w="697" w:type="pct"/>
            <w:tcBorders>
              <w:top w:val="nil"/>
              <w:left w:val="nil"/>
              <w:bottom w:val="nil"/>
              <w:right w:val="nil"/>
            </w:tcBorders>
            <w:shd w:val="clear" w:color="auto" w:fill="auto"/>
            <w:vAlign w:val="bottom"/>
          </w:tcPr>
          <w:p w14:paraId="619DF81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81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815"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81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81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818" w14:textId="77777777" w:rsidR="003D72E7" w:rsidRDefault="003D72E7">
            <w:pPr>
              <w:widowControl/>
              <w:jc w:val="left"/>
              <w:rPr>
                <w:rFonts w:ascii="Times New Roman" w:eastAsia="宋体" w:hAnsi="宋体" w:cs="宋体"/>
                <w:kern w:val="0"/>
                <w:sz w:val="24"/>
              </w:rPr>
            </w:pPr>
          </w:p>
        </w:tc>
        <w:tc>
          <w:tcPr>
            <w:tcW w:w="698" w:type="pct"/>
            <w:tcBorders>
              <w:top w:val="nil"/>
              <w:left w:val="nil"/>
              <w:bottom w:val="nil"/>
              <w:right w:val="nil"/>
            </w:tcBorders>
            <w:shd w:val="clear" w:color="auto" w:fill="auto"/>
            <w:vAlign w:val="bottom"/>
          </w:tcPr>
          <w:p w14:paraId="619DF81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81A" w14:textId="77777777" w:rsidR="003D72E7" w:rsidRDefault="003D72E7">
            <w:pPr>
              <w:widowControl/>
              <w:jc w:val="left"/>
              <w:rPr>
                <w:rFonts w:ascii="Times New Roman" w:eastAsia="宋体" w:hAnsi="宋体" w:cs="宋体"/>
                <w:kern w:val="0"/>
                <w:sz w:val="24"/>
              </w:rPr>
            </w:pPr>
          </w:p>
        </w:tc>
      </w:tr>
      <w:tr w:rsidR="003D72E7" w14:paraId="619DF82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81C"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81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81E"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DF81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F82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F82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82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82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82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F825"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82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82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82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F82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19DF82A"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F82B"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DF83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82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Interest and other, net:</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82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82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83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83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83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83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83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3D72E7" w14:paraId="619DF84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83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Investment income, primarily interest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83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83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83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83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83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83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83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83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83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84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84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84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84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84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845" w14:textId="77777777" w:rsidR="003D72E7" w:rsidRDefault="003D72E7">
            <w:pPr>
              <w:widowControl/>
              <w:jc w:val="right"/>
              <w:rPr>
                <w:rFonts w:ascii="Times New Roman" w:eastAsia="宋体" w:hAnsi="宋体" w:cs="宋体"/>
                <w:kern w:val="0"/>
                <w:sz w:val="24"/>
              </w:rPr>
            </w:pPr>
          </w:p>
        </w:tc>
      </w:tr>
      <w:tr w:rsidR="003D72E7" w14:paraId="619DF85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84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Gain on investments,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84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84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84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84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84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84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84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84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85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85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852" w14:textId="77777777" w:rsidR="003D72E7" w:rsidRDefault="003D72E7">
            <w:pPr>
              <w:widowControl/>
              <w:jc w:val="right"/>
              <w:rPr>
                <w:rFonts w:ascii="Times New Roman" w:eastAsia="宋体" w:hAnsi="宋体" w:cs="宋体"/>
                <w:kern w:val="0"/>
                <w:sz w:val="24"/>
              </w:rPr>
            </w:pPr>
          </w:p>
        </w:tc>
      </w:tr>
      <w:tr w:rsidR="003D72E7" w14:paraId="619DF86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85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85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85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85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85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85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85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85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85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85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85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85F" w14:textId="77777777" w:rsidR="003D72E7" w:rsidRDefault="003D72E7">
            <w:pPr>
              <w:widowControl/>
              <w:jc w:val="right"/>
              <w:rPr>
                <w:rFonts w:ascii="Times New Roman" w:eastAsia="宋体" w:hAnsi="宋体" w:cs="宋体"/>
                <w:kern w:val="0"/>
                <w:sz w:val="24"/>
              </w:rPr>
            </w:pPr>
          </w:p>
        </w:tc>
      </w:tr>
      <w:tr w:rsidR="003D72E7" w14:paraId="619DF86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86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86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86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86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86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86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86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86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86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86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86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86C" w14:textId="77777777" w:rsidR="003D72E7" w:rsidRDefault="003D72E7">
            <w:pPr>
              <w:widowControl/>
              <w:jc w:val="right"/>
              <w:rPr>
                <w:rFonts w:ascii="Times New Roman" w:eastAsia="宋体" w:hAnsi="宋体" w:cs="宋体"/>
                <w:kern w:val="0"/>
                <w:sz w:val="24"/>
              </w:rPr>
            </w:pPr>
          </w:p>
        </w:tc>
      </w:tr>
      <w:tr w:rsidR="003D72E7" w14:paraId="619DF87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86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86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87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87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87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87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87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87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87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87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87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879" w14:textId="77777777" w:rsidR="003D72E7" w:rsidRDefault="003D72E7">
            <w:pPr>
              <w:widowControl/>
              <w:jc w:val="right"/>
              <w:rPr>
                <w:rFonts w:ascii="Times New Roman" w:eastAsia="宋体" w:hAnsi="宋体" w:cs="宋体"/>
                <w:kern w:val="0"/>
                <w:sz w:val="24"/>
              </w:rPr>
            </w:pPr>
          </w:p>
        </w:tc>
      </w:tr>
      <w:tr w:rsidR="003D72E7" w14:paraId="619DF88B"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F87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interest and other, net</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87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87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87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87F"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88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88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88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88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88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88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88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88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DF88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DF88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DF88A" w14:textId="77777777" w:rsidR="003D72E7" w:rsidRDefault="003D72E7">
            <w:pPr>
              <w:widowControl/>
              <w:jc w:val="right"/>
              <w:rPr>
                <w:rFonts w:ascii="Times New Roman" w:eastAsia="宋体" w:hAnsi="宋体" w:cs="宋体"/>
                <w:kern w:val="0"/>
                <w:sz w:val="24"/>
              </w:rPr>
            </w:pPr>
          </w:p>
        </w:tc>
      </w:tr>
    </w:tbl>
    <w:p w14:paraId="619DF88C" w14:textId="77777777" w:rsidR="003D72E7" w:rsidRDefault="00AD6774">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8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88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57</w:t>
      </w:r>
    </w:p>
    <w:p w14:paraId="619DF88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890" w14:textId="77777777" w:rsidR="003D72E7" w:rsidRDefault="00AD6774">
      <w:pPr>
        <w:widowControl/>
        <w:jc w:val="center"/>
      </w:pPr>
      <w:r>
        <w:rPr>
          <w:rFonts w:ascii="宋体" w:eastAsia="宋体" w:hAnsi="宋体" w:cs="宋体"/>
          <w:kern w:val="0"/>
          <w:sz w:val="24"/>
        </w:rPr>
        <w:pict w14:anchorId="619E0DA4">
          <v:rect id="_x0000_i1081" style="width:6in;height:1.5pt" o:hralign="center" o:hrstd="t" o:hr="t" fillcolor="#a0a0a0" stroked="f"/>
        </w:pict>
      </w:r>
    </w:p>
    <w:p w14:paraId="619DF891"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89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DELL TECHNOLOGIES INC.</w:t>
      </w:r>
    </w:p>
    <w:p w14:paraId="619DF89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 xml:space="preserve">NOTES TO THE CONDENSED CONSOLIDATED FINANCIAL STATEMENTS </w:t>
      </w:r>
      <w:r>
        <w:rPr>
          <w:rFonts w:ascii="Times New Roman" w:eastAsia="宋体" w:hAnsi="Times New Roman" w:cs="Times New Roman"/>
          <w:b/>
          <w:bCs/>
          <w:color w:val="000000"/>
          <w:kern w:val="0"/>
          <w:sz w:val="20"/>
          <w:szCs w:val="20"/>
          <w:shd w:val="clear" w:color="auto" w:fill="FFFFFF"/>
          <w:lang w:bidi="ar"/>
        </w:rPr>
        <w:t>(Continued)</w:t>
      </w:r>
    </w:p>
    <w:p w14:paraId="619DF89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(unaudited)</w:t>
      </w:r>
    </w:p>
    <w:p w14:paraId="619DF895"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89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NOTE 18 — SUBSEQUENT EVENTS </w:t>
      </w:r>
    </w:p>
    <w:p w14:paraId="619DF89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9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VMware, Inc. Unsecured Senior Notes - Public Debt Offering</w:t>
      </w:r>
    </w:p>
    <w:p w14:paraId="619DF89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9A"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On August 2, 2021, VMware, Inc. issued five series of unsecured senior notes pursuant to a public offering in the aggregate principal amount of $6.0 billion, consisting of outstanding principal due on the following dates: </w:t>
      </w:r>
    </w:p>
    <w:p w14:paraId="619DF89B" w14:textId="77777777" w:rsidR="003D72E7" w:rsidRDefault="00AD6774">
      <w:pPr>
        <w:widowControl/>
        <w:spacing w:before="120" w:after="60"/>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•$1.0 billion 0.60% Senior Note d</w:t>
      </w:r>
      <w:r>
        <w:rPr>
          <w:rFonts w:ascii="Times New Roman" w:eastAsia="宋体" w:hAnsi="Times New Roman" w:cs="Times New Roman"/>
          <w:color w:val="000000"/>
          <w:kern w:val="0"/>
          <w:sz w:val="20"/>
          <w:szCs w:val="20"/>
          <w:lang w:bidi="ar"/>
        </w:rPr>
        <w:t>ue August 15, 2023</w:t>
      </w:r>
    </w:p>
    <w:p w14:paraId="619DF89C" w14:textId="77777777" w:rsidR="003D72E7" w:rsidRDefault="00AD6774">
      <w:pPr>
        <w:widowControl/>
        <w:spacing w:after="60"/>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•$1.25 billion 1.00% Senior Note due August 15, 2024</w:t>
      </w:r>
    </w:p>
    <w:p w14:paraId="619DF89D" w14:textId="77777777" w:rsidR="003D72E7" w:rsidRDefault="00AD6774">
      <w:pPr>
        <w:widowControl/>
        <w:spacing w:after="60"/>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•$1.5 billion 1.40% Senior Note due August 15, 2026 </w:t>
      </w:r>
    </w:p>
    <w:p w14:paraId="619DF89E" w14:textId="77777777" w:rsidR="003D72E7" w:rsidRDefault="00AD6774">
      <w:pPr>
        <w:widowControl/>
        <w:spacing w:after="60"/>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•$750 million 1.80% Senior Note due August 15, 2028 </w:t>
      </w:r>
    </w:p>
    <w:p w14:paraId="619DF89F" w14:textId="77777777" w:rsidR="003D72E7" w:rsidRDefault="00AD6774">
      <w:pPr>
        <w:widowControl/>
        <w:spacing w:after="60"/>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•$1.5 billion 2.20% Senior Note due August 15, 2031 </w:t>
      </w:r>
    </w:p>
    <w:p w14:paraId="619DF8A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A1"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2021 VMware Notes are payable semi annually on February 15 and August 15 of each year, commencing on February 15, 2022. </w:t>
      </w:r>
    </w:p>
    <w:p w14:paraId="619DF8A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A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net proceeds from the 2021 VMware Notes are expected to be used by VMware, Inc. to fund a portion of the cash dividend payabl</w:t>
      </w:r>
      <w:r>
        <w:rPr>
          <w:rFonts w:ascii="Times New Roman" w:eastAsia="宋体" w:hAnsi="Times New Roman" w:cs="Times New Roman"/>
          <w:color w:val="000000"/>
          <w:kern w:val="0"/>
          <w:sz w:val="20"/>
          <w:szCs w:val="20"/>
          <w:lang w:bidi="ar"/>
        </w:rPr>
        <w:t>e in connection with the VMware Spin-off pursuant to the terms of the Separation and Distribution Agreement entered into on April 14, 2021 and, to the extent any proceeds remain, for general VMware, Inc. corporate purposes. None of the net proceeds of such</w:t>
      </w:r>
      <w:r>
        <w:rPr>
          <w:rFonts w:ascii="Times New Roman" w:eastAsia="宋体" w:hAnsi="Times New Roman" w:cs="Times New Roman"/>
          <w:color w:val="000000"/>
          <w:kern w:val="0"/>
          <w:sz w:val="20"/>
          <w:szCs w:val="20"/>
          <w:lang w:bidi="ar"/>
        </w:rPr>
        <w:t xml:space="preserve"> borrowings will be made available to support the operations or satisfy any corporate purposes of Dell Technologies, other than the operations and corporate purposes of VMware, Inc. and VMware, Inc.’s subsidiaries. See Note 1 of the Notes to the Condensed </w:t>
      </w:r>
      <w:r>
        <w:rPr>
          <w:rFonts w:ascii="Times New Roman" w:eastAsia="宋体" w:hAnsi="Times New Roman" w:cs="Times New Roman"/>
          <w:color w:val="000000"/>
          <w:kern w:val="0"/>
          <w:sz w:val="20"/>
          <w:szCs w:val="20"/>
          <w:lang w:bidi="ar"/>
        </w:rPr>
        <w:t xml:space="preserve">Consolidated Financial Statements included in this report for additional information related to the VMware Spin-off. </w:t>
      </w:r>
    </w:p>
    <w:p w14:paraId="619DF8A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A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VMware, Inc. Revolving Credit Facility and Term Loan Facilities</w:t>
      </w:r>
    </w:p>
    <w:p w14:paraId="619DF8A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A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On September 2, 2021, VMware, Inc. entered into an unsecured credit ag</w:t>
      </w:r>
      <w:r>
        <w:rPr>
          <w:rFonts w:ascii="Times New Roman" w:eastAsia="宋体" w:hAnsi="Times New Roman" w:cs="Times New Roman"/>
          <w:color w:val="000000"/>
          <w:kern w:val="0"/>
          <w:sz w:val="20"/>
          <w:szCs w:val="20"/>
          <w:lang w:bidi="ar"/>
        </w:rPr>
        <w:t xml:space="preserve">reement establishing a revolving credit facility with a syndicate of lenders that provides VMware, Inc. with a borrowing capacity of up to $1.5 billion for general corporate purposes (the “2021 VMware Revolving Credit Facility”). The 2021 VMware Revolving </w:t>
      </w:r>
      <w:r>
        <w:rPr>
          <w:rFonts w:ascii="Times New Roman" w:eastAsia="宋体" w:hAnsi="Times New Roman" w:cs="Times New Roman"/>
          <w:color w:val="000000"/>
          <w:kern w:val="0"/>
          <w:sz w:val="20"/>
          <w:szCs w:val="20"/>
          <w:lang w:bidi="ar"/>
        </w:rPr>
        <w:t xml:space="preserve">Credit Facility will replace VMware, Inc.’s existing $1.0 billion revolving credit facility that is currently undrawn. </w:t>
      </w:r>
    </w:p>
    <w:p w14:paraId="619DF8A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A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addition, VMware, Inc. received commitments from financial institutions for a 3-year senior unsecured term loan facility and a 5-ye</w:t>
      </w:r>
      <w:r>
        <w:rPr>
          <w:rFonts w:ascii="Times New Roman" w:eastAsia="宋体" w:hAnsi="Times New Roman" w:cs="Times New Roman"/>
          <w:color w:val="000000"/>
          <w:kern w:val="0"/>
          <w:sz w:val="20"/>
          <w:szCs w:val="20"/>
          <w:lang w:bidi="ar"/>
        </w:rPr>
        <w:t>ar senior unsecured term loan facility that would provide VMware, Inc. with a borrowing capacity of up to $4.0 billion, which, if funded, may be used to finance a portion of the Special Dividend and for VMware, Inc. general corporate purposes. VMware, Inc.</w:t>
      </w:r>
      <w:r>
        <w:rPr>
          <w:rFonts w:ascii="Times New Roman" w:eastAsia="宋体" w:hAnsi="Times New Roman" w:cs="Times New Roman"/>
          <w:color w:val="000000"/>
          <w:kern w:val="0"/>
          <w:sz w:val="20"/>
          <w:szCs w:val="20"/>
          <w:lang w:bidi="ar"/>
        </w:rPr>
        <w:t xml:space="preserve"> may borrow against the term loan once up to its borrowing capacity of $4.0 billion until the earlier of (x) April 28, 2022 and (y) the date on which the Separation Agreement is terminated. None of the net proceeds of such borrowings will be made available</w:t>
      </w:r>
      <w:r>
        <w:rPr>
          <w:rFonts w:ascii="Times New Roman" w:eastAsia="宋体" w:hAnsi="Times New Roman" w:cs="Times New Roman"/>
          <w:color w:val="000000"/>
          <w:kern w:val="0"/>
          <w:sz w:val="20"/>
          <w:szCs w:val="20"/>
          <w:lang w:bidi="ar"/>
        </w:rPr>
        <w:t xml:space="preserve"> to support the operations or satisfy any corporate purposes of Dell Technologies, other than the operations and corporate purposes of VMware, Inc. and VMware, Inc.’s subsidiaries.</w:t>
      </w:r>
    </w:p>
    <w:p w14:paraId="619DF8A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A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Margin Loan Facility</w:t>
      </w:r>
    </w:p>
    <w:p w14:paraId="619DF8A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A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Subsequent to July 30, 2021, the Company </w:t>
      </w:r>
      <w:r>
        <w:rPr>
          <w:rFonts w:ascii="Times New Roman" w:eastAsia="宋体" w:hAnsi="Times New Roman" w:cs="Times New Roman"/>
          <w:color w:val="000000"/>
          <w:kern w:val="0"/>
          <w:sz w:val="20"/>
          <w:szCs w:val="20"/>
          <w:lang w:bidi="ar"/>
        </w:rPr>
        <w:t>repaid the remaining $1.0 billion principal amount of the Margin Loan Facility due April 2022. Upon repayment, the VMware, Inc. common stock pledged to secure the Margin Loan Facility was released as collateral in accordance with the associated Margin Loan</w:t>
      </w:r>
      <w:r>
        <w:rPr>
          <w:rFonts w:ascii="Times New Roman" w:eastAsia="宋体" w:hAnsi="Times New Roman" w:cs="Times New Roman"/>
          <w:color w:val="000000"/>
          <w:kern w:val="0"/>
          <w:sz w:val="20"/>
          <w:szCs w:val="20"/>
          <w:lang w:bidi="ar"/>
        </w:rPr>
        <w:t xml:space="preserve"> Facility agreement.</w:t>
      </w:r>
    </w:p>
    <w:p w14:paraId="619DF8A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A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Other than the matters identified above, there were no known events occurring after July 30, 2021 and up until the date of issuance of this report that would materially affect the information presented herein.</w:t>
      </w:r>
    </w:p>
    <w:p w14:paraId="619DF8B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B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B2"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8B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58</w:t>
      </w:r>
    </w:p>
    <w:p w14:paraId="619DF8B4"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8B5" w14:textId="77777777" w:rsidR="003D72E7" w:rsidRDefault="00AD6774">
      <w:pPr>
        <w:widowControl/>
        <w:jc w:val="center"/>
      </w:pPr>
      <w:r>
        <w:rPr>
          <w:rFonts w:ascii="宋体" w:eastAsia="宋体" w:hAnsi="宋体" w:cs="宋体"/>
          <w:kern w:val="0"/>
          <w:sz w:val="24"/>
        </w:rPr>
        <w:pict w14:anchorId="619E0DA5">
          <v:rect id="_x0000_i1082" style="width:6in;height:1.5pt" o:hralign="center" o:hrstd="t" o:hr="t" fillcolor="#a0a0a0" stroked="f"/>
        </w:pict>
      </w:r>
    </w:p>
    <w:p w14:paraId="619DF8B6"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8B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ITEM 2 </w:t>
      </w:r>
      <w:r>
        <w:rPr>
          <w:rFonts w:ascii="Times New Roman" w:eastAsia="宋体" w:hAnsi="Times New Roman" w:cs="Times New Roman"/>
          <w:b/>
          <w:bCs/>
          <w:i/>
          <w:iCs/>
          <w:color w:val="000000"/>
          <w:kern w:val="0"/>
          <w:sz w:val="20"/>
          <w:szCs w:val="20"/>
          <w:lang w:bidi="ar"/>
        </w:rPr>
        <w:t xml:space="preserve">— </w:t>
      </w:r>
      <w:r>
        <w:rPr>
          <w:rFonts w:ascii="Times New Roman" w:eastAsia="宋体" w:hAnsi="Times New Roman" w:cs="Times New Roman"/>
          <w:b/>
          <w:bCs/>
          <w:color w:val="000000"/>
          <w:kern w:val="0"/>
          <w:sz w:val="20"/>
          <w:szCs w:val="20"/>
          <w:lang w:bidi="ar"/>
        </w:rPr>
        <w:t>MANAGEMENT’S DISCUSSION AND ANALYSIS OF FINANCIAL CONDITION AND RESULTS OF OPERATIONS</w:t>
      </w:r>
    </w:p>
    <w:p w14:paraId="619DF8B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B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This management’s discussion and analysis should be read in conjunction with the </w:t>
      </w:r>
      <w:r>
        <w:rPr>
          <w:rFonts w:ascii="Times New Roman" w:eastAsia="宋体" w:hAnsi="Times New Roman" w:cs="Times New Roman"/>
          <w:b/>
          <w:bCs/>
          <w:i/>
          <w:iCs/>
          <w:color w:val="000000"/>
          <w:kern w:val="0"/>
          <w:sz w:val="20"/>
          <w:szCs w:val="20"/>
          <w:lang w:bidi="ar"/>
        </w:rPr>
        <w:t>audited Consolidated Financial Statements and accompanying Notes included in the Company’s annual report on Form 10-K for the fiscal year ended January 29, 2021 and the unaudited Condensed Consolidated Financial Statements included in this report. In addit</w:t>
      </w:r>
      <w:r>
        <w:rPr>
          <w:rFonts w:ascii="Times New Roman" w:eastAsia="宋体" w:hAnsi="Times New Roman" w:cs="Times New Roman"/>
          <w:b/>
          <w:bCs/>
          <w:i/>
          <w:iCs/>
          <w:color w:val="000000"/>
          <w:kern w:val="0"/>
          <w:sz w:val="20"/>
          <w:szCs w:val="20"/>
          <w:lang w:bidi="ar"/>
        </w:rPr>
        <w:t>ion to historical financial information, the following discussion contains forward-looking statements that reflect our plans, estimates, and beliefs, and that are subject to numerous risks and uncertainties. Our actual results may differ materially from th</w:t>
      </w:r>
      <w:r>
        <w:rPr>
          <w:rFonts w:ascii="Times New Roman" w:eastAsia="宋体" w:hAnsi="Times New Roman" w:cs="Times New Roman"/>
          <w:b/>
          <w:bCs/>
          <w:i/>
          <w:iCs/>
          <w:color w:val="000000"/>
          <w:kern w:val="0"/>
          <w:sz w:val="20"/>
          <w:szCs w:val="20"/>
          <w:lang w:bidi="ar"/>
        </w:rPr>
        <w:t>ose expressed or implied in any forward-looking statements.</w:t>
      </w:r>
    </w:p>
    <w:p w14:paraId="619DF8B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B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Unless otherwise indicated, all results presented are prepared in a manner that complies, in all material respects, with generally accepted accounting principles in the United States of America </w:t>
      </w:r>
      <w:r>
        <w:rPr>
          <w:rFonts w:ascii="Times New Roman" w:eastAsia="宋体" w:hAnsi="Times New Roman" w:cs="Times New Roman"/>
          <w:b/>
          <w:bCs/>
          <w:i/>
          <w:iCs/>
          <w:color w:val="000000"/>
          <w:kern w:val="0"/>
          <w:sz w:val="20"/>
          <w:szCs w:val="20"/>
          <w:lang w:bidi="ar"/>
        </w:rPr>
        <w:t>(“GAAP”). Additionally, unless otherwise indicated, all changes identified for the current-period results represent comparisons to results for the prior corresponding fiscal period.</w:t>
      </w:r>
    </w:p>
    <w:p w14:paraId="619DF8B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B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Unless the context indicates otherwise, references in this report to </w:t>
      </w:r>
      <w:r>
        <w:rPr>
          <w:rFonts w:ascii="Times New Roman" w:eastAsia="宋体" w:hAnsi="Times New Roman" w:cs="Times New Roman"/>
          <w:b/>
          <w:bCs/>
          <w:i/>
          <w:iCs/>
          <w:color w:val="000000"/>
          <w:kern w:val="0"/>
          <w:sz w:val="20"/>
          <w:szCs w:val="20"/>
          <w:lang w:bidi="ar"/>
        </w:rPr>
        <w:t>“we,” “us,” “our,” the “Company,” and “Dell Technologies” mean Dell Technologies Inc. and its consolidated subsidiaries, references to “Dell” mean Dell Inc. and Dell Inc.’s consolidated subsidiaries, and references to “EMC” mean EMC Corporation and EMC Cor</w:t>
      </w:r>
      <w:r>
        <w:rPr>
          <w:rFonts w:ascii="Times New Roman" w:eastAsia="宋体" w:hAnsi="Times New Roman" w:cs="Times New Roman"/>
          <w:b/>
          <w:bCs/>
          <w:i/>
          <w:iCs/>
          <w:color w:val="000000"/>
          <w:kern w:val="0"/>
          <w:sz w:val="20"/>
          <w:szCs w:val="20"/>
          <w:lang w:bidi="ar"/>
        </w:rPr>
        <w:t>poration’s consolidated subsidiaries.</w:t>
      </w:r>
    </w:p>
    <w:p w14:paraId="619DF8B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B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Our fiscal year is the 52- or 53-week period ending on the Friday nearest January 31. We refer to our fiscal year ending January 28, 2022 and our fiscal year ended January 29, 2021 as “Fiscal 2022” and “Fiscal 2021,”</w:t>
      </w:r>
      <w:r>
        <w:rPr>
          <w:rFonts w:ascii="Times New Roman" w:eastAsia="宋体" w:hAnsi="Times New Roman" w:cs="Times New Roman"/>
          <w:b/>
          <w:bCs/>
          <w:i/>
          <w:iCs/>
          <w:color w:val="000000"/>
          <w:kern w:val="0"/>
          <w:sz w:val="20"/>
          <w:szCs w:val="20"/>
          <w:lang w:bidi="ar"/>
        </w:rPr>
        <w:t xml:space="preserve"> respectively. Fiscal 2022 and Fiscal 2021 include 52 weeks. </w:t>
      </w:r>
    </w:p>
    <w:p w14:paraId="619DF8C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C1"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INTRODUCTION</w:t>
      </w:r>
    </w:p>
    <w:p w14:paraId="619DF8C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C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Dell Technologies helps organizations and individuals build their digital future and transform how they work, live, and play. We provide customers with the industry’s broadest a</w:t>
      </w:r>
      <w:r>
        <w:rPr>
          <w:rFonts w:ascii="Times New Roman" w:eastAsia="宋体" w:hAnsi="Times New Roman" w:cs="Times New Roman"/>
          <w:color w:val="000000"/>
          <w:kern w:val="0"/>
          <w:sz w:val="20"/>
          <w:szCs w:val="20"/>
          <w:lang w:bidi="ar"/>
        </w:rPr>
        <w:t>nd most innovative technology and services portfolio for the data era, spanning traditional infrastructure, emerging multi-cloud technologies, and essential technology needed in the “do anything from anywhere” economy. We continue to seamlessly deliver dif</w:t>
      </w:r>
      <w:r>
        <w:rPr>
          <w:rFonts w:ascii="Times New Roman" w:eastAsia="宋体" w:hAnsi="Times New Roman" w:cs="Times New Roman"/>
          <w:color w:val="000000"/>
          <w:kern w:val="0"/>
          <w:sz w:val="20"/>
          <w:szCs w:val="20"/>
          <w:lang w:bidi="ar"/>
        </w:rPr>
        <w:t xml:space="preserve">ferentiated and holistic IT solutions to our customers, which has driven significant revenue growth and share gains. </w:t>
      </w:r>
    </w:p>
    <w:p w14:paraId="619DF8C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C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Dell Technologies’ integrated solutions help customers modernize their IT infrastructure, manage and operate in a multi-cloud world, add</w:t>
      </w:r>
      <w:r>
        <w:rPr>
          <w:rFonts w:ascii="Times New Roman" w:eastAsia="宋体" w:hAnsi="Times New Roman" w:cs="Times New Roman"/>
          <w:color w:val="000000"/>
          <w:kern w:val="0"/>
          <w:sz w:val="20"/>
          <w:szCs w:val="20"/>
          <w:lang w:bidi="ar"/>
        </w:rPr>
        <w:t>ress workforce transformation, and provide critical solutions that keep people and organizations connected, which has proven even more important in this current time of disruption caused by the COVID-19 pandemic. We are helping customers accelerate their d</w:t>
      </w:r>
      <w:r>
        <w:rPr>
          <w:rFonts w:ascii="Times New Roman" w:eastAsia="宋体" w:hAnsi="Times New Roman" w:cs="Times New Roman"/>
          <w:color w:val="000000"/>
          <w:kern w:val="0"/>
          <w:sz w:val="20"/>
          <w:szCs w:val="20"/>
          <w:lang w:bidi="ar"/>
        </w:rPr>
        <w:t>igital transformations to improve and strengthen business and workforce productivity. With our extensive portfolio and our commitment to innovation, we offer secure, integrated solutions that extend from the edge to the core to the cloud, and we are at the</w:t>
      </w:r>
      <w:r>
        <w:rPr>
          <w:rFonts w:ascii="Times New Roman" w:eastAsia="宋体" w:hAnsi="Times New Roman" w:cs="Times New Roman"/>
          <w:color w:val="000000"/>
          <w:kern w:val="0"/>
          <w:sz w:val="20"/>
          <w:szCs w:val="20"/>
          <w:lang w:bidi="ar"/>
        </w:rPr>
        <w:t xml:space="preserve"> forefront of the software-defined and cloud native infrastructure era. As further evidence of our commitment to innovation, we are evolving and expanding our IT as-a-Service and cloud offerings through Apex, which will provide our customers with greater f</w:t>
      </w:r>
      <w:r>
        <w:rPr>
          <w:rFonts w:ascii="Times New Roman" w:eastAsia="宋体" w:hAnsi="Times New Roman" w:cs="Times New Roman"/>
          <w:color w:val="000000"/>
          <w:kern w:val="0"/>
          <w:sz w:val="20"/>
          <w:szCs w:val="20"/>
          <w:lang w:bidi="ar"/>
        </w:rPr>
        <w:t xml:space="preserve">lexibility to scale IT to meet their evolving business needs and budgets. In May 2021, we announced new offerings within our Apex portfolio. </w:t>
      </w:r>
    </w:p>
    <w:p w14:paraId="619DF8C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C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Dell Technologies’ end-to-end portfolio is supported by a world-class organization with unmatched size and scale</w:t>
      </w:r>
      <w:r>
        <w:rPr>
          <w:rFonts w:ascii="Times New Roman" w:eastAsia="宋体" w:hAnsi="Times New Roman" w:cs="Times New Roman"/>
          <w:color w:val="000000"/>
          <w:kern w:val="0"/>
          <w:sz w:val="20"/>
          <w:szCs w:val="20"/>
          <w:lang w:bidi="ar"/>
        </w:rPr>
        <w:t>. We operate globally in 180 countries across key functional areas, including technology and product development, marketing, sales, financial services, and global services. Our go-to-market engine includes a 39,000-person sales force and a global network o</w:t>
      </w:r>
      <w:r>
        <w:rPr>
          <w:rFonts w:ascii="Times New Roman" w:eastAsia="宋体" w:hAnsi="Times New Roman" w:cs="Times New Roman"/>
          <w:color w:val="000000"/>
          <w:kern w:val="0"/>
          <w:sz w:val="20"/>
          <w:szCs w:val="20"/>
          <w:lang w:bidi="ar"/>
        </w:rPr>
        <w:t>f over 200,000 channel partners. Dell Financial Services and its affiliates (“DFS”) offer customer payment flexibility and enable synergies across the business. We employ 34,000 full-time service and support professionals and maintain more than 2,400 vendo</w:t>
      </w:r>
      <w:r>
        <w:rPr>
          <w:rFonts w:ascii="Times New Roman" w:eastAsia="宋体" w:hAnsi="Times New Roman" w:cs="Times New Roman"/>
          <w:color w:val="000000"/>
          <w:kern w:val="0"/>
          <w:sz w:val="20"/>
          <w:szCs w:val="20"/>
          <w:lang w:bidi="ar"/>
        </w:rPr>
        <w:t>r-managed service centers. We manage a world-class supply chain that drives long-term growth and operating efficiencies, with approximately $70 billion in annual procurement expenditures and over 750 parts distribution centers. Together, these elements pro</w:t>
      </w:r>
      <w:r>
        <w:rPr>
          <w:rFonts w:ascii="Times New Roman" w:eastAsia="宋体" w:hAnsi="Times New Roman" w:cs="Times New Roman"/>
          <w:color w:val="000000"/>
          <w:kern w:val="0"/>
          <w:sz w:val="20"/>
          <w:szCs w:val="20"/>
          <w:lang w:bidi="ar"/>
        </w:rPr>
        <w:t>vide a critical foundation for our success, enabling us to offer unparalleled capability to our customers and making us the integrator of choice.</w:t>
      </w:r>
    </w:p>
    <w:p w14:paraId="619DF8C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C9"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8CA"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59</w:t>
      </w:r>
    </w:p>
    <w:p w14:paraId="619DF8C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8CC" w14:textId="77777777" w:rsidR="003D72E7" w:rsidRDefault="00AD6774">
      <w:pPr>
        <w:widowControl/>
        <w:jc w:val="center"/>
      </w:pPr>
      <w:r>
        <w:rPr>
          <w:rFonts w:ascii="宋体" w:eastAsia="宋体" w:hAnsi="宋体" w:cs="宋体"/>
          <w:kern w:val="0"/>
          <w:sz w:val="24"/>
        </w:rPr>
        <w:pict w14:anchorId="619E0DA6">
          <v:rect id="_x0000_i1083" style="width:6in;height:1.5pt" o:hralign="center" o:hrstd="t" o:hr="t" fillcolor="#a0a0a0" stroked="f"/>
        </w:pict>
      </w:r>
    </w:p>
    <w:p w14:paraId="619DF8CD"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8C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Dell Technologies Vision and Innovation</w:t>
      </w:r>
      <w:r>
        <w:rPr>
          <w:rFonts w:ascii="Times New Roman" w:eastAsia="宋体" w:hAnsi="Times New Roman" w:cs="Times New Roman"/>
          <w:color w:val="000000"/>
          <w:kern w:val="0"/>
          <w:sz w:val="20"/>
          <w:szCs w:val="20"/>
          <w:lang w:bidi="ar"/>
        </w:rPr>
        <w:t xml:space="preserve"> — Our vision is to be the essential technology company for the data era and a leader in end-user computing, software-defined data center so</w:t>
      </w:r>
      <w:r>
        <w:rPr>
          <w:rFonts w:ascii="Times New Roman" w:eastAsia="宋体" w:hAnsi="Times New Roman" w:cs="Times New Roman"/>
          <w:color w:val="000000"/>
          <w:kern w:val="0"/>
          <w:sz w:val="20"/>
          <w:szCs w:val="20"/>
          <w:lang w:bidi="ar"/>
        </w:rPr>
        <w:t>lutions, data management, virtualization, edge computing, and cloud software. We believe that our results will benefit from an integrated go-to-market strategy, including enhanced coordination across all segments of our business, and from our differentiate</w:t>
      </w:r>
      <w:r>
        <w:rPr>
          <w:rFonts w:ascii="Times New Roman" w:eastAsia="宋体" w:hAnsi="Times New Roman" w:cs="Times New Roman"/>
          <w:color w:val="000000"/>
          <w:kern w:val="0"/>
          <w:sz w:val="20"/>
          <w:szCs w:val="20"/>
          <w:lang w:bidi="ar"/>
        </w:rPr>
        <w:t>d products and solutions capabilities. We intend to continue to execute on our business model and seek to balance liquidity, profitability, and growth to position our company for long-term success.</w:t>
      </w:r>
    </w:p>
    <w:p w14:paraId="619DF8C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D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are seeing an accelerated rate of change in the IT in</w:t>
      </w:r>
      <w:r>
        <w:rPr>
          <w:rFonts w:ascii="Times New Roman" w:eastAsia="宋体" w:hAnsi="Times New Roman" w:cs="Times New Roman"/>
          <w:color w:val="000000"/>
          <w:kern w:val="0"/>
          <w:sz w:val="20"/>
          <w:szCs w:val="20"/>
          <w:lang w:bidi="ar"/>
        </w:rPr>
        <w:t>dustry. We seek to address our customers’ evolving needs and their broader digital transformation objectives as they embrace the hybrid multi-cloud environment of today. For many customers, a top digital priority is to build stable and resilient remote ope</w:t>
      </w:r>
      <w:r>
        <w:rPr>
          <w:rFonts w:ascii="Times New Roman" w:eastAsia="宋体" w:hAnsi="Times New Roman" w:cs="Times New Roman"/>
          <w:color w:val="000000"/>
          <w:kern w:val="0"/>
          <w:sz w:val="20"/>
          <w:szCs w:val="20"/>
          <w:lang w:bidi="ar"/>
        </w:rPr>
        <w:t>rational capabilities. We are seeing demand for simpler, more agile IT across multiple clouds. The pandemic accelerated the introduction and adoption of new technologies to ensure productivity and collaboration from anywhere. In light of this rapid pace of</w:t>
      </w:r>
      <w:r>
        <w:rPr>
          <w:rFonts w:ascii="Times New Roman" w:eastAsia="宋体" w:hAnsi="Times New Roman" w:cs="Times New Roman"/>
          <w:color w:val="000000"/>
          <w:kern w:val="0"/>
          <w:sz w:val="20"/>
          <w:szCs w:val="20"/>
          <w:lang w:bidi="ar"/>
        </w:rPr>
        <w:t xml:space="preserve"> innovation, we continue to invest in research and development, sales, and other key areas of our business to deliver superior products and solutions capabilities and to drive long-term sustainable growth.</w:t>
      </w:r>
    </w:p>
    <w:p w14:paraId="619DF8D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D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Spin-off of VMware, Inc.</w:t>
      </w:r>
    </w:p>
    <w:p w14:paraId="619DF8D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D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On April 14, 2021, De</w:t>
      </w:r>
      <w:r>
        <w:rPr>
          <w:rFonts w:ascii="Times New Roman" w:eastAsia="宋体" w:hAnsi="Times New Roman" w:cs="Times New Roman"/>
          <w:color w:val="000000"/>
          <w:kern w:val="0"/>
          <w:sz w:val="20"/>
          <w:szCs w:val="20"/>
          <w:lang w:bidi="ar"/>
        </w:rPr>
        <w:t>ll Technologies entered into a Separation and Distribution Agreement with VMware, Inc, in which Dell Technologies owns a majority equity stake. Subject to the terms and conditions set forth in the Separation and Distribution Agreement, the businesses of VM</w:t>
      </w:r>
      <w:r>
        <w:rPr>
          <w:rFonts w:ascii="Times New Roman" w:eastAsia="宋体" w:hAnsi="Times New Roman" w:cs="Times New Roman"/>
          <w:color w:val="000000"/>
          <w:kern w:val="0"/>
          <w:sz w:val="20"/>
          <w:szCs w:val="20"/>
          <w:lang w:bidi="ar"/>
        </w:rPr>
        <w:t>ware, Inc. will be separated from the remaining businesses of Dell Technologies through a series of transactions that will result in the pre-transaction stockholders of Dell Technologies owning shares in two separate public companies: (1) VMware, Inc., whi</w:t>
      </w:r>
      <w:r>
        <w:rPr>
          <w:rFonts w:ascii="Times New Roman" w:eastAsia="宋体" w:hAnsi="Times New Roman" w:cs="Times New Roman"/>
          <w:color w:val="000000"/>
          <w:kern w:val="0"/>
          <w:sz w:val="20"/>
          <w:szCs w:val="20"/>
          <w:lang w:bidi="ar"/>
        </w:rPr>
        <w:t>ch will own the businesses of VMware, Inc. and its subsidiaries, and (2) Dell Technologies, which will own Dell Technologies’ other businesses and subsidiaries (the “VMware Spin-off”).</w:t>
      </w:r>
    </w:p>
    <w:p w14:paraId="619DF8D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D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VMware, Inc. will pay a cash dividend, pro rata, to each of the holde</w:t>
      </w:r>
      <w:r>
        <w:rPr>
          <w:rFonts w:ascii="Times New Roman" w:eastAsia="宋体" w:hAnsi="Times New Roman" w:cs="Times New Roman"/>
          <w:color w:val="000000"/>
          <w:kern w:val="0"/>
          <w:sz w:val="20"/>
          <w:szCs w:val="20"/>
          <w:lang w:bidi="ar"/>
        </w:rPr>
        <w:t>rs of VMware, Inc. common stock in an aggregate amount equal to an amount to be mutually agreed by the Company and VMware, Inc. between $11.5 billion and $12.0 billion, subject to the satisfaction of certain conditions of payment. Immediately following suc</w:t>
      </w:r>
      <w:r>
        <w:rPr>
          <w:rFonts w:ascii="Times New Roman" w:eastAsia="宋体" w:hAnsi="Times New Roman" w:cs="Times New Roman"/>
          <w:color w:val="000000"/>
          <w:kern w:val="0"/>
          <w:sz w:val="20"/>
          <w:szCs w:val="20"/>
          <w:lang w:bidi="ar"/>
        </w:rPr>
        <w:t>h payment, the separation of VMware, Inc. from the Company will occur, including through the termination or settlement of certain intercompany accounts and intercompany contracts and the other transactions. Upon the closing of the transaction, Dell Technol</w:t>
      </w:r>
      <w:r>
        <w:rPr>
          <w:rFonts w:ascii="Times New Roman" w:eastAsia="宋体" w:hAnsi="Times New Roman" w:cs="Times New Roman"/>
          <w:color w:val="000000"/>
          <w:kern w:val="0"/>
          <w:sz w:val="20"/>
          <w:szCs w:val="20"/>
          <w:lang w:bidi="ar"/>
        </w:rPr>
        <w:t>ogies intends to use net proceeds from its pro rata share of the cash dividend to repay debt.</w:t>
      </w:r>
    </w:p>
    <w:p w14:paraId="619DF8D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D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transaction is expected to close during the fourth quarter of calendar year 2021, subject to certain closing conditions, including receipt of a </w:t>
      </w:r>
      <w:r>
        <w:rPr>
          <w:rFonts w:ascii="Times New Roman" w:eastAsia="宋体" w:hAnsi="Times New Roman" w:cs="Times New Roman"/>
          <w:color w:val="000000"/>
          <w:kern w:val="0"/>
          <w:sz w:val="20"/>
          <w:szCs w:val="20"/>
          <w:lang w:bidi="ar"/>
        </w:rPr>
        <w:t>favorable private letter ruling from the Internal Revenue Service that the transaction will qualify as tax-free for Dell Technologies stockholders for U.S. federal income tax purposes. Either Dell Technologies or VMware, Inc. may terminate the Separation a</w:t>
      </w:r>
      <w:r>
        <w:rPr>
          <w:rFonts w:ascii="Times New Roman" w:eastAsia="宋体" w:hAnsi="Times New Roman" w:cs="Times New Roman"/>
          <w:color w:val="000000"/>
          <w:kern w:val="0"/>
          <w:sz w:val="20"/>
          <w:szCs w:val="20"/>
          <w:lang w:bidi="ar"/>
        </w:rPr>
        <w:t>nd Distribution Agreement if the VMware Spin-off is not completed on or before January 28, 2022, among other termination rights.</w:t>
      </w:r>
    </w:p>
    <w:p w14:paraId="619DF8D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D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connection with and upon consummation of the VMware Spin-off, Dell Technologies and VMware, Inc. will enter into a </w:t>
      </w:r>
      <w:r>
        <w:rPr>
          <w:rFonts w:ascii="Times New Roman" w:eastAsia="宋体" w:hAnsi="Times New Roman" w:cs="Times New Roman"/>
          <w:color w:val="000000"/>
          <w:kern w:val="0"/>
          <w:sz w:val="20"/>
          <w:szCs w:val="20"/>
          <w:lang w:bidi="ar"/>
        </w:rPr>
        <w:t>Commercial Framework Agreement (the “CFA”). The CFA will provide a framework under which Dell Technologies and VMware, Inc. can continue their strategic commercial relationship after the transaction. The CFA will have an initial term of five years, with au</w:t>
      </w:r>
      <w:r>
        <w:rPr>
          <w:rFonts w:ascii="Times New Roman" w:eastAsia="宋体" w:hAnsi="Times New Roman" w:cs="Times New Roman"/>
          <w:color w:val="000000"/>
          <w:kern w:val="0"/>
          <w:sz w:val="20"/>
          <w:szCs w:val="20"/>
          <w:lang w:bidi="ar"/>
        </w:rPr>
        <w:t>tomatic one-year renewals occurring annually thereafter, subject to certain terms and conditions.</w:t>
      </w:r>
    </w:p>
    <w:p w14:paraId="619DF8D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D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transaction announcement did not have any impact on Dell Technologies’ Condensed Consolidated Financial Statements or segment reporting. Dell Technologi</w:t>
      </w:r>
      <w:r>
        <w:rPr>
          <w:rFonts w:ascii="Times New Roman" w:eastAsia="宋体" w:hAnsi="Times New Roman" w:cs="Times New Roman"/>
          <w:color w:val="000000"/>
          <w:kern w:val="0"/>
          <w:sz w:val="20"/>
          <w:szCs w:val="20"/>
          <w:lang w:bidi="ar"/>
        </w:rPr>
        <w:t>es will report VMware results as discontinued operations upon the closing of the transaction.</w:t>
      </w:r>
    </w:p>
    <w:p w14:paraId="619DF8D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D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Products and Services</w:t>
      </w:r>
    </w:p>
    <w:p w14:paraId="619DF8D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E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design, develop, manufacture, market, sell, and support a wide range of comprehensive and integrated solutions, products, and service</w:t>
      </w:r>
      <w:r>
        <w:rPr>
          <w:rFonts w:ascii="Times New Roman" w:eastAsia="宋体" w:hAnsi="Times New Roman" w:cs="Times New Roman"/>
          <w:color w:val="000000"/>
          <w:kern w:val="0"/>
          <w:sz w:val="20"/>
          <w:szCs w:val="20"/>
          <w:lang w:bidi="ar"/>
        </w:rPr>
        <w:t xml:space="preserve">s. We are organized into the following business units, which are our reportable segments: Infrastructure Solutions Group; Client Solutions Group; and VMware. </w:t>
      </w:r>
    </w:p>
    <w:p w14:paraId="619DF8E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E2"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u w:val="single"/>
          <w:lang w:bidi="ar"/>
        </w:rPr>
        <w:t>Infrastructure Solutions Group (“ISG”)</w:t>
      </w:r>
      <w:r>
        <w:rPr>
          <w:rFonts w:ascii="Times New Roman" w:eastAsia="宋体" w:hAnsi="Times New Roman" w:cs="Times New Roman"/>
          <w:color w:val="000000"/>
          <w:kern w:val="0"/>
          <w:sz w:val="20"/>
          <w:szCs w:val="20"/>
          <w:lang w:bidi="ar"/>
        </w:rPr>
        <w:t xml:space="preserve"> — ISG enables the digital transformation of our custome</w:t>
      </w:r>
      <w:r>
        <w:rPr>
          <w:rFonts w:ascii="Times New Roman" w:eastAsia="宋体" w:hAnsi="Times New Roman" w:cs="Times New Roman"/>
          <w:color w:val="000000"/>
          <w:kern w:val="0"/>
          <w:sz w:val="20"/>
          <w:szCs w:val="20"/>
          <w:lang w:bidi="ar"/>
        </w:rPr>
        <w:t>rs through our trusted multi-cloud and big data solutions, which are built upon a modern data center infrastructure. ISG works with customers in the area of hybrid cloud deployment with the goal of simplifying, streamlining, and automating cloud operations</w:t>
      </w:r>
      <w:r>
        <w:rPr>
          <w:rFonts w:ascii="Times New Roman" w:eastAsia="宋体" w:hAnsi="Times New Roman" w:cs="Times New Roman"/>
          <w:color w:val="000000"/>
          <w:kern w:val="0"/>
          <w:sz w:val="20"/>
          <w:szCs w:val="20"/>
          <w:lang w:bidi="ar"/>
        </w:rPr>
        <w:t xml:space="preserve">. ISG solutions are built for multi-cloud environments and are optimized to run cloud native workloads in both public and private clouds, as well as traditional on-premise workloads. </w:t>
      </w:r>
    </w:p>
    <w:p w14:paraId="619DF8E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8E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60</w:t>
      </w:r>
    </w:p>
    <w:p w14:paraId="619DF8E5"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8E6" w14:textId="77777777" w:rsidR="003D72E7" w:rsidRDefault="00AD6774">
      <w:pPr>
        <w:widowControl/>
        <w:jc w:val="center"/>
      </w:pPr>
      <w:r>
        <w:rPr>
          <w:rFonts w:ascii="宋体" w:eastAsia="宋体" w:hAnsi="宋体" w:cs="宋体"/>
          <w:kern w:val="0"/>
          <w:sz w:val="24"/>
        </w:rPr>
        <w:pict w14:anchorId="619E0DA7">
          <v:rect id="_x0000_i1084" style="width:6in;height:1.5pt" o:hralign="center" o:hrstd="t" o:hr="t" fillcolor="#a0a0a0" stroked="f"/>
        </w:pict>
      </w:r>
    </w:p>
    <w:p w14:paraId="619DF8E7"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8E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E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comprehensive portfolio of advanced storage solutions includes traditional as well as next-generation storage solutions (such as all-flash arrays, scale-out file, object platforms, and software-defined solutions). We have simplif</w:t>
      </w:r>
      <w:r>
        <w:rPr>
          <w:rFonts w:ascii="Times New Roman" w:eastAsia="宋体" w:hAnsi="Times New Roman" w:cs="Times New Roman"/>
          <w:color w:val="000000"/>
          <w:kern w:val="0"/>
          <w:sz w:val="20"/>
          <w:szCs w:val="20"/>
          <w:lang w:bidi="ar"/>
        </w:rPr>
        <w:t>ied our storage portfolio to ensure that we deliver the technology needed for our customers’ digital transformation. We continue to make enhancements to our portfolio of storage solutions and expect that these enhancements will drive long-term improvements</w:t>
      </w:r>
      <w:r>
        <w:rPr>
          <w:rFonts w:ascii="Times New Roman" w:eastAsia="宋体" w:hAnsi="Times New Roman" w:cs="Times New Roman"/>
          <w:color w:val="000000"/>
          <w:kern w:val="0"/>
          <w:sz w:val="20"/>
          <w:szCs w:val="20"/>
          <w:lang w:bidi="ar"/>
        </w:rPr>
        <w:t xml:space="preserve"> in the business. In May 2020, we released our new PowerStore offering, a differentiated midrange storage solution that enables seamless updates using microservices and container-based software architecture. This new offering allows us to compete more effe</w:t>
      </w:r>
      <w:r>
        <w:rPr>
          <w:rFonts w:ascii="Times New Roman" w:eastAsia="宋体" w:hAnsi="Times New Roman" w:cs="Times New Roman"/>
          <w:color w:val="000000"/>
          <w:kern w:val="0"/>
          <w:sz w:val="20"/>
          <w:szCs w:val="20"/>
          <w:lang w:bidi="ar"/>
        </w:rPr>
        <w:t xml:space="preserve">ctively within midrange storage and, as a result, we are seeing early signs of improving revenue velocity. </w:t>
      </w:r>
    </w:p>
    <w:p w14:paraId="619DF8E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E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server portfolio includes high-performance rack, blade, tower, and hyperscale servers, optimized for artificial intelligence and machine learn</w:t>
      </w:r>
      <w:r>
        <w:rPr>
          <w:rFonts w:ascii="Times New Roman" w:eastAsia="宋体" w:hAnsi="Times New Roman" w:cs="Times New Roman"/>
          <w:color w:val="000000"/>
          <w:kern w:val="0"/>
          <w:sz w:val="20"/>
          <w:szCs w:val="20"/>
          <w:lang w:bidi="ar"/>
        </w:rPr>
        <w:t xml:space="preserve">ing workloads. Our networking portfolio helps our business customers transform and modernize their infrastructure, mobilize and enrich end-user experiences, and accelerate business applications and processes. </w:t>
      </w:r>
    </w:p>
    <w:p w14:paraId="619DF8E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E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strengths in server, storage, and virtua</w:t>
      </w:r>
      <w:r>
        <w:rPr>
          <w:rFonts w:ascii="Times New Roman" w:eastAsia="宋体" w:hAnsi="Times New Roman" w:cs="Times New Roman"/>
          <w:color w:val="000000"/>
          <w:kern w:val="0"/>
          <w:sz w:val="20"/>
          <w:szCs w:val="20"/>
          <w:lang w:bidi="ar"/>
        </w:rPr>
        <w:t>lization software solutions enable us to offer leading converged and hyper-converged solutions, allowing our customers to accelerate their IT transformation by acquiring scalable integrated IT solutions instead of building and assembling their own IT platf</w:t>
      </w:r>
      <w:r>
        <w:rPr>
          <w:rFonts w:ascii="Times New Roman" w:eastAsia="宋体" w:hAnsi="Times New Roman" w:cs="Times New Roman"/>
          <w:color w:val="000000"/>
          <w:kern w:val="0"/>
          <w:sz w:val="20"/>
          <w:szCs w:val="20"/>
          <w:lang w:bidi="ar"/>
        </w:rPr>
        <w:t>orms. ISG also offers attached software, peripherals, and services, including support and deployment, configuration, and extended warranty services.</w:t>
      </w:r>
    </w:p>
    <w:p w14:paraId="619DF8E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E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Approximately half of ISG revenue is generated by sales to customers in the Americas, with the remaining </w:t>
      </w:r>
      <w:r>
        <w:rPr>
          <w:rFonts w:ascii="Times New Roman" w:eastAsia="宋体" w:hAnsi="Times New Roman" w:cs="Times New Roman"/>
          <w:color w:val="000000"/>
          <w:kern w:val="0"/>
          <w:sz w:val="20"/>
          <w:szCs w:val="20"/>
          <w:lang w:bidi="ar"/>
        </w:rPr>
        <w:t>portion derived from sales to customers in the Europe, Middle East, and Africa region (“EMEA”) and the Asia-Pacific and Japan region (“APJ”).</w:t>
      </w:r>
    </w:p>
    <w:p w14:paraId="619DF8F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F1"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Client Solutions Group (“CSG”)</w:t>
      </w:r>
      <w:r>
        <w:rPr>
          <w:rFonts w:ascii="Times New Roman" w:eastAsia="宋体" w:hAnsi="Times New Roman" w:cs="Times New Roman"/>
          <w:color w:val="000000"/>
          <w:kern w:val="0"/>
          <w:sz w:val="20"/>
          <w:szCs w:val="20"/>
          <w:lang w:bidi="ar"/>
        </w:rPr>
        <w:t xml:space="preserve"> — CSG includes branded hardware (such as desktops, workstations, and notebooks) and branded peripherals (such as displays and projectors), as well as third-party software and peripherals. Our computing devices are designed with our commercial and consumer</w:t>
      </w:r>
      <w:r>
        <w:rPr>
          <w:rFonts w:ascii="Times New Roman" w:eastAsia="宋体" w:hAnsi="Times New Roman" w:cs="Times New Roman"/>
          <w:color w:val="000000"/>
          <w:kern w:val="0"/>
          <w:sz w:val="20"/>
          <w:szCs w:val="20"/>
          <w:lang w:bidi="ar"/>
        </w:rPr>
        <w:t xml:space="preserve"> customers’ needs in mind, and we seek to optimize performance, reliability, manageability, design, and security. In addition to our traditional hardware business, we have a portfolio of thin client offerings that we believe will allow us to benefit from t</w:t>
      </w:r>
      <w:r>
        <w:rPr>
          <w:rFonts w:ascii="Times New Roman" w:eastAsia="宋体" w:hAnsi="Times New Roman" w:cs="Times New Roman"/>
          <w:color w:val="000000"/>
          <w:kern w:val="0"/>
          <w:sz w:val="20"/>
          <w:szCs w:val="20"/>
          <w:lang w:bidi="ar"/>
        </w:rPr>
        <w:t>he growth trends in cloud computing. For our customers that are seeking to simplify client lifecycle management, our PC as-a-Service offering combines hardware, software, lifecycle services, and financing into one all-encompassing solution that provides pr</w:t>
      </w:r>
      <w:r>
        <w:rPr>
          <w:rFonts w:ascii="Times New Roman" w:eastAsia="宋体" w:hAnsi="Times New Roman" w:cs="Times New Roman"/>
          <w:color w:val="000000"/>
          <w:kern w:val="0"/>
          <w:sz w:val="20"/>
          <w:szCs w:val="20"/>
          <w:lang w:bidi="ar"/>
        </w:rPr>
        <w:t>edictable pricing per seat per month through Dell Financial Services. CSG also offers attached software, peripherals, and services, including support and deployment, configuration, and extended warranty services.</w:t>
      </w:r>
    </w:p>
    <w:p w14:paraId="619DF8F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F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Approximately half of CSG revenue is </w:t>
      </w:r>
      <w:r>
        <w:rPr>
          <w:rFonts w:ascii="Times New Roman" w:eastAsia="宋体" w:hAnsi="Times New Roman" w:cs="Times New Roman"/>
          <w:color w:val="000000"/>
          <w:kern w:val="0"/>
          <w:sz w:val="20"/>
          <w:szCs w:val="20"/>
          <w:lang w:bidi="ar"/>
        </w:rPr>
        <w:t>generated by sales to customers in the Americas, with the remaining portion derived from sales to customers in EMEA and APJ.</w:t>
      </w:r>
    </w:p>
    <w:p w14:paraId="619DF8F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F5"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VMware</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 The VMware reportable segment (“VMware”) reflects the operations of VMware, Inc. (NYSE: VMW) within Dell Technologies. </w:t>
      </w:r>
      <w:r>
        <w:rPr>
          <w:rFonts w:ascii="Times New Roman" w:eastAsia="宋体" w:hAnsi="Times New Roman" w:cs="Times New Roman"/>
          <w:color w:val="000000"/>
          <w:kern w:val="0"/>
          <w:sz w:val="20"/>
          <w:szCs w:val="20"/>
          <w:lang w:bidi="ar"/>
        </w:rPr>
        <w:t>VMware works with customers in the areas of hybrid and multi-cloud, virtual cloud networking, digital workspaces, modern applications, and intrinsic security, helping customers manage their IT resources across private clouds and complex multi-cloud, multi-</w:t>
      </w:r>
      <w:r>
        <w:rPr>
          <w:rFonts w:ascii="Times New Roman" w:eastAsia="宋体" w:hAnsi="Times New Roman" w:cs="Times New Roman"/>
          <w:color w:val="000000"/>
          <w:kern w:val="0"/>
          <w:sz w:val="20"/>
          <w:szCs w:val="20"/>
          <w:lang w:bidi="ar"/>
        </w:rPr>
        <w:t>device environments. VMware’s portfolio supports and addresses the key IT priorities of customers: accelerating their cloud journey, modernizing their applications, empowering digital workspaces, transforming networking, and embracing intrinsic security. V</w:t>
      </w:r>
      <w:r>
        <w:rPr>
          <w:rFonts w:ascii="Times New Roman" w:eastAsia="宋体" w:hAnsi="Times New Roman" w:cs="Times New Roman"/>
          <w:color w:val="000000"/>
          <w:kern w:val="0"/>
          <w:sz w:val="20"/>
          <w:szCs w:val="20"/>
          <w:lang w:bidi="ar"/>
        </w:rPr>
        <w:t>Mware enables its customers to digitally transform their operations as they ready their applications, infrastructure, and employees for constantly evolving business needs.</w:t>
      </w:r>
    </w:p>
    <w:p w14:paraId="619DF8F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F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Approximately half of VMware revenue is generated by sales to customers in the Uni</w:t>
      </w:r>
      <w:r>
        <w:rPr>
          <w:rFonts w:ascii="Times New Roman" w:eastAsia="宋体" w:hAnsi="Times New Roman" w:cs="Times New Roman"/>
          <w:color w:val="000000"/>
          <w:kern w:val="0"/>
          <w:sz w:val="20"/>
          <w:szCs w:val="20"/>
          <w:lang w:bidi="ar"/>
        </w:rPr>
        <w:t xml:space="preserve">ted States. </w:t>
      </w:r>
    </w:p>
    <w:p w14:paraId="619DF8F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F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other businesses, described below, consist of products and services offerings of Secureworks, Virtustream, and Boomi, each of which is majority-owned by Dell Technologies. These businesses are not classified as reportable segments, eithe</w:t>
      </w:r>
      <w:r>
        <w:rPr>
          <w:rFonts w:ascii="Times New Roman" w:eastAsia="宋体" w:hAnsi="Times New Roman" w:cs="Times New Roman"/>
          <w:color w:val="000000"/>
          <w:kern w:val="0"/>
          <w:sz w:val="20"/>
          <w:szCs w:val="20"/>
          <w:lang w:bidi="ar"/>
        </w:rPr>
        <w:t>r individually or collectively, as the results of the businesses are not material to our overall results and the businesses do not meet the criteria for reportable segments.</w:t>
      </w:r>
    </w:p>
    <w:p w14:paraId="619DF8F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8F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8FC"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61</w:t>
      </w:r>
    </w:p>
    <w:p w14:paraId="619DF8F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8FE" w14:textId="77777777" w:rsidR="003D72E7" w:rsidRDefault="00AD6774">
      <w:pPr>
        <w:widowControl/>
        <w:jc w:val="center"/>
      </w:pPr>
      <w:r>
        <w:rPr>
          <w:rFonts w:ascii="宋体" w:eastAsia="宋体" w:hAnsi="宋体" w:cs="宋体"/>
          <w:kern w:val="0"/>
          <w:sz w:val="24"/>
        </w:rPr>
        <w:pict w14:anchorId="619E0DA8">
          <v:rect id="_x0000_i1085" style="width:6in;height:1.5pt" o:hralign="center" o:hrstd="t" o:hr="t" fillcolor="#a0a0a0" stroked="f"/>
        </w:pict>
      </w:r>
    </w:p>
    <w:p w14:paraId="619DF8FF"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900"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Secureworks</w:t>
      </w:r>
      <w:r>
        <w:rPr>
          <w:rFonts w:ascii="Times New Roman" w:eastAsia="宋体" w:hAnsi="Times New Roman" w:cs="Times New Roman"/>
          <w:color w:val="000000"/>
          <w:kern w:val="0"/>
          <w:sz w:val="20"/>
          <w:szCs w:val="20"/>
          <w:lang w:bidi="ar"/>
        </w:rPr>
        <w:t xml:space="preserve"> (NASDAQ: SCWX) is a leading global provider of intelligence-driven information security solutions singularly focused on protecting its clients from cyber attacks. The solutions offered by Secureworks enable organizations of varying size and complexity to </w:t>
      </w:r>
      <w:r>
        <w:rPr>
          <w:rFonts w:ascii="Times New Roman" w:eastAsia="宋体" w:hAnsi="Times New Roman" w:cs="Times New Roman"/>
          <w:color w:val="000000"/>
          <w:kern w:val="0"/>
          <w:sz w:val="20"/>
          <w:szCs w:val="20"/>
          <w:lang w:bidi="ar"/>
        </w:rPr>
        <w:t>fortify their cyber defenses to prevent security breaches, detect malicious activity in near real time, prioritize and respond rapidly to security incidents, and predict emerging threats.</w:t>
      </w:r>
    </w:p>
    <w:p w14:paraId="619DF90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02"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Virtustream</w:t>
      </w:r>
      <w:r>
        <w:rPr>
          <w:rFonts w:ascii="Times New Roman" w:eastAsia="宋体" w:hAnsi="Times New Roman" w:cs="Times New Roman"/>
          <w:color w:val="000000"/>
          <w:kern w:val="0"/>
          <w:sz w:val="20"/>
          <w:szCs w:val="20"/>
          <w:lang w:bidi="ar"/>
        </w:rPr>
        <w:t xml:space="preserve"> offers cloud software and infrastructure-as-a-service</w:t>
      </w:r>
      <w:r>
        <w:rPr>
          <w:rFonts w:ascii="Times New Roman" w:eastAsia="宋体" w:hAnsi="Times New Roman" w:cs="Times New Roman"/>
          <w:color w:val="000000"/>
          <w:kern w:val="0"/>
          <w:sz w:val="20"/>
          <w:szCs w:val="20"/>
          <w:lang w:bidi="ar"/>
        </w:rPr>
        <w:t xml:space="preserve"> solutions that enable customers to migrate, run, and manage mission-critical applications in cloud-based IT environments.</w:t>
      </w:r>
    </w:p>
    <w:p w14:paraId="619DF90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04"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•Boomi</w:t>
      </w:r>
      <w:r>
        <w:rPr>
          <w:rFonts w:ascii="Times New Roman" w:eastAsia="宋体" w:hAnsi="Times New Roman" w:cs="Times New Roman"/>
          <w:color w:val="000000"/>
          <w:kern w:val="0"/>
          <w:sz w:val="20"/>
          <w:szCs w:val="20"/>
          <w:lang w:bidi="ar"/>
        </w:rPr>
        <w:t xml:space="preserve"> specializes in cloud-based integration, connecting information between existing on-premise and cloud-based applications to e</w:t>
      </w:r>
      <w:r>
        <w:rPr>
          <w:rFonts w:ascii="Times New Roman" w:eastAsia="宋体" w:hAnsi="Times New Roman" w:cs="Times New Roman"/>
          <w:color w:val="000000"/>
          <w:kern w:val="0"/>
          <w:sz w:val="20"/>
          <w:szCs w:val="20"/>
          <w:lang w:bidi="ar"/>
        </w:rPr>
        <w:t>nsure that business processes are optimized, data is accurate and workflow is reliable. In May 2021, we announced our entry into a definitive agreement with Francisco Partners and TPG Capital to sell Boomi and certain related assets from the Company in a c</w:t>
      </w:r>
      <w:r>
        <w:rPr>
          <w:rFonts w:ascii="Times New Roman" w:eastAsia="宋体" w:hAnsi="Times New Roman" w:cs="Times New Roman"/>
          <w:color w:val="000000"/>
          <w:kern w:val="0"/>
          <w:sz w:val="20"/>
          <w:szCs w:val="20"/>
          <w:lang w:bidi="ar"/>
        </w:rPr>
        <w:t>ash transaction valued at $4 billion, subject to certain closing adjustments. The transaction is expected to close in the third quarter of Fiscal 2022, subject to customary closing conditions. See Note 1 of the Notes to the Condensed Consolidated Financial</w:t>
      </w:r>
      <w:r>
        <w:rPr>
          <w:rFonts w:ascii="Times New Roman" w:eastAsia="宋体" w:hAnsi="Times New Roman" w:cs="Times New Roman"/>
          <w:color w:val="000000"/>
          <w:kern w:val="0"/>
          <w:sz w:val="20"/>
          <w:szCs w:val="20"/>
          <w:lang w:bidi="ar"/>
        </w:rPr>
        <w:t xml:space="preserve"> Statements included in this report for more information about this transaction.</w:t>
      </w:r>
    </w:p>
    <w:p w14:paraId="619DF90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0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On September 1, 2020, we completed the sale of RSA Security to a consortium of investors for total cash consideration of approximately $2.082 billion, resulting in a pre-tax</w:t>
      </w:r>
      <w:r>
        <w:rPr>
          <w:rFonts w:ascii="Times New Roman" w:eastAsia="宋体" w:hAnsi="Times New Roman" w:cs="Times New Roman"/>
          <w:color w:val="000000"/>
          <w:kern w:val="0"/>
          <w:sz w:val="20"/>
          <w:szCs w:val="20"/>
          <w:lang w:bidi="ar"/>
        </w:rPr>
        <w:t xml:space="preserve"> gain on sale of $338 million. The Company ultimately recorded a $21 million loss net of taxes. The transaction was intended to further simplify our product portfolio and corporate structure. Prior to the divestiture, RSA Security’s operating results were </w:t>
      </w:r>
      <w:r>
        <w:rPr>
          <w:rFonts w:ascii="Times New Roman" w:eastAsia="宋体" w:hAnsi="Times New Roman" w:cs="Times New Roman"/>
          <w:color w:val="000000"/>
          <w:kern w:val="0"/>
          <w:sz w:val="20"/>
          <w:szCs w:val="20"/>
          <w:lang w:bidi="ar"/>
        </w:rPr>
        <w:t>included within Other businesses. See Note 1 of the Notes to the Condensed Consolidated Financial Statements included in this report for more information about this transaction.</w:t>
      </w:r>
    </w:p>
    <w:p w14:paraId="619DF90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0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products and services offerings are continually evolving in response to </w:t>
      </w:r>
      <w:r>
        <w:rPr>
          <w:rFonts w:ascii="Times New Roman" w:eastAsia="宋体" w:hAnsi="Times New Roman" w:cs="Times New Roman"/>
          <w:color w:val="000000"/>
          <w:kern w:val="0"/>
          <w:sz w:val="20"/>
          <w:szCs w:val="20"/>
          <w:lang w:bidi="ar"/>
        </w:rPr>
        <w:t xml:space="preserve">industry dynamics. As a result, reclassifications of certain products and services solutions in major product categories may be required. For further discussion regarding our current reportable segments, see “Results of Operations — Business Unit Results” </w:t>
      </w:r>
      <w:r>
        <w:rPr>
          <w:rFonts w:ascii="Times New Roman" w:eastAsia="宋体" w:hAnsi="Times New Roman" w:cs="Times New Roman"/>
          <w:color w:val="000000"/>
          <w:kern w:val="0"/>
          <w:sz w:val="20"/>
          <w:szCs w:val="20"/>
          <w:lang w:bidi="ar"/>
        </w:rPr>
        <w:t>and Note 16 of the Notes to the Condensed Consolidated Financial Statements included in this report.</w:t>
      </w:r>
    </w:p>
    <w:p w14:paraId="619DF90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0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Financial Services</w:t>
      </w:r>
    </w:p>
    <w:p w14:paraId="619DF90B" w14:textId="77777777" w:rsidR="003D72E7" w:rsidRDefault="00AD6774">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0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DFS supports our businesses by offering and arranging various financing options and services for our customers </w:t>
      </w:r>
      <w:r>
        <w:rPr>
          <w:rFonts w:ascii="Times New Roman" w:eastAsia="宋体" w:hAnsi="Times New Roman" w:cs="Times New Roman"/>
          <w:color w:val="000000"/>
          <w:kern w:val="0"/>
          <w:sz w:val="20"/>
          <w:szCs w:val="20"/>
          <w:lang w:bidi="ar"/>
        </w:rPr>
        <w:t xml:space="preserve">primarily in North America, Europe, Australia, and New Zealand. DFS originates, collects, and services customer receivables primarily related to the purchase or use of our product, software, and service solutions. We also arrange financing for some of our </w:t>
      </w:r>
      <w:r>
        <w:rPr>
          <w:rFonts w:ascii="Times New Roman" w:eastAsia="宋体" w:hAnsi="Times New Roman" w:cs="Times New Roman"/>
          <w:color w:val="000000"/>
          <w:kern w:val="0"/>
          <w:sz w:val="20"/>
          <w:szCs w:val="20"/>
          <w:lang w:bidi="ar"/>
        </w:rPr>
        <w:t>customers in various countries where DFS does not currently operate as a captive enterprise. DFS further strengthens our customer relationships through its flexible consumption models, which enable us to offer our customers the option to pay over time and,</w:t>
      </w:r>
      <w:r>
        <w:rPr>
          <w:rFonts w:ascii="Times New Roman" w:eastAsia="宋体" w:hAnsi="Times New Roman" w:cs="Times New Roman"/>
          <w:color w:val="000000"/>
          <w:kern w:val="0"/>
          <w:sz w:val="20"/>
          <w:szCs w:val="20"/>
          <w:lang w:bidi="ar"/>
        </w:rPr>
        <w:t xml:space="preserve"> in certain cases, based on utilization, to provide them with financial flexibility to meet their changing technological requirements. The results of these operations are allocated to our segments based on the underlying product or service financed. For ad</w:t>
      </w:r>
      <w:r>
        <w:rPr>
          <w:rFonts w:ascii="Times New Roman" w:eastAsia="宋体" w:hAnsi="Times New Roman" w:cs="Times New Roman"/>
          <w:color w:val="000000"/>
          <w:kern w:val="0"/>
          <w:sz w:val="20"/>
          <w:szCs w:val="20"/>
          <w:lang w:bidi="ar"/>
        </w:rPr>
        <w:t>ditional information about our financing arrangements, see Note 3 of the Notes to the Condensed Consolidated Financial Statements included in this report.</w:t>
      </w:r>
    </w:p>
    <w:p w14:paraId="619DF90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0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Strategic Investments and Acquisitions</w:t>
      </w:r>
    </w:p>
    <w:p w14:paraId="619DF90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1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part of our strategy, we will continue to evaluate oppo</w:t>
      </w:r>
      <w:r>
        <w:rPr>
          <w:rFonts w:ascii="Times New Roman" w:eastAsia="宋体" w:hAnsi="Times New Roman" w:cs="Times New Roman"/>
          <w:color w:val="000000"/>
          <w:kern w:val="0"/>
          <w:sz w:val="20"/>
          <w:szCs w:val="20"/>
          <w:lang w:bidi="ar"/>
        </w:rPr>
        <w:t>rtunities for strategic investments through our venture capital investment arm, Dell Technologies Capital, with a focus on emerging technology areas that are relevant to all segments of our business and that will complement our existing portfolio of soluti</w:t>
      </w:r>
      <w:r>
        <w:rPr>
          <w:rFonts w:ascii="Times New Roman" w:eastAsia="宋体" w:hAnsi="Times New Roman" w:cs="Times New Roman"/>
          <w:color w:val="000000"/>
          <w:kern w:val="0"/>
          <w:sz w:val="20"/>
          <w:szCs w:val="20"/>
          <w:lang w:bidi="ar"/>
        </w:rPr>
        <w:t>ons. Our investment areas include storage, software-defined networking, management and orchestration, security, machine learning and artificial intelligence, Big Data and analytics, cloud, edge computing, and software development operations. As of July 30,</w:t>
      </w:r>
      <w:r>
        <w:rPr>
          <w:rFonts w:ascii="Times New Roman" w:eastAsia="宋体" w:hAnsi="Times New Roman" w:cs="Times New Roman"/>
          <w:color w:val="000000"/>
          <w:kern w:val="0"/>
          <w:sz w:val="20"/>
          <w:szCs w:val="20"/>
          <w:lang w:bidi="ar"/>
        </w:rPr>
        <w:t xml:space="preserve"> 2021 and January 29, 2021, Dell Technologies held strategic investments of $1.5 billion and $1.4 billion, respectively. In addition to these investments, we also may make disciplined acquisitions targeting businesses that advance our strategic objectives.</w:t>
      </w:r>
      <w:r>
        <w:rPr>
          <w:rFonts w:ascii="Times New Roman" w:eastAsia="宋体" w:hAnsi="Times New Roman" w:cs="Times New Roman"/>
          <w:color w:val="000000"/>
          <w:kern w:val="0"/>
          <w:sz w:val="20"/>
          <w:szCs w:val="20"/>
          <w:lang w:bidi="ar"/>
        </w:rPr>
        <w:t xml:space="preserve"> </w:t>
      </w:r>
    </w:p>
    <w:p w14:paraId="619DF91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1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Business Trends and Challenges</w:t>
      </w:r>
    </w:p>
    <w:p w14:paraId="619DF91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1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COVID-19 Pandemic and Response</w:t>
      </w:r>
      <w:r>
        <w:rPr>
          <w:rFonts w:ascii="Times New Roman" w:eastAsia="宋体" w:hAnsi="Times New Roman" w:cs="Times New Roman"/>
          <w:b/>
          <w:bCs/>
          <w:color w:val="000000"/>
          <w:kern w:val="0"/>
          <w:sz w:val="20"/>
          <w:szCs w:val="20"/>
          <w:lang w:bidi="ar"/>
        </w:rPr>
        <w:t xml:space="preserve"> </w:t>
      </w:r>
      <w:r>
        <w:rPr>
          <w:rFonts w:ascii="Times New Roman" w:eastAsia="宋体" w:hAnsi="Times New Roman" w:cs="Times New Roman"/>
          <w:color w:val="000000"/>
          <w:kern w:val="0"/>
          <w:sz w:val="20"/>
          <w:szCs w:val="20"/>
          <w:lang w:bidi="ar"/>
        </w:rPr>
        <w:t>— In March 2020, the World Health Organization (“WHO”) declared the outbreak of COVID-19 a pandemic. This declaration was followed by significant governmental measures implemented in the U</w:t>
      </w:r>
      <w:r>
        <w:rPr>
          <w:rFonts w:ascii="Times New Roman" w:eastAsia="宋体" w:hAnsi="Times New Roman" w:cs="Times New Roman"/>
          <w:color w:val="000000"/>
          <w:kern w:val="0"/>
          <w:sz w:val="20"/>
          <w:szCs w:val="20"/>
          <w:lang w:bidi="ar"/>
        </w:rPr>
        <w:t xml:space="preserve">nited States and globally, including travel bans and restrictions, shelter-in-place orders, limitations and closures of non-essential businesses, and social distancing requirements in efforts to slow down and control the spread of the virus. </w:t>
      </w:r>
    </w:p>
    <w:p w14:paraId="619DF91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16"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917"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62</w:t>
      </w:r>
    </w:p>
    <w:p w14:paraId="619DF918"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919" w14:textId="77777777" w:rsidR="003D72E7" w:rsidRDefault="00AD6774">
      <w:pPr>
        <w:widowControl/>
        <w:jc w:val="center"/>
      </w:pPr>
      <w:r>
        <w:rPr>
          <w:rFonts w:ascii="宋体" w:eastAsia="宋体" w:hAnsi="宋体" w:cs="宋体"/>
          <w:kern w:val="0"/>
          <w:sz w:val="24"/>
        </w:rPr>
        <w:pict w14:anchorId="619E0DA9">
          <v:rect id="_x0000_i1086" style="width:6in;height:1.5pt" o:hralign="center" o:hrstd="t" o:hr="t" fillcolor="#a0a0a0" stroked="f"/>
        </w:pict>
      </w:r>
    </w:p>
    <w:p w14:paraId="619DF91A"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91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health of our employees, customers, business partners, and communities remains our primary focus. During Fiscal 2021, we took numerous actions in response to COVID-19, </w:t>
      </w:r>
      <w:r>
        <w:rPr>
          <w:rFonts w:ascii="Times New Roman" w:eastAsia="宋体" w:hAnsi="Times New Roman" w:cs="Times New Roman"/>
          <w:color w:val="000000"/>
          <w:kern w:val="0"/>
          <w:sz w:val="20"/>
          <w:szCs w:val="20"/>
          <w:lang w:bidi="ar"/>
        </w:rPr>
        <w:t>including a swift implementation of our business continuity plans. Our crisis management team remains actively engaged to respond to changes in our environment quickly and effectively, and to ensure that our ongoing response activities are aligned with rec</w:t>
      </w:r>
      <w:r>
        <w:rPr>
          <w:rFonts w:ascii="Times New Roman" w:eastAsia="宋体" w:hAnsi="Times New Roman" w:cs="Times New Roman"/>
          <w:color w:val="000000"/>
          <w:kern w:val="0"/>
          <w:sz w:val="20"/>
          <w:szCs w:val="20"/>
          <w:lang w:bidi="ar"/>
        </w:rPr>
        <w:t>ommendations of the WHO and the U.S. Centers for Disease Control and Prevention, and with governmental regulations. We are adjusting restrictions previously implemented as new information becomes available, governmental regulations are updated, and vaccine</w:t>
      </w:r>
      <w:r>
        <w:rPr>
          <w:rFonts w:ascii="Times New Roman" w:eastAsia="宋体" w:hAnsi="Times New Roman" w:cs="Times New Roman"/>
          <w:color w:val="000000"/>
          <w:kern w:val="0"/>
          <w:sz w:val="20"/>
          <w:szCs w:val="20"/>
          <w:lang w:bidi="ar"/>
        </w:rPr>
        <w:t>s become more widely distributed. Most of our employees were previously equipped with remote work capabilities over the past several years, which enabled us to quickly establish a work-from-home posture for the majority of our employees. Further, we implem</w:t>
      </w:r>
      <w:r>
        <w:rPr>
          <w:rFonts w:ascii="Times New Roman" w:eastAsia="宋体" w:hAnsi="Times New Roman" w:cs="Times New Roman"/>
          <w:color w:val="000000"/>
          <w:kern w:val="0"/>
          <w:sz w:val="20"/>
          <w:szCs w:val="20"/>
          <w:lang w:bidi="ar"/>
        </w:rPr>
        <w:t xml:space="preserve">ented pandemic-specific protocols for our essential employees whose jobs require them to be on-site or with customers. We are deploying return-to-site processes in certain regions based on ongoing assessments of local conditions by our management team. We </w:t>
      </w:r>
      <w:r>
        <w:rPr>
          <w:rFonts w:ascii="Times New Roman" w:eastAsia="宋体" w:hAnsi="Times New Roman" w:cs="Times New Roman"/>
          <w:color w:val="000000"/>
          <w:kern w:val="0"/>
          <w:sz w:val="20"/>
          <w:szCs w:val="20"/>
          <w:lang w:bidi="ar"/>
        </w:rPr>
        <w:t>will continue to monitor regional conditions and utilize remote work practices to ensure the health and safety of our employees, customers, and business partners.</w:t>
      </w:r>
    </w:p>
    <w:p w14:paraId="619DF91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1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continue to work closely with our customers and business partners to support them as the</w:t>
      </w:r>
      <w:r>
        <w:rPr>
          <w:rFonts w:ascii="Times New Roman" w:eastAsia="宋体" w:hAnsi="Times New Roman" w:cs="Times New Roman"/>
          <w:color w:val="000000"/>
          <w:kern w:val="0"/>
          <w:sz w:val="20"/>
          <w:szCs w:val="20"/>
          <w:lang w:bidi="ar"/>
        </w:rPr>
        <w:t>y expand their own remote work solutions and contingency plans and to help them access our products and services remotely. Our agility, our breadth, and our scale has and will continue to benefit us in serving our customers and business partners during thi</w:t>
      </w:r>
      <w:r>
        <w:rPr>
          <w:rFonts w:ascii="Times New Roman" w:eastAsia="宋体" w:hAnsi="Times New Roman" w:cs="Times New Roman"/>
          <w:color w:val="000000"/>
          <w:kern w:val="0"/>
          <w:sz w:val="20"/>
          <w:szCs w:val="20"/>
          <w:lang w:bidi="ar"/>
        </w:rPr>
        <w:t>s period of accelerated digital transformation, evolution of the “do anything from anywhere” economy, and uncertainty relating to the effects of COVID-19. Notable actions include the following:</w:t>
      </w:r>
    </w:p>
    <w:p w14:paraId="619DF91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1F"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global sales teams continue to successfully support our</w:t>
      </w:r>
      <w:r>
        <w:rPr>
          <w:rFonts w:ascii="Times New Roman" w:eastAsia="宋体" w:hAnsi="Times New Roman" w:cs="Times New Roman"/>
          <w:color w:val="000000"/>
          <w:kern w:val="0"/>
          <w:sz w:val="20"/>
          <w:szCs w:val="20"/>
          <w:lang w:bidi="ar"/>
        </w:rPr>
        <w:t xml:space="preserve"> customers and partners remotely.</w:t>
      </w:r>
    </w:p>
    <w:p w14:paraId="619DF92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21"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are helping to address our customers’ cash flow requirements by expanding our as-a-service and financing offerings. </w:t>
      </w:r>
    </w:p>
    <w:p w14:paraId="619DF92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23"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close relationships and ability to connect directly with our customers through our e-commerc</w:t>
      </w:r>
      <w:r>
        <w:rPr>
          <w:rFonts w:ascii="Times New Roman" w:eastAsia="宋体" w:hAnsi="Times New Roman" w:cs="Times New Roman"/>
          <w:color w:val="000000"/>
          <w:kern w:val="0"/>
          <w:sz w:val="20"/>
          <w:szCs w:val="20"/>
          <w:lang w:bidi="ar"/>
        </w:rPr>
        <w:t>e business have enabled us to quickly meet the immediate demands of the work- and learn-from-home environments as well as the long-term demands of in office, remote, and hybrid workforce environments.</w:t>
      </w:r>
    </w:p>
    <w:p w14:paraId="619DF92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25"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strength, scale, and resiliency of our global su</w:t>
      </w:r>
      <w:r>
        <w:rPr>
          <w:rFonts w:ascii="Times New Roman" w:eastAsia="宋体" w:hAnsi="Times New Roman" w:cs="Times New Roman"/>
          <w:color w:val="000000"/>
          <w:kern w:val="0"/>
          <w:sz w:val="20"/>
          <w:szCs w:val="20"/>
          <w:lang w:bidi="ar"/>
        </w:rPr>
        <w:t>pply chain have afforded us flexibility to manage through the significant disruption in the supply chain environment. We continue to adapt in real time to events as they unfold by applying predictive analytics to model a variety of outcomes to respond quic</w:t>
      </w:r>
      <w:r>
        <w:rPr>
          <w:rFonts w:ascii="Times New Roman" w:eastAsia="宋体" w:hAnsi="Times New Roman" w:cs="Times New Roman"/>
          <w:color w:val="000000"/>
          <w:kern w:val="0"/>
          <w:sz w:val="20"/>
          <w:szCs w:val="20"/>
          <w:lang w:bidi="ar"/>
        </w:rPr>
        <w:t>kly to the changing envi</w:t>
      </w:r>
      <w:r>
        <w:rPr>
          <w:rFonts w:ascii="Times New Roman" w:eastAsia="宋体" w:hAnsi="Times New Roman" w:cs="Times New Roman"/>
          <w:color w:val="000000"/>
          <w:kern w:val="0"/>
          <w:sz w:val="20"/>
          <w:szCs w:val="20"/>
          <w:shd w:val="clear" w:color="auto" w:fill="FFFFFF"/>
          <w:lang w:bidi="ar"/>
        </w:rPr>
        <w:t>ronment.  We continue to optimize our global supply chain footprint to maximize factory uptime, for both Dell Technologies and our suppliers, by working through various local governmental regulations and mandates and by establishing</w:t>
      </w:r>
      <w:r>
        <w:rPr>
          <w:rFonts w:ascii="Times New Roman" w:eastAsia="宋体" w:hAnsi="Times New Roman" w:cs="Times New Roman"/>
          <w:color w:val="000000"/>
          <w:kern w:val="0"/>
          <w:sz w:val="20"/>
          <w:szCs w:val="20"/>
          <w:shd w:val="clear" w:color="auto" w:fill="FFFFFF"/>
          <w:lang w:bidi="ar"/>
        </w:rPr>
        <w:t xml:space="preserve"> robust safety measures to protect the health and safety of our essential team members.</w:t>
      </w:r>
    </w:p>
    <w:p w14:paraId="619DF92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27"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continue to drive innovation and excellence in engineering with a largely remote workforce. Engineers and product teams have delivered several critical solutions, including cloud updates, key client product refreshes, PowerStore midrange storage and so</w:t>
      </w:r>
      <w:r>
        <w:rPr>
          <w:rFonts w:ascii="Times New Roman" w:eastAsia="宋体" w:hAnsi="Times New Roman" w:cs="Times New Roman"/>
          <w:color w:val="000000"/>
          <w:kern w:val="0"/>
          <w:sz w:val="20"/>
          <w:szCs w:val="20"/>
          <w:lang w:bidi="ar"/>
        </w:rPr>
        <w:t xml:space="preserve">ftware, and recently announced IT as-a-Service and cloud offerings within the Apex portfolio. </w:t>
      </w:r>
    </w:p>
    <w:p w14:paraId="619DF92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2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During Fiscal 2021, we took precautionary measures to increase our cash position and preserve financial flexibility. We also took a series of prudent steps to </w:t>
      </w:r>
      <w:r>
        <w:rPr>
          <w:rFonts w:ascii="Times New Roman" w:eastAsia="宋体" w:hAnsi="Times New Roman" w:cs="Times New Roman"/>
          <w:color w:val="000000"/>
          <w:kern w:val="0"/>
          <w:sz w:val="20"/>
          <w:szCs w:val="20"/>
          <w:lang w:bidi="ar"/>
        </w:rPr>
        <w:t>manage expenses and preserve liquidity that included, among others, global hiring limitations, a reduction in consulting, contractor and facilities-related costs, global travel restrictions, and a temporary suspension of the Dell 401(k) match program for U</w:t>
      </w:r>
      <w:r>
        <w:rPr>
          <w:rFonts w:ascii="Times New Roman" w:eastAsia="宋体" w:hAnsi="Times New Roman" w:cs="Times New Roman"/>
          <w:color w:val="000000"/>
          <w:kern w:val="0"/>
          <w:sz w:val="20"/>
          <w:szCs w:val="20"/>
          <w:lang w:bidi="ar"/>
        </w:rPr>
        <w:t>.S. employees. Effective January 1, 2021, we resumed the Dell 401(k) match program, and in the fourth quarter of Fiscal 2021, we began to reinstate selected employee-related compensation benefits. We will continue to invest in long-term projects to support</w:t>
      </w:r>
      <w:r>
        <w:rPr>
          <w:rFonts w:ascii="Times New Roman" w:eastAsia="宋体" w:hAnsi="Times New Roman" w:cs="Times New Roman"/>
          <w:color w:val="000000"/>
          <w:kern w:val="0"/>
          <w:sz w:val="20"/>
          <w:szCs w:val="20"/>
          <w:lang w:bidi="ar"/>
        </w:rPr>
        <w:t xml:space="preserve"> our growth and innovation initiatives, while focusing on operating expense controls in certain areas of the business. All of these actions are aligned with our strategy, which remains unchanged, of focusing on gaining share, integrating and innovating acr</w:t>
      </w:r>
      <w:r>
        <w:rPr>
          <w:rFonts w:ascii="Times New Roman" w:eastAsia="宋体" w:hAnsi="Times New Roman" w:cs="Times New Roman"/>
          <w:color w:val="000000"/>
          <w:kern w:val="0"/>
          <w:sz w:val="20"/>
          <w:szCs w:val="20"/>
          <w:lang w:bidi="ar"/>
        </w:rPr>
        <w:t xml:space="preserve">oss the Dell Technologies portfolio, and strengthening our capital structure. </w:t>
      </w:r>
    </w:p>
    <w:p w14:paraId="619DF92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2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impact of COVID-19 is accelerating digital transformation, and </w:t>
      </w:r>
      <w:r>
        <w:rPr>
          <w:rFonts w:ascii="Times New Roman" w:eastAsia="宋体" w:hAnsi="Times New Roman" w:cs="Times New Roman"/>
          <w:color w:val="000000"/>
          <w:kern w:val="0"/>
          <w:sz w:val="20"/>
          <w:szCs w:val="20"/>
          <w:shd w:val="clear" w:color="auto" w:fill="FFFFFF"/>
          <w:lang w:bidi="ar"/>
        </w:rPr>
        <w:t>we continue to see opportunities to create value and grow through the remainder of Fiscal 2022 in response t</w:t>
      </w:r>
      <w:r>
        <w:rPr>
          <w:rFonts w:ascii="Times New Roman" w:eastAsia="宋体" w:hAnsi="Times New Roman" w:cs="Times New Roman"/>
          <w:color w:val="000000"/>
          <w:kern w:val="0"/>
          <w:sz w:val="20"/>
          <w:szCs w:val="20"/>
          <w:shd w:val="clear" w:color="auto" w:fill="FFFFFF"/>
          <w:lang w:bidi="ar"/>
        </w:rPr>
        <w:t>o resilient demand for our IT solutions</w:t>
      </w:r>
      <w:r>
        <w:rPr>
          <w:rFonts w:ascii="Times New Roman" w:eastAsia="宋体" w:hAnsi="Times New Roman" w:cs="Times New Roman"/>
          <w:color w:val="000000"/>
          <w:kern w:val="0"/>
          <w:sz w:val="20"/>
          <w:szCs w:val="20"/>
          <w:lang w:bidi="ar"/>
        </w:rPr>
        <w:t xml:space="preserve"> driven by a technology-enabled world. We will continue to actively monitor global events and pursue prudent decisions to navigate in this uncertain and ever-changing environment. </w:t>
      </w:r>
    </w:p>
    <w:p w14:paraId="619DF92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2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92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63</w:t>
      </w:r>
    </w:p>
    <w:p w14:paraId="619DF92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930" w14:textId="77777777" w:rsidR="003D72E7" w:rsidRDefault="00AD6774">
      <w:pPr>
        <w:widowControl/>
        <w:jc w:val="center"/>
      </w:pPr>
      <w:r>
        <w:rPr>
          <w:rFonts w:ascii="宋体" w:eastAsia="宋体" w:hAnsi="宋体" w:cs="宋体"/>
          <w:kern w:val="0"/>
          <w:sz w:val="24"/>
        </w:rPr>
        <w:pict w14:anchorId="619E0DAA">
          <v:rect id="_x0000_i1087" style="width:6in;height:1.5pt" o:hralign="center" o:hrstd="t" o:hr="t" fillcolor="#a0a0a0" stroked="f"/>
        </w:pict>
      </w:r>
    </w:p>
    <w:p w14:paraId="619DF931"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93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 xml:space="preserve">Supply Chain </w:t>
      </w:r>
      <w:r>
        <w:rPr>
          <w:rFonts w:ascii="Times New Roman" w:eastAsia="宋体" w:hAnsi="Times New Roman" w:cs="Times New Roman"/>
          <w:color w:val="000000"/>
          <w:kern w:val="0"/>
          <w:sz w:val="20"/>
          <w:szCs w:val="20"/>
          <w:lang w:bidi="ar"/>
        </w:rPr>
        <w:t>—</w:t>
      </w:r>
      <w:r>
        <w:rPr>
          <w:rFonts w:ascii="Times New Roman" w:eastAsia="宋体" w:hAnsi="Times New Roman" w:cs="Times New Roman"/>
          <w:color w:val="000000"/>
          <w:kern w:val="0"/>
          <w:sz w:val="20"/>
          <w:szCs w:val="20"/>
          <w:shd w:val="clear" w:color="auto" w:fill="FFFFFF"/>
          <w:lang w:bidi="ar"/>
        </w:rPr>
        <w:t xml:space="preserve"> </w:t>
      </w:r>
      <w:r>
        <w:rPr>
          <w:rFonts w:ascii="Times New Roman" w:eastAsia="宋体" w:hAnsi="Times New Roman" w:cs="Times New Roman"/>
          <w:color w:val="000000"/>
          <w:kern w:val="0"/>
          <w:sz w:val="20"/>
          <w:szCs w:val="20"/>
          <w:lang w:bidi="ar"/>
        </w:rPr>
        <w:t>Dell Technologies maintains limited-source supplier relationships for certain components because the relationships are advantageous in the areas of performance, qua</w:t>
      </w:r>
      <w:r>
        <w:rPr>
          <w:rFonts w:ascii="Times New Roman" w:eastAsia="宋体" w:hAnsi="Times New Roman" w:cs="Times New Roman"/>
          <w:color w:val="000000"/>
          <w:kern w:val="0"/>
          <w:sz w:val="20"/>
          <w:szCs w:val="20"/>
          <w:lang w:bidi="ar"/>
        </w:rPr>
        <w:t xml:space="preserve">lity, support, delivery, capacity, and price considerations. </w:t>
      </w:r>
    </w:p>
    <w:p w14:paraId="619DF93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3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continue to be impacted by industry-wide constraints in the supply of limited-source components in certain product offerings as a result of the impacts of COVID-19. The acceleration of the </w:t>
      </w:r>
      <w:r>
        <w:rPr>
          <w:rFonts w:ascii="Times New Roman" w:eastAsia="宋体" w:hAnsi="Times New Roman" w:cs="Times New Roman"/>
          <w:color w:val="000000"/>
          <w:kern w:val="0"/>
          <w:sz w:val="20"/>
          <w:szCs w:val="20"/>
          <w:lang w:bidi="ar"/>
        </w:rPr>
        <w:t xml:space="preserve">“do anything from anywhere” economy, coupled with overall macroeconomic recovery, has led to growth in demand that has outpaced supply causing an increase in orders pending fulfillment and elongated lead times for our customers for certain products. </w:t>
      </w:r>
    </w:p>
    <w:p w14:paraId="619DF93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3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w:t>
      </w:r>
      <w:r>
        <w:rPr>
          <w:rFonts w:ascii="Times New Roman" w:eastAsia="宋体" w:hAnsi="Times New Roman" w:cs="Times New Roman"/>
          <w:color w:val="000000"/>
          <w:kern w:val="0"/>
          <w:sz w:val="20"/>
          <w:szCs w:val="20"/>
          <w:lang w:bidi="ar"/>
        </w:rPr>
        <w:t xml:space="preserve"> aforementioned supply constraints coupled with increasing demand is causing increases in component costs and, during the second quarter of Fiscal 2022, component costs increased in the aggregate. We expect the overall component cost environment to remain </w:t>
      </w:r>
      <w:r>
        <w:rPr>
          <w:rFonts w:ascii="Times New Roman" w:eastAsia="宋体" w:hAnsi="Times New Roman" w:cs="Times New Roman"/>
          <w:color w:val="000000"/>
          <w:kern w:val="0"/>
          <w:sz w:val="20"/>
          <w:szCs w:val="20"/>
          <w:lang w:bidi="ar"/>
        </w:rPr>
        <w:t>inflationary for the remainder of Fiscal 2022. Component cost trends are dependent on the strength or weakness of actual end-user demand and supply dynamics, which will continue to evolve and ultimately impact the translation of the cost environment to pri</w:t>
      </w:r>
      <w:r>
        <w:rPr>
          <w:rFonts w:ascii="Times New Roman" w:eastAsia="宋体" w:hAnsi="Times New Roman" w:cs="Times New Roman"/>
          <w:color w:val="000000"/>
          <w:kern w:val="0"/>
          <w:sz w:val="20"/>
          <w:szCs w:val="20"/>
          <w:lang w:bidi="ar"/>
        </w:rPr>
        <w:t>cing and operating results. Further, we continue to experience increased freight costs for expedited shipments of components and rate increases in the freight network as capacity remains constrained. We expect to continue navigating supply chain dynamics i</w:t>
      </w:r>
      <w:r>
        <w:rPr>
          <w:rFonts w:ascii="Times New Roman" w:eastAsia="宋体" w:hAnsi="Times New Roman" w:cs="Times New Roman"/>
          <w:color w:val="000000"/>
          <w:kern w:val="0"/>
          <w:sz w:val="20"/>
          <w:szCs w:val="20"/>
          <w:lang w:bidi="ar"/>
        </w:rPr>
        <w:t xml:space="preserve">n to Fiscal 2023. </w:t>
      </w:r>
    </w:p>
    <w:p w14:paraId="619DF93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3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ISG</w:t>
      </w:r>
      <w:r>
        <w:rPr>
          <w:rFonts w:ascii="Times New Roman" w:eastAsia="宋体" w:hAnsi="Times New Roman" w:cs="Times New Roman"/>
          <w:color w:val="000000"/>
          <w:kern w:val="0"/>
          <w:sz w:val="20"/>
          <w:szCs w:val="20"/>
          <w:lang w:bidi="ar"/>
        </w:rPr>
        <w:t xml:space="preserve"> — We expect that ISG will continue to be impacted by the changing nature of the IT infrastructure market and competitive environment.</w:t>
      </w:r>
      <w:r>
        <w:rPr>
          <w:rFonts w:ascii="Times New Roman" w:eastAsia="宋体" w:hAnsi="Times New Roman" w:cs="Times New Roman"/>
          <w:color w:val="000000"/>
          <w:kern w:val="0"/>
          <w:sz w:val="20"/>
          <w:szCs w:val="20"/>
          <w:shd w:val="clear" w:color="auto" w:fill="FFFFFF"/>
          <w:lang w:bidi="ar"/>
        </w:rPr>
        <w:t xml:space="preserve"> During the first six months of Fiscal 2022, ISG benefited from improvements in the macroeconomic </w:t>
      </w:r>
      <w:r>
        <w:rPr>
          <w:rFonts w:ascii="Times New Roman" w:eastAsia="宋体" w:hAnsi="Times New Roman" w:cs="Times New Roman"/>
          <w:color w:val="000000"/>
          <w:kern w:val="0"/>
          <w:sz w:val="20"/>
          <w:szCs w:val="20"/>
          <w:shd w:val="clear" w:color="auto" w:fill="FFFFFF"/>
          <w:lang w:bidi="ar"/>
        </w:rPr>
        <w:t>environment which are forecasted to continue through the remaining six months of Fiscal 2022. Th</w:t>
      </w:r>
      <w:r>
        <w:rPr>
          <w:rFonts w:ascii="Times New Roman" w:eastAsia="宋体" w:hAnsi="Times New Roman" w:cs="Times New Roman"/>
          <w:color w:val="000000"/>
          <w:kern w:val="0"/>
          <w:sz w:val="20"/>
          <w:szCs w:val="20"/>
          <w:lang w:bidi="ar"/>
        </w:rPr>
        <w:t>e cost environment will continue to fluctuate depending on supplier capacity and demand for certain components. For the remainder of Fiscal 2022, we expect over</w:t>
      </w:r>
      <w:r>
        <w:rPr>
          <w:rFonts w:ascii="Times New Roman" w:eastAsia="宋体" w:hAnsi="Times New Roman" w:cs="Times New Roman"/>
          <w:color w:val="000000"/>
          <w:kern w:val="0"/>
          <w:sz w:val="20"/>
          <w:szCs w:val="20"/>
          <w:lang w:bidi="ar"/>
        </w:rPr>
        <w:t>all component costs to remain inflationary, most notably for servers, which will impact pricing and operating results as we seek to balance profitability and growth. With our scale and strong solutions portfolio, we believe we are well-positioned to respon</w:t>
      </w:r>
      <w:r>
        <w:rPr>
          <w:rFonts w:ascii="Times New Roman" w:eastAsia="宋体" w:hAnsi="Times New Roman" w:cs="Times New Roman"/>
          <w:color w:val="000000"/>
          <w:kern w:val="0"/>
          <w:sz w:val="20"/>
          <w:szCs w:val="20"/>
          <w:lang w:bidi="ar"/>
        </w:rPr>
        <w:t>d to ongoing competitive dynamics. Within servers and networking, we will continue to be selective in determining whether to pursue certain large hyperscale and other server transactions. We continue to focus on customer base expansion and lifetime value o</w:t>
      </w:r>
      <w:r>
        <w:rPr>
          <w:rFonts w:ascii="Times New Roman" w:eastAsia="宋体" w:hAnsi="Times New Roman" w:cs="Times New Roman"/>
          <w:color w:val="000000"/>
          <w:kern w:val="0"/>
          <w:sz w:val="20"/>
          <w:szCs w:val="20"/>
          <w:lang w:bidi="ar"/>
        </w:rPr>
        <w:t>f customer relationships.</w:t>
      </w:r>
    </w:p>
    <w:p w14:paraId="619DF93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3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unprecedented data growth throughout all industries is generating continued demand for our storage solutions and services. Cloud-native applications are expected to continue as a primary growth driver in the infrastructure market. We believe the comple</w:t>
      </w:r>
      <w:r>
        <w:rPr>
          <w:rFonts w:ascii="Times New Roman" w:eastAsia="宋体" w:hAnsi="Times New Roman" w:cs="Times New Roman"/>
          <w:color w:val="000000"/>
          <w:kern w:val="0"/>
          <w:sz w:val="20"/>
          <w:szCs w:val="20"/>
          <w:lang w:bidi="ar"/>
        </w:rPr>
        <w:t>mentary cloud solutions across our business position us to meet these demands for our customers. We benefit from offering solutions that address the emerging trends of enterprises deploying software-defined storage, hyper-converged infrastructure, and modu</w:t>
      </w:r>
      <w:r>
        <w:rPr>
          <w:rFonts w:ascii="Times New Roman" w:eastAsia="宋体" w:hAnsi="Times New Roman" w:cs="Times New Roman"/>
          <w:color w:val="000000"/>
          <w:kern w:val="0"/>
          <w:sz w:val="20"/>
          <w:szCs w:val="20"/>
          <w:lang w:bidi="ar"/>
        </w:rPr>
        <w:t>lar solutions based on server-centric architectures. These trends are changing the way customers are consuming our traditional storage offerings. We continue to expand our offerings in external storage arrays, which incorporate flexible, cloud-based functi</w:t>
      </w:r>
      <w:r>
        <w:rPr>
          <w:rFonts w:ascii="Times New Roman" w:eastAsia="宋体" w:hAnsi="Times New Roman" w:cs="Times New Roman"/>
          <w:color w:val="000000"/>
          <w:kern w:val="0"/>
          <w:sz w:val="20"/>
          <w:szCs w:val="20"/>
          <w:lang w:bidi="ar"/>
        </w:rPr>
        <w:t xml:space="preserve">onality. </w:t>
      </w:r>
    </w:p>
    <w:p w14:paraId="619DF93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3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Through our research and development efforts, we are developing new solutions in this rapidly changing industry that we believe will enable us to continue to provide superior solutions to our customers. Our customer base includes a growing numb</w:t>
      </w:r>
      <w:r>
        <w:rPr>
          <w:rFonts w:ascii="Times New Roman" w:eastAsia="宋体" w:hAnsi="Times New Roman" w:cs="Times New Roman"/>
          <w:color w:val="000000"/>
          <w:kern w:val="0"/>
          <w:sz w:val="20"/>
          <w:szCs w:val="20"/>
          <w:lang w:bidi="ar"/>
        </w:rPr>
        <w:t>er of service providers, such as cloud service providers, software-as-a-service companies, consumer webtech providers, and telecommunications companies. These service providers turn to Dell Technologies for our advanced solutions that enable efficient serv</w:t>
      </w:r>
      <w:r>
        <w:rPr>
          <w:rFonts w:ascii="Times New Roman" w:eastAsia="宋体" w:hAnsi="Times New Roman" w:cs="Times New Roman"/>
          <w:color w:val="000000"/>
          <w:kern w:val="0"/>
          <w:sz w:val="20"/>
          <w:szCs w:val="20"/>
          <w:lang w:bidi="ar"/>
        </w:rPr>
        <w:t>ice delivery at cloud scale. Through our collaborative, customer-focused approach to innovation, we strive to deliver new and relevant solutions and software to the market quickly and efficiently.</w:t>
      </w:r>
    </w:p>
    <w:p w14:paraId="619DF93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3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CSG</w:t>
      </w:r>
      <w:r>
        <w:rPr>
          <w:rFonts w:ascii="Times New Roman" w:eastAsia="宋体" w:hAnsi="Times New Roman" w:cs="Times New Roman"/>
          <w:color w:val="000000"/>
          <w:kern w:val="0"/>
          <w:sz w:val="20"/>
          <w:szCs w:val="20"/>
          <w:lang w:bidi="ar"/>
        </w:rPr>
        <w:t xml:space="preserve"> — Our CSG offerings are an important element of our s</w:t>
      </w:r>
      <w:r>
        <w:rPr>
          <w:rFonts w:ascii="Times New Roman" w:eastAsia="宋体" w:hAnsi="Times New Roman" w:cs="Times New Roman"/>
          <w:color w:val="000000"/>
          <w:kern w:val="0"/>
          <w:sz w:val="20"/>
          <w:szCs w:val="20"/>
          <w:lang w:bidi="ar"/>
        </w:rPr>
        <w:t xml:space="preserve">trategy, generating strong cash flow and opportunities for cross-selling of complementary solutions. </w:t>
      </w:r>
      <w:r>
        <w:rPr>
          <w:rFonts w:ascii="Times New Roman" w:eastAsia="宋体" w:hAnsi="Times New Roman" w:cs="Times New Roman"/>
          <w:color w:val="000000"/>
          <w:kern w:val="0"/>
          <w:sz w:val="20"/>
          <w:szCs w:val="20"/>
          <w:shd w:val="clear" w:color="auto" w:fill="FFFFFF"/>
          <w:lang w:bidi="ar"/>
        </w:rPr>
        <w:t>During the first six months of Fiscal 2022, CSG net revenue continued to be strong across product offerings driven by ongoing high demand as customers seek</w:t>
      </w:r>
      <w:r>
        <w:rPr>
          <w:rFonts w:ascii="Times New Roman" w:eastAsia="宋体" w:hAnsi="Times New Roman" w:cs="Times New Roman"/>
          <w:color w:val="000000"/>
          <w:kern w:val="0"/>
          <w:sz w:val="20"/>
          <w:szCs w:val="20"/>
          <w:shd w:val="clear" w:color="auto" w:fill="FFFFFF"/>
          <w:lang w:bidi="ar"/>
        </w:rPr>
        <w:t xml:space="preserve"> improved connectivity and productivity in the “do anything from anywhere” economy.</w:t>
      </w:r>
    </w:p>
    <w:p w14:paraId="619DF93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4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While we expect that the CSG demand environment will continue to be subject to seasonal trends, we anticipate continued strong CSG demand through the remaining six months of Fiscal 2022, in line with industry demand forecasts. The cost environment will con</w:t>
      </w:r>
      <w:r>
        <w:rPr>
          <w:rFonts w:ascii="Times New Roman" w:eastAsia="宋体" w:hAnsi="Times New Roman" w:cs="Times New Roman"/>
          <w:color w:val="000000"/>
          <w:kern w:val="0"/>
          <w:sz w:val="20"/>
          <w:szCs w:val="20"/>
          <w:lang w:bidi="ar"/>
        </w:rPr>
        <w:t>tinue to fluctuate depending on supplier capacity and demand for certain components and, for the remainder of Fiscal 2022, we expect overall component costs to remain inflationary. The cost environment coupled with competitive dynamics continue to be a fac</w:t>
      </w:r>
      <w:r>
        <w:rPr>
          <w:rFonts w:ascii="Times New Roman" w:eastAsia="宋体" w:hAnsi="Times New Roman" w:cs="Times New Roman"/>
          <w:color w:val="000000"/>
          <w:kern w:val="0"/>
          <w:sz w:val="20"/>
          <w:szCs w:val="20"/>
          <w:lang w:bidi="ar"/>
        </w:rPr>
        <w:t>tor in our CSG business and will impact pricing and operating results as we seek to balance profitability and growth. We remain committed to our long-term strategy for CSG and will continue to make investments to innovate across the portfolio, while benefi</w:t>
      </w:r>
      <w:r>
        <w:rPr>
          <w:rFonts w:ascii="Times New Roman" w:eastAsia="宋体" w:hAnsi="Times New Roman" w:cs="Times New Roman"/>
          <w:color w:val="000000"/>
          <w:kern w:val="0"/>
          <w:sz w:val="20"/>
          <w:szCs w:val="20"/>
          <w:lang w:bidi="ar"/>
        </w:rPr>
        <w:t xml:space="preserve">ting from consolidation trends that are occurring in the markets in which we compete. </w:t>
      </w:r>
    </w:p>
    <w:p w14:paraId="619DF94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42"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94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64</w:t>
      </w:r>
    </w:p>
    <w:p w14:paraId="619DF944"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945" w14:textId="77777777" w:rsidR="003D72E7" w:rsidRDefault="00AD6774">
      <w:pPr>
        <w:widowControl/>
        <w:jc w:val="center"/>
      </w:pPr>
      <w:r>
        <w:rPr>
          <w:rFonts w:ascii="宋体" w:eastAsia="宋体" w:hAnsi="宋体" w:cs="宋体"/>
          <w:kern w:val="0"/>
          <w:sz w:val="24"/>
        </w:rPr>
        <w:pict w14:anchorId="619E0DAB">
          <v:rect id="_x0000_i1088" style="width:6in;height:1.5pt" o:hralign="center" o:hrstd="t" o:hr="t" fillcolor="#a0a0a0" stroked="f"/>
        </w:pict>
      </w:r>
    </w:p>
    <w:p w14:paraId="619DF946"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94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Recurring Revenue and Consumption Models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Our customers are seeking new and innovative models that address how they consume our solutions. We offer options including as-a-service, utility, leases, and immediate pay models, all designed to match customers’ consumption and financing preferences. O</w:t>
      </w:r>
      <w:r>
        <w:rPr>
          <w:rFonts w:ascii="Times New Roman" w:eastAsia="宋体" w:hAnsi="Times New Roman" w:cs="Times New Roman"/>
          <w:color w:val="000000"/>
          <w:kern w:val="0"/>
          <w:sz w:val="20"/>
          <w:szCs w:val="20"/>
          <w:lang w:bidi="ar"/>
        </w:rPr>
        <w:t>ur multiyear agreements typically result in recurring revenue streams over the term of the arrangement. In May 2021, we announced new offerings within our Apex portfolio to evolve and expand our IT as-a-Service and cloud offerings. We expect that our flexi</w:t>
      </w:r>
      <w:r>
        <w:rPr>
          <w:rFonts w:ascii="Times New Roman" w:eastAsia="宋体" w:hAnsi="Times New Roman" w:cs="Times New Roman"/>
          <w:color w:val="000000"/>
          <w:kern w:val="0"/>
          <w:sz w:val="20"/>
          <w:szCs w:val="20"/>
          <w:lang w:bidi="ar"/>
        </w:rPr>
        <w:t xml:space="preserve">ble consumption models and as-a-service offerings through Apex will further strengthen our customer relationships and provide a foundation for growth in recurring revenue. </w:t>
      </w:r>
    </w:p>
    <w:p w14:paraId="619DF94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4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Macroeconomic Risks and Uncertainties</w:t>
      </w:r>
      <w:r>
        <w:rPr>
          <w:rFonts w:ascii="Times New Roman" w:eastAsia="宋体" w:hAnsi="Times New Roman" w:cs="Times New Roman"/>
          <w:color w:val="000000"/>
          <w:kern w:val="0"/>
          <w:sz w:val="20"/>
          <w:szCs w:val="20"/>
          <w:lang w:bidi="ar"/>
        </w:rPr>
        <w:t xml:space="preserve"> — The impacts of trade protection measures,</w:t>
      </w:r>
      <w:r>
        <w:rPr>
          <w:rFonts w:ascii="Times New Roman" w:eastAsia="宋体" w:hAnsi="Times New Roman" w:cs="Times New Roman"/>
          <w:color w:val="000000"/>
          <w:kern w:val="0"/>
          <w:sz w:val="20"/>
          <w:szCs w:val="20"/>
          <w:lang w:bidi="ar"/>
        </w:rPr>
        <w:t xml:space="preserve"> including increases in tariffs and trade barriers, and changes in government policies and international trade arrangements may affect our ability to conduct business in some non-U.S. markets. We monitor and seek to mitigate these risks with adjustments to</w:t>
      </w:r>
      <w:r>
        <w:rPr>
          <w:rFonts w:ascii="Times New Roman" w:eastAsia="宋体" w:hAnsi="Times New Roman" w:cs="Times New Roman"/>
          <w:color w:val="000000"/>
          <w:kern w:val="0"/>
          <w:sz w:val="20"/>
          <w:szCs w:val="20"/>
          <w:lang w:bidi="ar"/>
        </w:rPr>
        <w:t xml:space="preserve"> our manufacturing, supply chain, and distribution networks.</w:t>
      </w:r>
    </w:p>
    <w:p w14:paraId="619DF94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4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manage our business on a U.S. dollar basis. However, we have a large global presence, generating approximately half of our revenue by sales to customers outside of the United States during b</w:t>
      </w:r>
      <w:r>
        <w:rPr>
          <w:rFonts w:ascii="Times New Roman" w:eastAsia="宋体" w:hAnsi="Times New Roman" w:cs="Times New Roman"/>
          <w:color w:val="000000"/>
          <w:kern w:val="0"/>
          <w:sz w:val="20"/>
          <w:szCs w:val="20"/>
          <w:lang w:bidi="ar"/>
        </w:rPr>
        <w:t>oth the second quarter and first six months of Fiscal 2022 and Fiscal 2021. As a result</w:t>
      </w:r>
      <w:r>
        <w:rPr>
          <w:rFonts w:ascii="Times New Roman" w:eastAsia="宋体" w:hAnsi="Times New Roman" w:cs="Times New Roman"/>
          <w:color w:val="000000"/>
          <w:kern w:val="0"/>
          <w:sz w:val="20"/>
          <w:szCs w:val="20"/>
          <w:shd w:val="clear" w:color="auto" w:fill="FFFFFF"/>
          <w:lang w:bidi="ar"/>
        </w:rPr>
        <w:t xml:space="preserve">, our revenue can be, and in such periods has been, impacted by fluctuations in foreign currency exchange rates. </w:t>
      </w:r>
      <w:r>
        <w:rPr>
          <w:rFonts w:ascii="Times New Roman" w:eastAsia="宋体" w:hAnsi="Times New Roman" w:cs="Times New Roman"/>
          <w:color w:val="000000"/>
          <w:kern w:val="0"/>
          <w:sz w:val="20"/>
          <w:szCs w:val="20"/>
          <w:lang w:bidi="ar"/>
        </w:rPr>
        <w:t xml:space="preserve">We utilize a comprehensive hedging strategy intended to </w:t>
      </w:r>
      <w:r>
        <w:rPr>
          <w:rFonts w:ascii="Times New Roman" w:eastAsia="宋体" w:hAnsi="Times New Roman" w:cs="Times New Roman"/>
          <w:color w:val="000000"/>
          <w:kern w:val="0"/>
          <w:sz w:val="20"/>
          <w:szCs w:val="20"/>
          <w:lang w:bidi="ar"/>
        </w:rPr>
        <w:t>mitigate the impact of foreign currency volatility over time, and we adjust pricing when possible to further minimize foreign currency impacts.</w:t>
      </w:r>
    </w:p>
    <w:p w14:paraId="619DF94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4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Key Performance Metrics</w:t>
      </w:r>
    </w:p>
    <w:p w14:paraId="619DF94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4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 xml:space="preserve">Our key performance metrics are net revenue, operating income, adjusted </w:t>
      </w:r>
      <w:r>
        <w:rPr>
          <w:rFonts w:ascii="Times New Roman" w:eastAsia="宋体" w:hAnsi="Times New Roman" w:cs="Times New Roman"/>
          <w:color w:val="000000"/>
          <w:kern w:val="0"/>
          <w:sz w:val="20"/>
          <w:szCs w:val="20"/>
          <w:lang w:bidi="ar"/>
        </w:rPr>
        <w:t>earnings before interest and other, net, taxes, depreciation, and amortization</w:t>
      </w:r>
      <w:r>
        <w:rPr>
          <w:rFonts w:ascii="Times New Roman" w:eastAsia="宋体" w:hAnsi="Times New Roman" w:cs="Times New Roman"/>
          <w:color w:val="000000"/>
          <w:kern w:val="0"/>
          <w:sz w:val="20"/>
          <w:szCs w:val="20"/>
          <w:shd w:val="clear" w:color="auto" w:fill="FFFFFF"/>
          <w:lang w:bidi="ar"/>
        </w:rPr>
        <w:t xml:space="preserve"> (“adjusted EBITDA”), and cash flows from operations, which are discussed elsewhere in this management’s d</w:t>
      </w:r>
      <w:r>
        <w:rPr>
          <w:rFonts w:ascii="Times New Roman" w:eastAsia="宋体" w:hAnsi="Times New Roman" w:cs="Times New Roman"/>
          <w:color w:val="000000"/>
          <w:kern w:val="0"/>
          <w:sz w:val="20"/>
          <w:szCs w:val="20"/>
          <w:shd w:val="clear" w:color="auto" w:fill="FFFFFF"/>
          <w:lang w:bidi="ar"/>
        </w:rPr>
        <w:t>iscussion and analysis.</w:t>
      </w:r>
    </w:p>
    <w:p w14:paraId="619DF95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5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5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5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95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65</w:t>
      </w:r>
    </w:p>
    <w:p w14:paraId="619DF955"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956" w14:textId="77777777" w:rsidR="003D72E7" w:rsidRDefault="00AD6774">
      <w:pPr>
        <w:widowControl/>
        <w:jc w:val="center"/>
      </w:pPr>
      <w:r>
        <w:rPr>
          <w:rFonts w:ascii="宋体" w:eastAsia="宋体" w:hAnsi="宋体" w:cs="宋体"/>
          <w:kern w:val="0"/>
          <w:sz w:val="24"/>
        </w:rPr>
        <w:pict w14:anchorId="619E0DAC">
          <v:rect id="_x0000_i1089" style="width:6in;height:1.5pt" o:hralign="center" o:hrstd="t" o:hr="t" fillcolor="#a0a0a0" stroked="f"/>
        </w:pict>
      </w:r>
    </w:p>
    <w:p w14:paraId="619DF957"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95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NON-GAAP FINANCIAL MEASURES</w:t>
      </w:r>
    </w:p>
    <w:p w14:paraId="619DF95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5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this management’s discussion and analysis, we use supplemental measures of our performance which are </w:t>
      </w:r>
      <w:r>
        <w:rPr>
          <w:rFonts w:ascii="Times New Roman" w:eastAsia="宋体" w:hAnsi="Times New Roman" w:cs="Times New Roman"/>
          <w:color w:val="000000"/>
          <w:kern w:val="0"/>
          <w:sz w:val="20"/>
          <w:szCs w:val="20"/>
          <w:lang w:bidi="ar"/>
        </w:rPr>
        <w:t>derived from our consolidated financial information but which are not presented in our consolidated financial statements prepared in accordance with GAAP. These non-GAAP financial measures include non-GAAP product net revenue; non-GAAP services net revenue</w:t>
      </w:r>
      <w:r>
        <w:rPr>
          <w:rFonts w:ascii="Times New Roman" w:eastAsia="宋体" w:hAnsi="Times New Roman" w:cs="Times New Roman"/>
          <w:color w:val="000000"/>
          <w:kern w:val="0"/>
          <w:sz w:val="20"/>
          <w:szCs w:val="20"/>
          <w:lang w:bidi="ar"/>
        </w:rPr>
        <w:t xml:space="preserve">; non-GAAP net revenue; non-GAAP product gross margin; non-GAAP services gross margin; non-GAAP gross margin; non-GAAP operating expenses; non-GAAP operating income; non-GAAP net income; EBITDA; and adjusted EBITDA. The non-GAAP financial measures are not </w:t>
      </w:r>
      <w:r>
        <w:rPr>
          <w:rFonts w:ascii="Times New Roman" w:eastAsia="宋体" w:hAnsi="Times New Roman" w:cs="Times New Roman"/>
          <w:color w:val="000000"/>
          <w:kern w:val="0"/>
          <w:sz w:val="20"/>
          <w:szCs w:val="20"/>
          <w:lang w:bidi="ar"/>
        </w:rPr>
        <w:t>meant to be considered as indicators of performance in isolation from or as a substitute for net revenue, gross margin, operating expenses, operating income, or net income prepared in accordance with GAAP, and should be read only in conjunction with financ</w:t>
      </w:r>
      <w:r>
        <w:rPr>
          <w:rFonts w:ascii="Times New Roman" w:eastAsia="宋体" w:hAnsi="Times New Roman" w:cs="Times New Roman"/>
          <w:color w:val="000000"/>
          <w:kern w:val="0"/>
          <w:sz w:val="20"/>
          <w:szCs w:val="20"/>
          <w:lang w:bidi="ar"/>
        </w:rPr>
        <w:t>ial information presented on a GAAP basis.</w:t>
      </w:r>
    </w:p>
    <w:p w14:paraId="619DF95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5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use non-GAAP financial measures to supplement financial information presented on a GAAP basis. Management considers these non-GAAP measures in evaluating our operating trends and performance. </w:t>
      </w:r>
      <w:r>
        <w:rPr>
          <w:rFonts w:ascii="Times New Roman" w:eastAsia="宋体" w:hAnsi="Times New Roman" w:cs="Times New Roman"/>
          <w:color w:val="000000"/>
          <w:kern w:val="0"/>
          <w:sz w:val="20"/>
          <w:szCs w:val="20"/>
          <w:lang w:bidi="ar"/>
        </w:rPr>
        <w:t xml:space="preserve">Moreover, we believe these non-GAAP financial measures provide our stakeholders with useful and transparent information to help them evaluate our operating results by facilitating an enhanced understanding of our operating performance and enabling them to </w:t>
      </w:r>
      <w:r>
        <w:rPr>
          <w:rFonts w:ascii="Times New Roman" w:eastAsia="宋体" w:hAnsi="Times New Roman" w:cs="Times New Roman"/>
          <w:color w:val="000000"/>
          <w:kern w:val="0"/>
          <w:sz w:val="20"/>
          <w:szCs w:val="20"/>
          <w:lang w:bidi="ar"/>
        </w:rPr>
        <w:t>make more meaningful period to period comparisons. There are limitations to the use of the non-GAAP financial measures presented in this report. Our non-GAAP financial measures may not be comparable to similarly titled measures of other companies. Other co</w:t>
      </w:r>
      <w:r>
        <w:rPr>
          <w:rFonts w:ascii="Times New Roman" w:eastAsia="宋体" w:hAnsi="Times New Roman" w:cs="Times New Roman"/>
          <w:color w:val="000000"/>
          <w:kern w:val="0"/>
          <w:sz w:val="20"/>
          <w:szCs w:val="20"/>
          <w:lang w:bidi="ar"/>
        </w:rPr>
        <w:t>mpanies, including companies in our industry, may calculate non-GAAP financial measures differently than we do, limiting the usefulness of those measures for comparative purposes.</w:t>
      </w:r>
    </w:p>
    <w:p w14:paraId="619DF95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5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Non-GAAP product net revenue, non-GAAP services net revenue, non-GAAP net </w:t>
      </w:r>
      <w:r>
        <w:rPr>
          <w:rFonts w:ascii="Times New Roman" w:eastAsia="宋体" w:hAnsi="Times New Roman" w:cs="Times New Roman"/>
          <w:color w:val="000000"/>
          <w:kern w:val="0"/>
          <w:sz w:val="20"/>
          <w:szCs w:val="20"/>
          <w:lang w:bidi="ar"/>
        </w:rPr>
        <w:t>revenue, non-GAAP product gross margin, non-GAAP services gross margin, non-GAAP gross margin, non-GAAP operating expenses, non-GAAP operating income, and non-GAAP net income, as defined by us, exclude amortization of intangible assets, the impact of purch</w:t>
      </w:r>
      <w:r>
        <w:rPr>
          <w:rFonts w:ascii="Times New Roman" w:eastAsia="宋体" w:hAnsi="Times New Roman" w:cs="Times New Roman"/>
          <w:color w:val="000000"/>
          <w:kern w:val="0"/>
          <w:sz w:val="20"/>
          <w:szCs w:val="20"/>
          <w:lang w:bidi="ar"/>
        </w:rPr>
        <w:t>ase accounting, transaction-related expenses, stock-based compensation expense, other corporate expenses and, for non-GAAP net income, fair value adjustments on equity investments and an aggregate adjustment for income taxes. As the excluded items have a m</w:t>
      </w:r>
      <w:r>
        <w:rPr>
          <w:rFonts w:ascii="Times New Roman" w:eastAsia="宋体" w:hAnsi="Times New Roman" w:cs="Times New Roman"/>
          <w:color w:val="000000"/>
          <w:kern w:val="0"/>
          <w:sz w:val="20"/>
          <w:szCs w:val="20"/>
          <w:lang w:bidi="ar"/>
        </w:rPr>
        <w:t>aterial impact on our financial results, our management compensates for this limitation by relying primarily on our GAAP results and using non-GAAP financial measures supplementally or for projections when comparable GAAP financial measures are not availab</w:t>
      </w:r>
      <w:r>
        <w:rPr>
          <w:rFonts w:ascii="Times New Roman" w:eastAsia="宋体" w:hAnsi="Times New Roman" w:cs="Times New Roman"/>
          <w:color w:val="000000"/>
          <w:kern w:val="0"/>
          <w:sz w:val="20"/>
          <w:szCs w:val="20"/>
          <w:lang w:bidi="ar"/>
        </w:rPr>
        <w:t xml:space="preserve">le. </w:t>
      </w:r>
    </w:p>
    <w:p w14:paraId="619DF95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6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Reconciliations of each non-GAAP financial measure to its most directly comparable GAAP financial measure are presented below. We encourage you to review the reconciliations in conjunction with the presentation of the non-GAAP financial measures for</w:t>
      </w:r>
      <w:r>
        <w:rPr>
          <w:rFonts w:ascii="Times New Roman" w:eastAsia="宋体" w:hAnsi="Times New Roman" w:cs="Times New Roman"/>
          <w:color w:val="000000"/>
          <w:kern w:val="0"/>
          <w:sz w:val="20"/>
          <w:szCs w:val="20"/>
          <w:lang w:bidi="ar"/>
        </w:rPr>
        <w:t xml:space="preserve"> each of the periods presented. The discussion below includes information on each of the excluded items as well as our reasons for excluding them from our non-GAAP results. In future fiscal periods, we may exclude such items and may incur income and expens</w:t>
      </w:r>
      <w:r>
        <w:rPr>
          <w:rFonts w:ascii="Times New Roman" w:eastAsia="宋体" w:hAnsi="Times New Roman" w:cs="Times New Roman"/>
          <w:color w:val="000000"/>
          <w:kern w:val="0"/>
          <w:sz w:val="20"/>
          <w:szCs w:val="20"/>
          <w:lang w:bidi="ar"/>
        </w:rPr>
        <w:t xml:space="preserve">es similar to these excluded items. Accordingly, the exclusion of these items and other similar items in our non-GAAP presentation should not be interpreted as implying that these items are non-recurring, infrequent, or unusual. </w:t>
      </w:r>
    </w:p>
    <w:p w14:paraId="619DF961"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is a summary</w:t>
      </w:r>
      <w:r>
        <w:rPr>
          <w:rFonts w:ascii="Times New Roman" w:eastAsia="宋体" w:hAnsi="Times New Roman" w:cs="Times New Roman"/>
          <w:color w:val="000000"/>
          <w:kern w:val="0"/>
          <w:sz w:val="20"/>
          <w:szCs w:val="20"/>
          <w:lang w:bidi="ar"/>
        </w:rPr>
        <w:t xml:space="preserve"> of the items excluded from the most comparable GAAP financial measures to calculate our non-GAAP financial measures:</w:t>
      </w:r>
    </w:p>
    <w:p w14:paraId="619DF96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63"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u w:val="single"/>
          <w:lang w:bidi="ar"/>
        </w:rPr>
        <w:t>Amortization of Intangible Assets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Amortization of intangible assets primarily consists of amortization of customer </w:t>
      </w:r>
      <w:r>
        <w:rPr>
          <w:rFonts w:ascii="Times New Roman" w:eastAsia="宋体" w:hAnsi="Times New Roman" w:cs="Times New Roman"/>
          <w:color w:val="000000"/>
          <w:kern w:val="0"/>
          <w:sz w:val="20"/>
          <w:szCs w:val="20"/>
          <w:lang w:bidi="ar"/>
        </w:rPr>
        <w:t>relationships, developed technology, and trade names. In connection with our acquisition by merger of EMC on September 7, 2016, referred to as the EMC merger transaction, and the acquisition of Dell Inc. by Dell Technologies Inc. on October 29, 2013, refer</w:t>
      </w:r>
      <w:r>
        <w:rPr>
          <w:rFonts w:ascii="Times New Roman" w:eastAsia="宋体" w:hAnsi="Times New Roman" w:cs="Times New Roman"/>
          <w:color w:val="000000"/>
          <w:kern w:val="0"/>
          <w:sz w:val="20"/>
          <w:szCs w:val="20"/>
          <w:lang w:bidi="ar"/>
        </w:rPr>
        <w:t>red to as the going-private transaction, all of the tangible and intangible assets and liabilities of EMC and Dell, respectively, were accounted for and recognized at fair value on the transaction dates. Accordingly, for the periods presented, amortization</w:t>
      </w:r>
      <w:r>
        <w:rPr>
          <w:rFonts w:ascii="Times New Roman" w:eastAsia="宋体" w:hAnsi="Times New Roman" w:cs="Times New Roman"/>
          <w:color w:val="000000"/>
          <w:kern w:val="0"/>
          <w:sz w:val="20"/>
          <w:szCs w:val="20"/>
          <w:lang w:bidi="ar"/>
        </w:rPr>
        <w:t xml:space="preserve"> of intangible assets primarily represents amortization associated with intangible assets recognized in connection with the EMC merger transaction and the going-private transaction. Amortization charges for purchased intangible assets are significantly imp</w:t>
      </w:r>
      <w:r>
        <w:rPr>
          <w:rFonts w:ascii="Times New Roman" w:eastAsia="宋体" w:hAnsi="Times New Roman" w:cs="Times New Roman"/>
          <w:color w:val="000000"/>
          <w:kern w:val="0"/>
          <w:sz w:val="20"/>
          <w:szCs w:val="20"/>
          <w:lang w:bidi="ar"/>
        </w:rPr>
        <w:t xml:space="preserve">acted by the timing and magnitude of our acquisitions, and these charges may vary in amount from period to period. We exclude these charges for purposes of calculating the non-GAAP financial measures presented below to facilitate an enhanced understanding </w:t>
      </w:r>
      <w:r>
        <w:rPr>
          <w:rFonts w:ascii="Times New Roman" w:eastAsia="宋体" w:hAnsi="Times New Roman" w:cs="Times New Roman"/>
          <w:color w:val="000000"/>
          <w:kern w:val="0"/>
          <w:sz w:val="20"/>
          <w:szCs w:val="20"/>
          <w:lang w:bidi="ar"/>
        </w:rPr>
        <w:t>of our current operating performance and provides more meaningful period to period comparisons.</w:t>
      </w:r>
    </w:p>
    <w:p w14:paraId="619DF96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65"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Impact of Purchase Accounting</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The impact of purchase accounting includes purchase accounting adjustments related to the EMC merger transaction and, to a le</w:t>
      </w:r>
      <w:r>
        <w:rPr>
          <w:rFonts w:ascii="Times New Roman" w:eastAsia="宋体" w:hAnsi="Times New Roman" w:cs="Times New Roman"/>
          <w:color w:val="000000"/>
          <w:kern w:val="0"/>
          <w:sz w:val="20"/>
          <w:szCs w:val="20"/>
          <w:lang w:bidi="ar"/>
        </w:rPr>
        <w:t>sser extent, the going-private transaction, recorded under the acquisition method of accounting in accordance with the accounting guidance for business combinations. This guidance prescribes that the purchase price be allocated to assets acquired and liabi</w:t>
      </w:r>
      <w:r>
        <w:rPr>
          <w:rFonts w:ascii="Times New Roman" w:eastAsia="宋体" w:hAnsi="Times New Roman" w:cs="Times New Roman"/>
          <w:color w:val="000000"/>
          <w:kern w:val="0"/>
          <w:sz w:val="20"/>
          <w:szCs w:val="20"/>
          <w:lang w:bidi="ar"/>
        </w:rPr>
        <w:t>lities assumed based on the estimated fair value of such assets and liabilities on the date of the transaction. Accordingly, all of the assets and liabilities acquired in the EMC merger transaction and the going-private transaction were accounted for and r</w:t>
      </w:r>
      <w:r>
        <w:rPr>
          <w:rFonts w:ascii="Times New Roman" w:eastAsia="宋体" w:hAnsi="Times New Roman" w:cs="Times New Roman"/>
          <w:color w:val="000000"/>
          <w:kern w:val="0"/>
          <w:sz w:val="20"/>
          <w:szCs w:val="20"/>
          <w:lang w:bidi="ar"/>
        </w:rPr>
        <w:t xml:space="preserve">ecognized at fair value as of the respective </w:t>
      </w:r>
    </w:p>
    <w:p w14:paraId="619DF966"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967"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66</w:t>
      </w:r>
    </w:p>
    <w:p w14:paraId="619DF968"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969" w14:textId="77777777" w:rsidR="003D72E7" w:rsidRDefault="00AD6774">
      <w:pPr>
        <w:widowControl/>
        <w:jc w:val="center"/>
      </w:pPr>
      <w:r>
        <w:rPr>
          <w:rFonts w:ascii="宋体" w:eastAsia="宋体" w:hAnsi="宋体" w:cs="宋体"/>
          <w:kern w:val="0"/>
          <w:sz w:val="24"/>
        </w:rPr>
        <w:pict w14:anchorId="619E0DAD">
          <v:rect id="_x0000_i1090" style="width:6in;height:1.5pt" o:hralign="center" o:hrstd="t" o:hr="t" fillcolor="#a0a0a0" stroked="f"/>
        </w:pict>
      </w:r>
    </w:p>
    <w:p w14:paraId="619DF96A"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96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transaction dates, and the fair value adjustments are being amortized over the estimated useful lives in the periods </w:t>
      </w:r>
      <w:r>
        <w:rPr>
          <w:rFonts w:ascii="Times New Roman" w:eastAsia="宋体" w:hAnsi="Times New Roman" w:cs="Times New Roman"/>
          <w:color w:val="000000"/>
          <w:kern w:val="0"/>
          <w:sz w:val="20"/>
          <w:szCs w:val="20"/>
          <w:lang w:bidi="ar"/>
        </w:rPr>
        <w:t>following the transactions. The fair value adjustments primarily relate to deferred revenue and property, plant, and equipment. Although the purchase accounting adjustments and related amortization of those adjustments are reflected in our GAAP results, we</w:t>
      </w:r>
      <w:r>
        <w:rPr>
          <w:rFonts w:ascii="Times New Roman" w:eastAsia="宋体" w:hAnsi="Times New Roman" w:cs="Times New Roman"/>
          <w:color w:val="000000"/>
          <w:kern w:val="0"/>
          <w:sz w:val="20"/>
          <w:szCs w:val="20"/>
          <w:lang w:bidi="ar"/>
        </w:rPr>
        <w:t xml:space="preserve"> evaluate the operating results of the underlying businesses on a non-GAAP basis, after removing such adjustments. We believe that excluding the impact of purchase accounting for purposes of calculating the non-GAAP financial measures presented below facil</w:t>
      </w:r>
      <w:r>
        <w:rPr>
          <w:rFonts w:ascii="Times New Roman" w:eastAsia="宋体" w:hAnsi="Times New Roman" w:cs="Times New Roman"/>
          <w:color w:val="000000"/>
          <w:kern w:val="0"/>
          <w:sz w:val="20"/>
          <w:szCs w:val="20"/>
          <w:lang w:bidi="ar"/>
        </w:rPr>
        <w:t>itates an enhanced understanding of our current operating performance and provides more meaningful period to period comparisons.</w:t>
      </w:r>
    </w:p>
    <w:p w14:paraId="619DF96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6D"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Transaction-related Expenses</w:t>
      </w:r>
      <w:r>
        <w:rPr>
          <w:rFonts w:ascii="Times New Roman" w:eastAsia="宋体" w:hAnsi="Times New Roman" w:cs="Times New Roman"/>
          <w:i/>
          <w:iCs/>
          <w:color w:val="000000"/>
          <w:kern w:val="0"/>
          <w:sz w:val="20"/>
          <w:szCs w:val="20"/>
          <w:lang w:bidi="ar"/>
        </w:rPr>
        <w:t xml:space="preserve"> — </w:t>
      </w:r>
      <w:r>
        <w:rPr>
          <w:rFonts w:ascii="Times New Roman" w:eastAsia="宋体" w:hAnsi="Times New Roman" w:cs="Times New Roman"/>
          <w:color w:val="000000"/>
          <w:kern w:val="0"/>
          <w:sz w:val="20"/>
          <w:szCs w:val="20"/>
          <w:lang w:bidi="ar"/>
        </w:rPr>
        <w:t>Transaction-related expenses typically consist of acquisition, integration, and divestiture r</w:t>
      </w:r>
      <w:r>
        <w:rPr>
          <w:rFonts w:ascii="Times New Roman" w:eastAsia="宋体" w:hAnsi="Times New Roman" w:cs="Times New Roman"/>
          <w:color w:val="000000"/>
          <w:kern w:val="0"/>
          <w:sz w:val="20"/>
          <w:szCs w:val="20"/>
          <w:lang w:bidi="ar"/>
        </w:rPr>
        <w:t>elated costs and are expensed as incurred. These expenses primarily represent costs for legal, banking, consulting, and advisory services.  From time to time, this category also may include transaction-related gains on divestitures of businesses or asset s</w:t>
      </w:r>
      <w:r>
        <w:rPr>
          <w:rFonts w:ascii="Times New Roman" w:eastAsia="宋体" w:hAnsi="Times New Roman" w:cs="Times New Roman"/>
          <w:color w:val="000000"/>
          <w:kern w:val="0"/>
          <w:sz w:val="20"/>
          <w:szCs w:val="20"/>
          <w:lang w:bidi="ar"/>
        </w:rPr>
        <w:t>ales. During the first quarter of Fiscal 2021, we recognized a gain of $120 million on the sale of certain intellectual property assets. We exclude these items for purposes of calculating the non-GAAP financial measures presented below to facilitate an enh</w:t>
      </w:r>
      <w:r>
        <w:rPr>
          <w:rFonts w:ascii="Times New Roman" w:eastAsia="宋体" w:hAnsi="Times New Roman" w:cs="Times New Roman"/>
          <w:color w:val="000000"/>
          <w:kern w:val="0"/>
          <w:sz w:val="20"/>
          <w:szCs w:val="20"/>
          <w:lang w:bidi="ar"/>
        </w:rPr>
        <w:t>anced understanding of our current operating performance and provides more meaningful period to period comparisons.</w:t>
      </w:r>
    </w:p>
    <w:p w14:paraId="619DF96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6F"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Stock-based Compensation Expense</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Stock-based compensation expense consists of equity awards granted based on the estimated fair value o</w:t>
      </w:r>
      <w:r>
        <w:rPr>
          <w:rFonts w:ascii="Times New Roman" w:eastAsia="宋体" w:hAnsi="Times New Roman" w:cs="Times New Roman"/>
          <w:color w:val="000000"/>
          <w:kern w:val="0"/>
          <w:sz w:val="20"/>
          <w:szCs w:val="20"/>
          <w:lang w:bidi="ar"/>
        </w:rPr>
        <w:t>f those awards at grant date. We estimate the fair value of service-based stock options using the Black-Scholes valuation model. To estimate the fair value of performance-based awards containing a market condition, we use the Monte Carlo valuation model. F</w:t>
      </w:r>
      <w:r>
        <w:rPr>
          <w:rFonts w:ascii="Times New Roman" w:eastAsia="宋体" w:hAnsi="Times New Roman" w:cs="Times New Roman"/>
          <w:color w:val="000000"/>
          <w:kern w:val="0"/>
          <w:sz w:val="20"/>
          <w:szCs w:val="20"/>
          <w:lang w:bidi="ar"/>
        </w:rPr>
        <w:t>or all other share-based awards, the fair value is based on the closing price of the Class C Common Stock as reported on the NYSE on the date of grant. Although stock-based compensation is an important aspect of the compensation of our employees and execut</w:t>
      </w:r>
      <w:r>
        <w:rPr>
          <w:rFonts w:ascii="Times New Roman" w:eastAsia="宋体" w:hAnsi="Times New Roman" w:cs="Times New Roman"/>
          <w:color w:val="000000"/>
          <w:kern w:val="0"/>
          <w:sz w:val="20"/>
          <w:szCs w:val="20"/>
          <w:lang w:bidi="ar"/>
        </w:rPr>
        <w:t>ives, the fair value of the stock-based awards may bear little resemblance to the actual value realized upon the vesting or future exercise of the related stock-based awards. We believe that excluding stock-based compensation expense for purposes of calcul</w:t>
      </w:r>
      <w:r>
        <w:rPr>
          <w:rFonts w:ascii="Times New Roman" w:eastAsia="宋体" w:hAnsi="Times New Roman" w:cs="Times New Roman"/>
          <w:color w:val="000000"/>
          <w:kern w:val="0"/>
          <w:sz w:val="20"/>
          <w:szCs w:val="20"/>
          <w:lang w:bidi="ar"/>
        </w:rPr>
        <w:t xml:space="preserve">ating the non-GAAP financial measures presented below facilitates an enhanced understanding of our current operating performance and provides more meaningful period to period comparisons. </w:t>
      </w:r>
    </w:p>
    <w:p w14:paraId="619DF97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71"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Other Corporate Expenses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 Other corporate expenses </w:t>
      </w:r>
      <w:r>
        <w:rPr>
          <w:rFonts w:ascii="Times New Roman" w:eastAsia="宋体" w:hAnsi="Times New Roman" w:cs="Times New Roman"/>
          <w:color w:val="000000"/>
          <w:kern w:val="0"/>
          <w:sz w:val="20"/>
          <w:szCs w:val="20"/>
          <w:lang w:bidi="ar"/>
        </w:rPr>
        <w:t>consist primarily of impairment charges, incentive charges related to equity investments, severance, facilities action, and other costs. Severance costs are primarily related to severance and benefits for employees terminated pursuant to cost savings initi</w:t>
      </w:r>
      <w:r>
        <w:rPr>
          <w:rFonts w:ascii="Times New Roman" w:eastAsia="宋体" w:hAnsi="Times New Roman" w:cs="Times New Roman"/>
          <w:color w:val="000000"/>
          <w:kern w:val="0"/>
          <w:sz w:val="20"/>
          <w:szCs w:val="20"/>
          <w:lang w:bidi="ar"/>
        </w:rPr>
        <w:t>atives. We continue to optimize our facilities footprint and may incur additional costs as we seek opportunities for operational efficiencies. Other corporate expenses vary from period to period and are significantly impacted by the timing and nature of th</w:t>
      </w:r>
      <w:r>
        <w:rPr>
          <w:rFonts w:ascii="Times New Roman" w:eastAsia="宋体" w:hAnsi="Times New Roman" w:cs="Times New Roman"/>
          <w:color w:val="000000"/>
          <w:kern w:val="0"/>
          <w:sz w:val="20"/>
          <w:szCs w:val="20"/>
          <w:lang w:bidi="ar"/>
        </w:rPr>
        <w:t>ese events. Therefore, although we may incur these types of expenses in the future, we believe that eliminating these charges for purposes of calculating the non-GAAP financial measures presented below facilitates an enhanced understanding of our current o</w:t>
      </w:r>
      <w:r>
        <w:rPr>
          <w:rFonts w:ascii="Times New Roman" w:eastAsia="宋体" w:hAnsi="Times New Roman" w:cs="Times New Roman"/>
          <w:color w:val="000000"/>
          <w:kern w:val="0"/>
          <w:sz w:val="20"/>
          <w:szCs w:val="20"/>
          <w:lang w:bidi="ar"/>
        </w:rPr>
        <w:t>perating performance and provides more meaningful period to period comparisons.</w:t>
      </w:r>
    </w:p>
    <w:p w14:paraId="619DF97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73"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Fair Value Adjustments on Equity Investments</w:t>
      </w:r>
      <w:r>
        <w:rPr>
          <w:rFonts w:ascii="Times New Roman" w:eastAsia="宋体" w:hAnsi="Times New Roman" w:cs="Times New Roman"/>
          <w:color w:val="000000"/>
          <w:kern w:val="0"/>
          <w:sz w:val="20"/>
          <w:szCs w:val="20"/>
          <w:lang w:bidi="ar"/>
        </w:rPr>
        <w:t xml:space="preserve"> — Fair value adjustments on equity investments primarily consist of the gain (loss) on our strategic investment portfolio, which</w:t>
      </w:r>
      <w:r>
        <w:rPr>
          <w:rFonts w:ascii="Times New Roman" w:eastAsia="宋体" w:hAnsi="Times New Roman" w:cs="Times New Roman"/>
          <w:color w:val="000000"/>
          <w:kern w:val="0"/>
          <w:sz w:val="20"/>
          <w:szCs w:val="20"/>
          <w:lang w:bidi="ar"/>
        </w:rPr>
        <w:t xml:space="preserve"> includes the recurring fair value adjustments of investments in publicly-traded companies, as well as those in privately-held companies, which are adjusted for observable price changes and, to a lesser extent, any potential impairments. Given the volatili</w:t>
      </w:r>
      <w:r>
        <w:rPr>
          <w:rFonts w:ascii="Times New Roman" w:eastAsia="宋体" w:hAnsi="Times New Roman" w:cs="Times New Roman"/>
          <w:color w:val="000000"/>
          <w:kern w:val="0"/>
          <w:sz w:val="20"/>
          <w:szCs w:val="20"/>
          <w:lang w:bidi="ar"/>
        </w:rPr>
        <w:t>ty in the ongoing adjustments to the valuation of these strategic investments, we believe that excluding these gains and losses for purposes of calculating non-GAAP net income presented below facilitates an enhanced understanding of our current operating p</w:t>
      </w:r>
      <w:r>
        <w:rPr>
          <w:rFonts w:ascii="Times New Roman" w:eastAsia="宋体" w:hAnsi="Times New Roman" w:cs="Times New Roman"/>
          <w:color w:val="000000"/>
          <w:kern w:val="0"/>
          <w:sz w:val="20"/>
          <w:szCs w:val="20"/>
          <w:lang w:bidi="ar"/>
        </w:rPr>
        <w:t>erformance and provides more meaningful period to period comparisons.</w:t>
      </w:r>
    </w:p>
    <w:p w14:paraId="619DF97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75"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Aggregate Adjustment for Income Taxes</w:t>
      </w:r>
      <w:r>
        <w:rPr>
          <w:rFonts w:ascii="Times New Roman" w:eastAsia="宋体" w:hAnsi="Times New Roman" w:cs="Times New Roman"/>
          <w:color w:val="000000"/>
          <w:kern w:val="0"/>
          <w:sz w:val="20"/>
          <w:szCs w:val="20"/>
          <w:lang w:bidi="ar"/>
        </w:rPr>
        <w:t xml:space="preserve"> — The aggregate adjustment for income taxes is the estimated combined income tax effect for the adjustments described above, as well as an adjust</w:t>
      </w:r>
      <w:r>
        <w:rPr>
          <w:rFonts w:ascii="Times New Roman" w:eastAsia="宋体" w:hAnsi="Times New Roman" w:cs="Times New Roman"/>
          <w:color w:val="000000"/>
          <w:kern w:val="0"/>
          <w:sz w:val="20"/>
          <w:szCs w:val="20"/>
          <w:lang w:bidi="ar"/>
        </w:rPr>
        <w:t>ment for discrete tax items. Due to the variability in recognition of discrete tax items from period to period, we believe that excluding these benefits or charges for purposes of calculating non-GAAP net income facilitates an enhanced understanding of our</w:t>
      </w:r>
      <w:r>
        <w:rPr>
          <w:rFonts w:ascii="Times New Roman" w:eastAsia="宋体" w:hAnsi="Times New Roman" w:cs="Times New Roman"/>
          <w:color w:val="000000"/>
          <w:kern w:val="0"/>
          <w:sz w:val="20"/>
          <w:szCs w:val="20"/>
          <w:lang w:bidi="ar"/>
        </w:rPr>
        <w:t xml:space="preserve"> current operating performance and provides more meaningful period to period comparisons. The tax effects for the adjustments described above are determined based on the tax jurisdictions in which the items were incurred. See Note 10 of the Notes to the Co</w:t>
      </w:r>
      <w:r>
        <w:rPr>
          <w:rFonts w:ascii="Times New Roman" w:eastAsia="宋体" w:hAnsi="Times New Roman" w:cs="Times New Roman"/>
          <w:color w:val="000000"/>
          <w:kern w:val="0"/>
          <w:sz w:val="20"/>
          <w:szCs w:val="20"/>
          <w:lang w:bidi="ar"/>
        </w:rPr>
        <w:t>ndensed Consolidated Financial Statements included in this report for additional information about our income taxes.</w:t>
      </w:r>
    </w:p>
    <w:p w14:paraId="619DF97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977"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978"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67</w:t>
      </w:r>
    </w:p>
    <w:p w14:paraId="619DF979"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97A" w14:textId="77777777" w:rsidR="003D72E7" w:rsidRDefault="00AD6774">
      <w:pPr>
        <w:widowControl/>
        <w:jc w:val="center"/>
      </w:pPr>
      <w:r>
        <w:rPr>
          <w:rFonts w:ascii="宋体" w:eastAsia="宋体" w:hAnsi="宋体" w:cs="宋体"/>
          <w:kern w:val="0"/>
          <w:sz w:val="24"/>
        </w:rPr>
        <w:pict w14:anchorId="619E0DAE">
          <v:rect id="_x0000_i1091" style="width:6in;height:1.5pt" o:hralign="center" o:hrstd="t" o:hr="t" fillcolor="#a0a0a0" stroked="f"/>
        </w:pict>
      </w:r>
    </w:p>
    <w:p w14:paraId="619DF97B"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97C"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table below presents a reconciliation of each non-GAAP financial measure to the most directly comparable GAAP measure for </w:t>
      </w:r>
      <w:r>
        <w:rPr>
          <w:rFonts w:ascii="Times New Roman" w:eastAsia="宋体" w:hAnsi="Times New Roman" w:cs="Times New Roman"/>
          <w:color w:val="000000"/>
          <w:kern w:val="0"/>
          <w:sz w:val="20"/>
          <w:szCs w:val="20"/>
          <w:shd w:val="clear" w:color="auto" w:fill="FFFFFF"/>
          <w:lang w:bidi="ar"/>
        </w:rPr>
        <w:t xml:space="preserve">the </w:t>
      </w:r>
      <w:r>
        <w:rPr>
          <w:rFonts w:ascii="Times New Roman" w:eastAsia="宋体" w:hAnsi="Times New Roman" w:cs="Times New Roman"/>
          <w:color w:val="000000"/>
          <w:kern w:val="0"/>
          <w:sz w:val="20"/>
          <w:szCs w:val="20"/>
          <w:lang w:bidi="ar"/>
        </w:rPr>
        <w:t>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2520"/>
        <w:gridCol w:w="39"/>
        <w:gridCol w:w="120"/>
        <w:gridCol w:w="705"/>
        <w:gridCol w:w="36"/>
        <w:gridCol w:w="36"/>
        <w:gridCol w:w="36"/>
        <w:gridCol w:w="36"/>
        <w:gridCol w:w="92"/>
        <w:gridCol w:w="595"/>
        <w:gridCol w:w="187"/>
        <w:gridCol w:w="36"/>
        <w:gridCol w:w="36"/>
        <w:gridCol w:w="36"/>
        <w:gridCol w:w="120"/>
        <w:gridCol w:w="705"/>
        <w:gridCol w:w="36"/>
        <w:gridCol w:w="36"/>
        <w:gridCol w:w="36"/>
        <w:gridCol w:w="36"/>
        <w:gridCol w:w="120"/>
        <w:gridCol w:w="705"/>
        <w:gridCol w:w="36"/>
        <w:gridCol w:w="36"/>
        <w:gridCol w:w="36"/>
        <w:gridCol w:w="36"/>
        <w:gridCol w:w="92"/>
        <w:gridCol w:w="595"/>
        <w:gridCol w:w="187"/>
        <w:gridCol w:w="36"/>
        <w:gridCol w:w="36"/>
        <w:gridCol w:w="36"/>
        <w:gridCol w:w="120"/>
        <w:gridCol w:w="707"/>
        <w:gridCol w:w="36"/>
      </w:tblGrid>
      <w:tr w:rsidR="003D72E7" w14:paraId="619DF9A1" w14:textId="77777777">
        <w:trPr>
          <w:jc w:val="center"/>
        </w:trPr>
        <w:tc>
          <w:tcPr>
            <w:tcW w:w="50" w:type="pct"/>
            <w:tcBorders>
              <w:top w:val="nil"/>
              <w:left w:val="nil"/>
              <w:bottom w:val="nil"/>
              <w:right w:val="nil"/>
            </w:tcBorders>
            <w:shd w:val="clear" w:color="auto" w:fill="auto"/>
            <w:vAlign w:val="bottom"/>
          </w:tcPr>
          <w:p w14:paraId="619DF97D" w14:textId="77777777" w:rsidR="003D72E7" w:rsidRDefault="003D72E7">
            <w:pPr>
              <w:widowControl/>
              <w:jc w:val="left"/>
              <w:rPr>
                <w:rFonts w:ascii="Times New Roman" w:eastAsia="宋体" w:hAnsi="宋体" w:cs="宋体"/>
                <w:kern w:val="0"/>
                <w:sz w:val="24"/>
              </w:rPr>
            </w:pPr>
          </w:p>
        </w:tc>
        <w:tc>
          <w:tcPr>
            <w:tcW w:w="1699" w:type="pct"/>
            <w:tcBorders>
              <w:top w:val="nil"/>
              <w:left w:val="nil"/>
              <w:bottom w:val="nil"/>
              <w:right w:val="nil"/>
            </w:tcBorders>
            <w:shd w:val="clear" w:color="auto" w:fill="auto"/>
            <w:vAlign w:val="bottom"/>
          </w:tcPr>
          <w:p w14:paraId="619DF97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97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980" w14:textId="77777777" w:rsidR="003D72E7" w:rsidRDefault="003D72E7">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619DF98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98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98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98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98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986" w14:textId="77777777" w:rsidR="003D72E7" w:rsidRDefault="003D72E7">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619DF98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98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98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98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98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98C" w14:textId="77777777" w:rsidR="003D72E7" w:rsidRDefault="003D72E7">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619DF98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98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98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99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99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992" w14:textId="77777777" w:rsidR="003D72E7" w:rsidRDefault="003D72E7">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619DF99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99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995"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99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99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998" w14:textId="77777777" w:rsidR="003D72E7" w:rsidRDefault="003D72E7">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619DF99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99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99B"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99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99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99E" w14:textId="77777777" w:rsidR="003D72E7" w:rsidRDefault="003D72E7">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619DF99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9A0" w14:textId="77777777" w:rsidR="003D72E7" w:rsidRDefault="003D72E7">
            <w:pPr>
              <w:widowControl/>
              <w:jc w:val="left"/>
              <w:rPr>
                <w:rFonts w:ascii="Times New Roman" w:eastAsia="宋体" w:hAnsi="宋体" w:cs="宋体"/>
                <w:kern w:val="0"/>
                <w:sz w:val="24"/>
              </w:rPr>
            </w:pPr>
          </w:p>
        </w:tc>
      </w:tr>
      <w:tr w:rsidR="003D72E7" w14:paraId="619DF9A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9A2" w14:textId="77777777" w:rsidR="003D72E7" w:rsidRDefault="003D72E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19DF9A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9A4" w14:textId="77777777" w:rsidR="003D72E7" w:rsidRDefault="003D72E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19DF9A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F9B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F9A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9A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9A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9A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9A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9A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F9A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9A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July 30, </w:t>
            </w:r>
            <w:r>
              <w:rPr>
                <w:rFonts w:ascii="Times New Roman" w:eastAsia="宋体" w:hAnsi="Times New Roman" w:cs="Times New Roman"/>
                <w:b/>
                <w:bCs/>
                <w:color w:val="000000"/>
                <w:kern w:val="0"/>
                <w:sz w:val="20"/>
                <w:szCs w:val="20"/>
                <w:lang w:bidi="ar"/>
              </w:rP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9A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9B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9B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9B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F9B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9B4" w14:textId="77777777" w:rsidR="003D72E7" w:rsidRDefault="003D72E7">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F9B5"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percentages)</w:t>
            </w:r>
          </w:p>
        </w:tc>
      </w:tr>
      <w:tr w:rsidR="003D72E7" w14:paraId="619DF9C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9B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 net revenue</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9B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9B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19,394 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9B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9B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9B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9B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9B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9B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9C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16,737 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9C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9C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9C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9C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37,428 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9C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9C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9C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9C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9C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9C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9C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32,775 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9CC" w14:textId="77777777" w:rsidR="003D72E7" w:rsidRDefault="003D72E7">
            <w:pPr>
              <w:widowControl/>
              <w:jc w:val="right"/>
              <w:rPr>
                <w:rFonts w:ascii="Times New Roman" w:eastAsia="宋体" w:hAnsi="宋体" w:cs="宋体"/>
                <w:kern w:val="0"/>
                <w:sz w:val="24"/>
              </w:rPr>
            </w:pPr>
          </w:p>
        </w:tc>
      </w:tr>
      <w:tr w:rsidR="003D72E7" w14:paraId="619DF9DA"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F9C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adjustments: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9C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9D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9D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9D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9D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9D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9D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9D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9D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9D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9D9" w14:textId="77777777" w:rsidR="003D72E7" w:rsidRDefault="003D72E7">
            <w:pPr>
              <w:widowControl/>
              <w:jc w:val="left"/>
              <w:rPr>
                <w:rFonts w:ascii="Times New Roman" w:eastAsia="宋体" w:hAnsi="宋体" w:cs="宋体"/>
                <w:kern w:val="0"/>
                <w:sz w:val="24"/>
              </w:rPr>
            </w:pPr>
          </w:p>
        </w:tc>
      </w:tr>
      <w:tr w:rsidR="003D72E7" w14:paraId="619DF9EB"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9D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9D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9D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9D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9D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9E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9E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9E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9E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9E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9E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9E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9E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9E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9E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9EA" w14:textId="77777777" w:rsidR="003D72E7" w:rsidRDefault="003D72E7">
            <w:pPr>
              <w:widowControl/>
              <w:jc w:val="right"/>
              <w:rPr>
                <w:rFonts w:ascii="Times New Roman" w:eastAsia="宋体" w:hAnsi="宋体" w:cs="宋体"/>
                <w:kern w:val="0"/>
                <w:sz w:val="24"/>
              </w:rPr>
            </w:pPr>
          </w:p>
        </w:tc>
      </w:tr>
      <w:tr w:rsidR="003D72E7" w14:paraId="619DFA02"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19DF9E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product net revenue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F9E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9E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19,394 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9E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9F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9F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9F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9F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F9F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9F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16,739 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9F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9F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F9F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9F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37,428 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9F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9F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9F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9F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9FE"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F9F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A0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32,781 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A01" w14:textId="77777777" w:rsidR="003D72E7" w:rsidRDefault="003D72E7">
            <w:pPr>
              <w:widowControl/>
              <w:jc w:val="right"/>
              <w:rPr>
                <w:rFonts w:ascii="Times New Roman" w:eastAsia="宋体" w:hAnsi="宋体" w:cs="宋体"/>
                <w:kern w:val="0"/>
                <w:sz w:val="24"/>
              </w:rPr>
            </w:pPr>
          </w:p>
        </w:tc>
      </w:tr>
      <w:tr w:rsidR="003D72E7" w14:paraId="619DFA0F" w14:textId="77777777">
        <w:trPr>
          <w:trHeight w:val="28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03"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A0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0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0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07"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A0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09"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A0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0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0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0D"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A0E" w14:textId="77777777" w:rsidR="003D72E7" w:rsidRDefault="003D72E7">
            <w:pPr>
              <w:widowControl/>
              <w:jc w:val="left"/>
              <w:rPr>
                <w:rFonts w:ascii="Times New Roman" w:eastAsia="宋体" w:hAnsi="宋体" w:cs="宋体"/>
                <w:kern w:val="0"/>
                <w:sz w:val="24"/>
              </w:rPr>
            </w:pPr>
          </w:p>
        </w:tc>
      </w:tr>
      <w:tr w:rsidR="003D72E7" w14:paraId="619DFA2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A1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Services net revenue</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A1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A1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6,728 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1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1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A1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1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1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A1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A1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5,996 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1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1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A1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A1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13,181 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1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1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A2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2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2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A2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A2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11,855 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25" w14:textId="77777777" w:rsidR="003D72E7" w:rsidRDefault="003D72E7">
            <w:pPr>
              <w:widowControl/>
              <w:jc w:val="right"/>
              <w:rPr>
                <w:rFonts w:ascii="Times New Roman" w:eastAsia="宋体" w:hAnsi="宋体" w:cs="宋体"/>
                <w:kern w:val="0"/>
                <w:sz w:val="24"/>
              </w:rPr>
            </w:pPr>
          </w:p>
        </w:tc>
      </w:tr>
      <w:tr w:rsidR="003D72E7" w14:paraId="619DFA33"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FA2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w:t>
            </w:r>
            <w:r>
              <w:rPr>
                <w:rFonts w:ascii="Times New Roman" w:eastAsia="宋体" w:hAnsi="Times New Roman" w:cs="Times New Roman"/>
                <w:color w:val="000000"/>
                <w:kern w:val="0"/>
                <w:sz w:val="20"/>
                <w:szCs w:val="20"/>
                <w:lang w:bidi="ar"/>
              </w:rPr>
              <w:t>AAP adjustments: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2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2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2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2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2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2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2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2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3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3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32" w14:textId="77777777" w:rsidR="003D72E7" w:rsidRDefault="003D72E7">
            <w:pPr>
              <w:widowControl/>
              <w:jc w:val="left"/>
              <w:rPr>
                <w:rFonts w:ascii="Times New Roman" w:eastAsia="宋体" w:hAnsi="宋体" w:cs="宋体"/>
                <w:kern w:val="0"/>
                <w:sz w:val="24"/>
              </w:rPr>
            </w:pPr>
          </w:p>
        </w:tc>
      </w:tr>
      <w:tr w:rsidR="003D72E7" w14:paraId="619DFA44"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A3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A3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3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3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3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3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A3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3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3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A3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3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3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4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4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A4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43" w14:textId="77777777" w:rsidR="003D72E7" w:rsidRDefault="003D72E7">
            <w:pPr>
              <w:widowControl/>
              <w:jc w:val="right"/>
              <w:rPr>
                <w:rFonts w:ascii="Times New Roman" w:eastAsia="宋体" w:hAnsi="宋体" w:cs="宋体"/>
                <w:kern w:val="0"/>
                <w:sz w:val="24"/>
              </w:rPr>
            </w:pPr>
          </w:p>
        </w:tc>
      </w:tr>
      <w:tr w:rsidR="003D72E7" w14:paraId="619DFA5B"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619DFA4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services net revenue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A4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FA4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6,739 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FA4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4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A4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A4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4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A4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FA4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6,036 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FA4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5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A5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FA5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13,204 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FA5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5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A5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A5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5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A5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FA5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11,939 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FA5A" w14:textId="77777777" w:rsidR="003D72E7" w:rsidRDefault="003D72E7">
            <w:pPr>
              <w:widowControl/>
              <w:jc w:val="right"/>
              <w:rPr>
                <w:rFonts w:ascii="Times New Roman" w:eastAsia="宋体" w:hAnsi="宋体" w:cs="宋体"/>
                <w:kern w:val="0"/>
                <w:sz w:val="24"/>
              </w:rPr>
            </w:pPr>
          </w:p>
        </w:tc>
      </w:tr>
      <w:tr w:rsidR="003D72E7" w14:paraId="619DFA68" w14:textId="77777777">
        <w:trPr>
          <w:trHeight w:val="28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5C"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A5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5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5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60"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A6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62"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A6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6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6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66"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A67" w14:textId="77777777" w:rsidR="003D72E7" w:rsidRDefault="003D72E7">
            <w:pPr>
              <w:widowControl/>
              <w:jc w:val="left"/>
              <w:rPr>
                <w:rFonts w:ascii="Times New Roman" w:eastAsia="宋体" w:hAnsi="宋体" w:cs="宋体"/>
                <w:kern w:val="0"/>
                <w:sz w:val="24"/>
              </w:rPr>
            </w:pPr>
          </w:p>
        </w:tc>
      </w:tr>
      <w:tr w:rsidR="003D72E7" w14:paraId="619DFA7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A6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revenue</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A6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A6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26,122 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A6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6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A6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A6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7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A7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A7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22,733 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A7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7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A7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A7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50,609 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A7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7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A7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A7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7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A7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A7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44,630 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A7E" w14:textId="77777777" w:rsidR="003D72E7" w:rsidRDefault="003D72E7">
            <w:pPr>
              <w:widowControl/>
              <w:jc w:val="right"/>
              <w:rPr>
                <w:rFonts w:ascii="Times New Roman" w:eastAsia="宋体" w:hAnsi="宋体" w:cs="宋体"/>
                <w:kern w:val="0"/>
                <w:sz w:val="24"/>
              </w:rPr>
            </w:pPr>
          </w:p>
        </w:tc>
      </w:tr>
      <w:tr w:rsidR="003D72E7" w14:paraId="619DFA8C"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FA8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w:t>
            </w:r>
            <w:r>
              <w:rPr>
                <w:rFonts w:ascii="Times New Roman" w:eastAsia="宋体" w:hAnsi="Times New Roman" w:cs="Times New Roman"/>
                <w:color w:val="000000"/>
                <w:kern w:val="0"/>
                <w:sz w:val="20"/>
                <w:szCs w:val="20"/>
                <w:lang w:bidi="ar"/>
              </w:rPr>
              <w:t>AAP adjustments: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8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8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8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8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8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8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8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8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8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8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8B" w14:textId="77777777" w:rsidR="003D72E7" w:rsidRDefault="003D72E7">
            <w:pPr>
              <w:widowControl/>
              <w:jc w:val="left"/>
              <w:rPr>
                <w:rFonts w:ascii="Times New Roman" w:eastAsia="宋体" w:hAnsi="宋体" w:cs="宋体"/>
                <w:kern w:val="0"/>
                <w:sz w:val="24"/>
              </w:rPr>
            </w:pPr>
          </w:p>
        </w:tc>
      </w:tr>
      <w:tr w:rsidR="003D72E7" w14:paraId="619DFA9D"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A8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A8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A8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9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9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9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A9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A9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9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A9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A9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9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9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9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A9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A9C" w14:textId="77777777" w:rsidR="003D72E7" w:rsidRDefault="003D72E7">
            <w:pPr>
              <w:widowControl/>
              <w:jc w:val="right"/>
              <w:rPr>
                <w:rFonts w:ascii="Times New Roman" w:eastAsia="宋体" w:hAnsi="宋体" w:cs="宋体"/>
                <w:kern w:val="0"/>
                <w:sz w:val="24"/>
              </w:rPr>
            </w:pPr>
          </w:p>
        </w:tc>
      </w:tr>
      <w:tr w:rsidR="003D72E7" w14:paraId="619DFAB4"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19DFA9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net revenue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FA9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AA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26,133 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AA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A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AA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A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A5"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FAA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AA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22,775 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AA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A9"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FAA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AA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50,632 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AA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A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AA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A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B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FAB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AB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44,720 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AB3" w14:textId="77777777" w:rsidR="003D72E7" w:rsidRDefault="003D72E7">
            <w:pPr>
              <w:widowControl/>
              <w:jc w:val="right"/>
              <w:rPr>
                <w:rFonts w:ascii="Times New Roman" w:eastAsia="宋体" w:hAnsi="宋体" w:cs="宋体"/>
                <w:kern w:val="0"/>
                <w:sz w:val="24"/>
              </w:rPr>
            </w:pPr>
          </w:p>
        </w:tc>
      </w:tr>
      <w:tr w:rsidR="003D72E7" w14:paraId="619DFAC1" w14:textId="77777777">
        <w:trPr>
          <w:trHeight w:val="28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B5"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AB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B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B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B9"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AB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BB"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AB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B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B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BF"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AC0" w14:textId="77777777" w:rsidR="003D72E7" w:rsidRDefault="003D72E7">
            <w:pPr>
              <w:widowControl/>
              <w:jc w:val="left"/>
              <w:rPr>
                <w:rFonts w:ascii="Times New Roman" w:eastAsia="宋体" w:hAnsi="宋体" w:cs="宋体"/>
                <w:kern w:val="0"/>
                <w:sz w:val="24"/>
              </w:rPr>
            </w:pPr>
          </w:p>
        </w:tc>
      </w:tr>
      <w:tr w:rsidR="003D72E7" w14:paraId="619DFAD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AC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Product gross margin</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AC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AC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4,023 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C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C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AC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C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C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AC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AC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3,407 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C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C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AC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AC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7,843 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D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D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AD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D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D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AD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AD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6,641 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D7" w14:textId="77777777" w:rsidR="003D72E7" w:rsidRDefault="003D72E7">
            <w:pPr>
              <w:widowControl/>
              <w:jc w:val="right"/>
              <w:rPr>
                <w:rFonts w:ascii="Times New Roman" w:eastAsia="宋体" w:hAnsi="宋体" w:cs="宋体"/>
                <w:kern w:val="0"/>
                <w:sz w:val="24"/>
              </w:rPr>
            </w:pPr>
          </w:p>
        </w:tc>
      </w:tr>
      <w:tr w:rsidR="003D72E7" w14:paraId="619DFAE5"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FAD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w:t>
            </w:r>
            <w:r>
              <w:rPr>
                <w:rFonts w:ascii="Times New Roman" w:eastAsia="宋体" w:hAnsi="Times New Roman" w:cs="Times New Roman"/>
                <w:color w:val="000000"/>
                <w:kern w:val="0"/>
                <w:sz w:val="20"/>
                <w:szCs w:val="20"/>
                <w:lang w:bidi="ar"/>
              </w:rPr>
              <w:t>AAP adjustments: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D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D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D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D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D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D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E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E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E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E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E4" w14:textId="77777777" w:rsidR="003D72E7" w:rsidRDefault="003D72E7">
            <w:pPr>
              <w:widowControl/>
              <w:jc w:val="left"/>
              <w:rPr>
                <w:rFonts w:ascii="Times New Roman" w:eastAsia="宋体" w:hAnsi="宋体" w:cs="宋体"/>
                <w:kern w:val="0"/>
                <w:sz w:val="24"/>
              </w:rPr>
            </w:pPr>
          </w:p>
        </w:tc>
      </w:tr>
      <w:tr w:rsidR="003D72E7" w14:paraId="619DFAF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AE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intangibles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AE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E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E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E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E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AE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E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E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AE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551 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F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F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F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AF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AF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746 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AF5" w14:textId="77777777" w:rsidR="003D72E7" w:rsidRDefault="003D72E7">
            <w:pPr>
              <w:widowControl/>
              <w:jc w:val="right"/>
              <w:rPr>
                <w:rFonts w:ascii="Times New Roman" w:eastAsia="宋体" w:hAnsi="宋体" w:cs="宋体"/>
                <w:kern w:val="0"/>
                <w:sz w:val="24"/>
              </w:rPr>
            </w:pPr>
          </w:p>
        </w:tc>
      </w:tr>
      <w:tr w:rsidR="003D72E7" w14:paraId="619DFB07"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AF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AF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AF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F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F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F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AF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AF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AF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B0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B0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0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0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0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B0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B06" w14:textId="77777777" w:rsidR="003D72E7" w:rsidRDefault="003D72E7">
            <w:pPr>
              <w:widowControl/>
              <w:jc w:val="right"/>
              <w:rPr>
                <w:rFonts w:ascii="Times New Roman" w:eastAsia="宋体" w:hAnsi="宋体" w:cs="宋体"/>
                <w:kern w:val="0"/>
                <w:sz w:val="24"/>
              </w:rPr>
            </w:pPr>
          </w:p>
        </w:tc>
      </w:tr>
      <w:tr w:rsidR="003D72E7" w14:paraId="619DFB14" w14:textId="77777777">
        <w:trPr>
          <w:jc w:val="center"/>
          <w:hidden/>
        </w:trPr>
        <w:tc>
          <w:tcPr>
            <w:tcW w:w="0" w:type="auto"/>
            <w:gridSpan w:val="3"/>
            <w:tcBorders>
              <w:top w:val="nil"/>
              <w:left w:val="nil"/>
              <w:bottom w:val="nil"/>
              <w:right w:val="nil"/>
            </w:tcBorders>
            <w:shd w:val="clear" w:color="auto" w:fill="auto"/>
            <w:vAlign w:val="bottom"/>
          </w:tcPr>
          <w:p w14:paraId="619DFB0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0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0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0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0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0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0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0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1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1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1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13" w14:textId="77777777" w:rsidR="003D72E7" w:rsidRDefault="003D72E7">
            <w:pPr>
              <w:widowControl/>
              <w:jc w:val="left"/>
              <w:rPr>
                <w:rFonts w:ascii="Times New Roman" w:eastAsia="宋体" w:hAnsi="宋体" w:cs="宋体"/>
                <w:vanish/>
                <w:kern w:val="0"/>
                <w:sz w:val="24"/>
              </w:rPr>
            </w:pPr>
          </w:p>
        </w:tc>
      </w:tr>
      <w:tr w:rsidR="003D72E7" w14:paraId="619DFB25"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B1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1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1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1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1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1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1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1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1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1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1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2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2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2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2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24" w14:textId="77777777" w:rsidR="003D72E7" w:rsidRDefault="003D72E7">
            <w:pPr>
              <w:widowControl/>
              <w:jc w:val="right"/>
              <w:rPr>
                <w:rFonts w:ascii="Times New Roman" w:eastAsia="宋体" w:hAnsi="宋体" w:cs="宋体"/>
                <w:kern w:val="0"/>
                <w:sz w:val="24"/>
              </w:rPr>
            </w:pPr>
          </w:p>
        </w:tc>
      </w:tr>
      <w:tr w:rsidR="003D72E7" w14:paraId="619DFB36"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B2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corporate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B2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B2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2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2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2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B2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B2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2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B2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B3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3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3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3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B3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B35" w14:textId="77777777" w:rsidR="003D72E7" w:rsidRDefault="003D72E7">
            <w:pPr>
              <w:widowControl/>
              <w:jc w:val="right"/>
              <w:rPr>
                <w:rFonts w:ascii="Times New Roman" w:eastAsia="宋体" w:hAnsi="宋体" w:cs="宋体"/>
                <w:kern w:val="0"/>
                <w:sz w:val="24"/>
              </w:rPr>
            </w:pPr>
          </w:p>
        </w:tc>
      </w:tr>
      <w:tr w:rsidR="003D72E7" w14:paraId="619DFB4D"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619DFB3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Non-GAAP product gross margin </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FB3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B3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4,312 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B3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3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3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3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3E"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FB3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B4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3,791 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B4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4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FB4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B4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8,421 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B4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4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4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4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49"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FB4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B4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7,410 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B4C" w14:textId="77777777" w:rsidR="003D72E7" w:rsidRDefault="003D72E7">
            <w:pPr>
              <w:widowControl/>
              <w:jc w:val="right"/>
              <w:rPr>
                <w:rFonts w:ascii="Times New Roman" w:eastAsia="宋体" w:hAnsi="宋体" w:cs="宋体"/>
                <w:kern w:val="0"/>
                <w:sz w:val="24"/>
              </w:rPr>
            </w:pPr>
          </w:p>
        </w:tc>
      </w:tr>
      <w:tr w:rsidR="003D72E7" w14:paraId="619DFB5A" w14:textId="77777777">
        <w:trPr>
          <w:trHeight w:val="28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4E"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B4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5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5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52"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B5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54"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B5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5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5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58"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B59" w14:textId="77777777" w:rsidR="003D72E7" w:rsidRDefault="003D72E7">
            <w:pPr>
              <w:widowControl/>
              <w:jc w:val="left"/>
              <w:rPr>
                <w:rFonts w:ascii="Times New Roman" w:eastAsia="宋体" w:hAnsi="宋体" w:cs="宋体"/>
                <w:kern w:val="0"/>
                <w:sz w:val="24"/>
              </w:rPr>
            </w:pPr>
          </w:p>
        </w:tc>
      </w:tr>
      <w:tr w:rsidR="003D72E7" w14:paraId="619DFB7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B5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Services gross margin </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B5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B5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3,962 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5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5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6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6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6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B6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B6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3,749 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6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6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B6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B6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7,800 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6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6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6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6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6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B6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B6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7,368 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70" w14:textId="77777777" w:rsidR="003D72E7" w:rsidRDefault="003D72E7">
            <w:pPr>
              <w:widowControl/>
              <w:jc w:val="right"/>
              <w:rPr>
                <w:rFonts w:ascii="Times New Roman" w:eastAsia="宋体" w:hAnsi="宋体" w:cs="宋体"/>
                <w:kern w:val="0"/>
                <w:sz w:val="24"/>
              </w:rPr>
            </w:pPr>
          </w:p>
        </w:tc>
      </w:tr>
      <w:tr w:rsidR="003D72E7" w14:paraId="619DFB7E"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FB7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w:t>
            </w:r>
            <w:r>
              <w:rPr>
                <w:rFonts w:ascii="Times New Roman" w:eastAsia="宋体" w:hAnsi="Times New Roman" w:cs="Times New Roman"/>
                <w:color w:val="000000"/>
                <w:kern w:val="0"/>
                <w:sz w:val="20"/>
                <w:szCs w:val="20"/>
                <w:lang w:bidi="ar"/>
              </w:rPr>
              <w:t>AAP adjustments: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7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7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7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7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7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7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7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7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7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7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7D" w14:textId="77777777" w:rsidR="003D72E7" w:rsidRDefault="003D72E7">
            <w:pPr>
              <w:widowControl/>
              <w:jc w:val="left"/>
              <w:rPr>
                <w:rFonts w:ascii="Times New Roman" w:eastAsia="宋体" w:hAnsi="宋体" w:cs="宋体"/>
                <w:kern w:val="0"/>
                <w:sz w:val="24"/>
              </w:rPr>
            </w:pPr>
          </w:p>
        </w:tc>
      </w:tr>
      <w:tr w:rsidR="003D72E7" w14:paraId="619DFB8F"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B7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intangibles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8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8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8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8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8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8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8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8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8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8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8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8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8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8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8E" w14:textId="77777777" w:rsidR="003D72E7" w:rsidRDefault="003D72E7">
            <w:pPr>
              <w:widowControl/>
              <w:jc w:val="right"/>
              <w:rPr>
                <w:rFonts w:ascii="Times New Roman" w:eastAsia="宋体" w:hAnsi="宋体" w:cs="宋体"/>
                <w:kern w:val="0"/>
                <w:sz w:val="24"/>
              </w:rPr>
            </w:pPr>
          </w:p>
        </w:tc>
      </w:tr>
      <w:tr w:rsidR="003D72E7" w14:paraId="619DFBA0"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B9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B9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B9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9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9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9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B9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B9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9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B9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B9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9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9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9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B9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B9F" w14:textId="77777777" w:rsidR="003D72E7" w:rsidRDefault="003D72E7">
            <w:pPr>
              <w:widowControl/>
              <w:jc w:val="right"/>
              <w:rPr>
                <w:rFonts w:ascii="Times New Roman" w:eastAsia="宋体" w:hAnsi="宋体" w:cs="宋体"/>
                <w:kern w:val="0"/>
                <w:sz w:val="24"/>
              </w:rPr>
            </w:pPr>
          </w:p>
        </w:tc>
      </w:tr>
      <w:tr w:rsidR="003D72E7" w14:paraId="619DFBAD" w14:textId="77777777">
        <w:trPr>
          <w:jc w:val="center"/>
          <w:hidden/>
        </w:trPr>
        <w:tc>
          <w:tcPr>
            <w:tcW w:w="0" w:type="auto"/>
            <w:gridSpan w:val="3"/>
            <w:tcBorders>
              <w:top w:val="nil"/>
              <w:left w:val="nil"/>
              <w:bottom w:val="nil"/>
              <w:right w:val="nil"/>
            </w:tcBorders>
            <w:shd w:val="clear" w:color="auto" w:fill="auto"/>
            <w:vAlign w:val="bottom"/>
          </w:tcPr>
          <w:p w14:paraId="619DFBA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A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A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A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A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A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A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A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A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A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A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BAC" w14:textId="77777777" w:rsidR="003D72E7" w:rsidRDefault="003D72E7">
            <w:pPr>
              <w:widowControl/>
              <w:jc w:val="left"/>
              <w:rPr>
                <w:rFonts w:ascii="Times New Roman" w:eastAsia="宋体" w:hAnsi="宋体" w:cs="宋体"/>
                <w:vanish/>
                <w:kern w:val="0"/>
                <w:sz w:val="24"/>
              </w:rPr>
            </w:pPr>
          </w:p>
        </w:tc>
      </w:tr>
      <w:tr w:rsidR="003D72E7" w14:paraId="619DFBBE"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BA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A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B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B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B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B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B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B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B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B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B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B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B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B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B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BD" w14:textId="77777777" w:rsidR="003D72E7" w:rsidRDefault="003D72E7">
            <w:pPr>
              <w:widowControl/>
              <w:jc w:val="right"/>
              <w:rPr>
                <w:rFonts w:ascii="Times New Roman" w:eastAsia="宋体" w:hAnsi="宋体" w:cs="宋体"/>
                <w:kern w:val="0"/>
                <w:sz w:val="24"/>
              </w:rPr>
            </w:pPr>
          </w:p>
        </w:tc>
      </w:tr>
      <w:tr w:rsidR="003D72E7" w14:paraId="619DFBCF"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BB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corporate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BC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BC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C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C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C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BC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BC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C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BC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BC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C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C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BC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BC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BCE" w14:textId="77777777" w:rsidR="003D72E7" w:rsidRDefault="003D72E7">
            <w:pPr>
              <w:widowControl/>
              <w:jc w:val="right"/>
              <w:rPr>
                <w:rFonts w:ascii="Times New Roman" w:eastAsia="宋体" w:hAnsi="宋体" w:cs="宋体"/>
                <w:kern w:val="0"/>
                <w:sz w:val="24"/>
              </w:rPr>
            </w:pPr>
          </w:p>
        </w:tc>
      </w:tr>
      <w:tr w:rsidR="003D72E7" w14:paraId="619DFBE6"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619DFBD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services gross margin</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FBD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BD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4,030 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BD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D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D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D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D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FBD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BD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3,835 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BD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D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FBD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BD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7,939 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BD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D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BE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BE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BE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FBE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BE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7,541 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BE5" w14:textId="77777777" w:rsidR="003D72E7" w:rsidRDefault="003D72E7">
            <w:pPr>
              <w:widowControl/>
              <w:jc w:val="right"/>
              <w:rPr>
                <w:rFonts w:ascii="Times New Roman" w:eastAsia="宋体" w:hAnsi="宋体" w:cs="宋体"/>
                <w:kern w:val="0"/>
                <w:sz w:val="24"/>
              </w:rPr>
            </w:pPr>
          </w:p>
        </w:tc>
      </w:tr>
    </w:tbl>
    <w:p w14:paraId="619DFBE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BE8"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BE9"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68</w:t>
      </w:r>
    </w:p>
    <w:p w14:paraId="619DFBEA"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BEB" w14:textId="77777777" w:rsidR="003D72E7" w:rsidRDefault="00AD6774">
      <w:pPr>
        <w:widowControl/>
        <w:jc w:val="center"/>
      </w:pPr>
      <w:r>
        <w:rPr>
          <w:rFonts w:ascii="宋体" w:eastAsia="宋体" w:hAnsi="宋体" w:cs="宋体"/>
          <w:kern w:val="0"/>
          <w:sz w:val="24"/>
        </w:rPr>
        <w:pict w14:anchorId="619E0DAF">
          <v:rect id="_x0000_i1092" style="width:6in;height:1.5pt" o:hralign="center" o:hrstd="t" o:hr="t" fillcolor="#a0a0a0" stroked="f"/>
        </w:pict>
      </w:r>
    </w:p>
    <w:p w14:paraId="619DFBEC"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2510"/>
        <w:gridCol w:w="40"/>
        <w:gridCol w:w="120"/>
        <w:gridCol w:w="705"/>
        <w:gridCol w:w="36"/>
        <w:gridCol w:w="36"/>
        <w:gridCol w:w="36"/>
        <w:gridCol w:w="36"/>
        <w:gridCol w:w="92"/>
        <w:gridCol w:w="595"/>
        <w:gridCol w:w="187"/>
        <w:gridCol w:w="36"/>
        <w:gridCol w:w="36"/>
        <w:gridCol w:w="36"/>
        <w:gridCol w:w="120"/>
        <w:gridCol w:w="705"/>
        <w:gridCol w:w="36"/>
        <w:gridCol w:w="36"/>
        <w:gridCol w:w="36"/>
        <w:gridCol w:w="36"/>
        <w:gridCol w:w="120"/>
        <w:gridCol w:w="705"/>
        <w:gridCol w:w="36"/>
        <w:gridCol w:w="36"/>
        <w:gridCol w:w="36"/>
        <w:gridCol w:w="36"/>
        <w:gridCol w:w="92"/>
        <w:gridCol w:w="595"/>
        <w:gridCol w:w="187"/>
        <w:gridCol w:w="36"/>
        <w:gridCol w:w="36"/>
        <w:gridCol w:w="36"/>
        <w:gridCol w:w="120"/>
        <w:gridCol w:w="707"/>
        <w:gridCol w:w="36"/>
      </w:tblGrid>
      <w:tr w:rsidR="003D72E7" w14:paraId="619DFC11" w14:textId="77777777">
        <w:trPr>
          <w:jc w:val="center"/>
        </w:trPr>
        <w:tc>
          <w:tcPr>
            <w:tcW w:w="50" w:type="pct"/>
            <w:tcBorders>
              <w:top w:val="nil"/>
              <w:left w:val="nil"/>
              <w:bottom w:val="nil"/>
              <w:right w:val="nil"/>
            </w:tcBorders>
            <w:shd w:val="clear" w:color="auto" w:fill="auto"/>
            <w:vAlign w:val="bottom"/>
          </w:tcPr>
          <w:p w14:paraId="619DFBED" w14:textId="77777777" w:rsidR="003D72E7" w:rsidRDefault="003D72E7">
            <w:pPr>
              <w:widowControl/>
              <w:jc w:val="left"/>
              <w:rPr>
                <w:rFonts w:ascii="Times New Roman" w:eastAsia="宋体" w:hAnsi="宋体" w:cs="宋体"/>
                <w:kern w:val="0"/>
                <w:sz w:val="24"/>
              </w:rPr>
            </w:pPr>
          </w:p>
        </w:tc>
        <w:tc>
          <w:tcPr>
            <w:tcW w:w="1699" w:type="pct"/>
            <w:tcBorders>
              <w:top w:val="nil"/>
              <w:left w:val="nil"/>
              <w:bottom w:val="nil"/>
              <w:right w:val="nil"/>
            </w:tcBorders>
            <w:shd w:val="clear" w:color="auto" w:fill="auto"/>
            <w:vAlign w:val="bottom"/>
          </w:tcPr>
          <w:p w14:paraId="619DFBE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BE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BF0" w14:textId="77777777" w:rsidR="003D72E7" w:rsidRDefault="003D72E7">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619DFBF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BF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BF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BF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BF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BF6" w14:textId="77777777" w:rsidR="003D72E7" w:rsidRDefault="003D72E7">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619DFBF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BF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BF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BF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BF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BFC" w14:textId="77777777" w:rsidR="003D72E7" w:rsidRDefault="003D72E7">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619DFBF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BF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BF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C0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C0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C02" w14:textId="77777777" w:rsidR="003D72E7" w:rsidRDefault="003D72E7">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619DFC0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C0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C05"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C0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C0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C08" w14:textId="77777777" w:rsidR="003D72E7" w:rsidRDefault="003D72E7">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619DFC0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C0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C0B"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C0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C0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C0E" w14:textId="77777777" w:rsidR="003D72E7" w:rsidRDefault="003D72E7">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619DFC0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C10" w14:textId="77777777" w:rsidR="003D72E7" w:rsidRDefault="003D72E7">
            <w:pPr>
              <w:widowControl/>
              <w:jc w:val="left"/>
              <w:rPr>
                <w:rFonts w:ascii="Times New Roman" w:eastAsia="宋体" w:hAnsi="宋体" w:cs="宋体"/>
                <w:kern w:val="0"/>
                <w:sz w:val="24"/>
              </w:rPr>
            </w:pPr>
          </w:p>
        </w:tc>
      </w:tr>
      <w:tr w:rsidR="003D72E7" w14:paraId="619DFC1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C12" w14:textId="77777777" w:rsidR="003D72E7" w:rsidRDefault="003D72E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19DFC1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C14" w14:textId="77777777" w:rsidR="003D72E7" w:rsidRDefault="003D72E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19DFC1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FC2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FC1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C1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C1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C1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C1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C1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FC1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C1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July 30, </w:t>
            </w:r>
            <w:r>
              <w:rPr>
                <w:rFonts w:ascii="Times New Roman" w:eastAsia="宋体" w:hAnsi="Times New Roman" w:cs="Times New Roman"/>
                <w:b/>
                <w:bCs/>
                <w:color w:val="000000"/>
                <w:kern w:val="0"/>
                <w:sz w:val="20"/>
                <w:szCs w:val="20"/>
                <w:lang w:bidi="ar"/>
              </w:rP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C1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C2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C2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C2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FC2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C24" w14:textId="77777777" w:rsidR="003D72E7" w:rsidRDefault="003D72E7">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DFC25"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percentages)</w:t>
            </w:r>
          </w:p>
        </w:tc>
      </w:tr>
      <w:tr w:rsidR="003D72E7" w14:paraId="619DFC3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C2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Gross margin</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C2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C2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7,985 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2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2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2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2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2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C2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C3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7,156 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3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3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C3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C3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15,643 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3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3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3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3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3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C3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C3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14,009 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3C" w14:textId="77777777" w:rsidR="003D72E7" w:rsidRDefault="003D72E7">
            <w:pPr>
              <w:widowControl/>
              <w:jc w:val="right"/>
              <w:rPr>
                <w:rFonts w:ascii="Times New Roman" w:eastAsia="宋体" w:hAnsi="宋体" w:cs="宋体"/>
                <w:kern w:val="0"/>
                <w:sz w:val="24"/>
              </w:rPr>
            </w:pPr>
          </w:p>
        </w:tc>
      </w:tr>
      <w:tr w:rsidR="003D72E7" w14:paraId="619DFC4A"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FC3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adjustments: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3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4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4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4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4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4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4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4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4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4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49" w14:textId="77777777" w:rsidR="003D72E7" w:rsidRDefault="003D72E7">
            <w:pPr>
              <w:widowControl/>
              <w:jc w:val="left"/>
              <w:rPr>
                <w:rFonts w:ascii="Times New Roman" w:eastAsia="宋体" w:hAnsi="宋体" w:cs="宋体"/>
                <w:kern w:val="0"/>
                <w:sz w:val="24"/>
              </w:rPr>
            </w:pPr>
          </w:p>
        </w:tc>
      </w:tr>
      <w:tr w:rsidR="003D72E7" w14:paraId="619DFC5B"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C4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intangibles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4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4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4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4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5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5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5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5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5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551 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5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5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5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5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5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747 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5A" w14:textId="77777777" w:rsidR="003D72E7" w:rsidRDefault="003D72E7">
            <w:pPr>
              <w:widowControl/>
              <w:jc w:val="right"/>
              <w:rPr>
                <w:rFonts w:ascii="Times New Roman" w:eastAsia="宋体" w:hAnsi="宋体" w:cs="宋体"/>
                <w:kern w:val="0"/>
                <w:sz w:val="24"/>
              </w:rPr>
            </w:pPr>
          </w:p>
        </w:tc>
      </w:tr>
      <w:tr w:rsidR="003D72E7" w14:paraId="619DFC6C"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C5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C5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C5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5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6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6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C6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C6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6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C6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C6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6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6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6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C6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C6B" w14:textId="77777777" w:rsidR="003D72E7" w:rsidRDefault="003D72E7">
            <w:pPr>
              <w:widowControl/>
              <w:jc w:val="right"/>
              <w:rPr>
                <w:rFonts w:ascii="Times New Roman" w:eastAsia="宋体" w:hAnsi="宋体" w:cs="宋体"/>
                <w:kern w:val="0"/>
                <w:sz w:val="24"/>
              </w:rPr>
            </w:pPr>
          </w:p>
        </w:tc>
      </w:tr>
      <w:tr w:rsidR="003D72E7" w14:paraId="619DFC79" w14:textId="77777777">
        <w:trPr>
          <w:jc w:val="center"/>
          <w:hidden/>
        </w:trPr>
        <w:tc>
          <w:tcPr>
            <w:tcW w:w="0" w:type="auto"/>
            <w:gridSpan w:val="3"/>
            <w:tcBorders>
              <w:top w:val="nil"/>
              <w:left w:val="nil"/>
              <w:bottom w:val="nil"/>
              <w:right w:val="nil"/>
            </w:tcBorders>
            <w:shd w:val="clear" w:color="auto" w:fill="auto"/>
            <w:vAlign w:val="bottom"/>
          </w:tcPr>
          <w:p w14:paraId="619DFC6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C6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C6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C7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C7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C7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C7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C7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C7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C7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C7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DFC78" w14:textId="77777777" w:rsidR="003D72E7" w:rsidRDefault="003D72E7">
            <w:pPr>
              <w:widowControl/>
              <w:jc w:val="left"/>
              <w:rPr>
                <w:rFonts w:ascii="Times New Roman" w:eastAsia="宋体" w:hAnsi="宋体" w:cs="宋体"/>
                <w:vanish/>
                <w:kern w:val="0"/>
                <w:sz w:val="24"/>
              </w:rPr>
            </w:pPr>
          </w:p>
        </w:tc>
      </w:tr>
      <w:tr w:rsidR="003D72E7" w14:paraId="619DFC8A"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C7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7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7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7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7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7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8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8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8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8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8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8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8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8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8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89" w14:textId="77777777" w:rsidR="003D72E7" w:rsidRDefault="003D72E7">
            <w:pPr>
              <w:widowControl/>
              <w:jc w:val="right"/>
              <w:rPr>
                <w:rFonts w:ascii="Times New Roman" w:eastAsia="宋体" w:hAnsi="宋体" w:cs="宋体"/>
                <w:kern w:val="0"/>
                <w:sz w:val="24"/>
              </w:rPr>
            </w:pPr>
          </w:p>
        </w:tc>
      </w:tr>
      <w:tr w:rsidR="003D72E7" w14:paraId="619DFC9B"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C8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corporate expenses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C8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C8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8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8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9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C9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C9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9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C9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C9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9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9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9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C9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C9A" w14:textId="77777777" w:rsidR="003D72E7" w:rsidRDefault="003D72E7">
            <w:pPr>
              <w:widowControl/>
              <w:jc w:val="right"/>
              <w:rPr>
                <w:rFonts w:ascii="Times New Roman" w:eastAsia="宋体" w:hAnsi="宋体" w:cs="宋体"/>
                <w:kern w:val="0"/>
                <w:sz w:val="24"/>
              </w:rPr>
            </w:pPr>
          </w:p>
        </w:tc>
      </w:tr>
      <w:tr w:rsidR="003D72E7" w14:paraId="619DFCB2" w14:textId="77777777">
        <w:trPr>
          <w:jc w:val="center"/>
        </w:trPr>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619DFC9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gross margin</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C9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FC9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8,342 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FC9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A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A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A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A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CA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FCA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7,626 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FCA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A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CA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FCA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16,360 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FCA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A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A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A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AE"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CA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FCB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14,951 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FCB1" w14:textId="77777777" w:rsidR="003D72E7" w:rsidRDefault="003D72E7">
            <w:pPr>
              <w:widowControl/>
              <w:jc w:val="right"/>
              <w:rPr>
                <w:rFonts w:ascii="Times New Roman" w:eastAsia="宋体" w:hAnsi="宋体" w:cs="宋体"/>
                <w:kern w:val="0"/>
                <w:sz w:val="24"/>
              </w:rPr>
            </w:pPr>
          </w:p>
        </w:tc>
      </w:tr>
      <w:tr w:rsidR="003D72E7" w14:paraId="619DFCBF"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B3"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CB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B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B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B7"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CB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B9"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CB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B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B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BD"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CBE" w14:textId="77777777" w:rsidR="003D72E7" w:rsidRDefault="003D72E7">
            <w:pPr>
              <w:widowControl/>
              <w:jc w:val="left"/>
              <w:rPr>
                <w:rFonts w:ascii="Times New Roman" w:eastAsia="宋体" w:hAnsi="宋体" w:cs="宋体"/>
                <w:kern w:val="0"/>
                <w:sz w:val="24"/>
              </w:rPr>
            </w:pPr>
          </w:p>
        </w:tc>
      </w:tr>
      <w:tr w:rsidR="003D72E7" w14:paraId="619DFCD6"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CC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expenses</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CC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CC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6,613 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C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C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C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C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C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CC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CC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6,020 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C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C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CC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CC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12,896 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C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C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D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D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D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CD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CD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12,171 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D5" w14:textId="77777777" w:rsidR="003D72E7" w:rsidRDefault="003D72E7">
            <w:pPr>
              <w:widowControl/>
              <w:jc w:val="right"/>
              <w:rPr>
                <w:rFonts w:ascii="Times New Roman" w:eastAsia="宋体" w:hAnsi="宋体" w:cs="宋体"/>
                <w:kern w:val="0"/>
                <w:sz w:val="24"/>
              </w:rPr>
            </w:pPr>
          </w:p>
        </w:tc>
      </w:tr>
      <w:tr w:rsidR="003D72E7" w14:paraId="619DFCE3"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FCD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w:t>
            </w:r>
            <w:r>
              <w:rPr>
                <w:rFonts w:ascii="Times New Roman" w:eastAsia="宋体" w:hAnsi="Times New Roman" w:cs="Times New Roman"/>
                <w:color w:val="000000"/>
                <w:kern w:val="0"/>
                <w:sz w:val="20"/>
                <w:szCs w:val="20"/>
                <w:lang w:bidi="ar"/>
              </w:rPr>
              <w:t>AAP adjustments: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D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D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D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D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D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D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D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D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E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E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E2" w14:textId="77777777" w:rsidR="003D72E7" w:rsidRDefault="003D72E7">
            <w:pPr>
              <w:widowControl/>
              <w:jc w:val="left"/>
              <w:rPr>
                <w:rFonts w:ascii="Times New Roman" w:eastAsia="宋体" w:hAnsi="宋体" w:cs="宋体"/>
                <w:kern w:val="0"/>
                <w:sz w:val="24"/>
              </w:rPr>
            </w:pPr>
          </w:p>
        </w:tc>
      </w:tr>
      <w:tr w:rsidR="003D72E7" w14:paraId="619DFCF4"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CE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intangibles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E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(436)</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E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E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E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E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E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(472)</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E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E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E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(869)</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E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E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F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CF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CF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(955)</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CF3" w14:textId="77777777" w:rsidR="003D72E7" w:rsidRDefault="003D72E7">
            <w:pPr>
              <w:widowControl/>
              <w:jc w:val="right"/>
              <w:rPr>
                <w:rFonts w:ascii="Times New Roman" w:eastAsia="宋体" w:hAnsi="宋体" w:cs="宋体"/>
                <w:kern w:val="0"/>
                <w:sz w:val="24"/>
              </w:rPr>
            </w:pPr>
          </w:p>
        </w:tc>
      </w:tr>
      <w:tr w:rsidR="003D72E7" w14:paraId="619DFD05"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CF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CF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CF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F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F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F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CF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CF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CF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CF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CF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0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0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0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0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04" w14:textId="77777777" w:rsidR="003D72E7" w:rsidRDefault="003D72E7">
            <w:pPr>
              <w:widowControl/>
              <w:jc w:val="right"/>
              <w:rPr>
                <w:rFonts w:ascii="Times New Roman" w:eastAsia="宋体" w:hAnsi="宋体" w:cs="宋体"/>
                <w:kern w:val="0"/>
                <w:sz w:val="24"/>
              </w:rPr>
            </w:pPr>
          </w:p>
        </w:tc>
      </w:tr>
      <w:tr w:rsidR="003D72E7" w14:paraId="619DFD16"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D0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Transaction-related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0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(60)</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0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0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0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0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0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(83)</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0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0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0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(111)</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1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1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1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1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1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(159)</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15" w14:textId="77777777" w:rsidR="003D72E7" w:rsidRDefault="003D72E7">
            <w:pPr>
              <w:widowControl/>
              <w:jc w:val="right"/>
              <w:rPr>
                <w:rFonts w:ascii="Times New Roman" w:eastAsia="宋体" w:hAnsi="宋体" w:cs="宋体"/>
                <w:kern w:val="0"/>
                <w:sz w:val="24"/>
              </w:rPr>
            </w:pPr>
          </w:p>
        </w:tc>
      </w:tr>
      <w:tr w:rsidR="003D72E7" w14:paraId="619DFD27"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D1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1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(436)</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1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1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1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1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1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(363)</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1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1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2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(813)</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2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2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2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2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2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(693)</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26" w14:textId="77777777" w:rsidR="003D72E7" w:rsidRDefault="003D72E7">
            <w:pPr>
              <w:widowControl/>
              <w:jc w:val="right"/>
              <w:rPr>
                <w:rFonts w:ascii="Times New Roman" w:eastAsia="宋体" w:hAnsi="宋体" w:cs="宋体"/>
                <w:kern w:val="0"/>
                <w:sz w:val="24"/>
              </w:rPr>
            </w:pPr>
          </w:p>
        </w:tc>
      </w:tr>
      <w:tr w:rsidR="003D72E7" w14:paraId="619DFD38"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D2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corporate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2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(142)</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2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2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2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2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2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(84)</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2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3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3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(248)</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3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3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3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3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3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(170)</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37" w14:textId="77777777" w:rsidR="003D72E7" w:rsidRDefault="003D72E7">
            <w:pPr>
              <w:widowControl/>
              <w:jc w:val="right"/>
              <w:rPr>
                <w:rFonts w:ascii="Times New Roman" w:eastAsia="宋体" w:hAnsi="宋体" w:cs="宋体"/>
                <w:kern w:val="0"/>
                <w:sz w:val="24"/>
              </w:rPr>
            </w:pPr>
          </w:p>
        </w:tc>
      </w:tr>
      <w:tr w:rsidR="003D72E7" w14:paraId="619DFD4F" w14:textId="77777777">
        <w:trPr>
          <w:jc w:val="center"/>
        </w:trPr>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619DFD3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Non-GAAP </w:t>
            </w:r>
            <w:r>
              <w:rPr>
                <w:rFonts w:ascii="Times New Roman" w:eastAsia="宋体" w:hAnsi="Times New Roman" w:cs="Times New Roman"/>
                <w:color w:val="000000"/>
                <w:kern w:val="0"/>
                <w:sz w:val="20"/>
                <w:szCs w:val="20"/>
                <w:lang w:bidi="ar"/>
              </w:rPr>
              <w:t>operating expenses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FD3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D3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5,531 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D3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3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3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3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4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FD4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D4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5,008 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D4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4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FD4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D4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10,835 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D4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4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4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4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4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DFD4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D4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10,172 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D4E" w14:textId="77777777" w:rsidR="003D72E7" w:rsidRDefault="003D72E7">
            <w:pPr>
              <w:widowControl/>
              <w:jc w:val="right"/>
              <w:rPr>
                <w:rFonts w:ascii="Times New Roman" w:eastAsia="宋体" w:hAnsi="宋体" w:cs="宋体"/>
                <w:kern w:val="0"/>
                <w:sz w:val="24"/>
              </w:rPr>
            </w:pPr>
          </w:p>
        </w:tc>
      </w:tr>
      <w:tr w:rsidR="003D72E7" w14:paraId="619DFD5C" w14:textId="77777777">
        <w:trPr>
          <w:trHeight w:val="30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50"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D5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5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5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54"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D5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56"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D5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5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5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5A"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D5B" w14:textId="77777777" w:rsidR="003D72E7" w:rsidRDefault="003D72E7">
            <w:pPr>
              <w:widowControl/>
              <w:jc w:val="left"/>
              <w:rPr>
                <w:rFonts w:ascii="Times New Roman" w:eastAsia="宋体" w:hAnsi="宋体" w:cs="宋体"/>
                <w:kern w:val="0"/>
                <w:sz w:val="24"/>
              </w:rPr>
            </w:pPr>
          </w:p>
        </w:tc>
      </w:tr>
      <w:tr w:rsidR="003D72E7" w14:paraId="619DFD7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D5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D5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D5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1,372 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6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6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6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6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6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D6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D6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1,136 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6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6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D6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D6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2,747 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6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6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6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6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6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DFD7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DFD7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1,838 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72" w14:textId="77777777" w:rsidR="003D72E7" w:rsidRDefault="003D72E7">
            <w:pPr>
              <w:widowControl/>
              <w:jc w:val="right"/>
              <w:rPr>
                <w:rFonts w:ascii="Times New Roman" w:eastAsia="宋体" w:hAnsi="宋体" w:cs="宋体"/>
                <w:kern w:val="0"/>
                <w:sz w:val="24"/>
              </w:rPr>
            </w:pPr>
          </w:p>
        </w:tc>
      </w:tr>
      <w:tr w:rsidR="003D72E7" w14:paraId="619DFD80"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FD7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adjustments: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7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7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7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7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7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7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7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7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7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7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7F" w14:textId="77777777" w:rsidR="003D72E7" w:rsidRDefault="003D72E7">
            <w:pPr>
              <w:widowControl/>
              <w:jc w:val="left"/>
              <w:rPr>
                <w:rFonts w:ascii="Times New Roman" w:eastAsia="宋体" w:hAnsi="宋体" w:cs="宋体"/>
                <w:kern w:val="0"/>
                <w:sz w:val="24"/>
              </w:rPr>
            </w:pPr>
          </w:p>
        </w:tc>
      </w:tr>
      <w:tr w:rsidR="003D72E7" w14:paraId="619DFD91"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D8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intangibles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8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711 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8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8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8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8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8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847 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8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8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8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1,420 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8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8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8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8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8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1,702 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90" w14:textId="77777777" w:rsidR="003D72E7" w:rsidRDefault="003D72E7">
            <w:pPr>
              <w:widowControl/>
              <w:jc w:val="right"/>
              <w:rPr>
                <w:rFonts w:ascii="Times New Roman" w:eastAsia="宋体" w:hAnsi="宋体" w:cs="宋体"/>
                <w:kern w:val="0"/>
                <w:sz w:val="24"/>
              </w:rPr>
            </w:pPr>
          </w:p>
        </w:tc>
      </w:tr>
      <w:tr w:rsidR="003D72E7" w14:paraId="619DFDA2"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D9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9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9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9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9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9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9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9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9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9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9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9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9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9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A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A1" w14:textId="77777777" w:rsidR="003D72E7" w:rsidRDefault="003D72E7">
            <w:pPr>
              <w:widowControl/>
              <w:jc w:val="right"/>
              <w:rPr>
                <w:rFonts w:ascii="Times New Roman" w:eastAsia="宋体" w:hAnsi="宋体" w:cs="宋体"/>
                <w:kern w:val="0"/>
                <w:sz w:val="24"/>
              </w:rPr>
            </w:pPr>
          </w:p>
        </w:tc>
      </w:tr>
      <w:tr w:rsidR="003D72E7" w14:paraId="619DFDB3"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DA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Transaction-related expenses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A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A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A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A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A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A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A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A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A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A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A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A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B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B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B2" w14:textId="77777777" w:rsidR="003D72E7" w:rsidRDefault="003D72E7">
            <w:pPr>
              <w:widowControl/>
              <w:jc w:val="right"/>
              <w:rPr>
                <w:rFonts w:ascii="Times New Roman" w:eastAsia="宋体" w:hAnsi="宋体" w:cs="宋体"/>
                <w:kern w:val="0"/>
                <w:sz w:val="24"/>
              </w:rPr>
            </w:pPr>
          </w:p>
        </w:tc>
      </w:tr>
      <w:tr w:rsidR="003D72E7" w14:paraId="619DFDC4"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DB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B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499 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B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B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B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B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B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413 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B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B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B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934 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B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B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C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C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C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783 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C3" w14:textId="77777777" w:rsidR="003D72E7" w:rsidRDefault="003D72E7">
            <w:pPr>
              <w:widowControl/>
              <w:jc w:val="right"/>
              <w:rPr>
                <w:rFonts w:ascii="Times New Roman" w:eastAsia="宋体" w:hAnsi="宋体" w:cs="宋体"/>
                <w:kern w:val="0"/>
                <w:sz w:val="24"/>
              </w:rPr>
            </w:pPr>
          </w:p>
        </w:tc>
      </w:tr>
      <w:tr w:rsidR="003D72E7" w14:paraId="619DFDD5"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DC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corporate expenses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C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C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C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C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C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C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C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C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C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C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D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D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D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DD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DD4" w14:textId="77777777" w:rsidR="003D72E7" w:rsidRDefault="003D72E7">
            <w:pPr>
              <w:widowControl/>
              <w:jc w:val="right"/>
              <w:rPr>
                <w:rFonts w:ascii="Times New Roman" w:eastAsia="宋体" w:hAnsi="宋体" w:cs="宋体"/>
                <w:kern w:val="0"/>
                <w:sz w:val="24"/>
              </w:rPr>
            </w:pPr>
          </w:p>
        </w:tc>
      </w:tr>
      <w:tr w:rsidR="003D72E7" w14:paraId="619DFDEC" w14:textId="77777777">
        <w:trPr>
          <w:jc w:val="center"/>
        </w:trPr>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619DFDD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operating income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DD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FDD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2,811 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FDD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D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D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D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D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DD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FDD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2,618 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FDE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E1"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DE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FDE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5,525 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FDE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E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E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E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E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DFDE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center"/>
          </w:tcPr>
          <w:p w14:paraId="619DFDE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4,779 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619DFDEB" w14:textId="77777777" w:rsidR="003D72E7" w:rsidRDefault="003D72E7">
            <w:pPr>
              <w:widowControl/>
              <w:jc w:val="right"/>
              <w:rPr>
                <w:rFonts w:ascii="Times New Roman" w:eastAsia="宋体" w:hAnsi="宋体" w:cs="宋体"/>
                <w:kern w:val="0"/>
                <w:sz w:val="24"/>
              </w:rPr>
            </w:pPr>
          </w:p>
        </w:tc>
      </w:tr>
      <w:tr w:rsidR="003D72E7" w14:paraId="619DFDF9" w14:textId="77777777">
        <w:trPr>
          <w:trHeight w:val="300"/>
          <w:jc w:val="center"/>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ED"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DE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E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F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F1"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DF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F3"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DF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F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F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DF7"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619DFDF8" w14:textId="77777777" w:rsidR="003D72E7" w:rsidRDefault="003D72E7">
            <w:pPr>
              <w:widowControl/>
              <w:jc w:val="left"/>
              <w:rPr>
                <w:rFonts w:ascii="Times New Roman" w:eastAsia="宋体" w:hAnsi="宋体" w:cs="宋体"/>
                <w:kern w:val="0"/>
                <w:sz w:val="24"/>
              </w:rPr>
            </w:pPr>
          </w:p>
        </w:tc>
      </w:tr>
      <w:tr w:rsidR="003D72E7" w14:paraId="619DFE1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DF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w:t>
            </w: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DF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DF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880 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DF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DF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DF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0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0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E0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E0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1,099 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0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0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E0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E0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1,818 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0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0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E0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0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0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center"/>
          </w:tcPr>
          <w:p w14:paraId="619DFE0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center"/>
          </w:tcPr>
          <w:p w14:paraId="619DFE0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1,281 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0F" w14:textId="77777777" w:rsidR="003D72E7" w:rsidRDefault="003D72E7">
            <w:pPr>
              <w:widowControl/>
              <w:jc w:val="right"/>
              <w:rPr>
                <w:rFonts w:ascii="Times New Roman" w:eastAsia="宋体" w:hAnsi="宋体" w:cs="宋体"/>
                <w:kern w:val="0"/>
                <w:sz w:val="24"/>
              </w:rPr>
            </w:pPr>
          </w:p>
        </w:tc>
      </w:tr>
      <w:tr w:rsidR="003D72E7" w14:paraId="619DFE1D"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FE1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adjustments: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1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1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1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1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1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1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1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1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1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1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1C" w14:textId="77777777" w:rsidR="003D72E7" w:rsidRDefault="003D72E7">
            <w:pPr>
              <w:widowControl/>
              <w:jc w:val="left"/>
              <w:rPr>
                <w:rFonts w:ascii="Times New Roman" w:eastAsia="宋体" w:hAnsi="宋体" w:cs="宋体"/>
                <w:kern w:val="0"/>
                <w:sz w:val="24"/>
              </w:rPr>
            </w:pPr>
          </w:p>
        </w:tc>
      </w:tr>
      <w:tr w:rsidR="003D72E7" w14:paraId="619DFE2E"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E1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Amortization of intangibles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E1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711 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2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2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2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2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E2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847 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2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2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E2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1,420 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2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2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2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2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E2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1,702 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2D" w14:textId="77777777" w:rsidR="003D72E7" w:rsidRDefault="003D72E7">
            <w:pPr>
              <w:widowControl/>
              <w:jc w:val="right"/>
              <w:rPr>
                <w:rFonts w:ascii="Times New Roman" w:eastAsia="宋体" w:hAnsi="宋体" w:cs="宋体"/>
                <w:kern w:val="0"/>
                <w:sz w:val="24"/>
              </w:rPr>
            </w:pPr>
          </w:p>
        </w:tc>
      </w:tr>
      <w:tr w:rsidR="003D72E7" w14:paraId="619DFE3F"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E2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E3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E3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3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3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3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E3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E3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3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E3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E3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3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3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3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E3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E3E" w14:textId="77777777" w:rsidR="003D72E7" w:rsidRDefault="003D72E7">
            <w:pPr>
              <w:widowControl/>
              <w:jc w:val="right"/>
              <w:rPr>
                <w:rFonts w:ascii="Times New Roman" w:eastAsia="宋体" w:hAnsi="宋体" w:cs="宋体"/>
                <w:kern w:val="0"/>
                <w:sz w:val="24"/>
              </w:rPr>
            </w:pPr>
          </w:p>
        </w:tc>
      </w:tr>
      <w:tr w:rsidR="003D72E7" w14:paraId="619DFE50"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E4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Transaction-related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E4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4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4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4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4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E4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4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4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E4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4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4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4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4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E4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4F" w14:textId="77777777" w:rsidR="003D72E7" w:rsidRDefault="003D72E7">
            <w:pPr>
              <w:widowControl/>
              <w:jc w:val="right"/>
              <w:rPr>
                <w:rFonts w:ascii="Times New Roman" w:eastAsia="宋体" w:hAnsi="宋体" w:cs="宋体"/>
                <w:kern w:val="0"/>
                <w:sz w:val="24"/>
              </w:rPr>
            </w:pPr>
          </w:p>
        </w:tc>
      </w:tr>
      <w:tr w:rsidR="003D72E7" w14:paraId="619DFE61"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E5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E5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499 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E5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5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5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5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E5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413 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E5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5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E5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934 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E5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5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5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5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E5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783 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E60" w14:textId="77777777" w:rsidR="003D72E7" w:rsidRDefault="003D72E7">
            <w:pPr>
              <w:widowControl/>
              <w:jc w:val="right"/>
              <w:rPr>
                <w:rFonts w:ascii="Times New Roman" w:eastAsia="宋体" w:hAnsi="宋体" w:cs="宋体"/>
                <w:kern w:val="0"/>
                <w:sz w:val="24"/>
              </w:rPr>
            </w:pPr>
          </w:p>
        </w:tc>
      </w:tr>
      <w:tr w:rsidR="003D72E7" w14:paraId="619DFE72"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E6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corporate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E6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6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6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6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6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E6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6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6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E6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268 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6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6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6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6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E7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71" w14:textId="77777777" w:rsidR="003D72E7" w:rsidRDefault="003D72E7">
            <w:pPr>
              <w:widowControl/>
              <w:jc w:val="right"/>
              <w:rPr>
                <w:rFonts w:ascii="Times New Roman" w:eastAsia="宋体" w:hAnsi="宋体" w:cs="宋体"/>
                <w:kern w:val="0"/>
                <w:sz w:val="24"/>
              </w:rPr>
            </w:pPr>
          </w:p>
        </w:tc>
      </w:tr>
      <w:tr w:rsidR="003D72E7" w14:paraId="619DFE83"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E7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Fair value adjustments on</w:t>
            </w:r>
            <w:r>
              <w:rPr>
                <w:rFonts w:ascii="Times New Roman" w:eastAsia="宋体" w:hAnsi="Times New Roman" w:cs="Times New Roman"/>
                <w:color w:val="000000"/>
                <w:kern w:val="0"/>
                <w:sz w:val="20"/>
                <w:szCs w:val="20"/>
                <w:lang w:bidi="ar"/>
              </w:rPr>
              <w:t xml:space="preserve"> equity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E7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E7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7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7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7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E7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E7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7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E7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E7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7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7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8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E8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E82" w14:textId="77777777" w:rsidR="003D72E7" w:rsidRDefault="003D72E7">
            <w:pPr>
              <w:widowControl/>
              <w:jc w:val="right"/>
              <w:rPr>
                <w:rFonts w:ascii="Times New Roman" w:eastAsia="宋体" w:hAnsi="宋体" w:cs="宋体"/>
                <w:kern w:val="0"/>
                <w:sz w:val="24"/>
              </w:rPr>
            </w:pPr>
          </w:p>
        </w:tc>
      </w:tr>
      <w:tr w:rsidR="003D72E7" w14:paraId="619DFE94"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E8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Aggregate adjustment for income taxes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E8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(228)</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8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8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8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8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E8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(952)</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8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8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E8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(529)</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8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8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9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9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DFE9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(1,236)</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DFE93" w14:textId="77777777" w:rsidR="003D72E7" w:rsidRDefault="003D72E7">
            <w:pPr>
              <w:widowControl/>
              <w:jc w:val="right"/>
              <w:rPr>
                <w:rFonts w:ascii="Times New Roman" w:eastAsia="宋体" w:hAnsi="宋体" w:cs="宋体"/>
                <w:kern w:val="0"/>
                <w:sz w:val="24"/>
              </w:rPr>
            </w:pPr>
          </w:p>
        </w:tc>
      </w:tr>
      <w:tr w:rsidR="003D72E7" w14:paraId="619DFEAB" w14:textId="77777777">
        <w:trPr>
          <w:jc w:val="center"/>
        </w:trPr>
        <w:tc>
          <w:tcPr>
            <w:tcW w:w="0" w:type="auto"/>
            <w:gridSpan w:val="3"/>
            <w:tcBorders>
              <w:top w:val="nil"/>
              <w:left w:val="nil"/>
              <w:bottom w:val="nil"/>
              <w:right w:val="nil"/>
            </w:tcBorders>
            <w:shd w:val="clear" w:color="auto" w:fill="FFFFFF"/>
            <w:tcMar>
              <w:top w:w="40" w:type="dxa"/>
              <w:left w:w="485" w:type="dxa"/>
              <w:bottom w:w="40" w:type="dxa"/>
              <w:right w:w="20" w:type="dxa"/>
            </w:tcMar>
            <w:vAlign w:val="bottom"/>
          </w:tcPr>
          <w:p w14:paraId="619DFE9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net income</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FE9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E9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1,911 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E9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9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E9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E9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9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FE9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E9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1,621 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E9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A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FEA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EA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3,730 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EA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A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DFEA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DFEA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EA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DFEA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DFEA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2,764 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DFEAA" w14:textId="77777777" w:rsidR="003D72E7" w:rsidRDefault="003D72E7">
            <w:pPr>
              <w:widowControl/>
              <w:jc w:val="right"/>
              <w:rPr>
                <w:rFonts w:ascii="Times New Roman" w:eastAsia="宋体" w:hAnsi="宋体" w:cs="宋体"/>
                <w:kern w:val="0"/>
                <w:sz w:val="24"/>
              </w:rPr>
            </w:pPr>
          </w:p>
        </w:tc>
      </w:tr>
    </w:tbl>
    <w:p w14:paraId="619DFEAC" w14:textId="77777777" w:rsidR="003D72E7" w:rsidRDefault="00AD6774">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EA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EA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69</w:t>
      </w:r>
    </w:p>
    <w:p w14:paraId="619DFEA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EB0" w14:textId="77777777" w:rsidR="003D72E7" w:rsidRDefault="00AD6774">
      <w:pPr>
        <w:widowControl/>
        <w:jc w:val="center"/>
      </w:pPr>
      <w:r>
        <w:rPr>
          <w:rFonts w:ascii="宋体" w:eastAsia="宋体" w:hAnsi="宋体" w:cs="宋体"/>
          <w:kern w:val="0"/>
          <w:sz w:val="24"/>
        </w:rPr>
        <w:pict w14:anchorId="619E0DB0">
          <v:rect id="_x0000_i1093" style="width:6in;height:1.5pt" o:hralign="center" o:hrstd="t" o:hr="t" fillcolor="#a0a0a0" stroked="f"/>
        </w:pict>
      </w:r>
    </w:p>
    <w:p w14:paraId="619DFEB1"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EB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addition to the above </w:t>
      </w:r>
      <w:r>
        <w:rPr>
          <w:rFonts w:ascii="Times New Roman" w:eastAsia="宋体" w:hAnsi="Times New Roman" w:cs="Times New Roman"/>
          <w:color w:val="000000"/>
          <w:kern w:val="0"/>
          <w:sz w:val="20"/>
          <w:szCs w:val="20"/>
          <w:lang w:bidi="ar"/>
        </w:rPr>
        <w:t>measures, we also use EBITDA and adjusted EBITDA to provide additional information for evaluation of our operating performance. Adjusted EBITDA excludes purchase accounting adjustments, stock-based compensation expense, transaction-related expenses, and ot</w:t>
      </w:r>
      <w:r>
        <w:rPr>
          <w:rFonts w:ascii="Times New Roman" w:eastAsia="宋体" w:hAnsi="Times New Roman" w:cs="Times New Roman"/>
          <w:color w:val="000000"/>
          <w:kern w:val="0"/>
          <w:sz w:val="20"/>
          <w:szCs w:val="20"/>
          <w:lang w:bidi="ar"/>
        </w:rPr>
        <w:t>her corporate expenses. Due to the nature of these transactions, we believe that it is appropriate to exclude these items.</w:t>
      </w:r>
    </w:p>
    <w:p w14:paraId="619DFEB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EB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is the case with the non-GAAP measures presented above, users should consider the limitations of using EBITDA and adjusted EBITD</w:t>
      </w:r>
      <w:r>
        <w:rPr>
          <w:rFonts w:ascii="Times New Roman" w:eastAsia="宋体" w:hAnsi="Times New Roman" w:cs="Times New Roman"/>
          <w:color w:val="000000"/>
          <w:kern w:val="0"/>
          <w:sz w:val="20"/>
          <w:szCs w:val="20"/>
          <w:lang w:bidi="ar"/>
        </w:rPr>
        <w:t>A, including the fact that those measures do not provide a complete measure of our operating performance. EBITDA and adjusted EBITDA do not purport to be alternatives to net income (loss) as measures of operating performance or to cash flows from operating</w:t>
      </w:r>
      <w:r>
        <w:rPr>
          <w:rFonts w:ascii="Times New Roman" w:eastAsia="宋体" w:hAnsi="Times New Roman" w:cs="Times New Roman"/>
          <w:color w:val="000000"/>
          <w:kern w:val="0"/>
          <w:sz w:val="20"/>
          <w:szCs w:val="20"/>
          <w:lang w:bidi="ar"/>
        </w:rPr>
        <w:t xml:space="preserve"> activities as a measure of liquidity. In particular, EBITDA and adjusted EBITDA are not intended to be a measure of free cash flow available for management’s discretionary use, as these measures do not consider certain cash requirements, such as working c</w:t>
      </w:r>
      <w:r>
        <w:rPr>
          <w:rFonts w:ascii="Times New Roman" w:eastAsia="宋体" w:hAnsi="Times New Roman" w:cs="Times New Roman"/>
          <w:color w:val="000000"/>
          <w:kern w:val="0"/>
          <w:sz w:val="20"/>
          <w:szCs w:val="20"/>
          <w:lang w:bidi="ar"/>
        </w:rPr>
        <w:t>apital needs, capital expenditures, contractual commitments, interest payments, tax payments, and other debt service requirements.</w:t>
      </w:r>
    </w:p>
    <w:p w14:paraId="619DFEB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EB6"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table below presents a reconciliation of EBITDA and adjusted EBITDA to net income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2511"/>
        <w:gridCol w:w="39"/>
        <w:gridCol w:w="120"/>
        <w:gridCol w:w="705"/>
        <w:gridCol w:w="36"/>
        <w:gridCol w:w="36"/>
        <w:gridCol w:w="36"/>
        <w:gridCol w:w="36"/>
        <w:gridCol w:w="92"/>
        <w:gridCol w:w="595"/>
        <w:gridCol w:w="187"/>
        <w:gridCol w:w="36"/>
        <w:gridCol w:w="36"/>
        <w:gridCol w:w="36"/>
        <w:gridCol w:w="120"/>
        <w:gridCol w:w="705"/>
        <w:gridCol w:w="36"/>
        <w:gridCol w:w="36"/>
        <w:gridCol w:w="36"/>
        <w:gridCol w:w="36"/>
        <w:gridCol w:w="120"/>
        <w:gridCol w:w="705"/>
        <w:gridCol w:w="36"/>
        <w:gridCol w:w="36"/>
        <w:gridCol w:w="36"/>
        <w:gridCol w:w="36"/>
        <w:gridCol w:w="92"/>
        <w:gridCol w:w="595"/>
        <w:gridCol w:w="187"/>
        <w:gridCol w:w="36"/>
        <w:gridCol w:w="36"/>
        <w:gridCol w:w="36"/>
        <w:gridCol w:w="120"/>
        <w:gridCol w:w="707"/>
        <w:gridCol w:w="36"/>
      </w:tblGrid>
      <w:tr w:rsidR="003D72E7" w14:paraId="619DFEDB" w14:textId="77777777">
        <w:trPr>
          <w:jc w:val="center"/>
        </w:trPr>
        <w:tc>
          <w:tcPr>
            <w:tcW w:w="50" w:type="pct"/>
            <w:tcBorders>
              <w:top w:val="nil"/>
              <w:left w:val="nil"/>
              <w:bottom w:val="nil"/>
              <w:right w:val="nil"/>
            </w:tcBorders>
            <w:shd w:val="clear" w:color="auto" w:fill="auto"/>
            <w:vAlign w:val="bottom"/>
          </w:tcPr>
          <w:p w14:paraId="619DFEB7" w14:textId="77777777" w:rsidR="003D72E7" w:rsidRDefault="003D72E7">
            <w:pPr>
              <w:widowControl/>
              <w:jc w:val="left"/>
              <w:rPr>
                <w:rFonts w:ascii="Times New Roman" w:eastAsia="宋体" w:hAnsi="宋体" w:cs="宋体"/>
                <w:kern w:val="0"/>
                <w:sz w:val="24"/>
              </w:rPr>
            </w:pPr>
          </w:p>
        </w:tc>
        <w:tc>
          <w:tcPr>
            <w:tcW w:w="1699" w:type="pct"/>
            <w:tcBorders>
              <w:top w:val="nil"/>
              <w:left w:val="nil"/>
              <w:bottom w:val="nil"/>
              <w:right w:val="nil"/>
            </w:tcBorders>
            <w:shd w:val="clear" w:color="auto" w:fill="auto"/>
            <w:vAlign w:val="bottom"/>
          </w:tcPr>
          <w:p w14:paraId="619DFEB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EB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EBA" w14:textId="77777777" w:rsidR="003D72E7" w:rsidRDefault="003D72E7">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619DFEB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EB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EBD"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EB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EB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EC0" w14:textId="77777777" w:rsidR="003D72E7" w:rsidRDefault="003D72E7">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619DFEC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EC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EC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EC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EC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EC6" w14:textId="77777777" w:rsidR="003D72E7" w:rsidRDefault="003D72E7">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619DFEC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EC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EC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EC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EC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ECC" w14:textId="77777777" w:rsidR="003D72E7" w:rsidRDefault="003D72E7">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619DFEC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EC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EC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ED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ED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ED2" w14:textId="77777777" w:rsidR="003D72E7" w:rsidRDefault="003D72E7">
            <w:pPr>
              <w:widowControl/>
              <w:jc w:val="left"/>
              <w:rPr>
                <w:rFonts w:ascii="Times New Roman" w:eastAsia="宋体" w:hAnsi="宋体" w:cs="宋体"/>
                <w:kern w:val="0"/>
                <w:sz w:val="24"/>
              </w:rPr>
            </w:pPr>
          </w:p>
        </w:tc>
        <w:tc>
          <w:tcPr>
            <w:tcW w:w="325" w:type="pct"/>
            <w:tcBorders>
              <w:top w:val="nil"/>
              <w:left w:val="nil"/>
              <w:bottom w:val="nil"/>
              <w:right w:val="nil"/>
            </w:tcBorders>
            <w:shd w:val="clear" w:color="auto" w:fill="auto"/>
            <w:vAlign w:val="bottom"/>
          </w:tcPr>
          <w:p w14:paraId="619DFED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ED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ED5"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DFED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ED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ED8" w14:textId="77777777" w:rsidR="003D72E7" w:rsidRDefault="003D72E7">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619DFED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EDA" w14:textId="77777777" w:rsidR="003D72E7" w:rsidRDefault="003D72E7">
            <w:pPr>
              <w:widowControl/>
              <w:jc w:val="left"/>
              <w:rPr>
                <w:rFonts w:ascii="Times New Roman" w:eastAsia="宋体" w:hAnsi="宋体" w:cs="宋体"/>
                <w:kern w:val="0"/>
                <w:sz w:val="24"/>
              </w:rPr>
            </w:pPr>
          </w:p>
        </w:tc>
      </w:tr>
      <w:tr w:rsidR="003D72E7" w14:paraId="619DFEE0"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EDC" w14:textId="77777777" w:rsidR="003D72E7" w:rsidRDefault="003D72E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19DFED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EDE" w14:textId="77777777" w:rsidR="003D72E7" w:rsidRDefault="003D72E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19DFED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DFEED"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DFEE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EE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EE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EE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EE5"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EE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DFEE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EE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July 30, </w:t>
            </w:r>
            <w:r>
              <w:rPr>
                <w:rFonts w:ascii="Times New Roman" w:eastAsia="宋体" w:hAnsi="Times New Roman" w:cs="Times New Roman"/>
                <w:b/>
                <w:bCs/>
                <w:color w:val="000000"/>
                <w:kern w:val="0"/>
                <w:sz w:val="20"/>
                <w:szCs w:val="20"/>
                <w:lang w:bidi="ar"/>
              </w:rPr>
              <w:t>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EE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EE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DFEE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DFEE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DFEF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DFEE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DFEE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percentages)</w:t>
            </w:r>
          </w:p>
        </w:tc>
      </w:tr>
      <w:tr w:rsidR="003D72E7" w14:paraId="619DFF0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DFEF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income</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FEF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FEF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EF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F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EF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EF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F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FEF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FEF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EF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EF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FEF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FEF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EF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0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F0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0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0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DFF0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DFF0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06" w14:textId="77777777" w:rsidR="003D72E7" w:rsidRDefault="003D72E7">
            <w:pPr>
              <w:widowControl/>
              <w:jc w:val="right"/>
              <w:rPr>
                <w:rFonts w:ascii="Times New Roman" w:eastAsia="宋体" w:hAnsi="宋体" w:cs="宋体"/>
                <w:kern w:val="0"/>
                <w:sz w:val="24"/>
              </w:rPr>
            </w:pPr>
          </w:p>
        </w:tc>
      </w:tr>
      <w:tr w:rsidR="003D72E7" w14:paraId="619DFF14"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DFF0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Adjustments: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0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0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0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0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0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0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0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1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1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1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13" w14:textId="77777777" w:rsidR="003D72E7" w:rsidRDefault="003D72E7">
            <w:pPr>
              <w:widowControl/>
              <w:jc w:val="left"/>
              <w:rPr>
                <w:rFonts w:ascii="Times New Roman" w:eastAsia="宋体" w:hAnsi="宋体" w:cs="宋体"/>
                <w:kern w:val="0"/>
                <w:sz w:val="24"/>
              </w:rPr>
            </w:pPr>
          </w:p>
        </w:tc>
      </w:tr>
      <w:tr w:rsidR="003D72E7" w14:paraId="619DFF25"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F1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 (a)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F1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1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1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1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1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F1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1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1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F1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1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2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2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2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F2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24" w14:textId="77777777" w:rsidR="003D72E7" w:rsidRDefault="003D72E7">
            <w:pPr>
              <w:widowControl/>
              <w:jc w:val="right"/>
              <w:rPr>
                <w:rFonts w:ascii="Times New Roman" w:eastAsia="宋体" w:hAnsi="宋体" w:cs="宋体"/>
                <w:kern w:val="0"/>
                <w:sz w:val="24"/>
              </w:rPr>
            </w:pPr>
          </w:p>
        </w:tc>
      </w:tr>
      <w:tr w:rsidR="003D72E7" w14:paraId="619DFF3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F2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tax expense (benefit) (b)</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2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2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2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2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2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2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2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2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2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3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3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3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3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3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35" w14:textId="77777777" w:rsidR="003D72E7" w:rsidRDefault="003D72E7">
            <w:pPr>
              <w:widowControl/>
              <w:jc w:val="right"/>
              <w:rPr>
                <w:rFonts w:ascii="Times New Roman" w:eastAsia="宋体" w:hAnsi="宋体" w:cs="宋体"/>
                <w:kern w:val="0"/>
                <w:sz w:val="24"/>
              </w:rPr>
            </w:pPr>
          </w:p>
        </w:tc>
      </w:tr>
      <w:tr w:rsidR="003D72E7" w14:paraId="619DFF47"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F3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Depreciation and amortization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F3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3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3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3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3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F3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3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3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F4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2,479 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4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4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4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4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F4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46" w14:textId="77777777" w:rsidR="003D72E7" w:rsidRDefault="003D72E7">
            <w:pPr>
              <w:widowControl/>
              <w:jc w:val="right"/>
              <w:rPr>
                <w:rFonts w:ascii="Times New Roman" w:eastAsia="宋体" w:hAnsi="宋体" w:cs="宋体"/>
                <w:kern w:val="0"/>
                <w:sz w:val="24"/>
              </w:rPr>
            </w:pPr>
          </w:p>
        </w:tc>
      </w:tr>
      <w:tr w:rsidR="003D72E7" w14:paraId="619DFF5E"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19DFF4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EBITDA</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F4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FF4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2,612 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FF4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4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4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4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4F"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F5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FF5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2,476 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FF5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5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F5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FF5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5,226 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FF5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5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5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5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5A"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DFF5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FF5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4,494 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FF5D" w14:textId="77777777" w:rsidR="003D72E7" w:rsidRDefault="003D72E7">
            <w:pPr>
              <w:widowControl/>
              <w:jc w:val="right"/>
              <w:rPr>
                <w:rFonts w:ascii="Times New Roman" w:eastAsia="宋体" w:hAnsi="宋体" w:cs="宋体"/>
                <w:kern w:val="0"/>
                <w:sz w:val="24"/>
              </w:rPr>
            </w:pPr>
          </w:p>
        </w:tc>
      </w:tr>
      <w:tr w:rsidR="003D72E7" w14:paraId="619DFF6B" w14:textId="77777777">
        <w:trPr>
          <w:trHeight w:val="300"/>
          <w:jc w:val="center"/>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5F"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F6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6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6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63"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F6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65"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F6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6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6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69"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619DFF6A" w14:textId="77777777" w:rsidR="003D72E7" w:rsidRDefault="003D72E7">
            <w:pPr>
              <w:widowControl/>
              <w:jc w:val="left"/>
              <w:rPr>
                <w:rFonts w:ascii="Times New Roman" w:eastAsia="宋体" w:hAnsi="宋体" w:cs="宋体"/>
                <w:kern w:val="0"/>
                <w:sz w:val="24"/>
              </w:rPr>
            </w:pPr>
          </w:p>
        </w:tc>
      </w:tr>
      <w:tr w:rsidR="003D72E7" w14:paraId="619DFF8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DFF6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EBITDA</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F6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F6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6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7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7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7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7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F7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F7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2,476 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7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7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F7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F7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5,226 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7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7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7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7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7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DFF7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DFF8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4,494 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81" w14:textId="77777777" w:rsidR="003D72E7" w:rsidRDefault="003D72E7">
            <w:pPr>
              <w:widowControl/>
              <w:jc w:val="right"/>
              <w:rPr>
                <w:rFonts w:ascii="Times New Roman" w:eastAsia="宋体" w:hAnsi="宋体" w:cs="宋体"/>
                <w:kern w:val="0"/>
                <w:sz w:val="24"/>
              </w:rPr>
            </w:pPr>
          </w:p>
        </w:tc>
      </w:tr>
      <w:tr w:rsidR="003D72E7" w14:paraId="619DFF8F"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619DFF8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Adjustments: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8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8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8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8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8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8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8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8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8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8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8E" w14:textId="77777777" w:rsidR="003D72E7" w:rsidRDefault="003D72E7">
            <w:pPr>
              <w:widowControl/>
              <w:jc w:val="left"/>
              <w:rPr>
                <w:rFonts w:ascii="Times New Roman" w:eastAsia="宋体" w:hAnsi="宋体" w:cs="宋体"/>
                <w:kern w:val="0"/>
                <w:sz w:val="24"/>
              </w:rPr>
            </w:pPr>
          </w:p>
        </w:tc>
      </w:tr>
      <w:tr w:rsidR="003D72E7" w14:paraId="619DFFA0"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F9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Stock-based compensation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9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9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9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9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9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9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9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9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9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9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9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9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9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9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9F" w14:textId="77777777" w:rsidR="003D72E7" w:rsidRDefault="003D72E7">
            <w:pPr>
              <w:widowControl/>
              <w:jc w:val="right"/>
              <w:rPr>
                <w:rFonts w:ascii="Times New Roman" w:eastAsia="宋体" w:hAnsi="宋体" w:cs="宋体"/>
                <w:kern w:val="0"/>
                <w:sz w:val="24"/>
              </w:rPr>
            </w:pPr>
          </w:p>
        </w:tc>
      </w:tr>
      <w:tr w:rsidR="003D72E7" w14:paraId="619DFFB1"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FA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Impact of purchase accounting (c)</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FA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A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A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A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A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FA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A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A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FA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A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A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A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A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FA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B0" w14:textId="77777777" w:rsidR="003D72E7" w:rsidRDefault="003D72E7">
            <w:pPr>
              <w:widowControl/>
              <w:jc w:val="right"/>
              <w:rPr>
                <w:rFonts w:ascii="Times New Roman" w:eastAsia="宋体" w:hAnsi="宋体" w:cs="宋体"/>
                <w:kern w:val="0"/>
                <w:sz w:val="24"/>
              </w:rPr>
            </w:pPr>
          </w:p>
        </w:tc>
      </w:tr>
      <w:tr w:rsidR="003D72E7" w14:paraId="619DFFC2"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DFFB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Transaction-related expenses (d)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B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B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B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B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B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B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B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B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B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B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B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B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B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C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C1" w14:textId="77777777" w:rsidR="003D72E7" w:rsidRDefault="003D72E7">
            <w:pPr>
              <w:widowControl/>
              <w:jc w:val="right"/>
              <w:rPr>
                <w:rFonts w:ascii="Times New Roman" w:eastAsia="宋体" w:hAnsi="宋体" w:cs="宋体"/>
                <w:kern w:val="0"/>
                <w:sz w:val="24"/>
              </w:rPr>
            </w:pPr>
          </w:p>
        </w:tc>
      </w:tr>
      <w:tr w:rsidR="003D72E7" w14:paraId="619DFFD3"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DFFC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corporate expenses (e)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FC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C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C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C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C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FC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C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C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FC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C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C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C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DFFD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DFFD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DFFD2" w14:textId="77777777" w:rsidR="003D72E7" w:rsidRDefault="003D72E7">
            <w:pPr>
              <w:widowControl/>
              <w:jc w:val="right"/>
              <w:rPr>
                <w:rFonts w:ascii="Times New Roman" w:eastAsia="宋体" w:hAnsi="宋体" w:cs="宋体"/>
                <w:kern w:val="0"/>
                <w:sz w:val="24"/>
              </w:rPr>
            </w:pPr>
          </w:p>
        </w:tc>
      </w:tr>
      <w:tr w:rsidR="003D72E7" w14:paraId="619DFFEA"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619DFFD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Adjusted EBITDA</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FFD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FFD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3,331 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FFD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D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D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D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D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FFD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FFD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3,100 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FFD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DF"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FFE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FFE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6,566 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FFE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E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DFFE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DFFE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DFFE6"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DFFE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DFFE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5,707 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DFFE9" w14:textId="77777777" w:rsidR="003D72E7" w:rsidRDefault="003D72E7">
            <w:pPr>
              <w:widowControl/>
              <w:jc w:val="right"/>
              <w:rPr>
                <w:rFonts w:ascii="Times New Roman" w:eastAsia="宋体" w:hAnsi="宋体" w:cs="宋体"/>
                <w:kern w:val="0"/>
                <w:sz w:val="24"/>
              </w:rPr>
            </w:pPr>
          </w:p>
        </w:tc>
      </w:tr>
    </w:tbl>
    <w:p w14:paraId="619DFFE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619DFFEC"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(a)See “Results of Operations — Interest and Other, Net” for more information on the components of interest and other, net.</w:t>
      </w:r>
    </w:p>
    <w:p w14:paraId="619DFFED"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(b)See Note 10 </w:t>
      </w:r>
      <w:r>
        <w:rPr>
          <w:rFonts w:ascii="Times New Roman" w:eastAsia="宋体" w:hAnsi="Times New Roman" w:cs="Times New Roman"/>
          <w:color w:val="000000"/>
          <w:kern w:val="0"/>
          <w:sz w:val="20"/>
          <w:szCs w:val="20"/>
          <w:lang w:bidi="ar"/>
        </w:rPr>
        <w:t>of the Notes to the Condensed Consolidated Financial Statements included in this report for additional information on discrete tax items recorded during the second quarter and first six months of Fiscal 2022 and Fiscal 2021.</w:t>
      </w:r>
    </w:p>
    <w:p w14:paraId="619DFFEE"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(c)This amount includes the non</w:t>
      </w:r>
      <w:r>
        <w:rPr>
          <w:rFonts w:ascii="Times New Roman" w:eastAsia="宋体" w:hAnsi="Times New Roman" w:cs="Times New Roman"/>
          <w:color w:val="000000"/>
          <w:kern w:val="0"/>
          <w:sz w:val="20"/>
          <w:szCs w:val="20"/>
          <w:lang w:bidi="ar"/>
        </w:rPr>
        <w:t>-cash purchase accounting adjustments related to the EMC merger transaction and the going-private transaction, excluding depreciation.</w:t>
      </w:r>
    </w:p>
    <w:p w14:paraId="619DFFEF"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(d)Transaction-related expenses consist of acquisition, integration, and divestiture related costs.</w:t>
      </w:r>
    </w:p>
    <w:p w14:paraId="619DFFF0"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(e)Other corporate ex</w:t>
      </w:r>
      <w:r>
        <w:rPr>
          <w:rFonts w:ascii="Times New Roman" w:eastAsia="宋体" w:hAnsi="Times New Roman" w:cs="Times New Roman"/>
          <w:color w:val="000000"/>
          <w:kern w:val="0"/>
          <w:sz w:val="20"/>
          <w:szCs w:val="20"/>
          <w:lang w:bidi="ar"/>
        </w:rPr>
        <w:t>penses include impairment charges, incentive charges related to equity investments, severance, facilities action, and other costs.</w:t>
      </w:r>
    </w:p>
    <w:p w14:paraId="619DFFF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FF2"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FF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70</w:t>
      </w:r>
    </w:p>
    <w:p w14:paraId="619DFFF4"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DFFF5" w14:textId="77777777" w:rsidR="003D72E7" w:rsidRDefault="00AD6774">
      <w:pPr>
        <w:widowControl/>
        <w:jc w:val="center"/>
      </w:pPr>
      <w:r>
        <w:rPr>
          <w:rFonts w:ascii="宋体" w:eastAsia="宋体" w:hAnsi="宋体" w:cs="宋体"/>
          <w:kern w:val="0"/>
          <w:sz w:val="24"/>
        </w:rPr>
        <w:pict w14:anchorId="619E0DB1">
          <v:rect id="_x0000_i1094" style="width:6in;height:1.5pt" o:hralign="center" o:hrstd="t" o:hr="t" fillcolor="#a0a0a0" stroked="f"/>
        </w:pict>
      </w:r>
    </w:p>
    <w:p w14:paraId="619DFFF6"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DFFF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RESULTS OF OPERATIONS</w:t>
      </w:r>
    </w:p>
    <w:p w14:paraId="619DFFF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FF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Consolidated Results</w:t>
      </w:r>
    </w:p>
    <w:p w14:paraId="619DFFF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DFFFB"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summarizes our consolidated results for each of the periods presented. Unless otherwise indicated, all changes identified for the current period results represent comparisons to results for the prior </w:t>
      </w:r>
      <w:r>
        <w:rPr>
          <w:rFonts w:ascii="Times New Roman" w:eastAsia="宋体" w:hAnsi="Times New Roman" w:cs="Times New Roman"/>
          <w:color w:val="000000"/>
          <w:kern w:val="0"/>
          <w:sz w:val="20"/>
          <w:szCs w:val="20"/>
          <w:lang w:bidi="ar"/>
        </w:rPr>
        <w:t>corresponding fiscal period.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0"/>
        <w:gridCol w:w="1010"/>
        <w:gridCol w:w="38"/>
        <w:gridCol w:w="115"/>
        <w:gridCol w:w="570"/>
        <w:gridCol w:w="36"/>
        <w:gridCol w:w="36"/>
        <w:gridCol w:w="36"/>
        <w:gridCol w:w="36"/>
        <w:gridCol w:w="95"/>
        <w:gridCol w:w="596"/>
        <w:gridCol w:w="179"/>
        <w:gridCol w:w="36"/>
        <w:gridCol w:w="36"/>
        <w:gridCol w:w="36"/>
        <w:gridCol w:w="92"/>
        <w:gridCol w:w="530"/>
        <w:gridCol w:w="179"/>
        <w:gridCol w:w="36"/>
        <w:gridCol w:w="36"/>
        <w:gridCol w:w="36"/>
        <w:gridCol w:w="115"/>
        <w:gridCol w:w="570"/>
        <w:gridCol w:w="36"/>
        <w:gridCol w:w="36"/>
        <w:gridCol w:w="36"/>
        <w:gridCol w:w="36"/>
        <w:gridCol w:w="95"/>
        <w:gridCol w:w="596"/>
        <w:gridCol w:w="179"/>
        <w:gridCol w:w="36"/>
        <w:gridCol w:w="36"/>
        <w:gridCol w:w="36"/>
        <w:gridCol w:w="115"/>
        <w:gridCol w:w="570"/>
        <w:gridCol w:w="36"/>
        <w:gridCol w:w="36"/>
        <w:gridCol w:w="36"/>
        <w:gridCol w:w="36"/>
        <w:gridCol w:w="95"/>
        <w:gridCol w:w="596"/>
        <w:gridCol w:w="179"/>
        <w:gridCol w:w="36"/>
        <w:gridCol w:w="36"/>
        <w:gridCol w:w="36"/>
        <w:gridCol w:w="92"/>
        <w:gridCol w:w="530"/>
        <w:gridCol w:w="179"/>
        <w:gridCol w:w="36"/>
        <w:gridCol w:w="36"/>
        <w:gridCol w:w="36"/>
        <w:gridCol w:w="115"/>
        <w:gridCol w:w="570"/>
        <w:gridCol w:w="36"/>
        <w:gridCol w:w="36"/>
        <w:gridCol w:w="36"/>
        <w:gridCol w:w="36"/>
        <w:gridCol w:w="94"/>
        <w:gridCol w:w="597"/>
        <w:gridCol w:w="179"/>
      </w:tblGrid>
      <w:tr w:rsidR="003D72E7" w14:paraId="619E0038" w14:textId="77777777">
        <w:tc>
          <w:tcPr>
            <w:tcW w:w="50" w:type="pct"/>
            <w:tcBorders>
              <w:top w:val="nil"/>
              <w:left w:val="nil"/>
              <w:bottom w:val="nil"/>
              <w:right w:val="nil"/>
            </w:tcBorders>
            <w:shd w:val="clear" w:color="auto" w:fill="auto"/>
            <w:vAlign w:val="bottom"/>
          </w:tcPr>
          <w:p w14:paraId="619DFFFC" w14:textId="77777777" w:rsidR="003D72E7" w:rsidRDefault="003D72E7">
            <w:pPr>
              <w:widowControl/>
              <w:jc w:val="left"/>
              <w:rPr>
                <w:rFonts w:ascii="Times New Roman" w:eastAsia="宋体" w:hAnsi="宋体" w:cs="宋体"/>
                <w:kern w:val="0"/>
                <w:sz w:val="24"/>
              </w:rPr>
            </w:pPr>
          </w:p>
        </w:tc>
        <w:tc>
          <w:tcPr>
            <w:tcW w:w="1018" w:type="pct"/>
            <w:tcBorders>
              <w:top w:val="nil"/>
              <w:left w:val="nil"/>
              <w:bottom w:val="nil"/>
              <w:right w:val="nil"/>
            </w:tcBorders>
            <w:shd w:val="clear" w:color="auto" w:fill="auto"/>
            <w:vAlign w:val="bottom"/>
          </w:tcPr>
          <w:p w14:paraId="619DFFF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DFFFE"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DFFFF" w14:textId="77777777" w:rsidR="003D72E7" w:rsidRDefault="003D72E7">
            <w:pPr>
              <w:widowControl/>
              <w:jc w:val="left"/>
              <w:rPr>
                <w:rFonts w:ascii="Times New Roman" w:eastAsia="宋体" w:hAnsi="宋体" w:cs="宋体"/>
                <w:kern w:val="0"/>
                <w:sz w:val="24"/>
              </w:rPr>
            </w:pPr>
          </w:p>
        </w:tc>
        <w:tc>
          <w:tcPr>
            <w:tcW w:w="310" w:type="pct"/>
            <w:tcBorders>
              <w:top w:val="nil"/>
              <w:left w:val="nil"/>
              <w:bottom w:val="nil"/>
              <w:right w:val="nil"/>
            </w:tcBorders>
            <w:shd w:val="clear" w:color="auto" w:fill="auto"/>
            <w:vAlign w:val="bottom"/>
          </w:tcPr>
          <w:p w14:paraId="619E000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0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02"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00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04"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005" w14:textId="77777777" w:rsidR="003D72E7" w:rsidRDefault="003D72E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619E000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0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08"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00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0A"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00B" w14:textId="77777777" w:rsidR="003D72E7" w:rsidRDefault="003D72E7">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vAlign w:val="bottom"/>
          </w:tcPr>
          <w:p w14:paraId="619E000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0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0E"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00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10"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011" w14:textId="77777777" w:rsidR="003D72E7" w:rsidRDefault="003D72E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619E001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1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14"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01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16"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017" w14:textId="77777777" w:rsidR="003D72E7" w:rsidRDefault="003D72E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619E001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1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1A"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01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1C"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01D" w14:textId="77777777" w:rsidR="003D72E7" w:rsidRDefault="003D72E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619E001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1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20"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02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22"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023" w14:textId="77777777" w:rsidR="003D72E7" w:rsidRDefault="003D72E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619E002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2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26"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02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28"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029" w14:textId="77777777" w:rsidR="003D72E7" w:rsidRDefault="003D72E7">
            <w:pPr>
              <w:widowControl/>
              <w:jc w:val="left"/>
              <w:rPr>
                <w:rFonts w:ascii="Times New Roman" w:eastAsia="宋体" w:hAnsi="宋体" w:cs="宋体"/>
                <w:kern w:val="0"/>
                <w:sz w:val="24"/>
              </w:rPr>
            </w:pPr>
          </w:p>
        </w:tc>
        <w:tc>
          <w:tcPr>
            <w:tcW w:w="288" w:type="pct"/>
            <w:tcBorders>
              <w:top w:val="nil"/>
              <w:left w:val="nil"/>
              <w:bottom w:val="nil"/>
              <w:right w:val="nil"/>
            </w:tcBorders>
            <w:shd w:val="clear" w:color="auto" w:fill="auto"/>
            <w:vAlign w:val="bottom"/>
          </w:tcPr>
          <w:p w14:paraId="619E002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2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2C"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02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2E"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02F" w14:textId="77777777" w:rsidR="003D72E7" w:rsidRDefault="003D72E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619E003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3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32"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03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34"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035" w14:textId="77777777" w:rsidR="003D72E7" w:rsidRDefault="003D72E7">
            <w:pPr>
              <w:widowControl/>
              <w:jc w:val="left"/>
              <w:rPr>
                <w:rFonts w:ascii="Times New Roman" w:eastAsia="宋体" w:hAnsi="宋体" w:cs="宋体"/>
                <w:kern w:val="0"/>
                <w:sz w:val="24"/>
              </w:rPr>
            </w:pPr>
          </w:p>
        </w:tc>
        <w:tc>
          <w:tcPr>
            <w:tcW w:w="318" w:type="pct"/>
            <w:tcBorders>
              <w:top w:val="nil"/>
              <w:left w:val="nil"/>
              <w:bottom w:val="nil"/>
              <w:right w:val="nil"/>
            </w:tcBorders>
            <w:shd w:val="clear" w:color="auto" w:fill="auto"/>
            <w:vAlign w:val="bottom"/>
          </w:tcPr>
          <w:p w14:paraId="619E003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037" w14:textId="77777777" w:rsidR="003D72E7" w:rsidRDefault="003D72E7">
            <w:pPr>
              <w:widowControl/>
              <w:jc w:val="left"/>
              <w:rPr>
                <w:rFonts w:ascii="Times New Roman" w:eastAsia="宋体" w:hAnsi="宋体" w:cs="宋体"/>
                <w:kern w:val="0"/>
                <w:sz w:val="24"/>
              </w:rPr>
            </w:pPr>
          </w:p>
        </w:tc>
      </w:tr>
      <w:tr w:rsidR="003D72E7" w14:paraId="619E003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039" w14:textId="77777777" w:rsidR="003D72E7" w:rsidRDefault="003D72E7">
            <w:pPr>
              <w:widowControl/>
              <w:jc w:val="left"/>
              <w:rPr>
                <w:rFonts w:ascii="Times New Roman" w:eastAsia="宋体" w:hAnsi="宋体" w:cs="宋体"/>
                <w:kern w:val="0"/>
                <w:sz w:val="24"/>
              </w:rPr>
            </w:pPr>
          </w:p>
        </w:tc>
        <w:tc>
          <w:tcPr>
            <w:tcW w:w="0" w:type="auto"/>
            <w:gridSpan w:val="27"/>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03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03B" w14:textId="77777777" w:rsidR="003D72E7" w:rsidRDefault="003D72E7">
            <w:pPr>
              <w:widowControl/>
              <w:jc w:val="left"/>
              <w:rPr>
                <w:rFonts w:ascii="Times New Roman" w:eastAsia="宋体" w:hAnsi="宋体" w:cs="宋体"/>
                <w:kern w:val="0"/>
                <w:sz w:val="24"/>
              </w:rPr>
            </w:pPr>
          </w:p>
        </w:tc>
        <w:tc>
          <w:tcPr>
            <w:tcW w:w="0" w:type="auto"/>
            <w:gridSpan w:val="27"/>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03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E004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03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7"/>
                <w:szCs w:val="17"/>
                <w:lang w:bidi="ar"/>
              </w:rPr>
              <w:t> </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03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04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04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042"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04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044"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04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046"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04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048"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04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July 31, </w:t>
            </w:r>
            <w:r>
              <w:rPr>
                <w:rFonts w:ascii="Times New Roman" w:eastAsia="宋体" w:hAnsi="Times New Roman" w:cs="Times New Roman"/>
                <w:b/>
                <w:bCs/>
                <w:color w:val="000000"/>
                <w:kern w:val="0"/>
                <w:sz w:val="20"/>
                <w:szCs w:val="20"/>
                <w:lang w:bidi="ar"/>
              </w:rPr>
              <w:t>2020</w:t>
            </w:r>
          </w:p>
        </w:tc>
      </w:tr>
      <w:tr w:rsidR="003D72E7" w14:paraId="619E005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04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04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04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04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w:t>
            </w:r>
            <w:r>
              <w:rPr>
                <w:rFonts w:ascii="Times New Roman" w:eastAsia="宋体" w:hAnsi="Times New Roman" w:cs="Times New Roman"/>
                <w:b/>
                <w:bCs/>
                <w:color w:val="000000"/>
                <w:kern w:val="0"/>
                <w:sz w:val="18"/>
                <w:szCs w:val="18"/>
                <w:lang w:bidi="ar"/>
              </w:rPr>
              <w:br/>
              <w:t>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04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05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br/>
              <w:t>Change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05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05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05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05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w:t>
            </w:r>
            <w:r>
              <w:rPr>
                <w:rFonts w:ascii="Times New Roman" w:eastAsia="宋体" w:hAnsi="Times New Roman" w:cs="Times New Roman"/>
                <w:b/>
                <w:bCs/>
                <w:color w:val="000000"/>
                <w:kern w:val="0"/>
                <w:sz w:val="18"/>
                <w:szCs w:val="18"/>
                <w:lang w:bidi="ar"/>
              </w:rPr>
              <w:br/>
              <w:t>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055"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05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05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05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w:t>
            </w:r>
            <w:r>
              <w:rPr>
                <w:rFonts w:ascii="Times New Roman" w:eastAsia="宋体" w:hAnsi="Times New Roman" w:cs="Times New Roman"/>
                <w:b/>
                <w:bCs/>
                <w:color w:val="000000"/>
                <w:kern w:val="0"/>
                <w:sz w:val="18"/>
                <w:szCs w:val="18"/>
                <w:lang w:bidi="ar"/>
              </w:rPr>
              <w:br/>
              <w:t>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05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05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br/>
              <w:t>Change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05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05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05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05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w:t>
            </w:r>
            <w:r>
              <w:rPr>
                <w:rFonts w:ascii="Times New Roman" w:eastAsia="宋体" w:hAnsi="Times New Roman" w:cs="Times New Roman"/>
                <w:b/>
                <w:bCs/>
                <w:color w:val="000000"/>
                <w:kern w:val="0"/>
                <w:sz w:val="18"/>
                <w:szCs w:val="18"/>
                <w:lang w:bidi="ar"/>
              </w:rPr>
              <w:br/>
              <w:t>Net Revenue</w:t>
            </w:r>
          </w:p>
        </w:tc>
      </w:tr>
      <w:tr w:rsidR="003D72E7" w14:paraId="619E006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060" w14:textId="77777777" w:rsidR="003D72E7" w:rsidRDefault="003D72E7">
            <w:pPr>
              <w:widowControl/>
              <w:jc w:val="left"/>
              <w:rPr>
                <w:rFonts w:ascii="Times New Roman" w:eastAsia="宋体" w:hAnsi="宋体" w:cs="宋体"/>
                <w:kern w:val="0"/>
                <w:sz w:val="24"/>
              </w:rPr>
            </w:pPr>
          </w:p>
        </w:tc>
        <w:tc>
          <w:tcPr>
            <w:tcW w:w="0" w:type="auto"/>
            <w:gridSpan w:val="57"/>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06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(in millions, except percentages)</w:t>
            </w:r>
          </w:p>
        </w:tc>
      </w:tr>
      <w:tr w:rsidR="003D72E7" w14:paraId="619E007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06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9"/>
                <w:szCs w:val="19"/>
                <w:lang w:bidi="ar"/>
              </w:rPr>
              <w:t>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6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6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6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6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6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6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6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6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6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6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6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6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7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7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7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7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7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7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76" w14:textId="77777777" w:rsidR="003D72E7" w:rsidRDefault="003D72E7">
            <w:pPr>
              <w:widowControl/>
              <w:jc w:val="left"/>
              <w:rPr>
                <w:rFonts w:ascii="Times New Roman" w:eastAsia="宋体" w:hAnsi="宋体" w:cs="宋体"/>
                <w:kern w:val="0"/>
                <w:sz w:val="24"/>
              </w:rPr>
            </w:pPr>
          </w:p>
        </w:tc>
      </w:tr>
      <w:tr w:rsidR="003D72E7" w14:paraId="619E009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E007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Products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07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07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19,394 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07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7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07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07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7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08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08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8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08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08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16,737 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08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8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08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08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8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08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08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37,428 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08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8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08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08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9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09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09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9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09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09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32,775 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09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9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09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09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0B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09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09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6,728 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09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9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09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0A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A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0A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0A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A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0A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5,996 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0A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A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0A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0A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A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0A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13,181 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0A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A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0A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0A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B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0B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0B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B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0B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11,855 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0B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B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0B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0B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0DC"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E00B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Total net revenue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0B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E00B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26,122 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0B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BE"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0B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0C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C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0C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0C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C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0C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E00C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22,733 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0C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C8"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0C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0C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C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0C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E00C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50,609 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0C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CF"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0D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0D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D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0D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0D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D5"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0D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E00D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44,630 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0D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D9"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0D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0D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0F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0D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9"/>
                <w:szCs w:val="19"/>
                <w:lang w:bidi="ar"/>
              </w:rPr>
              <w:t>Gross margin: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D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D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E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E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E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E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E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E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E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E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E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E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E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E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E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E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E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E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0F0" w14:textId="77777777" w:rsidR="003D72E7" w:rsidRDefault="003D72E7">
            <w:pPr>
              <w:widowControl/>
              <w:jc w:val="left"/>
              <w:rPr>
                <w:rFonts w:ascii="Times New Roman" w:eastAsia="宋体" w:hAnsi="宋体" w:cs="宋体"/>
                <w:kern w:val="0"/>
                <w:sz w:val="24"/>
              </w:rPr>
            </w:pPr>
          </w:p>
        </w:tc>
      </w:tr>
      <w:tr w:rsidR="003D72E7" w14:paraId="619E011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E00F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Products (a)</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0F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0F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4,023 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0F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F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0F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0F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F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0F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0F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0F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0F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0F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3,407 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0F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0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0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0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0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10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10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7,843 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0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0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0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0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0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0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0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0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10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10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6,641 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1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1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1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1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13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11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Services (b)</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1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3,962 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1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1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1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1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1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1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1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1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1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3,749 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2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2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2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2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2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2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7,800 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2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2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2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2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2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2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2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2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2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7,368 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2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3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3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3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15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E013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Total gross margin</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13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E013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7,985 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13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3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3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3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3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3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3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3E"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13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E014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7,156 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14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4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4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4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45"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14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E014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15,643 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14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4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4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4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4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4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4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4F"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15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E015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14,009 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15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5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5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5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17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15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Operating expenses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15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15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6,613 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5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5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5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5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5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5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6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6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16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16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6,020 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6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6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6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6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6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16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16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12,896 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6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6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6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6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6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7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7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7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17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17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12,171 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7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7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7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27.3 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7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19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E017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17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17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7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7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7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8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8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8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8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8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18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18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8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8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8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8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8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18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18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2,747 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8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8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9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9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9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9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9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9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19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19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1,838 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9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9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9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9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1B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19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Net income</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19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19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A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A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A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A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A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A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A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A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1A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1A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A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A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A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A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A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1A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1B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1,818 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B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B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B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B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B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B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B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B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1B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1B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B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B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1B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1B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1E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E01C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Net income attributable to Dell Technologies Inc.</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1C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1C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C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C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C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C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C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C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C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C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1C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1C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C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C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C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D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D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1D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1D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1,718 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D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D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D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D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D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D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D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D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1D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1D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D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1D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1E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1E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1F7" w14:textId="77777777">
        <w:trPr>
          <w:trHeight w:val="22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E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E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E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E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E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E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E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E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E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E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E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E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E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F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F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F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F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F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F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1F6" w14:textId="77777777" w:rsidR="003D72E7" w:rsidRDefault="003D72E7">
            <w:pPr>
              <w:widowControl/>
              <w:jc w:val="left"/>
              <w:rPr>
                <w:rFonts w:ascii="Times New Roman" w:eastAsia="宋体" w:hAnsi="宋体" w:cs="宋体"/>
                <w:kern w:val="0"/>
                <w:sz w:val="24"/>
              </w:rPr>
            </w:pPr>
          </w:p>
        </w:tc>
      </w:tr>
      <w:tr w:rsidR="003D72E7" w14:paraId="619E0207" w14:textId="77777777">
        <w:tc>
          <w:tcPr>
            <w:tcW w:w="0" w:type="auto"/>
            <w:gridSpan w:val="18"/>
            <w:tcBorders>
              <w:top w:val="nil"/>
              <w:left w:val="nil"/>
              <w:bottom w:val="nil"/>
              <w:right w:val="nil"/>
            </w:tcBorders>
            <w:shd w:val="clear" w:color="auto" w:fill="auto"/>
            <w:tcMar>
              <w:top w:w="40" w:type="dxa"/>
              <w:left w:w="20" w:type="dxa"/>
              <w:bottom w:w="40" w:type="dxa"/>
              <w:right w:w="20" w:type="dxa"/>
            </w:tcMar>
            <w:vAlign w:val="bottom"/>
          </w:tcPr>
          <w:p w14:paraId="619E01F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i/>
                <w:iCs/>
                <w:color w:val="000000"/>
                <w:kern w:val="0"/>
                <w:sz w:val="20"/>
                <w:szCs w:val="20"/>
                <w:lang w:bidi="ar"/>
              </w:rPr>
              <w:t xml:space="preserve">Non-GAAP Financial </w:t>
            </w:r>
            <w:r>
              <w:rPr>
                <w:rFonts w:ascii="Times New Roman" w:eastAsia="宋体" w:hAnsi="Times New Roman" w:cs="Times New Roman"/>
                <w:b/>
                <w:bCs/>
                <w:i/>
                <w:iCs/>
                <w:color w:val="000000"/>
                <w:kern w:val="0"/>
                <w:sz w:val="20"/>
                <w:szCs w:val="20"/>
                <w:lang w:bidi="ar"/>
              </w:rPr>
              <w:t>Information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1F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1F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1F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1F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1F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1F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1F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20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20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20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20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20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20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206" w14:textId="77777777" w:rsidR="003D72E7" w:rsidRDefault="003D72E7">
            <w:pPr>
              <w:widowControl/>
              <w:jc w:val="left"/>
              <w:rPr>
                <w:rFonts w:ascii="Times New Roman" w:eastAsia="宋体" w:hAnsi="宋体" w:cs="宋体"/>
                <w:kern w:val="0"/>
                <w:sz w:val="24"/>
              </w:rPr>
            </w:pPr>
          </w:p>
        </w:tc>
      </w:tr>
      <w:tr w:rsidR="003D72E7" w14:paraId="619E023C" w14:textId="77777777">
        <w:trPr>
          <w:hidden/>
        </w:trPr>
        <w:tc>
          <w:tcPr>
            <w:tcW w:w="0" w:type="auto"/>
            <w:gridSpan w:val="3"/>
            <w:tcBorders>
              <w:top w:val="nil"/>
              <w:left w:val="nil"/>
              <w:bottom w:val="nil"/>
              <w:right w:val="nil"/>
            </w:tcBorders>
            <w:shd w:val="clear" w:color="auto" w:fill="auto"/>
            <w:vAlign w:val="bottom"/>
          </w:tcPr>
          <w:p w14:paraId="619E020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0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0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0B"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E020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0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0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0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1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1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1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1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1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1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1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1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1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1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1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1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1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1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1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1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2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2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2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2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2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2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2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2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2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2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2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2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2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2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2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2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3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3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3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3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3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3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3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3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3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3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3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3B" w14:textId="77777777" w:rsidR="003D72E7" w:rsidRDefault="003D72E7">
            <w:pPr>
              <w:widowControl/>
              <w:jc w:val="left"/>
              <w:rPr>
                <w:rFonts w:ascii="Times New Roman" w:eastAsia="宋体" w:hAnsi="宋体" w:cs="宋体"/>
                <w:kern w:val="0"/>
                <w:sz w:val="24"/>
              </w:rPr>
            </w:pPr>
          </w:p>
        </w:tc>
      </w:tr>
      <w:tr w:rsidR="003D72E7" w14:paraId="619E0261" w14:textId="77777777">
        <w:trPr>
          <w:hidden/>
        </w:trPr>
        <w:tc>
          <w:tcPr>
            <w:tcW w:w="0" w:type="auto"/>
            <w:gridSpan w:val="3"/>
            <w:tcBorders>
              <w:top w:val="nil"/>
              <w:left w:val="nil"/>
              <w:bottom w:val="nil"/>
              <w:right w:val="nil"/>
            </w:tcBorders>
            <w:shd w:val="clear" w:color="auto" w:fill="auto"/>
            <w:vAlign w:val="bottom"/>
          </w:tcPr>
          <w:p w14:paraId="619E023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3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3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4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4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4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4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4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4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4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4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48"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E024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4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4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4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4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4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4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5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5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5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5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5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5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5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5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5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5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5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5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5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5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5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5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60" w14:textId="77777777" w:rsidR="003D72E7" w:rsidRDefault="003D72E7">
            <w:pPr>
              <w:widowControl/>
              <w:jc w:val="left"/>
              <w:rPr>
                <w:rFonts w:ascii="Times New Roman" w:eastAsia="宋体" w:hAnsi="宋体" w:cs="宋体"/>
                <w:kern w:val="0"/>
                <w:sz w:val="24"/>
              </w:rPr>
            </w:pPr>
          </w:p>
        </w:tc>
      </w:tr>
      <w:tr w:rsidR="003D72E7" w14:paraId="619E0276" w14:textId="77777777">
        <w:trPr>
          <w:hidden/>
        </w:trPr>
        <w:tc>
          <w:tcPr>
            <w:tcW w:w="0" w:type="auto"/>
            <w:gridSpan w:val="3"/>
            <w:tcBorders>
              <w:top w:val="nil"/>
              <w:left w:val="nil"/>
              <w:bottom w:val="nil"/>
              <w:right w:val="nil"/>
            </w:tcBorders>
            <w:shd w:val="clear" w:color="auto" w:fill="auto"/>
            <w:vAlign w:val="bottom"/>
          </w:tcPr>
          <w:p w14:paraId="619E026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6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6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6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6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6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68"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69"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6A"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6B"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6C"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6D"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6E"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6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7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71"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72"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7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7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75" w14:textId="77777777" w:rsidR="003D72E7" w:rsidRDefault="003D72E7">
            <w:pPr>
              <w:widowControl/>
              <w:jc w:val="left"/>
              <w:rPr>
                <w:rFonts w:ascii="Times New Roman" w:eastAsia="宋体" w:hAnsi="宋体" w:cs="宋体"/>
                <w:vanish/>
                <w:kern w:val="0"/>
                <w:sz w:val="24"/>
              </w:rPr>
            </w:pPr>
          </w:p>
        </w:tc>
      </w:tr>
      <w:tr w:rsidR="003D72E7" w14:paraId="619E02AF" w14:textId="77777777">
        <w:trPr>
          <w:hidden/>
        </w:trPr>
        <w:tc>
          <w:tcPr>
            <w:tcW w:w="0" w:type="auto"/>
            <w:gridSpan w:val="3"/>
            <w:tcBorders>
              <w:top w:val="nil"/>
              <w:left w:val="nil"/>
              <w:bottom w:val="nil"/>
              <w:right w:val="nil"/>
            </w:tcBorders>
            <w:shd w:val="clear" w:color="auto" w:fill="auto"/>
            <w:vAlign w:val="bottom"/>
          </w:tcPr>
          <w:p w14:paraId="619E027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278" w14:textId="77777777" w:rsidR="003D72E7" w:rsidRDefault="003D72E7">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619E027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7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7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7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7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7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7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8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8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8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8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8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8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8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8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8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8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8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8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8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8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8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8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9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9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9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9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9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9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9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9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9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9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9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9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9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9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9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9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A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A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A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A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A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A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A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A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A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A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A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A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A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A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619E02AE" w14:textId="77777777" w:rsidR="003D72E7" w:rsidRDefault="003D72E7">
            <w:pPr>
              <w:widowControl/>
              <w:jc w:val="left"/>
              <w:rPr>
                <w:rFonts w:ascii="Times New Roman" w:eastAsia="宋体" w:hAnsi="宋体" w:cs="宋体"/>
                <w:kern w:val="0"/>
                <w:sz w:val="24"/>
              </w:rPr>
            </w:pPr>
          </w:p>
        </w:tc>
      </w:tr>
      <w:tr w:rsidR="003D72E7" w14:paraId="619E02C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2B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9"/>
                <w:szCs w:val="19"/>
                <w:lang w:bidi="ar"/>
              </w:rPr>
              <w:t>Non-GAAP 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B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B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B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B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B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B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B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B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B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B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B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B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B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B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B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C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C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C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C3" w14:textId="77777777" w:rsidR="003D72E7" w:rsidRDefault="003D72E7">
            <w:pPr>
              <w:widowControl/>
              <w:jc w:val="left"/>
              <w:rPr>
                <w:rFonts w:ascii="Times New Roman" w:eastAsia="宋体" w:hAnsi="宋体" w:cs="宋体"/>
                <w:kern w:val="0"/>
                <w:sz w:val="24"/>
              </w:rPr>
            </w:pPr>
          </w:p>
        </w:tc>
      </w:tr>
      <w:tr w:rsidR="003D72E7" w14:paraId="619E02E7" w14:textId="77777777">
        <w:tc>
          <w:tcPr>
            <w:tcW w:w="0" w:type="auto"/>
            <w:gridSpan w:val="3"/>
            <w:tcBorders>
              <w:top w:val="nil"/>
              <w:left w:val="nil"/>
              <w:bottom w:val="nil"/>
              <w:right w:val="nil"/>
            </w:tcBorders>
            <w:shd w:val="clear" w:color="auto" w:fill="FFFFFF"/>
            <w:tcMar>
              <w:top w:w="40" w:type="dxa"/>
              <w:left w:w="35" w:type="dxa"/>
              <w:bottom w:w="40" w:type="dxa"/>
              <w:right w:w="20" w:type="dxa"/>
            </w:tcMar>
            <w:vAlign w:val="bottom"/>
          </w:tcPr>
          <w:p w14:paraId="619E02C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Products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2C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2C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19,394 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2C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2C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2C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2C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2C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2C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2C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2C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2D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2D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16,739 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2D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2D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2D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2D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2D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2D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2D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37,428 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2D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2D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2D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2D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2D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2D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2D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2E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2E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2E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32,781 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2E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2E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2E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2E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306" w14:textId="77777777">
        <w:tc>
          <w:tcPr>
            <w:tcW w:w="0" w:type="auto"/>
            <w:gridSpan w:val="3"/>
            <w:tcBorders>
              <w:top w:val="nil"/>
              <w:left w:val="nil"/>
              <w:bottom w:val="nil"/>
              <w:right w:val="nil"/>
            </w:tcBorders>
            <w:shd w:val="clear" w:color="auto" w:fill="CCEEFF"/>
            <w:tcMar>
              <w:top w:w="40" w:type="dxa"/>
              <w:left w:w="35" w:type="dxa"/>
              <w:bottom w:w="40" w:type="dxa"/>
              <w:right w:w="20" w:type="dxa"/>
            </w:tcMar>
            <w:vAlign w:val="bottom"/>
          </w:tcPr>
          <w:p w14:paraId="619E02E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2E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6,739 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2E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E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2E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2E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E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2E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2F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F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2F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6,036 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2F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F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2F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2F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F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2F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13,204 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2F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F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2F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2F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2F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2F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2F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0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0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11,939 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0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0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0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0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329"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E030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Total non-GAAP net revenue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30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E030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26,133 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30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0B"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30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30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0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0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1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11"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31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E031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22,775 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31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15"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31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31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1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31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E031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50,632 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31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1C"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31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31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1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2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2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2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32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E032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44,720 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32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26"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32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100.0 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32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33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32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19"/>
                <w:szCs w:val="19"/>
                <w:lang w:bidi="ar"/>
              </w:rPr>
              <w:t>Non-GAAP gross margin: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2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2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2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2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2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3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3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3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3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3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3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3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3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3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3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3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3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3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3D" w14:textId="77777777" w:rsidR="003D72E7" w:rsidRDefault="003D72E7">
            <w:pPr>
              <w:widowControl/>
              <w:jc w:val="left"/>
              <w:rPr>
                <w:rFonts w:ascii="Times New Roman" w:eastAsia="宋体" w:hAnsi="宋体" w:cs="宋体"/>
                <w:kern w:val="0"/>
                <w:sz w:val="24"/>
              </w:rPr>
            </w:pPr>
          </w:p>
        </w:tc>
      </w:tr>
      <w:tr w:rsidR="003D72E7" w14:paraId="619E0361" w14:textId="77777777">
        <w:tc>
          <w:tcPr>
            <w:tcW w:w="0" w:type="auto"/>
            <w:gridSpan w:val="3"/>
            <w:tcBorders>
              <w:top w:val="nil"/>
              <w:left w:val="nil"/>
              <w:bottom w:val="nil"/>
              <w:right w:val="nil"/>
            </w:tcBorders>
            <w:shd w:val="clear" w:color="auto" w:fill="FFFFFF"/>
            <w:tcMar>
              <w:top w:w="40" w:type="dxa"/>
              <w:left w:w="35" w:type="dxa"/>
              <w:bottom w:w="40" w:type="dxa"/>
              <w:right w:w="20" w:type="dxa"/>
            </w:tcMar>
            <w:vAlign w:val="bottom"/>
          </w:tcPr>
          <w:p w14:paraId="619E033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Products (a)</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34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34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4,312 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4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4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4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4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4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4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4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4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34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34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3,791 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4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4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4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4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5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35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35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8,421 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5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5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5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5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5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5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5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5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35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35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7,410 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5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5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5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6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380" w14:textId="77777777">
        <w:tc>
          <w:tcPr>
            <w:tcW w:w="0" w:type="auto"/>
            <w:gridSpan w:val="3"/>
            <w:tcBorders>
              <w:top w:val="nil"/>
              <w:left w:val="nil"/>
              <w:bottom w:val="nil"/>
              <w:right w:val="nil"/>
            </w:tcBorders>
            <w:shd w:val="clear" w:color="auto" w:fill="CCEEFF"/>
            <w:tcMar>
              <w:top w:w="40" w:type="dxa"/>
              <w:left w:w="35" w:type="dxa"/>
              <w:bottom w:w="40" w:type="dxa"/>
              <w:right w:w="20" w:type="dxa"/>
            </w:tcMar>
            <w:vAlign w:val="bottom"/>
          </w:tcPr>
          <w:p w14:paraId="619E036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Services (b)</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6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4,030 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6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6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6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6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6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6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6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6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6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3,835 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6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6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6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7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7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7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7,939 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7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7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7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60.1 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7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7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7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7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7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7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7,541 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7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7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7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7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3A3"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619E038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Total non-GAAP gross margin</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38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E038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8,342 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38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8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8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8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8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8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8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8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38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E038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7,626 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38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8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9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9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9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39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E039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16,360 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39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9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9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9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9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9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9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9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39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single" w:sz="8" w:space="0" w:color="000000"/>
              <w:left w:val="nil"/>
              <w:bottom w:val="nil"/>
              <w:right w:val="nil"/>
            </w:tcBorders>
            <w:shd w:val="clear" w:color="auto" w:fill="FFFFFF"/>
            <w:tcMar>
              <w:top w:w="40" w:type="dxa"/>
              <w:left w:w="0" w:type="dxa"/>
              <w:bottom w:w="40" w:type="dxa"/>
              <w:right w:w="0" w:type="dxa"/>
            </w:tcMar>
            <w:vAlign w:val="bottom"/>
          </w:tcPr>
          <w:p w14:paraId="619E039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14,951 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39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A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A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A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3C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3A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Non-GAAP operating expenses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3A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3A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5,531 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A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A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A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A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A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A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A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A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3A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3B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5,008 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B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B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B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B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B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3B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3B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10,835 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B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B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B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B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B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B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B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B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3C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3C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10,172 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C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C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C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C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3E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E03C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Non-GAAP operating income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3C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3C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2,811 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C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C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C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C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C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C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D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D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3D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3D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2,618 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D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D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D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D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D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3D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3D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5,525 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D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D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D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D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D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E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E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E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3E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3E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4,779 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E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3E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3E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3E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40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3E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Non-GAAP net income</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3E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3E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1,911 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E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E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E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F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F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F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F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F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3F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3F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1,621 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F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F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3F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F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F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3F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3F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3,730 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3F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3F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40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40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40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40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40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40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40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40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2,764 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40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40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40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40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42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E040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EBITDA</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40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40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2,612 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41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41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41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41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41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41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41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41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41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41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2,476 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41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41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41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41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41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41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42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5,226 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42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42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42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42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42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42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42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42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42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42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4,494 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42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42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42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42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r w:rsidR="003D72E7" w14:paraId="619E045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43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Adjusted EBITDA</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43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43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3,331 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43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43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43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43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43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43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43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43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43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43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3,100 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43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43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43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44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441"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44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44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6,566 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44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44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44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44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44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44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44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44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44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44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5,707 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44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44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45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12.8 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45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19"/>
                <w:szCs w:val="19"/>
                <w:lang w:bidi="ar"/>
              </w:rPr>
              <w:t>%</w:t>
            </w:r>
          </w:p>
        </w:tc>
      </w:tr>
    </w:tbl>
    <w:p w14:paraId="619E045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619E0454"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    Product gross </w:t>
      </w:r>
      <w:r>
        <w:rPr>
          <w:rFonts w:ascii="Times New Roman" w:eastAsia="宋体" w:hAnsi="Times New Roman" w:cs="Times New Roman"/>
          <w:color w:val="000000"/>
          <w:kern w:val="0"/>
          <w:sz w:val="20"/>
          <w:szCs w:val="20"/>
          <w:lang w:bidi="ar"/>
        </w:rPr>
        <w:t>margin percentages represent product gross margin as a percentage of product net revenue, and non-GAAP product gross margin percentages represent non-GAAP product gross margin as a percentage of non-GAAP product net revenue.</w:t>
      </w:r>
    </w:p>
    <w:p w14:paraId="619E0455"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(b)    Services gross margin pe</w:t>
      </w:r>
      <w:r>
        <w:rPr>
          <w:rFonts w:ascii="Times New Roman" w:eastAsia="宋体" w:hAnsi="Times New Roman" w:cs="Times New Roman"/>
          <w:color w:val="000000"/>
          <w:kern w:val="0"/>
          <w:sz w:val="20"/>
          <w:szCs w:val="20"/>
          <w:lang w:bidi="ar"/>
        </w:rPr>
        <w:t>rcentages represent services gross margin as a percentage of services net revenue, and non-GAAP services gross margin percentages represent non-GAAP services gross margin as a percentage of non-GAAP services net revenue.</w:t>
      </w:r>
    </w:p>
    <w:p w14:paraId="619E0456" w14:textId="77777777" w:rsidR="003D72E7" w:rsidRDefault="00AD6774">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57"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458"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71</w:t>
      </w:r>
    </w:p>
    <w:p w14:paraId="619E0459"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45A" w14:textId="77777777" w:rsidR="003D72E7" w:rsidRDefault="00AD6774">
      <w:pPr>
        <w:widowControl/>
        <w:jc w:val="center"/>
      </w:pPr>
      <w:r>
        <w:rPr>
          <w:rFonts w:ascii="宋体" w:eastAsia="宋体" w:hAnsi="宋体" w:cs="宋体"/>
          <w:kern w:val="0"/>
          <w:sz w:val="24"/>
        </w:rPr>
        <w:pict w14:anchorId="619E0DB2">
          <v:rect id="_x0000_i1095" style="width:6in;height:1.5pt" o:hralign="center" o:hrstd="t" o:hr="t" fillcolor="#a0a0a0" stroked="f"/>
        </w:pict>
      </w:r>
    </w:p>
    <w:p w14:paraId="619E045B"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45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Non-GAAP product net revenue, non-GAAP services net revenue, non-GAAP net revenue, non-GAAP product gross margin, non-GAAP services gross margin, non-GAAP gross margin, non-GAAP operating expenses, non-GAAP operating income, non-GAAP net income, EBITDA, an</w:t>
      </w:r>
      <w:r>
        <w:rPr>
          <w:rFonts w:ascii="Times New Roman" w:eastAsia="宋体" w:hAnsi="Times New Roman" w:cs="Times New Roman"/>
          <w:color w:val="000000"/>
          <w:kern w:val="0"/>
          <w:sz w:val="20"/>
          <w:szCs w:val="20"/>
          <w:lang w:bidi="ar"/>
        </w:rPr>
        <w:t xml:space="preserve">d adjusted EBITDA are not measurements of financial performance prepared in accordance with GAAP. Non-GAAP financial measures as a percentage of net revenue are calculated based on non-GAAP net revenue. See </w:t>
      </w: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20"/>
          <w:szCs w:val="20"/>
          <w:lang w:bidi="ar"/>
        </w:rPr>
        <w:t>Non-GAAP Financial Measures</w:t>
      </w:r>
      <w:r>
        <w:rPr>
          <w:rFonts w:ascii="Times New Roman" w:eastAsia="宋体" w:hAnsi="Times New Roman" w:cs="Times New Roman"/>
          <w:color w:val="000000"/>
          <w:kern w:val="0"/>
          <w:sz w:val="18"/>
          <w:szCs w:val="18"/>
          <w:lang w:bidi="ar"/>
        </w:rPr>
        <w:t>”</w:t>
      </w:r>
      <w:r>
        <w:rPr>
          <w:rFonts w:ascii="Times New Roman" w:eastAsia="宋体" w:hAnsi="Times New Roman" w:cs="Times New Roman"/>
          <w:color w:val="000000"/>
          <w:kern w:val="0"/>
          <w:sz w:val="20"/>
          <w:szCs w:val="20"/>
          <w:lang w:bidi="ar"/>
        </w:rPr>
        <w:t xml:space="preserve"> for additional info</w:t>
      </w:r>
      <w:r>
        <w:rPr>
          <w:rFonts w:ascii="Times New Roman" w:eastAsia="宋体" w:hAnsi="Times New Roman" w:cs="Times New Roman"/>
          <w:color w:val="000000"/>
          <w:kern w:val="0"/>
          <w:sz w:val="20"/>
          <w:szCs w:val="20"/>
          <w:lang w:bidi="ar"/>
        </w:rPr>
        <w:t>rmation about these non-GAAP financial measures, including our reasons for including these measures, material limitations with respect to the usefulness of the measures, and a reconciliation of each non-GAAP financial measure to the most directly comparabl</w:t>
      </w:r>
      <w:r>
        <w:rPr>
          <w:rFonts w:ascii="Times New Roman" w:eastAsia="宋体" w:hAnsi="Times New Roman" w:cs="Times New Roman"/>
          <w:color w:val="000000"/>
          <w:kern w:val="0"/>
          <w:sz w:val="20"/>
          <w:szCs w:val="20"/>
          <w:lang w:bidi="ar"/>
        </w:rPr>
        <w:t>e GAAP financial measure.</w:t>
      </w:r>
    </w:p>
    <w:p w14:paraId="619E045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5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Overview</w:t>
      </w:r>
    </w:p>
    <w:p w14:paraId="619E045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6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second quarter and first six months of Fiscal 2022, our net revenue and non-GAAP net revenue both increased 15% and 13%, respectively. These increases were due primarily to growth in net revenue for CSG and</w:t>
      </w:r>
      <w:r>
        <w:rPr>
          <w:rFonts w:ascii="Times New Roman" w:eastAsia="宋体" w:hAnsi="Times New Roman" w:cs="Times New Roman"/>
          <w:color w:val="000000"/>
          <w:kern w:val="0"/>
          <w:sz w:val="20"/>
          <w:szCs w:val="20"/>
          <w:lang w:bidi="ar"/>
        </w:rPr>
        <w:t>, to a lesser extent, increases in net revenue for ISG and VMware. CSG net revenue benefited from increased sales volume of commercial and consumer offerings driven by strong demand as customers seek improved connectivity and productivity in the “do anythi</w:t>
      </w:r>
      <w:r>
        <w:rPr>
          <w:rFonts w:ascii="Times New Roman" w:eastAsia="宋体" w:hAnsi="Times New Roman" w:cs="Times New Roman"/>
          <w:color w:val="000000"/>
          <w:kern w:val="0"/>
          <w:sz w:val="20"/>
          <w:szCs w:val="20"/>
          <w:lang w:bidi="ar"/>
        </w:rPr>
        <w:t>ng from anywhere” economy. ISG</w:t>
      </w:r>
      <w:r>
        <w:rPr>
          <w:rFonts w:ascii="Times New Roman" w:eastAsia="宋体" w:hAnsi="Times New Roman" w:cs="Times New Roman"/>
          <w:color w:val="000000"/>
          <w:kern w:val="0"/>
          <w:sz w:val="20"/>
          <w:szCs w:val="20"/>
          <w:shd w:val="clear" w:color="auto" w:fill="FFFFFF"/>
          <w:lang w:bidi="ar"/>
        </w:rPr>
        <w:t xml:space="preserve"> net</w:t>
      </w:r>
      <w:r>
        <w:rPr>
          <w:rFonts w:ascii="Times New Roman" w:eastAsia="宋体" w:hAnsi="Times New Roman" w:cs="Times New Roman"/>
          <w:color w:val="000000"/>
          <w:kern w:val="0"/>
          <w:sz w:val="20"/>
          <w:szCs w:val="20"/>
          <w:lang w:bidi="ar"/>
        </w:rPr>
        <w:t xml:space="preserve"> revenue benefited from overall improvements in the macroeconomic environment and a shift towards investment in IT infrastructure. VMware net revenue increased primarily due to continued growth in sales of subscriptions an</w:t>
      </w:r>
      <w:r>
        <w:rPr>
          <w:rFonts w:ascii="Times New Roman" w:eastAsia="宋体" w:hAnsi="Times New Roman" w:cs="Times New Roman"/>
          <w:color w:val="000000"/>
          <w:kern w:val="0"/>
          <w:sz w:val="20"/>
          <w:szCs w:val="20"/>
          <w:lang w:bidi="ar"/>
        </w:rPr>
        <w:t xml:space="preserve">d software-as-a-service (“SaaS”) offerings. </w:t>
      </w:r>
    </w:p>
    <w:p w14:paraId="619E046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6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second quarter and first six months of Fiscal 2022, our operating income increased 21% and 49%, respectively, and our non-GAAP operating income increased 7% and 16%, respectively. The increases in o</w:t>
      </w:r>
      <w:r>
        <w:rPr>
          <w:rFonts w:ascii="Times New Roman" w:eastAsia="宋体" w:hAnsi="Times New Roman" w:cs="Times New Roman"/>
          <w:color w:val="000000"/>
          <w:kern w:val="0"/>
          <w:sz w:val="20"/>
          <w:szCs w:val="20"/>
          <w:lang w:bidi="ar"/>
        </w:rPr>
        <w:t>ur operating income and non-GAAP operating income were primarily due to increases in operating income for CSG, driven by both commercial and consumer offerings during the second quarter and first six months of Fiscal 2022. Operating income also benefited f</w:t>
      </w:r>
      <w:r>
        <w:rPr>
          <w:rFonts w:ascii="Times New Roman" w:eastAsia="宋体" w:hAnsi="Times New Roman" w:cs="Times New Roman"/>
          <w:color w:val="000000"/>
          <w:kern w:val="0"/>
          <w:sz w:val="20"/>
          <w:szCs w:val="20"/>
          <w:lang w:bidi="ar"/>
        </w:rPr>
        <w:t xml:space="preserve">rom decreases in amortization of intangible assets during both Fiscal 2022 periods. </w:t>
      </w:r>
    </w:p>
    <w:p w14:paraId="619E046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6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Cash provided by operating activities was $4.0 billion and $2.5 billion for the first six months of Fiscal 2022 and Fiscal 2021, respectively. The increase in operating </w:t>
      </w:r>
      <w:r>
        <w:rPr>
          <w:rFonts w:ascii="Times New Roman" w:eastAsia="宋体" w:hAnsi="Times New Roman" w:cs="Times New Roman"/>
          <w:color w:val="000000"/>
          <w:kern w:val="0"/>
          <w:sz w:val="20"/>
          <w:szCs w:val="20"/>
          <w:lang w:bidi="ar"/>
        </w:rPr>
        <w:t>cash flows during the first six months of Fiscal 2022 was driven by strong profitability coupled with favorable working capital dynamics, compared to unfavorable working capital impacts related to the COVID-19 pandemic during the first six months of Fiscal</w:t>
      </w:r>
      <w:r>
        <w:rPr>
          <w:rFonts w:ascii="Times New Roman" w:eastAsia="宋体" w:hAnsi="Times New Roman" w:cs="Times New Roman"/>
          <w:color w:val="000000"/>
          <w:kern w:val="0"/>
          <w:sz w:val="20"/>
          <w:szCs w:val="20"/>
          <w:lang w:bidi="ar"/>
        </w:rPr>
        <w:t xml:space="preserve"> 2021. See “Market Conditions, Liquidity, and Capital Commitments” for further information on our cash flow metrics.</w:t>
      </w:r>
    </w:p>
    <w:p w14:paraId="619E046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6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continue to see opportunities to create value and grow in Fiscal 2022 in response to resilient demand for our IT solutions driven by a</w:t>
      </w:r>
      <w:r>
        <w:rPr>
          <w:rFonts w:ascii="Times New Roman" w:eastAsia="宋体" w:hAnsi="Times New Roman" w:cs="Times New Roman"/>
          <w:color w:val="000000"/>
          <w:kern w:val="0"/>
          <w:sz w:val="20"/>
          <w:szCs w:val="20"/>
          <w:lang w:bidi="ar"/>
        </w:rPr>
        <w:t xml:space="preserve"> technology-enabled world. We have demonstrated our ability to adjust as needed to changing market conditions with complementary solutions across all segments of our business, an agile workforce, and the strength of our global supply chain. As we continue </w:t>
      </w:r>
      <w:r>
        <w:rPr>
          <w:rFonts w:ascii="Times New Roman" w:eastAsia="宋体" w:hAnsi="Times New Roman" w:cs="Times New Roman"/>
          <w:color w:val="000000"/>
          <w:kern w:val="0"/>
          <w:sz w:val="20"/>
          <w:szCs w:val="20"/>
          <w:lang w:bidi="ar"/>
        </w:rPr>
        <w:t>to innovate and modernize our core offerings, we believe Dell Technologies is well-positioned for long-term profitable growth.</w:t>
      </w:r>
    </w:p>
    <w:p w14:paraId="619E046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6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Net Revenue</w:t>
      </w:r>
    </w:p>
    <w:p w14:paraId="619E046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6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During the second quarter and first six months of Fiscal 2022, our net revenue and non-GAAP net revenue both </w:t>
      </w:r>
      <w:r>
        <w:rPr>
          <w:rFonts w:ascii="Times New Roman" w:eastAsia="宋体" w:hAnsi="Times New Roman" w:cs="Times New Roman"/>
          <w:color w:val="000000"/>
          <w:kern w:val="0"/>
          <w:sz w:val="20"/>
          <w:szCs w:val="20"/>
          <w:lang w:bidi="ar"/>
        </w:rPr>
        <w:t>increased 15% and 13%, respectively, driven primarily by increases in net revenue for CSG, and to a lesser extent, increases in net revenue for ISG and VMware. See “Business Unit Results” for further information.</w:t>
      </w:r>
    </w:p>
    <w:p w14:paraId="619E046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6C"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Product Net Revenue</w:t>
      </w:r>
      <w:r>
        <w:rPr>
          <w:rFonts w:ascii="Times New Roman" w:eastAsia="宋体" w:hAnsi="Times New Roman" w:cs="Times New Roman"/>
          <w:color w:val="000000"/>
          <w:kern w:val="0"/>
          <w:sz w:val="20"/>
          <w:szCs w:val="20"/>
          <w:lang w:bidi="ar"/>
        </w:rPr>
        <w:t xml:space="preserve"> — Product net revenue includes revenue from the sale of hardware products and software licenses. During the second quarter and first six months of Fiscal 2022, both product net revenue and non-GAAP product net revenue increased 16% and 14%, respectively. </w:t>
      </w:r>
      <w:r>
        <w:rPr>
          <w:rFonts w:ascii="Times New Roman" w:eastAsia="宋体" w:hAnsi="Times New Roman" w:cs="Times New Roman"/>
          <w:color w:val="000000"/>
          <w:kern w:val="0"/>
          <w:sz w:val="20"/>
          <w:szCs w:val="20"/>
          <w:lang w:bidi="ar"/>
        </w:rPr>
        <w:t xml:space="preserve">These increases were driven primarily by growth in CSG product net revenue due to increases in sales volume of both commercial and consumer product offerings as a result of continued strength in the demand environment. </w:t>
      </w:r>
    </w:p>
    <w:p w14:paraId="619E046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6E"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Services Net Revenue</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00"/>
          <w:kern w:val="0"/>
          <w:sz w:val="20"/>
          <w:szCs w:val="20"/>
          <w:lang w:bidi="ar"/>
        </w:rPr>
        <w:t>Services net revenue includes revenue from our services offerings and support services related to hardware products and software licenses. During the second quarter and first six months of Fiscal 2022, both services net revenue and non-GAAP services net re</w:t>
      </w:r>
      <w:r>
        <w:rPr>
          <w:rFonts w:ascii="Times New Roman" w:eastAsia="宋体" w:hAnsi="Times New Roman" w:cs="Times New Roman"/>
          <w:color w:val="000000"/>
          <w:kern w:val="0"/>
          <w:sz w:val="20"/>
          <w:szCs w:val="20"/>
          <w:lang w:bidi="ar"/>
        </w:rPr>
        <w:t>venue increased 12% and 11%, respectively. These increases were driven primarily by growth in CSG services net revenue and, to a lesser extent, growth in both VMware and ISG services net revenue. CSG services net revenue increases were primarily attributab</w:t>
      </w:r>
      <w:r>
        <w:rPr>
          <w:rFonts w:ascii="Times New Roman" w:eastAsia="宋体" w:hAnsi="Times New Roman" w:cs="Times New Roman"/>
          <w:color w:val="000000"/>
          <w:kern w:val="0"/>
          <w:sz w:val="20"/>
          <w:szCs w:val="20"/>
          <w:lang w:bidi="ar"/>
        </w:rPr>
        <w:t>le to CSG hardware and software support and maintenance while VMware services net revenue increases were primarily driven by growth within VMware subscriptions and SaaS offerings. A substantial portion of services net revenue is derived from offerings that</w:t>
      </w:r>
      <w:r>
        <w:rPr>
          <w:rFonts w:ascii="Times New Roman" w:eastAsia="宋体" w:hAnsi="Times New Roman" w:cs="Times New Roman"/>
          <w:color w:val="000000"/>
          <w:kern w:val="0"/>
          <w:sz w:val="20"/>
          <w:szCs w:val="20"/>
          <w:lang w:bidi="ar"/>
        </w:rPr>
        <w:t xml:space="preserve"> have been deferred over a period of time, and, as a result, reported services net revenue growth rates will be different than reported product net revenue growth rates.</w:t>
      </w:r>
    </w:p>
    <w:p w14:paraId="619E046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70"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471"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72</w:t>
      </w:r>
    </w:p>
    <w:p w14:paraId="619E0472"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473" w14:textId="77777777" w:rsidR="003D72E7" w:rsidRDefault="00AD6774">
      <w:pPr>
        <w:widowControl/>
        <w:jc w:val="center"/>
      </w:pPr>
      <w:r>
        <w:rPr>
          <w:rFonts w:ascii="宋体" w:eastAsia="宋体" w:hAnsi="宋体" w:cs="宋体"/>
          <w:kern w:val="0"/>
          <w:sz w:val="24"/>
        </w:rPr>
        <w:pict w14:anchorId="619E0DB3">
          <v:rect id="_x0000_i1096" style="width:6in;height:1.5pt" o:hralign="center" o:hrstd="t" o:hr="t" fillcolor="#a0a0a0" stroked="f"/>
        </w:pict>
      </w:r>
    </w:p>
    <w:p w14:paraId="619E0474"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 xml:space="preserve">Table of </w:t>
        </w:r>
        <w:r>
          <w:rPr>
            <w:rStyle w:val="a4"/>
            <w:rFonts w:ascii="Times New Roman" w:eastAsia="宋体" w:hAnsi="Times New Roman" w:cs="Times New Roman"/>
            <w:sz w:val="20"/>
            <w:szCs w:val="20"/>
          </w:rPr>
          <w:t>Contents</w:t>
        </w:r>
      </w:hyperlink>
    </w:p>
    <w:p w14:paraId="619E047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From a geographical perspective, net revenue generated by sales to customers in all regions increased during the second quarter and first six months of Fiscal 2022, driven by strong </w:t>
      </w:r>
      <w:r>
        <w:rPr>
          <w:rFonts w:ascii="Times New Roman" w:eastAsia="宋体" w:hAnsi="Times New Roman" w:cs="Times New Roman"/>
          <w:color w:val="000000"/>
          <w:kern w:val="0"/>
          <w:sz w:val="20"/>
          <w:szCs w:val="20"/>
          <w:shd w:val="clear" w:color="auto" w:fill="FFFFFF"/>
          <w:lang w:bidi="ar"/>
        </w:rPr>
        <w:t>CSG performance</w:t>
      </w:r>
      <w:r>
        <w:rPr>
          <w:rFonts w:ascii="Times New Roman" w:eastAsia="宋体" w:hAnsi="Times New Roman" w:cs="Times New Roman"/>
          <w:color w:val="000000"/>
          <w:kern w:val="0"/>
          <w:sz w:val="20"/>
          <w:szCs w:val="20"/>
          <w:lang w:bidi="ar"/>
        </w:rPr>
        <w:t xml:space="preserve">. </w:t>
      </w:r>
    </w:p>
    <w:p w14:paraId="619E047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7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Gross Margin</w:t>
      </w:r>
    </w:p>
    <w:p w14:paraId="619E047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7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second quarter a</w:t>
      </w:r>
      <w:r>
        <w:rPr>
          <w:rFonts w:ascii="Times New Roman" w:eastAsia="宋体" w:hAnsi="Times New Roman" w:cs="Times New Roman"/>
          <w:color w:val="000000"/>
          <w:kern w:val="0"/>
          <w:sz w:val="20"/>
          <w:szCs w:val="20"/>
          <w:lang w:bidi="ar"/>
        </w:rPr>
        <w:t>nd first six months of Fiscal 2022, our gross margin increased 12% to $8.0 billion and 12% to $15.6 billion, respectively. Our non-GAAP gross margin increased 9% to $8.3 billion and 9% to $16.4 billion during the second quarter and first six months of Fisc</w:t>
      </w:r>
      <w:r>
        <w:rPr>
          <w:rFonts w:ascii="Times New Roman" w:eastAsia="宋体" w:hAnsi="Times New Roman" w:cs="Times New Roman"/>
          <w:color w:val="000000"/>
          <w:kern w:val="0"/>
          <w:sz w:val="20"/>
          <w:szCs w:val="20"/>
          <w:lang w:bidi="ar"/>
        </w:rPr>
        <w:t>al 2022, respectively. Both gross margin and non-GAAP gross margin benefited from an increase in gross margin for CSG and to a lesser extent, increases for both ISG and VMware. These increases were partially offset by the impact of the divestiture of RSA S</w:t>
      </w:r>
      <w:r>
        <w:rPr>
          <w:rFonts w:ascii="Times New Roman" w:eastAsia="宋体" w:hAnsi="Times New Roman" w:cs="Times New Roman"/>
          <w:color w:val="000000"/>
          <w:kern w:val="0"/>
          <w:sz w:val="20"/>
          <w:szCs w:val="20"/>
          <w:lang w:bidi="ar"/>
        </w:rPr>
        <w:t>ecurity during the third quarter of Fiscal 2021, which resulted in a decrease in gross margin for other businesses during the second quarter and first six months of Fiscal 2022.</w:t>
      </w:r>
    </w:p>
    <w:p w14:paraId="619E047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7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second quarter and first six months of Fiscal 2022, our gross mar</w:t>
      </w:r>
      <w:r>
        <w:rPr>
          <w:rFonts w:ascii="Times New Roman" w:eastAsia="宋体" w:hAnsi="Times New Roman" w:cs="Times New Roman"/>
          <w:color w:val="000000"/>
          <w:kern w:val="0"/>
          <w:sz w:val="20"/>
          <w:szCs w:val="20"/>
          <w:lang w:bidi="ar"/>
        </w:rPr>
        <w:t>gin percentage decreased 90 basis points to 30.6% and 50 basis points to 30.9%, respectively. D</w:t>
      </w:r>
      <w:r>
        <w:rPr>
          <w:rFonts w:ascii="Times New Roman" w:eastAsia="宋体" w:hAnsi="Times New Roman" w:cs="Times New Roman"/>
          <w:color w:val="000000"/>
          <w:kern w:val="0"/>
          <w:sz w:val="20"/>
          <w:szCs w:val="20"/>
          <w:shd w:val="clear" w:color="auto" w:fill="FFFFFF"/>
          <w:lang w:bidi="ar"/>
        </w:rPr>
        <w:t xml:space="preserve">ecreases </w:t>
      </w:r>
      <w:r>
        <w:rPr>
          <w:rFonts w:ascii="Times New Roman" w:eastAsia="宋体" w:hAnsi="Times New Roman" w:cs="Times New Roman"/>
          <w:color w:val="000000"/>
          <w:kern w:val="0"/>
          <w:sz w:val="20"/>
          <w:szCs w:val="20"/>
          <w:lang w:bidi="ar"/>
        </w:rPr>
        <w:t>in gross margin percentage during the second quarter and first six months of Fiscal 2022 were primarily due to unfavorable impacts in gross margin perce</w:t>
      </w:r>
      <w:r>
        <w:rPr>
          <w:rFonts w:ascii="Times New Roman" w:eastAsia="宋体" w:hAnsi="Times New Roman" w:cs="Times New Roman"/>
          <w:color w:val="000000"/>
          <w:kern w:val="0"/>
          <w:sz w:val="20"/>
          <w:szCs w:val="20"/>
          <w:lang w:bidi="ar"/>
        </w:rPr>
        <w:t>ntage from VMware coupled with a shift in mix towards CSG. For the first six months of Fiscal 2022, gross margin percentage was further impacted by a decrease in gross margin percentage for ISG. These unfavorable impacts were partially offset by an increas</w:t>
      </w:r>
      <w:r>
        <w:rPr>
          <w:rFonts w:ascii="Times New Roman" w:eastAsia="宋体" w:hAnsi="Times New Roman" w:cs="Times New Roman"/>
          <w:color w:val="000000"/>
          <w:kern w:val="0"/>
          <w:sz w:val="20"/>
          <w:szCs w:val="20"/>
          <w:lang w:bidi="ar"/>
        </w:rPr>
        <w:t xml:space="preserve">e in gross margin percentage for CSG and a decrease in amortization of intangible assets </w:t>
      </w:r>
      <w:r>
        <w:rPr>
          <w:rFonts w:ascii="Times New Roman" w:eastAsia="宋体" w:hAnsi="Times New Roman" w:cs="Times New Roman"/>
          <w:color w:val="000000"/>
          <w:kern w:val="0"/>
          <w:sz w:val="20"/>
          <w:szCs w:val="20"/>
          <w:shd w:val="clear" w:color="auto" w:fill="FFFFFF"/>
          <w:lang w:bidi="ar"/>
        </w:rPr>
        <w:t>during</w:t>
      </w:r>
      <w:r>
        <w:rPr>
          <w:rFonts w:ascii="Times New Roman" w:eastAsia="宋体" w:hAnsi="Times New Roman" w:cs="Times New Roman"/>
          <w:color w:val="000000"/>
          <w:kern w:val="0"/>
          <w:sz w:val="20"/>
          <w:szCs w:val="20"/>
          <w:lang w:bidi="ar"/>
        </w:rPr>
        <w:t xml:space="preserve"> both the second quarter and first six months of Fiscal 2022. Non-GAAP gross margin percentage decreased 160 basis points to 31.9% and 110 basis points to 32.3% </w:t>
      </w:r>
      <w:r>
        <w:rPr>
          <w:rFonts w:ascii="Times New Roman" w:eastAsia="宋体" w:hAnsi="Times New Roman" w:cs="Times New Roman"/>
          <w:color w:val="000000"/>
          <w:kern w:val="0"/>
          <w:sz w:val="20"/>
          <w:szCs w:val="20"/>
          <w:lang w:bidi="ar"/>
        </w:rPr>
        <w:t xml:space="preserve">during the second quarter and first six months of Fiscal 2022, respectively, driven by the same </w:t>
      </w:r>
      <w:r>
        <w:rPr>
          <w:rFonts w:ascii="Times New Roman" w:eastAsia="宋体" w:hAnsi="Times New Roman" w:cs="Times New Roman"/>
          <w:color w:val="000000"/>
          <w:kern w:val="0"/>
          <w:sz w:val="20"/>
          <w:szCs w:val="20"/>
          <w:shd w:val="clear" w:color="auto" w:fill="FFFFFF"/>
          <w:lang w:bidi="ar"/>
        </w:rPr>
        <w:t xml:space="preserve">ISG, CSG, and VMware </w:t>
      </w:r>
      <w:r>
        <w:rPr>
          <w:rFonts w:ascii="Times New Roman" w:eastAsia="宋体" w:hAnsi="Times New Roman" w:cs="Times New Roman"/>
          <w:color w:val="000000"/>
          <w:kern w:val="0"/>
          <w:sz w:val="20"/>
          <w:szCs w:val="20"/>
          <w:lang w:bidi="ar"/>
        </w:rPr>
        <w:t>dynamics discussed above.</w:t>
      </w:r>
    </w:p>
    <w:p w14:paraId="619E047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7D"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Products</w:t>
      </w:r>
      <w:r>
        <w:rPr>
          <w:rFonts w:ascii="Times New Roman" w:eastAsia="宋体" w:hAnsi="Times New Roman" w:cs="Times New Roman"/>
          <w:color w:val="000000"/>
          <w:kern w:val="0"/>
          <w:sz w:val="20"/>
          <w:szCs w:val="20"/>
          <w:lang w:bidi="ar"/>
        </w:rPr>
        <w:t xml:space="preserve"> — During the second quarter of Fiscal 2022, product gross margin increased 18% to $4.0 billion and product gross margin percentage increased 30 basis points to 20.7%. </w:t>
      </w:r>
      <w:r>
        <w:rPr>
          <w:rFonts w:ascii="Times New Roman" w:eastAsia="宋体" w:hAnsi="Times New Roman" w:cs="Times New Roman"/>
          <w:color w:val="000000"/>
          <w:kern w:val="0"/>
          <w:sz w:val="20"/>
          <w:szCs w:val="20"/>
          <w:shd w:val="clear" w:color="auto" w:fill="FFFFFF"/>
          <w:lang w:bidi="ar"/>
        </w:rPr>
        <w:t>The increase in product gross margin was primarily driven by</w:t>
      </w:r>
      <w:r>
        <w:rPr>
          <w:rFonts w:ascii="Times New Roman" w:eastAsia="宋体" w:hAnsi="Times New Roman" w:cs="Times New Roman"/>
          <w:color w:val="000000"/>
          <w:kern w:val="0"/>
          <w:sz w:val="20"/>
          <w:szCs w:val="20"/>
          <w:lang w:bidi="ar"/>
        </w:rPr>
        <w:t xml:space="preserve"> growth in CSG product gross</w:t>
      </w:r>
      <w:r>
        <w:rPr>
          <w:rFonts w:ascii="Times New Roman" w:eastAsia="宋体" w:hAnsi="Times New Roman" w:cs="Times New Roman"/>
          <w:color w:val="000000"/>
          <w:kern w:val="0"/>
          <w:sz w:val="20"/>
          <w:szCs w:val="20"/>
          <w:lang w:bidi="ar"/>
        </w:rPr>
        <w:t xml:space="preserve"> margin coupled with </w:t>
      </w:r>
      <w:r>
        <w:rPr>
          <w:rFonts w:ascii="Times New Roman" w:eastAsia="宋体" w:hAnsi="Times New Roman" w:cs="Times New Roman"/>
          <w:color w:val="000000"/>
          <w:kern w:val="0"/>
          <w:sz w:val="20"/>
          <w:szCs w:val="20"/>
          <w:shd w:val="clear" w:color="auto" w:fill="FFFFFF"/>
          <w:lang w:bidi="ar"/>
        </w:rPr>
        <w:t>a</w:t>
      </w:r>
      <w:r>
        <w:rPr>
          <w:rFonts w:ascii="Times New Roman" w:eastAsia="宋体" w:hAnsi="Times New Roman" w:cs="Times New Roman"/>
          <w:color w:val="000000"/>
          <w:kern w:val="0"/>
          <w:sz w:val="20"/>
          <w:szCs w:val="20"/>
          <w:lang w:bidi="ar"/>
        </w:rPr>
        <w:t xml:space="preserve"> decrease in amortization of intangible assets. The increase in product gross margin percentage was driven by the same dynamics, partially offset by a shift in mix towards CSG. During the same period, non-GAAP product gross margin inc</w:t>
      </w:r>
      <w:r>
        <w:rPr>
          <w:rFonts w:ascii="Times New Roman" w:eastAsia="宋体" w:hAnsi="Times New Roman" w:cs="Times New Roman"/>
          <w:color w:val="000000"/>
          <w:kern w:val="0"/>
          <w:sz w:val="20"/>
          <w:szCs w:val="20"/>
          <w:lang w:bidi="ar"/>
        </w:rPr>
        <w:t>reased 14% to $4.3 billion and non-GAAP product gross margin percentage decreased 40 basis points to 22.2%. The increase in non-GAAP product gross margin was driven by an increase in CSG product gross margin</w:t>
      </w:r>
      <w:r>
        <w:rPr>
          <w:rFonts w:ascii="Times New Roman" w:eastAsia="宋体" w:hAnsi="Times New Roman" w:cs="Times New Roman"/>
          <w:color w:val="000000"/>
          <w:kern w:val="0"/>
          <w:sz w:val="20"/>
          <w:szCs w:val="20"/>
          <w:shd w:val="clear" w:color="auto" w:fill="FFFFFF"/>
          <w:lang w:bidi="ar"/>
        </w:rPr>
        <w:t xml:space="preserve">. The </w:t>
      </w:r>
      <w:r>
        <w:rPr>
          <w:rFonts w:ascii="Times New Roman" w:eastAsia="宋体" w:hAnsi="Times New Roman" w:cs="Times New Roman"/>
          <w:color w:val="000000"/>
          <w:kern w:val="0"/>
          <w:sz w:val="20"/>
          <w:szCs w:val="20"/>
          <w:lang w:bidi="ar"/>
        </w:rPr>
        <w:t>decrease in non-GAAP product gross margin p</w:t>
      </w:r>
      <w:r>
        <w:rPr>
          <w:rFonts w:ascii="Times New Roman" w:eastAsia="宋体" w:hAnsi="Times New Roman" w:cs="Times New Roman"/>
          <w:color w:val="000000"/>
          <w:kern w:val="0"/>
          <w:sz w:val="20"/>
          <w:szCs w:val="20"/>
          <w:lang w:bidi="ar"/>
        </w:rPr>
        <w:t>ercentage was primarily driven by a shift in mix towards CSG</w:t>
      </w:r>
      <w:r>
        <w:rPr>
          <w:rFonts w:ascii="Times New Roman" w:eastAsia="宋体" w:hAnsi="Times New Roman" w:cs="Times New Roman"/>
          <w:color w:val="000000"/>
          <w:kern w:val="0"/>
          <w:sz w:val="20"/>
          <w:szCs w:val="20"/>
          <w:shd w:val="clear" w:color="auto" w:fill="FFFFFF"/>
          <w:lang w:bidi="ar"/>
        </w:rPr>
        <w:t xml:space="preserve">. </w:t>
      </w:r>
    </w:p>
    <w:p w14:paraId="619E047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7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first six months of Fiscal 2022, product gross margin increased 18% to $7.8 billion and product gross margin percentage increased 70 basis points to 21.0%. Non-GAAP product gross m</w:t>
      </w:r>
      <w:r>
        <w:rPr>
          <w:rFonts w:ascii="Times New Roman" w:eastAsia="宋体" w:hAnsi="Times New Roman" w:cs="Times New Roman"/>
          <w:color w:val="000000"/>
          <w:kern w:val="0"/>
          <w:sz w:val="20"/>
          <w:szCs w:val="20"/>
          <w:lang w:bidi="ar"/>
        </w:rPr>
        <w:t>argin increased 14% to $8.4 billion and non-GAAP product gross margin percentage decreased 10 basis points to 22.5%</w:t>
      </w:r>
      <w:r>
        <w:rPr>
          <w:rFonts w:ascii="Times New Roman" w:eastAsia="宋体" w:hAnsi="Times New Roman" w:cs="Times New Roman"/>
          <w:color w:val="000000"/>
          <w:kern w:val="0"/>
          <w:sz w:val="20"/>
          <w:szCs w:val="20"/>
          <w:shd w:val="clear" w:color="auto" w:fill="FFFFFF"/>
          <w:lang w:bidi="ar"/>
        </w:rPr>
        <w:t xml:space="preserve">. The changes were driven by the same dynamics as in the second quarter of Fiscal 2022 as discussed above. </w:t>
      </w:r>
    </w:p>
    <w:p w14:paraId="619E048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81"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Services</w:t>
      </w:r>
      <w:r>
        <w:rPr>
          <w:rFonts w:ascii="Times New Roman" w:eastAsia="宋体" w:hAnsi="Times New Roman" w:cs="Times New Roman"/>
          <w:color w:val="000000"/>
          <w:kern w:val="0"/>
          <w:sz w:val="20"/>
          <w:szCs w:val="20"/>
          <w:lang w:bidi="ar"/>
        </w:rPr>
        <w:t xml:space="preserve"> — During the second quarter of Fiscal 2022, services gross margin increased 6% to $4.0 billion and services gross margin percentage decreased 360 basis points to 58.9%. The increase in services gross margin was primarily driven by growth within VMware sub</w:t>
      </w:r>
      <w:r>
        <w:rPr>
          <w:rFonts w:ascii="Times New Roman" w:eastAsia="宋体" w:hAnsi="Times New Roman" w:cs="Times New Roman"/>
          <w:color w:val="000000"/>
          <w:kern w:val="0"/>
          <w:sz w:val="20"/>
          <w:szCs w:val="20"/>
          <w:lang w:bidi="ar"/>
        </w:rPr>
        <w:t>scription and SaaS offerings and, to a lesser extent, ISG and CSG services gross margin. The decline in services gross margin percentage was driven by decreases across VMware, ISG, and CSG. Non-GAAP services gross margin increased 5% to $4.0 billion during</w:t>
      </w:r>
      <w:r>
        <w:rPr>
          <w:rFonts w:ascii="Times New Roman" w:eastAsia="宋体" w:hAnsi="Times New Roman" w:cs="Times New Roman"/>
          <w:color w:val="000000"/>
          <w:kern w:val="0"/>
          <w:sz w:val="20"/>
          <w:szCs w:val="20"/>
          <w:lang w:bidi="ar"/>
        </w:rPr>
        <w:t xml:space="preserve"> the second quarter of Fiscal 2022, and non-GAAP serv</w:t>
      </w:r>
      <w:r>
        <w:rPr>
          <w:rFonts w:ascii="Times New Roman" w:eastAsia="宋体" w:hAnsi="Times New Roman" w:cs="Times New Roman"/>
          <w:color w:val="000000"/>
          <w:kern w:val="0"/>
          <w:sz w:val="20"/>
          <w:szCs w:val="20"/>
          <w:shd w:val="clear" w:color="auto" w:fill="FFFFFF"/>
          <w:lang w:bidi="ar"/>
        </w:rPr>
        <w:t>ices gross margin percentage decreased 370 basis points to 59.8% as a result of the same dynamics discussed above.</w:t>
      </w:r>
      <w:r>
        <w:rPr>
          <w:rFonts w:ascii="Times New Roman" w:eastAsia="宋体" w:hAnsi="Times New Roman" w:cs="Times New Roman"/>
          <w:color w:val="000000"/>
          <w:kern w:val="0"/>
          <w:sz w:val="20"/>
          <w:szCs w:val="20"/>
          <w:lang w:bidi="ar"/>
        </w:rPr>
        <w:t xml:space="preserve"> </w:t>
      </w:r>
    </w:p>
    <w:p w14:paraId="619E048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8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first six months of Fiscal 2022, services gross margin increased 6% to $7.</w:t>
      </w:r>
      <w:r>
        <w:rPr>
          <w:rFonts w:ascii="Times New Roman" w:eastAsia="宋体" w:hAnsi="Times New Roman" w:cs="Times New Roman"/>
          <w:color w:val="000000"/>
          <w:kern w:val="0"/>
          <w:sz w:val="20"/>
          <w:szCs w:val="20"/>
          <w:lang w:bidi="ar"/>
        </w:rPr>
        <w:t>8 billion and services gross margin percentage decreased 300 basis points to 59.2%. During the first six months of Fiscal 2022, non-GAAP services gross margin increased 5% to $7.9 billion and services gross margin percentage decreased 310 basis points to 6</w:t>
      </w:r>
      <w:r>
        <w:rPr>
          <w:rFonts w:ascii="Times New Roman" w:eastAsia="宋体" w:hAnsi="Times New Roman" w:cs="Times New Roman"/>
          <w:color w:val="000000"/>
          <w:kern w:val="0"/>
          <w:sz w:val="20"/>
          <w:szCs w:val="20"/>
          <w:lang w:bidi="ar"/>
        </w:rPr>
        <w:t>0.1%</w:t>
      </w:r>
      <w:r>
        <w:rPr>
          <w:rFonts w:ascii="Times New Roman" w:eastAsia="宋体" w:hAnsi="Times New Roman" w:cs="Times New Roman"/>
          <w:color w:val="000000"/>
          <w:kern w:val="0"/>
          <w:sz w:val="20"/>
          <w:szCs w:val="20"/>
          <w:shd w:val="clear" w:color="auto" w:fill="FFFFFF"/>
          <w:lang w:bidi="ar"/>
        </w:rPr>
        <w:t xml:space="preserve">. The changes were driven by the same dynamics as in the second quarter of Fiscal 2022 as discussed above. </w:t>
      </w:r>
    </w:p>
    <w:p w14:paraId="619E048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8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Vendor Programs and Settlements</w:t>
      </w:r>
    </w:p>
    <w:p w14:paraId="619E048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8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Our gross margin is affected by our ability to achieve competitive pricing with our vendors and </w:t>
      </w:r>
      <w:r>
        <w:rPr>
          <w:rFonts w:ascii="Times New Roman" w:eastAsia="宋体" w:hAnsi="Times New Roman" w:cs="Times New Roman"/>
          <w:color w:val="000000"/>
          <w:kern w:val="0"/>
          <w:sz w:val="20"/>
          <w:szCs w:val="20"/>
          <w:lang w:bidi="ar"/>
        </w:rPr>
        <w:t>contract manufacturers, including through our negotiation of a variety of vendor rebate programs to achieve lower net costs for the various components we include in our products. Under these programs, vendors provide us with rebates or other discounts from</w:t>
      </w:r>
      <w:r>
        <w:rPr>
          <w:rFonts w:ascii="Times New Roman" w:eastAsia="宋体" w:hAnsi="Times New Roman" w:cs="Times New Roman"/>
          <w:color w:val="000000"/>
          <w:kern w:val="0"/>
          <w:sz w:val="20"/>
          <w:szCs w:val="20"/>
          <w:lang w:bidi="ar"/>
        </w:rPr>
        <w:t xml:space="preserve"> the list prices for the components, which are generally elements of their pricing strategy. We account for vendor rebates and other discounts as a reduction in cost of net revenue. We manage our costs on a total net cost basis, which includes supplier lis</w:t>
      </w:r>
      <w:r>
        <w:rPr>
          <w:rFonts w:ascii="Times New Roman" w:eastAsia="宋体" w:hAnsi="Times New Roman" w:cs="Times New Roman"/>
          <w:color w:val="000000"/>
          <w:kern w:val="0"/>
          <w:sz w:val="20"/>
          <w:szCs w:val="20"/>
          <w:lang w:bidi="ar"/>
        </w:rPr>
        <w:t>t prices reduced by vendor rebates and other discounts.</w:t>
      </w:r>
    </w:p>
    <w:p w14:paraId="619E048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89"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48A"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73</w:t>
      </w:r>
    </w:p>
    <w:p w14:paraId="619E048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48C" w14:textId="77777777" w:rsidR="003D72E7" w:rsidRDefault="00AD6774">
      <w:pPr>
        <w:widowControl/>
        <w:jc w:val="center"/>
      </w:pPr>
      <w:r>
        <w:rPr>
          <w:rFonts w:ascii="宋体" w:eastAsia="宋体" w:hAnsi="宋体" w:cs="宋体"/>
          <w:kern w:val="0"/>
          <w:sz w:val="24"/>
        </w:rPr>
        <w:pict w14:anchorId="619E0DB4">
          <v:rect id="_x0000_i1097" style="width:6in;height:1.5pt" o:hralign="center" o:hrstd="t" o:hr="t" fillcolor="#a0a0a0" stroked="f"/>
        </w:pict>
      </w:r>
    </w:p>
    <w:p w14:paraId="619E048D"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48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terms and conditions of our vendor rebate programs are largely based on product volumes and are generally ne</w:t>
      </w:r>
      <w:r>
        <w:rPr>
          <w:rFonts w:ascii="Times New Roman" w:eastAsia="宋体" w:hAnsi="Times New Roman" w:cs="Times New Roman"/>
          <w:color w:val="000000"/>
          <w:kern w:val="0"/>
          <w:sz w:val="20"/>
          <w:szCs w:val="20"/>
          <w:lang w:bidi="ar"/>
        </w:rPr>
        <w:t>gotiated either at the beginning of the annual or quarterly period, depending on the program. The timing and amount of vendor rebates and other discounts we receive under the programs may vary from period to period, reflecting changes in the competitive en</w:t>
      </w:r>
      <w:r>
        <w:rPr>
          <w:rFonts w:ascii="Times New Roman" w:eastAsia="宋体" w:hAnsi="Times New Roman" w:cs="Times New Roman"/>
          <w:color w:val="000000"/>
          <w:kern w:val="0"/>
          <w:sz w:val="20"/>
          <w:szCs w:val="20"/>
          <w:lang w:bidi="ar"/>
        </w:rPr>
        <w:t>vironment. We monitor our component costs and seek to address the effects of any changes to terms that might arise under our vendor rebate programs. Our gross margins for the second quarter and first six months of Fiscal 2022 and Fiscal 2021 were not mater</w:t>
      </w:r>
      <w:r>
        <w:rPr>
          <w:rFonts w:ascii="Times New Roman" w:eastAsia="宋体" w:hAnsi="Times New Roman" w:cs="Times New Roman"/>
          <w:color w:val="000000"/>
          <w:kern w:val="0"/>
          <w:sz w:val="20"/>
          <w:szCs w:val="20"/>
          <w:lang w:bidi="ar"/>
        </w:rPr>
        <w:t>ially affected by any changes to the terms of our vendor rebate programs, as the amounts we received under these programs were generally stable relative to our total net cost. We are not aware of any significant changes to vendor pricing or rebate programs</w:t>
      </w:r>
      <w:r>
        <w:rPr>
          <w:rFonts w:ascii="Times New Roman" w:eastAsia="宋体" w:hAnsi="Times New Roman" w:cs="Times New Roman"/>
          <w:color w:val="000000"/>
          <w:kern w:val="0"/>
          <w:sz w:val="20"/>
          <w:szCs w:val="20"/>
          <w:lang w:bidi="ar"/>
        </w:rPr>
        <w:t xml:space="preserve"> that may impact our results in the near term.</w:t>
      </w:r>
      <w:r>
        <w:rPr>
          <w:rFonts w:ascii="Times New Roman" w:eastAsia="宋体" w:hAnsi="Times New Roman" w:cs="Times New Roman"/>
          <w:b/>
          <w:bCs/>
          <w:i/>
          <w:iCs/>
          <w:color w:val="000000"/>
          <w:kern w:val="0"/>
          <w:sz w:val="20"/>
          <w:szCs w:val="20"/>
          <w:lang w:bidi="ar"/>
        </w:rPr>
        <w:t xml:space="preserve"> </w:t>
      </w:r>
    </w:p>
    <w:p w14:paraId="619E048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9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Operating Expenses</w:t>
      </w:r>
    </w:p>
    <w:p w14:paraId="619E049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492"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The following table presents information regarding our operating expenses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1134"/>
        <w:gridCol w:w="37"/>
        <w:gridCol w:w="120"/>
        <w:gridCol w:w="500"/>
        <w:gridCol w:w="36"/>
        <w:gridCol w:w="36"/>
        <w:gridCol w:w="36"/>
        <w:gridCol w:w="36"/>
        <w:gridCol w:w="125"/>
        <w:gridCol w:w="792"/>
        <w:gridCol w:w="188"/>
        <w:gridCol w:w="36"/>
        <w:gridCol w:w="36"/>
        <w:gridCol w:w="36"/>
        <w:gridCol w:w="85"/>
        <w:gridCol w:w="538"/>
        <w:gridCol w:w="187"/>
        <w:gridCol w:w="36"/>
        <w:gridCol w:w="36"/>
        <w:gridCol w:w="36"/>
        <w:gridCol w:w="120"/>
        <w:gridCol w:w="500"/>
        <w:gridCol w:w="36"/>
        <w:gridCol w:w="36"/>
        <w:gridCol w:w="36"/>
        <w:gridCol w:w="36"/>
        <w:gridCol w:w="125"/>
        <w:gridCol w:w="792"/>
        <w:gridCol w:w="188"/>
        <w:gridCol w:w="36"/>
        <w:gridCol w:w="36"/>
        <w:gridCol w:w="36"/>
        <w:gridCol w:w="120"/>
        <w:gridCol w:w="600"/>
        <w:gridCol w:w="36"/>
        <w:gridCol w:w="36"/>
        <w:gridCol w:w="36"/>
        <w:gridCol w:w="36"/>
        <w:gridCol w:w="95"/>
        <w:gridCol w:w="596"/>
        <w:gridCol w:w="187"/>
        <w:gridCol w:w="36"/>
        <w:gridCol w:w="36"/>
        <w:gridCol w:w="36"/>
        <w:gridCol w:w="85"/>
        <w:gridCol w:w="538"/>
        <w:gridCol w:w="187"/>
        <w:gridCol w:w="36"/>
        <w:gridCol w:w="36"/>
        <w:gridCol w:w="36"/>
        <w:gridCol w:w="120"/>
        <w:gridCol w:w="600"/>
        <w:gridCol w:w="36"/>
        <w:gridCol w:w="36"/>
        <w:gridCol w:w="36"/>
        <w:gridCol w:w="36"/>
        <w:gridCol w:w="89"/>
        <w:gridCol w:w="603"/>
        <w:gridCol w:w="187"/>
      </w:tblGrid>
      <w:tr w:rsidR="003D72E7" w14:paraId="619E04CF" w14:textId="77777777">
        <w:tc>
          <w:tcPr>
            <w:tcW w:w="50" w:type="pct"/>
            <w:tcBorders>
              <w:top w:val="nil"/>
              <w:left w:val="nil"/>
              <w:bottom w:val="nil"/>
              <w:right w:val="nil"/>
            </w:tcBorders>
            <w:shd w:val="clear" w:color="auto" w:fill="auto"/>
            <w:vAlign w:val="bottom"/>
          </w:tcPr>
          <w:p w14:paraId="619E0493" w14:textId="77777777" w:rsidR="003D72E7" w:rsidRDefault="003D72E7">
            <w:pPr>
              <w:widowControl/>
              <w:jc w:val="left"/>
              <w:rPr>
                <w:rFonts w:ascii="Times New Roman" w:eastAsia="宋体" w:hAnsi="宋体" w:cs="宋体"/>
                <w:kern w:val="0"/>
                <w:sz w:val="24"/>
              </w:rPr>
            </w:pPr>
          </w:p>
        </w:tc>
        <w:tc>
          <w:tcPr>
            <w:tcW w:w="931" w:type="pct"/>
            <w:tcBorders>
              <w:top w:val="nil"/>
              <w:left w:val="nil"/>
              <w:bottom w:val="nil"/>
              <w:right w:val="nil"/>
            </w:tcBorders>
            <w:shd w:val="clear" w:color="auto" w:fill="auto"/>
            <w:vAlign w:val="bottom"/>
          </w:tcPr>
          <w:p w14:paraId="619E049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9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496" w14:textId="77777777" w:rsidR="003D72E7" w:rsidRDefault="003D72E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619E049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9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9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49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9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49C" w14:textId="77777777" w:rsidR="003D72E7" w:rsidRDefault="003D72E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619E049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9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9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4A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A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4A2" w14:textId="77777777" w:rsidR="003D72E7" w:rsidRDefault="003D72E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619E04A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A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A5"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4A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A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4A8" w14:textId="77777777" w:rsidR="003D72E7" w:rsidRDefault="003D72E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619E04A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A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AB"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4A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A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4AE" w14:textId="77777777" w:rsidR="003D72E7" w:rsidRDefault="003D72E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619E04A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B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B1"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4B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B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4B4" w14:textId="77777777" w:rsidR="003D72E7" w:rsidRDefault="003D72E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619E04B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B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B7"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4B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B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4BA" w14:textId="77777777" w:rsidR="003D72E7" w:rsidRDefault="003D72E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619E04B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B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BD"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4B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B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4C0" w14:textId="77777777" w:rsidR="003D72E7" w:rsidRDefault="003D72E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619E04C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C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C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4C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C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4C6" w14:textId="77777777" w:rsidR="003D72E7" w:rsidRDefault="003D72E7">
            <w:pPr>
              <w:widowControl/>
              <w:jc w:val="left"/>
              <w:rPr>
                <w:rFonts w:ascii="Times New Roman" w:eastAsia="宋体" w:hAnsi="宋体" w:cs="宋体"/>
                <w:kern w:val="0"/>
                <w:sz w:val="24"/>
              </w:rPr>
            </w:pPr>
          </w:p>
        </w:tc>
        <w:tc>
          <w:tcPr>
            <w:tcW w:w="317" w:type="pct"/>
            <w:tcBorders>
              <w:top w:val="nil"/>
              <w:left w:val="nil"/>
              <w:bottom w:val="nil"/>
              <w:right w:val="nil"/>
            </w:tcBorders>
            <w:shd w:val="clear" w:color="auto" w:fill="auto"/>
            <w:vAlign w:val="bottom"/>
          </w:tcPr>
          <w:p w14:paraId="619E04C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C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C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4C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C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4CC" w14:textId="77777777" w:rsidR="003D72E7" w:rsidRDefault="003D72E7">
            <w:pPr>
              <w:widowControl/>
              <w:jc w:val="left"/>
              <w:rPr>
                <w:rFonts w:ascii="Times New Roman" w:eastAsia="宋体" w:hAnsi="宋体" w:cs="宋体"/>
                <w:kern w:val="0"/>
                <w:sz w:val="24"/>
              </w:rPr>
            </w:pPr>
          </w:p>
        </w:tc>
        <w:tc>
          <w:tcPr>
            <w:tcW w:w="340" w:type="pct"/>
            <w:tcBorders>
              <w:top w:val="nil"/>
              <w:left w:val="nil"/>
              <w:bottom w:val="nil"/>
              <w:right w:val="nil"/>
            </w:tcBorders>
            <w:shd w:val="clear" w:color="auto" w:fill="auto"/>
            <w:vAlign w:val="bottom"/>
          </w:tcPr>
          <w:p w14:paraId="619E04C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4CE" w14:textId="77777777" w:rsidR="003D72E7" w:rsidRDefault="003D72E7">
            <w:pPr>
              <w:widowControl/>
              <w:jc w:val="left"/>
              <w:rPr>
                <w:rFonts w:ascii="Times New Roman" w:eastAsia="宋体" w:hAnsi="宋体" w:cs="宋体"/>
                <w:kern w:val="0"/>
                <w:sz w:val="24"/>
              </w:rPr>
            </w:pPr>
          </w:p>
        </w:tc>
      </w:tr>
      <w:tr w:rsidR="003D72E7" w14:paraId="619E04D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4D0" w14:textId="77777777" w:rsidR="003D72E7" w:rsidRDefault="003D72E7">
            <w:pPr>
              <w:widowControl/>
              <w:jc w:val="left"/>
              <w:rPr>
                <w:rFonts w:ascii="Times New Roman" w:eastAsia="宋体" w:hAnsi="宋体" w:cs="宋体"/>
                <w:kern w:val="0"/>
                <w:sz w:val="24"/>
              </w:rPr>
            </w:pPr>
          </w:p>
        </w:tc>
        <w:tc>
          <w:tcPr>
            <w:tcW w:w="0" w:type="auto"/>
            <w:gridSpan w:val="27"/>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4D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4D2" w14:textId="77777777" w:rsidR="003D72E7" w:rsidRDefault="003D72E7">
            <w:pPr>
              <w:widowControl/>
              <w:jc w:val="left"/>
              <w:rPr>
                <w:rFonts w:ascii="Times New Roman" w:eastAsia="宋体" w:hAnsi="宋体" w:cs="宋体"/>
                <w:kern w:val="0"/>
                <w:sz w:val="24"/>
              </w:rPr>
            </w:pPr>
          </w:p>
        </w:tc>
        <w:tc>
          <w:tcPr>
            <w:tcW w:w="0" w:type="auto"/>
            <w:gridSpan w:val="27"/>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4D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E04E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4D5"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4D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4D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4D8"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4D9"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4D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4DB"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4D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4D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4D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4DF"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4E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July 31, </w:t>
            </w:r>
            <w:r>
              <w:rPr>
                <w:rFonts w:ascii="Times New Roman" w:eastAsia="宋体" w:hAnsi="Times New Roman" w:cs="Times New Roman"/>
                <w:b/>
                <w:bCs/>
                <w:color w:val="000000"/>
                <w:kern w:val="0"/>
                <w:sz w:val="20"/>
                <w:szCs w:val="20"/>
                <w:lang w:bidi="ar"/>
              </w:rPr>
              <w:t>2020</w:t>
            </w:r>
          </w:p>
        </w:tc>
      </w:tr>
      <w:tr w:rsidR="003D72E7" w14:paraId="619E04F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4E2"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4E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4E4"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4E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w:t>
            </w:r>
            <w:r>
              <w:rPr>
                <w:rFonts w:ascii="Times New Roman" w:eastAsia="宋体" w:hAnsi="Times New Roman" w:cs="Times New Roman"/>
                <w:b/>
                <w:bCs/>
                <w:color w:val="000000"/>
                <w:kern w:val="0"/>
                <w:sz w:val="18"/>
                <w:szCs w:val="18"/>
                <w:lang w:bidi="ar"/>
              </w:rPr>
              <w:br/>
              <w:t>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4E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4E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br/>
              <w:t>Change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4E8"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4E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4EA"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4E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w:t>
            </w:r>
            <w:r>
              <w:rPr>
                <w:rFonts w:ascii="Times New Roman" w:eastAsia="宋体" w:hAnsi="Times New Roman" w:cs="Times New Roman"/>
                <w:b/>
                <w:bCs/>
                <w:color w:val="000000"/>
                <w:kern w:val="0"/>
                <w:sz w:val="18"/>
                <w:szCs w:val="18"/>
                <w:lang w:bidi="ar"/>
              </w:rPr>
              <w:br/>
              <w:t>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4E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4E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4E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4E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w:t>
            </w:r>
            <w:r>
              <w:rPr>
                <w:rFonts w:ascii="Times New Roman" w:eastAsia="宋体" w:hAnsi="Times New Roman" w:cs="Times New Roman"/>
                <w:b/>
                <w:bCs/>
                <w:color w:val="000000"/>
                <w:kern w:val="0"/>
                <w:sz w:val="18"/>
                <w:szCs w:val="18"/>
                <w:lang w:bidi="ar"/>
              </w:rPr>
              <w:br/>
              <w:t>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4F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4F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br/>
              <w:t>Change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4F2"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4F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4F4"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4F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w:t>
            </w:r>
            <w:r>
              <w:rPr>
                <w:rFonts w:ascii="Times New Roman" w:eastAsia="宋体" w:hAnsi="Times New Roman" w:cs="Times New Roman"/>
                <w:b/>
                <w:bCs/>
                <w:color w:val="000000"/>
                <w:kern w:val="0"/>
                <w:sz w:val="18"/>
                <w:szCs w:val="18"/>
                <w:lang w:bidi="ar"/>
              </w:rPr>
              <w:br/>
              <w:t>Net Revenue</w:t>
            </w:r>
          </w:p>
        </w:tc>
      </w:tr>
      <w:tr w:rsidR="003D72E7" w14:paraId="619E04F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4F7" w14:textId="77777777" w:rsidR="003D72E7" w:rsidRDefault="003D72E7">
            <w:pPr>
              <w:widowControl/>
              <w:jc w:val="left"/>
              <w:rPr>
                <w:rFonts w:ascii="Times New Roman" w:eastAsia="宋体" w:hAnsi="宋体" w:cs="宋体"/>
                <w:kern w:val="0"/>
                <w:sz w:val="24"/>
              </w:rPr>
            </w:pPr>
          </w:p>
        </w:tc>
        <w:tc>
          <w:tcPr>
            <w:tcW w:w="0" w:type="auto"/>
            <w:gridSpan w:val="57"/>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4F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percentages)</w:t>
            </w:r>
          </w:p>
        </w:tc>
      </w:tr>
      <w:tr w:rsidR="003D72E7" w14:paraId="619E050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4F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Operating expenses: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4F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4F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4F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4F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4F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0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0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0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0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0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0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0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0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0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0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0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0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0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0D" w14:textId="77777777" w:rsidR="003D72E7" w:rsidRDefault="003D72E7">
            <w:pPr>
              <w:widowControl/>
              <w:jc w:val="left"/>
              <w:rPr>
                <w:rFonts w:ascii="Times New Roman" w:eastAsia="宋体" w:hAnsi="宋体" w:cs="宋体"/>
                <w:kern w:val="0"/>
                <w:sz w:val="24"/>
              </w:rPr>
            </w:pPr>
          </w:p>
        </w:tc>
      </w:tr>
      <w:tr w:rsidR="003D72E7" w14:paraId="619E0531" w14:textId="77777777">
        <w:tc>
          <w:tcPr>
            <w:tcW w:w="0" w:type="auto"/>
            <w:gridSpan w:val="3"/>
            <w:tcBorders>
              <w:top w:val="nil"/>
              <w:left w:val="nil"/>
              <w:bottom w:val="nil"/>
              <w:right w:val="nil"/>
            </w:tcBorders>
            <w:shd w:val="clear" w:color="auto" w:fill="FFFFFF"/>
            <w:tcMar>
              <w:top w:w="40" w:type="dxa"/>
              <w:left w:w="35" w:type="dxa"/>
              <w:bottom w:w="40" w:type="dxa"/>
              <w:right w:w="20" w:type="dxa"/>
            </w:tcMar>
            <w:vAlign w:val="bottom"/>
          </w:tcPr>
          <w:p w14:paraId="619E050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Selling, general, and administrative</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51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51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5,145 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51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1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51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19.7 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51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1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51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51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1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51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51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51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1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51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51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20"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52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52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52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2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52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52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2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52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52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2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52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52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9,647 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52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2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52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53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3D72E7" w14:paraId="619E0550" w14:textId="77777777">
        <w:tc>
          <w:tcPr>
            <w:tcW w:w="0" w:type="auto"/>
            <w:gridSpan w:val="3"/>
            <w:tcBorders>
              <w:top w:val="nil"/>
              <w:left w:val="nil"/>
              <w:bottom w:val="nil"/>
              <w:right w:val="nil"/>
            </w:tcBorders>
            <w:shd w:val="clear" w:color="auto" w:fill="CCEEFF"/>
            <w:tcMar>
              <w:top w:w="40" w:type="dxa"/>
              <w:left w:w="35" w:type="dxa"/>
              <w:bottom w:w="40" w:type="dxa"/>
              <w:right w:w="20" w:type="dxa"/>
            </w:tcMar>
            <w:vAlign w:val="bottom"/>
          </w:tcPr>
          <w:p w14:paraId="619E053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Research and development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53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1,468 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3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3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53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3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3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53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3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3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53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3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3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53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4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4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54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4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4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54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4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4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54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4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4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54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4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4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54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4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3D72E7" w14:paraId="619E0573" w14:textId="77777777">
        <w:tc>
          <w:tcPr>
            <w:tcW w:w="0" w:type="auto"/>
            <w:gridSpan w:val="3"/>
            <w:tcBorders>
              <w:top w:val="nil"/>
              <w:left w:val="nil"/>
              <w:bottom w:val="nil"/>
              <w:right w:val="nil"/>
            </w:tcBorders>
            <w:shd w:val="clear" w:color="auto" w:fill="FFFFFF"/>
            <w:tcMar>
              <w:top w:w="40" w:type="dxa"/>
              <w:left w:w="125" w:type="dxa"/>
              <w:bottom w:w="40" w:type="dxa"/>
              <w:right w:w="20" w:type="dxa"/>
            </w:tcMar>
            <w:vAlign w:val="bottom"/>
          </w:tcPr>
          <w:p w14:paraId="619E055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operating expenses</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55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E055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6,613 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E055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5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55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55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5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55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55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5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55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E055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6,020 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E055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5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56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56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6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56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E056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12,896 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E056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6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56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56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6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56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56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6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56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E056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12,171 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E056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57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57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57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r w:rsidR="003D72E7" w14:paraId="619E0588" w14:textId="77777777">
        <w:trPr>
          <w:trHeight w:val="34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74"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E057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7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7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7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7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7A"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E057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7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7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7E"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E057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8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8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8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8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84" w14:textId="77777777" w:rsidR="003D72E7" w:rsidRDefault="003D72E7">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619E058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8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87" w14:textId="77777777" w:rsidR="003D72E7" w:rsidRDefault="003D72E7">
            <w:pPr>
              <w:widowControl/>
              <w:jc w:val="left"/>
              <w:rPr>
                <w:rFonts w:ascii="Times New Roman" w:eastAsia="宋体" w:hAnsi="宋体" w:cs="宋体"/>
                <w:kern w:val="0"/>
                <w:sz w:val="24"/>
              </w:rPr>
            </w:pPr>
          </w:p>
        </w:tc>
      </w:tr>
      <w:tr w:rsidR="003D72E7" w14:paraId="619E058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89" w14:textId="77777777" w:rsidR="003D72E7" w:rsidRDefault="003D72E7">
            <w:pPr>
              <w:widowControl/>
              <w:jc w:val="left"/>
              <w:rPr>
                <w:rFonts w:ascii="Times New Roman" w:eastAsia="宋体" w:hAnsi="宋体" w:cs="宋体"/>
                <w:kern w:val="0"/>
                <w:sz w:val="24"/>
              </w:rPr>
            </w:pPr>
          </w:p>
        </w:tc>
        <w:tc>
          <w:tcPr>
            <w:tcW w:w="0" w:type="auto"/>
            <w:gridSpan w:val="27"/>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58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8B" w14:textId="77777777" w:rsidR="003D72E7" w:rsidRDefault="003D72E7">
            <w:pPr>
              <w:widowControl/>
              <w:jc w:val="left"/>
              <w:rPr>
                <w:rFonts w:ascii="Times New Roman" w:eastAsia="宋体" w:hAnsi="宋体" w:cs="宋体"/>
                <w:kern w:val="0"/>
                <w:sz w:val="24"/>
              </w:rPr>
            </w:pPr>
          </w:p>
        </w:tc>
        <w:tc>
          <w:tcPr>
            <w:tcW w:w="0" w:type="auto"/>
            <w:gridSpan w:val="27"/>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58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E059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8E"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58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59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59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592"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59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94"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59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596"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59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619E0598"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59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E05A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9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59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59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59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 Non-GAAP</w:t>
            </w:r>
            <w:r>
              <w:rPr>
                <w:rFonts w:ascii="Times New Roman" w:eastAsia="宋体" w:hAnsi="Times New Roman" w:cs="Times New Roman"/>
                <w:b/>
                <w:bCs/>
                <w:color w:val="000000"/>
                <w:kern w:val="0"/>
                <w:sz w:val="18"/>
                <w:szCs w:val="18"/>
                <w:lang w:bidi="ar"/>
              </w:rPr>
              <w:br/>
              <w:t>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59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5A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br/>
              <w:t>Change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5A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5A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5A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5A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 Non-GAAP</w:t>
            </w:r>
            <w:r>
              <w:rPr>
                <w:rFonts w:ascii="Times New Roman" w:eastAsia="宋体" w:hAnsi="Times New Roman" w:cs="Times New Roman"/>
                <w:b/>
                <w:bCs/>
                <w:color w:val="000000"/>
                <w:kern w:val="0"/>
                <w:sz w:val="18"/>
                <w:szCs w:val="18"/>
                <w:lang w:bidi="ar"/>
              </w:rPr>
              <w:br/>
              <w:t>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5A5"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5A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5A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5A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w:t>
            </w:r>
            <w:r>
              <w:rPr>
                <w:rFonts w:ascii="Times New Roman" w:eastAsia="宋体" w:hAnsi="Times New Roman" w:cs="Times New Roman"/>
                <w:b/>
                <w:bCs/>
                <w:color w:val="000000"/>
                <w:kern w:val="0"/>
                <w:sz w:val="18"/>
                <w:szCs w:val="18"/>
                <w:lang w:bidi="ar"/>
              </w:rPr>
              <w:br/>
              <w:t>Net Revenue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5A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5A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w:t>
            </w:r>
            <w:r>
              <w:rPr>
                <w:rFonts w:ascii="Times New Roman" w:eastAsia="宋体" w:hAnsi="Times New Roman" w:cs="Times New Roman"/>
                <w:b/>
                <w:bCs/>
                <w:color w:val="000000"/>
                <w:kern w:val="0"/>
                <w:sz w:val="18"/>
                <w:szCs w:val="18"/>
                <w:lang w:bidi="ar"/>
              </w:rPr>
              <w:br/>
              <w:t>Change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5A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5A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Dollars</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5A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5A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18"/>
                <w:szCs w:val="18"/>
                <w:lang w:bidi="ar"/>
              </w:rPr>
              <w:t>% of</w:t>
            </w:r>
            <w:r>
              <w:rPr>
                <w:rFonts w:ascii="Times New Roman" w:eastAsia="宋体" w:hAnsi="Times New Roman" w:cs="Times New Roman"/>
                <w:b/>
                <w:bCs/>
                <w:color w:val="000000"/>
                <w:kern w:val="0"/>
                <w:sz w:val="18"/>
                <w:szCs w:val="18"/>
                <w:lang w:bidi="ar"/>
              </w:rPr>
              <w:br/>
              <w:t>Net Revenue</w:t>
            </w:r>
          </w:p>
        </w:tc>
      </w:tr>
      <w:tr w:rsidR="003D72E7" w14:paraId="619E05B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5B0" w14:textId="77777777" w:rsidR="003D72E7" w:rsidRDefault="003D72E7">
            <w:pPr>
              <w:widowControl/>
              <w:jc w:val="left"/>
              <w:rPr>
                <w:rFonts w:ascii="Times New Roman" w:eastAsia="宋体" w:hAnsi="宋体" w:cs="宋体"/>
                <w:kern w:val="0"/>
                <w:sz w:val="24"/>
              </w:rPr>
            </w:pPr>
          </w:p>
        </w:tc>
        <w:tc>
          <w:tcPr>
            <w:tcW w:w="0" w:type="auto"/>
            <w:gridSpan w:val="57"/>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5B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percentages)</w:t>
            </w:r>
          </w:p>
        </w:tc>
      </w:tr>
      <w:tr w:rsidR="003D72E7" w14:paraId="619E05D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5B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Non-GAAP operating expenses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5B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5B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B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B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5B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B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B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5B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B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B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5B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5B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C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C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5C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C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C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5C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5C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10,835 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C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C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5C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C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C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5C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C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C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5C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5D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D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5D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5D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5D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619E05D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5D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During the second quarter and first six months of </w:t>
      </w:r>
      <w:r>
        <w:rPr>
          <w:rFonts w:ascii="Times New Roman" w:eastAsia="宋体" w:hAnsi="Times New Roman" w:cs="Times New Roman"/>
          <w:color w:val="000000"/>
          <w:kern w:val="0"/>
          <w:sz w:val="20"/>
          <w:szCs w:val="20"/>
          <w:lang w:bidi="ar"/>
        </w:rPr>
        <w:t>Fiscal 2022, total operating expenses increased 10% and 6%, respectively. Non-GAAP operating expenses increased 10% and 7% for the second quarter and first six months of Fiscal 2022, respectively. These increases were primarily driven by employee-related e</w:t>
      </w:r>
      <w:r>
        <w:rPr>
          <w:rFonts w:ascii="Times New Roman" w:eastAsia="宋体" w:hAnsi="Times New Roman" w:cs="Times New Roman"/>
          <w:color w:val="000000"/>
          <w:kern w:val="0"/>
          <w:sz w:val="20"/>
          <w:szCs w:val="20"/>
          <w:lang w:bidi="ar"/>
        </w:rPr>
        <w:t xml:space="preserve">xpenses as a result of performance-based compensation associated with strong operating results, coupled with the reintroduction of expenses that were temporarily reduced during Fiscal 2021 in response to the COVID-19 pandemic. </w:t>
      </w:r>
    </w:p>
    <w:p w14:paraId="619E05D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5D9"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 xml:space="preserve">Selling, General, and </w:t>
      </w:r>
      <w:r>
        <w:rPr>
          <w:rFonts w:ascii="Times New Roman" w:eastAsia="宋体" w:hAnsi="Times New Roman" w:cs="Times New Roman"/>
          <w:i/>
          <w:iCs/>
          <w:color w:val="000000"/>
          <w:kern w:val="0"/>
          <w:sz w:val="20"/>
          <w:szCs w:val="20"/>
          <w:u w:val="single"/>
          <w:lang w:bidi="ar"/>
        </w:rPr>
        <w:t>Administrative</w:t>
      </w:r>
      <w:r>
        <w:rPr>
          <w:rFonts w:ascii="Times New Roman" w:eastAsia="宋体" w:hAnsi="Times New Roman" w:cs="Times New Roman"/>
          <w:color w:val="000000"/>
          <w:kern w:val="0"/>
          <w:sz w:val="20"/>
          <w:szCs w:val="20"/>
          <w:lang w:bidi="ar"/>
        </w:rPr>
        <w:t xml:space="preserve"> — Selling, general, and administrative (“SG&amp;A”) expenses increased 8% and 5%, respectively, during the second quarter and first six months of Fiscal 2022. The increases were primarily due to an increase in employee-related compensation and b</w:t>
      </w:r>
      <w:r>
        <w:rPr>
          <w:rFonts w:ascii="Times New Roman" w:eastAsia="宋体" w:hAnsi="Times New Roman" w:cs="Times New Roman"/>
          <w:color w:val="000000"/>
          <w:kern w:val="0"/>
          <w:sz w:val="20"/>
          <w:szCs w:val="20"/>
          <w:lang w:bidi="ar"/>
        </w:rPr>
        <w:t xml:space="preserve">enefits expense as well as an increase in advertising and promotion expense. </w:t>
      </w:r>
    </w:p>
    <w:p w14:paraId="619E05D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5DB"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i/>
          <w:iCs/>
          <w:color w:val="000000"/>
          <w:kern w:val="0"/>
          <w:sz w:val="20"/>
          <w:szCs w:val="20"/>
          <w:u w:val="single"/>
          <w:lang w:bidi="ar"/>
        </w:rPr>
        <w:t>Research and Development</w:t>
      </w:r>
      <w:r>
        <w:rPr>
          <w:rFonts w:ascii="Times New Roman" w:eastAsia="宋体" w:hAnsi="Times New Roman" w:cs="Times New Roman"/>
          <w:i/>
          <w:iCs/>
          <w:color w:val="000000"/>
          <w:kern w:val="0"/>
          <w:sz w:val="20"/>
          <w:szCs w:val="20"/>
          <w:lang w:bidi="ar"/>
        </w:rPr>
        <w:t xml:space="preserve"> — </w:t>
      </w:r>
      <w:r>
        <w:rPr>
          <w:rFonts w:ascii="Times New Roman" w:eastAsia="宋体" w:hAnsi="Times New Roman" w:cs="Times New Roman"/>
          <w:color w:val="000000"/>
          <w:kern w:val="0"/>
          <w:sz w:val="20"/>
          <w:szCs w:val="20"/>
          <w:lang w:bidi="ar"/>
        </w:rPr>
        <w:t>Research and development (“R&amp;D”) expenses are primarily composed of personnel-related expenses incurred to develop the software that powers our solu</w:t>
      </w:r>
      <w:r>
        <w:rPr>
          <w:rFonts w:ascii="Times New Roman" w:eastAsia="宋体" w:hAnsi="Times New Roman" w:cs="Times New Roman"/>
          <w:color w:val="000000"/>
          <w:kern w:val="0"/>
          <w:sz w:val="20"/>
          <w:szCs w:val="20"/>
          <w:lang w:bidi="ar"/>
        </w:rPr>
        <w:t>tions. R&amp;D expenses as a percentage of net revenue were approximately 5.6% and 5.5% for the second quarter of Fiscal 2022 and Fiscal 2021, respectively, and 5.5% and 5.7% for the first six months of Fiscal 2022 and Fiscal 2021, respectively. We intend to c</w:t>
      </w:r>
      <w:r>
        <w:rPr>
          <w:rFonts w:ascii="Times New Roman" w:eastAsia="宋体" w:hAnsi="Times New Roman" w:cs="Times New Roman"/>
          <w:color w:val="000000"/>
          <w:kern w:val="0"/>
          <w:sz w:val="20"/>
          <w:szCs w:val="20"/>
          <w:lang w:bidi="ar"/>
        </w:rPr>
        <w:t>ontinue to support R&amp;D initiatives to innovate and introduce new and enhanced solutions into the market.</w:t>
      </w:r>
    </w:p>
    <w:p w14:paraId="619E05D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5D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5D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74</w:t>
      </w:r>
    </w:p>
    <w:p w14:paraId="619E05D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5E0" w14:textId="77777777" w:rsidR="003D72E7" w:rsidRDefault="00AD6774">
      <w:pPr>
        <w:widowControl/>
        <w:jc w:val="center"/>
      </w:pPr>
      <w:r>
        <w:rPr>
          <w:rFonts w:ascii="宋体" w:eastAsia="宋体" w:hAnsi="宋体" w:cs="宋体"/>
          <w:kern w:val="0"/>
          <w:sz w:val="24"/>
        </w:rPr>
        <w:pict w14:anchorId="619E0DB5">
          <v:rect id="_x0000_i1098" style="width:6in;height:1.5pt" o:hralign="center" o:hrstd="t" o:hr="t" fillcolor="#a0a0a0" stroked="f"/>
        </w:pict>
      </w:r>
    </w:p>
    <w:p w14:paraId="619E05E1"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5E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continue to make targeted investments designed to </w:t>
      </w:r>
      <w:r>
        <w:rPr>
          <w:rFonts w:ascii="Times New Roman" w:eastAsia="宋体" w:hAnsi="Times New Roman" w:cs="Times New Roman"/>
          <w:color w:val="000000"/>
          <w:kern w:val="0"/>
          <w:sz w:val="20"/>
          <w:szCs w:val="20"/>
          <w:lang w:bidi="ar"/>
        </w:rPr>
        <w:t>enable growth, marketing, and R&amp;D, while balancing these investments with our efforts to drive cost efficiencies in the business. We also expect to continue to make investments in support of our own digital transformation to modernize and streamline our IT</w:t>
      </w:r>
      <w:r>
        <w:rPr>
          <w:rFonts w:ascii="Times New Roman" w:eastAsia="宋体" w:hAnsi="Times New Roman" w:cs="Times New Roman"/>
          <w:color w:val="000000"/>
          <w:kern w:val="0"/>
          <w:sz w:val="20"/>
          <w:szCs w:val="20"/>
          <w:lang w:bidi="ar"/>
        </w:rPr>
        <w:t xml:space="preserve"> operations.</w:t>
      </w:r>
    </w:p>
    <w:p w14:paraId="619E05E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5E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Operating Income</w:t>
      </w:r>
    </w:p>
    <w:p w14:paraId="619E05E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5E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During the second quarter and first six months of Fiscal 2022, our operating income increased 21% and 49% to $1.4 billion and $2.7 billion, respectively, primarily due to an increase in operating income for CSG. Operating </w:t>
      </w:r>
      <w:r>
        <w:rPr>
          <w:rFonts w:ascii="Times New Roman" w:eastAsia="宋体" w:hAnsi="Times New Roman" w:cs="Times New Roman"/>
          <w:color w:val="000000"/>
          <w:kern w:val="0"/>
          <w:sz w:val="20"/>
          <w:szCs w:val="20"/>
          <w:lang w:bidi="ar"/>
        </w:rPr>
        <w:t>income during the second quarter and first six months of Fiscal 2022 also benefited from a decrease in amortization of intangible assets. Non-GAAP operating income increased 7% and 16% to $2.8 billion and $5.5 billion during the second quarter and first si</w:t>
      </w:r>
      <w:r>
        <w:rPr>
          <w:rFonts w:ascii="Times New Roman" w:eastAsia="宋体" w:hAnsi="Times New Roman" w:cs="Times New Roman"/>
          <w:color w:val="000000"/>
          <w:kern w:val="0"/>
          <w:sz w:val="20"/>
          <w:szCs w:val="20"/>
          <w:lang w:bidi="ar"/>
        </w:rPr>
        <w:t>x months of Fiscal 2022, respectively. The increases in non-GAAP operating income for both Fiscal 2022 periods were primarily attributable to increases in operating income for CSG.</w:t>
      </w:r>
    </w:p>
    <w:p w14:paraId="619E05E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5E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Interest and Other, Net</w:t>
      </w:r>
    </w:p>
    <w:p w14:paraId="619E05E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5EA"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 xml:space="preserve">The following table presents </w:t>
      </w:r>
      <w:r>
        <w:rPr>
          <w:rFonts w:ascii="Times New Roman" w:eastAsia="宋体" w:hAnsi="Times New Roman" w:cs="Times New Roman"/>
          <w:color w:val="000000"/>
          <w:kern w:val="0"/>
          <w:sz w:val="20"/>
          <w:szCs w:val="20"/>
          <w:lang w:bidi="ar"/>
        </w:rPr>
        <w:t xml:space="preserve">information </w:t>
      </w:r>
      <w:r>
        <w:rPr>
          <w:rFonts w:ascii="Times New Roman" w:eastAsia="宋体" w:hAnsi="Times New Roman" w:cs="Times New Roman"/>
          <w:color w:val="000000"/>
          <w:kern w:val="0"/>
          <w:sz w:val="20"/>
          <w:szCs w:val="20"/>
          <w:lang w:bidi="ar"/>
        </w:rPr>
        <w:t>regarding</w:t>
      </w:r>
      <w:r>
        <w:rPr>
          <w:rFonts w:ascii="Times New Roman" w:eastAsia="宋体" w:hAnsi="Times New Roman" w:cs="Times New Roman"/>
          <w:color w:val="000000"/>
          <w:kern w:val="0"/>
          <w:sz w:val="20"/>
          <w:szCs w:val="20"/>
          <w:shd w:val="clear" w:color="auto" w:fill="FFFFFF"/>
          <w:lang w:bidi="ar"/>
        </w:rPr>
        <w:t xml:space="preserve"> interest and other, net for the periods indicated: </w:t>
      </w:r>
    </w:p>
    <w:tbl>
      <w:tblPr>
        <w:tblW w:w="4978" w:type="pct"/>
        <w:tblInd w:w="93" w:type="dxa"/>
        <w:tblCellMar>
          <w:top w:w="15" w:type="dxa"/>
          <w:left w:w="15" w:type="dxa"/>
          <w:bottom w:w="15" w:type="dxa"/>
          <w:right w:w="15" w:type="dxa"/>
        </w:tblCellMar>
        <w:tblLook w:val="04A0" w:firstRow="1" w:lastRow="0" w:firstColumn="1" w:lastColumn="0" w:noHBand="0" w:noVBand="1"/>
      </w:tblPr>
      <w:tblGrid>
        <w:gridCol w:w="39"/>
        <w:gridCol w:w="2514"/>
        <w:gridCol w:w="38"/>
        <w:gridCol w:w="120"/>
        <w:gridCol w:w="1293"/>
        <w:gridCol w:w="36"/>
        <w:gridCol w:w="36"/>
        <w:gridCol w:w="36"/>
        <w:gridCol w:w="36"/>
        <w:gridCol w:w="120"/>
        <w:gridCol w:w="1293"/>
        <w:gridCol w:w="36"/>
        <w:gridCol w:w="36"/>
        <w:gridCol w:w="36"/>
        <w:gridCol w:w="36"/>
        <w:gridCol w:w="120"/>
        <w:gridCol w:w="1087"/>
        <w:gridCol w:w="36"/>
        <w:gridCol w:w="36"/>
        <w:gridCol w:w="36"/>
        <w:gridCol w:w="36"/>
        <w:gridCol w:w="120"/>
        <w:gridCol w:w="1087"/>
        <w:gridCol w:w="36"/>
      </w:tblGrid>
      <w:tr w:rsidR="003D72E7" w14:paraId="619E0603" w14:textId="77777777">
        <w:tc>
          <w:tcPr>
            <w:tcW w:w="50" w:type="pct"/>
            <w:tcBorders>
              <w:top w:val="nil"/>
              <w:left w:val="nil"/>
              <w:bottom w:val="nil"/>
              <w:right w:val="nil"/>
            </w:tcBorders>
            <w:shd w:val="clear" w:color="auto" w:fill="auto"/>
            <w:vAlign w:val="bottom"/>
          </w:tcPr>
          <w:p w14:paraId="619E05EB" w14:textId="77777777" w:rsidR="003D72E7" w:rsidRDefault="003D72E7">
            <w:pPr>
              <w:widowControl/>
              <w:jc w:val="left"/>
              <w:rPr>
                <w:rFonts w:ascii="Times New Roman" w:eastAsia="宋体" w:hAnsi="宋体" w:cs="宋体"/>
                <w:kern w:val="0"/>
                <w:sz w:val="24"/>
              </w:rPr>
            </w:pPr>
          </w:p>
        </w:tc>
        <w:tc>
          <w:tcPr>
            <w:tcW w:w="1582" w:type="pct"/>
            <w:tcBorders>
              <w:top w:val="nil"/>
              <w:left w:val="nil"/>
              <w:bottom w:val="nil"/>
              <w:right w:val="nil"/>
            </w:tcBorders>
            <w:shd w:val="clear" w:color="auto" w:fill="auto"/>
            <w:vAlign w:val="bottom"/>
          </w:tcPr>
          <w:p w14:paraId="619E05E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5E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5EE" w14:textId="77777777" w:rsidR="003D72E7" w:rsidRDefault="003D72E7">
            <w:pPr>
              <w:widowControl/>
              <w:jc w:val="left"/>
              <w:rPr>
                <w:rFonts w:ascii="Times New Roman" w:eastAsia="宋体" w:hAnsi="宋体" w:cs="宋体"/>
                <w:kern w:val="0"/>
                <w:sz w:val="24"/>
              </w:rPr>
            </w:pPr>
          </w:p>
        </w:tc>
        <w:tc>
          <w:tcPr>
            <w:tcW w:w="825" w:type="pct"/>
            <w:tcBorders>
              <w:top w:val="nil"/>
              <w:left w:val="nil"/>
              <w:bottom w:val="nil"/>
              <w:right w:val="nil"/>
            </w:tcBorders>
            <w:shd w:val="clear" w:color="auto" w:fill="auto"/>
            <w:vAlign w:val="bottom"/>
          </w:tcPr>
          <w:p w14:paraId="619E05E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5F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5F1"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5F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5F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5F4" w14:textId="77777777" w:rsidR="003D72E7" w:rsidRDefault="003D72E7">
            <w:pPr>
              <w:widowControl/>
              <w:jc w:val="left"/>
              <w:rPr>
                <w:rFonts w:ascii="Times New Roman" w:eastAsia="宋体" w:hAnsi="宋体" w:cs="宋体"/>
                <w:kern w:val="0"/>
                <w:sz w:val="24"/>
              </w:rPr>
            </w:pPr>
          </w:p>
        </w:tc>
        <w:tc>
          <w:tcPr>
            <w:tcW w:w="825" w:type="pct"/>
            <w:tcBorders>
              <w:top w:val="nil"/>
              <w:left w:val="nil"/>
              <w:bottom w:val="nil"/>
              <w:right w:val="nil"/>
            </w:tcBorders>
            <w:shd w:val="clear" w:color="auto" w:fill="auto"/>
            <w:vAlign w:val="bottom"/>
          </w:tcPr>
          <w:p w14:paraId="619E05F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5F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5F7"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5F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5F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5FA" w14:textId="77777777" w:rsidR="003D72E7" w:rsidRDefault="003D72E7">
            <w:pPr>
              <w:widowControl/>
              <w:jc w:val="left"/>
              <w:rPr>
                <w:rFonts w:ascii="Times New Roman" w:eastAsia="宋体" w:hAnsi="宋体" w:cs="宋体"/>
                <w:kern w:val="0"/>
                <w:sz w:val="24"/>
              </w:rPr>
            </w:pPr>
          </w:p>
        </w:tc>
        <w:tc>
          <w:tcPr>
            <w:tcW w:w="701" w:type="pct"/>
            <w:tcBorders>
              <w:top w:val="nil"/>
              <w:left w:val="nil"/>
              <w:bottom w:val="nil"/>
              <w:right w:val="nil"/>
            </w:tcBorders>
            <w:shd w:val="clear" w:color="auto" w:fill="auto"/>
            <w:vAlign w:val="bottom"/>
          </w:tcPr>
          <w:p w14:paraId="619E05F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5F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5FD"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5F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5F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600" w14:textId="77777777" w:rsidR="003D72E7" w:rsidRDefault="003D72E7">
            <w:pPr>
              <w:widowControl/>
              <w:jc w:val="left"/>
              <w:rPr>
                <w:rFonts w:ascii="Times New Roman" w:eastAsia="宋体" w:hAnsi="宋体" w:cs="宋体"/>
                <w:kern w:val="0"/>
                <w:sz w:val="24"/>
              </w:rPr>
            </w:pPr>
          </w:p>
        </w:tc>
        <w:tc>
          <w:tcPr>
            <w:tcW w:w="701" w:type="pct"/>
            <w:tcBorders>
              <w:top w:val="nil"/>
              <w:left w:val="nil"/>
              <w:bottom w:val="nil"/>
              <w:right w:val="nil"/>
            </w:tcBorders>
            <w:shd w:val="clear" w:color="auto" w:fill="auto"/>
            <w:vAlign w:val="bottom"/>
          </w:tcPr>
          <w:p w14:paraId="619E060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602" w14:textId="77777777" w:rsidR="003D72E7" w:rsidRDefault="003D72E7">
            <w:pPr>
              <w:widowControl/>
              <w:jc w:val="left"/>
              <w:rPr>
                <w:rFonts w:ascii="Times New Roman" w:eastAsia="宋体" w:hAnsi="宋体" w:cs="宋体"/>
                <w:kern w:val="0"/>
                <w:sz w:val="24"/>
              </w:rPr>
            </w:pPr>
          </w:p>
        </w:tc>
      </w:tr>
      <w:tr w:rsidR="003D72E7" w14:paraId="619E060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604"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E060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606"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E060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E061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60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60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60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60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60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60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60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61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E061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19E0612"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21"/>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E0613"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E061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61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Interest and other, net:</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61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1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61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1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61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1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61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r>
      <w:tr w:rsidR="003D72E7" w14:paraId="619E062E"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E061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Investment income, primarily interest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61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62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62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62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62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62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62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62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62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62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62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62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62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62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62D" w14:textId="77777777" w:rsidR="003D72E7" w:rsidRDefault="003D72E7">
            <w:pPr>
              <w:widowControl/>
              <w:jc w:val="right"/>
              <w:rPr>
                <w:rFonts w:ascii="Times New Roman" w:eastAsia="宋体" w:hAnsi="宋体" w:cs="宋体"/>
                <w:kern w:val="0"/>
                <w:sz w:val="24"/>
              </w:rPr>
            </w:pPr>
          </w:p>
        </w:tc>
      </w:tr>
      <w:tr w:rsidR="003D72E7" w14:paraId="619E063B"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E062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Gain on investments,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63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63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3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63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63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3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63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63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3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63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63A" w14:textId="77777777" w:rsidR="003D72E7" w:rsidRDefault="003D72E7">
            <w:pPr>
              <w:widowControl/>
              <w:jc w:val="right"/>
              <w:rPr>
                <w:rFonts w:ascii="Times New Roman" w:eastAsia="宋体" w:hAnsi="宋体" w:cs="宋体"/>
                <w:kern w:val="0"/>
                <w:sz w:val="24"/>
              </w:rPr>
            </w:pPr>
          </w:p>
        </w:tc>
      </w:tr>
      <w:tr w:rsidR="003D72E7" w14:paraId="619E0648"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E063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63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63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63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64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64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64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64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64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64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64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(1,289)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647" w14:textId="77777777" w:rsidR="003D72E7" w:rsidRDefault="003D72E7">
            <w:pPr>
              <w:widowControl/>
              <w:jc w:val="right"/>
              <w:rPr>
                <w:rFonts w:ascii="Times New Roman" w:eastAsia="宋体" w:hAnsi="宋体" w:cs="宋体"/>
                <w:kern w:val="0"/>
                <w:sz w:val="24"/>
              </w:rPr>
            </w:pPr>
          </w:p>
        </w:tc>
      </w:tr>
      <w:tr w:rsidR="003D72E7" w14:paraId="619E0655"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619E064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Foreign exchange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64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64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4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64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64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4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65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65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5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65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654" w14:textId="77777777" w:rsidR="003D72E7" w:rsidRDefault="003D72E7">
            <w:pPr>
              <w:widowControl/>
              <w:jc w:val="right"/>
              <w:rPr>
                <w:rFonts w:ascii="Times New Roman" w:eastAsia="宋体" w:hAnsi="宋体" w:cs="宋体"/>
                <w:kern w:val="0"/>
                <w:sz w:val="24"/>
              </w:rPr>
            </w:pPr>
          </w:p>
        </w:tc>
      </w:tr>
      <w:tr w:rsidR="003D72E7" w14:paraId="619E0662"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619E065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65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65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65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65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65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65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65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65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65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66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661" w14:textId="77777777" w:rsidR="003D72E7" w:rsidRDefault="003D72E7">
            <w:pPr>
              <w:widowControl/>
              <w:jc w:val="right"/>
              <w:rPr>
                <w:rFonts w:ascii="Times New Roman" w:eastAsia="宋体" w:hAnsi="宋体" w:cs="宋体"/>
                <w:kern w:val="0"/>
                <w:sz w:val="24"/>
              </w:rPr>
            </w:pPr>
          </w:p>
        </w:tc>
      </w:tr>
      <w:tr w:rsidR="003D72E7" w14:paraId="619E0673" w14:textId="77777777">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619E066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interest and other, net</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E066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E066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(359)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E066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6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E066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E066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E066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6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E066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E066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(747)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E066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6F"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E067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E067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E0672" w14:textId="77777777" w:rsidR="003D72E7" w:rsidRDefault="003D72E7">
            <w:pPr>
              <w:widowControl/>
              <w:jc w:val="right"/>
              <w:rPr>
                <w:rFonts w:ascii="Times New Roman" w:eastAsia="宋体" w:hAnsi="宋体" w:cs="宋体"/>
                <w:kern w:val="0"/>
                <w:sz w:val="24"/>
              </w:rPr>
            </w:pPr>
          </w:p>
        </w:tc>
      </w:tr>
    </w:tbl>
    <w:p w14:paraId="619E067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67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During the second quarter and first six months of Fiscal 2022, the change in interest and other, net was favorable by $277 million and $455 million, respectively. The favorability in both periods was primarily </w:t>
      </w:r>
      <w:r>
        <w:rPr>
          <w:rFonts w:ascii="Times New Roman" w:eastAsia="宋体" w:hAnsi="Times New Roman" w:cs="Times New Roman"/>
          <w:color w:val="000000"/>
          <w:kern w:val="0"/>
          <w:sz w:val="20"/>
          <w:szCs w:val="20"/>
          <w:shd w:val="clear" w:color="auto" w:fill="FFFFFF"/>
          <w:lang w:bidi="ar"/>
        </w:rPr>
        <w:t>d</w:t>
      </w:r>
      <w:r>
        <w:rPr>
          <w:rFonts w:ascii="Times New Roman" w:eastAsia="宋体" w:hAnsi="Times New Roman" w:cs="Times New Roman"/>
          <w:color w:val="000000"/>
          <w:kern w:val="0"/>
          <w:sz w:val="20"/>
          <w:szCs w:val="20"/>
          <w:lang w:bidi="ar"/>
        </w:rPr>
        <w:t>ue to decreases in interest expense resulting</w:t>
      </w:r>
      <w:r>
        <w:rPr>
          <w:rFonts w:ascii="Times New Roman" w:eastAsia="宋体" w:hAnsi="Times New Roman" w:cs="Times New Roman"/>
          <w:color w:val="000000"/>
          <w:kern w:val="0"/>
          <w:sz w:val="20"/>
          <w:szCs w:val="20"/>
          <w:lang w:bidi="ar"/>
        </w:rPr>
        <w:t xml:space="preserve"> from debt repayments and increases in net gains on our strategic investment portfolio. </w:t>
      </w:r>
    </w:p>
    <w:p w14:paraId="619E067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67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Income and Other Taxes</w:t>
      </w:r>
    </w:p>
    <w:p w14:paraId="619E067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679"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information regarding our income and other taxes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1984"/>
        <w:gridCol w:w="37"/>
        <w:gridCol w:w="120"/>
        <w:gridCol w:w="1141"/>
        <w:gridCol w:w="187"/>
        <w:gridCol w:w="36"/>
        <w:gridCol w:w="36"/>
        <w:gridCol w:w="36"/>
        <w:gridCol w:w="121"/>
        <w:gridCol w:w="1194"/>
        <w:gridCol w:w="187"/>
        <w:gridCol w:w="36"/>
        <w:gridCol w:w="36"/>
        <w:gridCol w:w="36"/>
        <w:gridCol w:w="120"/>
        <w:gridCol w:w="1194"/>
        <w:gridCol w:w="187"/>
        <w:gridCol w:w="36"/>
        <w:gridCol w:w="36"/>
        <w:gridCol w:w="36"/>
        <w:gridCol w:w="121"/>
        <w:gridCol w:w="1194"/>
        <w:gridCol w:w="187"/>
      </w:tblGrid>
      <w:tr w:rsidR="003D72E7" w14:paraId="619E0692" w14:textId="77777777">
        <w:tc>
          <w:tcPr>
            <w:tcW w:w="50" w:type="pct"/>
            <w:tcBorders>
              <w:top w:val="nil"/>
              <w:left w:val="nil"/>
              <w:bottom w:val="nil"/>
              <w:right w:val="nil"/>
            </w:tcBorders>
            <w:shd w:val="clear" w:color="auto" w:fill="auto"/>
            <w:vAlign w:val="bottom"/>
          </w:tcPr>
          <w:p w14:paraId="619E067A" w14:textId="77777777" w:rsidR="003D72E7" w:rsidRDefault="003D72E7">
            <w:pPr>
              <w:widowControl/>
              <w:jc w:val="left"/>
              <w:rPr>
                <w:rFonts w:ascii="Times New Roman" w:eastAsia="宋体" w:hAnsi="宋体" w:cs="宋体"/>
                <w:kern w:val="0"/>
                <w:sz w:val="24"/>
              </w:rPr>
            </w:pPr>
          </w:p>
        </w:tc>
        <w:tc>
          <w:tcPr>
            <w:tcW w:w="1377" w:type="pct"/>
            <w:tcBorders>
              <w:top w:val="nil"/>
              <w:left w:val="nil"/>
              <w:bottom w:val="nil"/>
              <w:right w:val="nil"/>
            </w:tcBorders>
            <w:shd w:val="clear" w:color="auto" w:fill="auto"/>
            <w:vAlign w:val="bottom"/>
          </w:tcPr>
          <w:p w14:paraId="619E067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67C"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67D" w14:textId="77777777" w:rsidR="003D72E7" w:rsidRDefault="003D72E7">
            <w:pPr>
              <w:widowControl/>
              <w:jc w:val="left"/>
              <w:rPr>
                <w:rFonts w:ascii="Times New Roman" w:eastAsia="宋体" w:hAnsi="宋体" w:cs="宋体"/>
                <w:kern w:val="0"/>
                <w:sz w:val="24"/>
              </w:rPr>
            </w:pPr>
          </w:p>
        </w:tc>
        <w:tc>
          <w:tcPr>
            <w:tcW w:w="791" w:type="pct"/>
            <w:tcBorders>
              <w:top w:val="nil"/>
              <w:left w:val="nil"/>
              <w:bottom w:val="nil"/>
              <w:right w:val="nil"/>
            </w:tcBorders>
            <w:shd w:val="clear" w:color="auto" w:fill="auto"/>
            <w:vAlign w:val="bottom"/>
          </w:tcPr>
          <w:p w14:paraId="619E067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67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680"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68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682"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683" w14:textId="77777777" w:rsidR="003D72E7" w:rsidRDefault="003D72E7">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619E068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68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686"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68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688"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689" w14:textId="77777777" w:rsidR="003D72E7" w:rsidRDefault="003D72E7">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619E068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68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68C"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68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68E"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68F" w14:textId="77777777" w:rsidR="003D72E7" w:rsidRDefault="003D72E7">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619E069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691" w14:textId="77777777" w:rsidR="003D72E7" w:rsidRDefault="003D72E7">
            <w:pPr>
              <w:widowControl/>
              <w:jc w:val="left"/>
              <w:rPr>
                <w:rFonts w:ascii="Times New Roman" w:eastAsia="宋体" w:hAnsi="宋体" w:cs="宋体"/>
                <w:kern w:val="0"/>
                <w:sz w:val="24"/>
              </w:rPr>
            </w:pPr>
          </w:p>
        </w:tc>
      </w:tr>
      <w:tr w:rsidR="003D72E7" w14:paraId="619E069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693"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E069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695"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E069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E06A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698"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69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69A"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69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69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69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69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69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E06A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6A1"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6A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percentages)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6A3"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6A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percentages)</w:t>
            </w:r>
          </w:p>
        </w:tc>
      </w:tr>
      <w:tr w:rsidR="003D72E7" w14:paraId="619E06B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6A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before income taxes</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6A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6A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6A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AA"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6A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6A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6A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AE"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6A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6B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6B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B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6B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6B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6B5" w14:textId="77777777" w:rsidR="003D72E7" w:rsidRDefault="003D72E7">
            <w:pPr>
              <w:widowControl/>
              <w:jc w:val="right"/>
              <w:rPr>
                <w:rFonts w:ascii="Times New Roman" w:eastAsia="宋体" w:hAnsi="宋体" w:cs="宋体"/>
                <w:kern w:val="0"/>
                <w:sz w:val="24"/>
              </w:rPr>
            </w:pPr>
          </w:p>
        </w:tc>
      </w:tr>
      <w:tr w:rsidR="003D72E7" w14:paraId="619E06C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E06B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Income tax expense (benefit)</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6B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6B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6B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6BB"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6B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6B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6B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6B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6C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6C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6C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6C3"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6C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6C5"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(645)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6C6" w14:textId="77777777" w:rsidR="003D72E7" w:rsidRDefault="003D72E7">
            <w:pPr>
              <w:widowControl/>
              <w:jc w:val="right"/>
              <w:rPr>
                <w:rFonts w:ascii="Times New Roman" w:eastAsia="宋体" w:hAnsi="宋体" w:cs="宋体"/>
                <w:kern w:val="0"/>
                <w:sz w:val="24"/>
              </w:rPr>
            </w:pPr>
          </w:p>
        </w:tc>
      </w:tr>
      <w:tr w:rsidR="003D72E7" w14:paraId="619E06D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6C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Effective income tax rate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6C9"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6C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C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6CC"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6C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C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6C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6D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6D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6D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-101.4 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6D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r>
    </w:tbl>
    <w:p w14:paraId="619E06D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6D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 xml:space="preserve">For the second quarter of Fiscal 2022 and Fiscal 2021, </w:t>
      </w:r>
      <w:r>
        <w:rPr>
          <w:rFonts w:ascii="Times New Roman" w:eastAsia="宋体" w:hAnsi="Times New Roman" w:cs="Times New Roman"/>
          <w:color w:val="000000"/>
          <w:kern w:val="0"/>
          <w:sz w:val="20"/>
          <w:szCs w:val="20"/>
          <w:lang w:bidi="ar"/>
        </w:rPr>
        <w:t>our effective income tax rate was 13.1% and -119.8%, r</w:t>
      </w:r>
      <w:r>
        <w:rPr>
          <w:rFonts w:ascii="Times New Roman" w:eastAsia="宋体" w:hAnsi="Times New Roman" w:cs="Times New Roman"/>
          <w:color w:val="000000"/>
          <w:kern w:val="0"/>
          <w:sz w:val="20"/>
          <w:szCs w:val="20"/>
          <w:shd w:val="clear" w:color="auto" w:fill="FFFFFF"/>
          <w:lang w:bidi="ar"/>
        </w:rPr>
        <w:t>espectively. For the first six months of Fiscal 2022 and Fiscal 2021, our effective income tax rate was 9.1% and -</w:t>
      </w:r>
      <w:r>
        <w:rPr>
          <w:rFonts w:ascii="Times New Roman" w:eastAsia="宋体" w:hAnsi="Times New Roman" w:cs="Times New Roman"/>
          <w:color w:val="000000"/>
          <w:kern w:val="0"/>
          <w:sz w:val="20"/>
          <w:szCs w:val="20"/>
          <w:shd w:val="clear" w:color="auto" w:fill="FFFFFF"/>
          <w:lang w:bidi="ar"/>
        </w:rPr>
        <w:t>101.4%, respectively. The changes in our effective income tax rate were primarily driven by lower discrete tax items on higher pre-tax income and a change in our jurisdictional mix of income.</w:t>
      </w:r>
      <w:r>
        <w:rPr>
          <w:rFonts w:ascii="Times New Roman" w:eastAsia="宋体" w:hAnsi="Times New Roman" w:cs="Times New Roman"/>
          <w:color w:val="000000"/>
          <w:kern w:val="0"/>
          <w:sz w:val="24"/>
          <w:shd w:val="clear" w:color="auto" w:fill="FFFFFF"/>
          <w:lang w:bidi="ar"/>
        </w:rPr>
        <w:t xml:space="preserve"> </w:t>
      </w:r>
      <w:r>
        <w:rPr>
          <w:rFonts w:ascii="Times New Roman" w:eastAsia="宋体" w:hAnsi="Times New Roman" w:cs="Times New Roman"/>
          <w:color w:val="000000"/>
          <w:kern w:val="0"/>
          <w:sz w:val="20"/>
          <w:szCs w:val="20"/>
          <w:shd w:val="clear" w:color="auto" w:fill="FFFFFF"/>
          <w:lang w:bidi="ar"/>
        </w:rPr>
        <w:t>For the first six months of Fiscal 2022, our effective income tax rate includes discrete tax benefits of $131 million related to stock-based compensation. In comparison, for the first six months of Fiscal 2021, our effective income tax rate includes discre</w:t>
      </w:r>
      <w:r>
        <w:rPr>
          <w:rFonts w:ascii="Times New Roman" w:eastAsia="宋体" w:hAnsi="Times New Roman" w:cs="Times New Roman"/>
          <w:color w:val="000000"/>
          <w:kern w:val="0"/>
          <w:sz w:val="20"/>
          <w:szCs w:val="20"/>
          <w:shd w:val="clear" w:color="auto" w:fill="FFFFFF"/>
          <w:lang w:bidi="ar"/>
        </w:rPr>
        <w:t xml:space="preserve">te tax </w:t>
      </w:r>
      <w:r>
        <w:rPr>
          <w:rFonts w:ascii="Times New Roman" w:eastAsia="宋体" w:hAnsi="Times New Roman" w:cs="Times New Roman"/>
          <w:color w:val="000000"/>
          <w:kern w:val="0"/>
          <w:sz w:val="20"/>
          <w:szCs w:val="20"/>
          <w:lang w:bidi="ar"/>
        </w:rPr>
        <w:t>benefits of $746 million relat</w:t>
      </w:r>
      <w:r>
        <w:rPr>
          <w:rFonts w:ascii="Times New Roman" w:eastAsia="宋体" w:hAnsi="Times New Roman" w:cs="Times New Roman"/>
          <w:color w:val="000000"/>
          <w:kern w:val="0"/>
          <w:sz w:val="20"/>
          <w:szCs w:val="20"/>
          <w:shd w:val="clear" w:color="auto" w:fill="FFFFFF"/>
          <w:lang w:bidi="ar"/>
        </w:rPr>
        <w:t>ed to an audit settlement that was recorded in the second quarter of that period. The effective income tax rate for future quarters of Fiscal 2022 may be impacted by the actual mix of jurisdictions in which income is ge</w:t>
      </w:r>
      <w:r>
        <w:rPr>
          <w:rFonts w:ascii="Times New Roman" w:eastAsia="宋体" w:hAnsi="Times New Roman" w:cs="Times New Roman"/>
          <w:color w:val="000000"/>
          <w:kern w:val="0"/>
          <w:sz w:val="20"/>
          <w:szCs w:val="20"/>
          <w:shd w:val="clear" w:color="auto" w:fill="FFFFFF"/>
          <w:lang w:bidi="ar"/>
        </w:rPr>
        <w:t>nerated, as well as the impact of any discrete tax items.</w:t>
      </w:r>
    </w:p>
    <w:p w14:paraId="619E06D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6D8"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6D9"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75</w:t>
      </w:r>
    </w:p>
    <w:p w14:paraId="619E06DA"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6DB" w14:textId="77777777" w:rsidR="003D72E7" w:rsidRDefault="00AD6774">
      <w:pPr>
        <w:widowControl/>
        <w:jc w:val="center"/>
      </w:pPr>
      <w:r>
        <w:rPr>
          <w:rFonts w:ascii="宋体" w:eastAsia="宋体" w:hAnsi="宋体" w:cs="宋体"/>
          <w:kern w:val="0"/>
          <w:sz w:val="24"/>
        </w:rPr>
        <w:pict w14:anchorId="619E0DB6">
          <v:rect id="_x0000_i1099" style="width:6in;height:1.5pt" o:hralign="center" o:hrstd="t" o:hr="t" fillcolor="#a0a0a0" stroked="f"/>
        </w:pict>
      </w:r>
    </w:p>
    <w:p w14:paraId="619E06DC"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6D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effective income tax rate can fluctuate depending on the geographic distribution of our worldwide earnings</w:t>
      </w:r>
      <w:r>
        <w:rPr>
          <w:rFonts w:ascii="Times New Roman" w:eastAsia="宋体" w:hAnsi="Times New Roman" w:cs="Times New Roman"/>
          <w:color w:val="000000"/>
          <w:kern w:val="0"/>
          <w:sz w:val="20"/>
          <w:szCs w:val="20"/>
          <w:lang w:bidi="ar"/>
        </w:rPr>
        <w:t>, as our foreign earnings are generally taxed at lower rates than in the United States. The differences between our effective income tax rate and the U.S. federal statutory rate of 21% principally result from the geographical distribution of income, differ</w:t>
      </w:r>
      <w:r>
        <w:rPr>
          <w:rFonts w:ascii="Times New Roman" w:eastAsia="宋体" w:hAnsi="Times New Roman" w:cs="Times New Roman"/>
          <w:color w:val="000000"/>
          <w:kern w:val="0"/>
          <w:sz w:val="20"/>
          <w:szCs w:val="20"/>
          <w:lang w:bidi="ar"/>
        </w:rPr>
        <w:t xml:space="preserve">ences between the book and tax treatment of certain items, and the discrete tax items discussed above. In certain jurisdictions, our tax rate is significantly less than the applicable statutory rate as a result of tax holidays. The majority of our foreign </w:t>
      </w:r>
      <w:r>
        <w:rPr>
          <w:rFonts w:ascii="Times New Roman" w:eastAsia="宋体" w:hAnsi="Times New Roman" w:cs="Times New Roman"/>
          <w:color w:val="000000"/>
          <w:kern w:val="0"/>
          <w:sz w:val="20"/>
          <w:szCs w:val="20"/>
          <w:lang w:bidi="ar"/>
        </w:rPr>
        <w:t>income that is subject to these tax holidays and lower tax rates is attributable to Singapore and China. A significant portion of these income tax benefits relates to a tax holiday that will be effective until January 31, 2029.  Our other tax holidays will</w:t>
      </w:r>
      <w:r>
        <w:rPr>
          <w:rFonts w:ascii="Times New Roman" w:eastAsia="宋体" w:hAnsi="Times New Roman" w:cs="Times New Roman"/>
          <w:color w:val="000000"/>
          <w:kern w:val="0"/>
          <w:sz w:val="20"/>
          <w:szCs w:val="20"/>
          <w:lang w:bidi="ar"/>
        </w:rPr>
        <w:t xml:space="preserve"> expire in whole or in part during Fiscal 2022 through Fiscal 2030. Many of these tax holidays and reduced tax rates may be extended when certain conditions are met or may be terminated early if certain conditions are not met. As of July 30, 2021, we were </w:t>
      </w:r>
      <w:r>
        <w:rPr>
          <w:rFonts w:ascii="Times New Roman" w:eastAsia="宋体" w:hAnsi="Times New Roman" w:cs="Times New Roman"/>
          <w:color w:val="000000"/>
          <w:kern w:val="0"/>
          <w:sz w:val="20"/>
          <w:szCs w:val="20"/>
          <w:lang w:bidi="ar"/>
        </w:rPr>
        <w:t>not aware of any matters of non-compliance related to these tax holidays.</w:t>
      </w:r>
    </w:p>
    <w:p w14:paraId="619E06D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6D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For further discussion regarding tax matters, including the status of income tax audits, see Note 10 of the Notes to the Condensed Consolidated Financial Statements included in thi</w:t>
      </w:r>
      <w:r>
        <w:rPr>
          <w:rFonts w:ascii="Times New Roman" w:eastAsia="宋体" w:hAnsi="Times New Roman" w:cs="Times New Roman"/>
          <w:color w:val="000000"/>
          <w:kern w:val="0"/>
          <w:sz w:val="20"/>
          <w:szCs w:val="20"/>
          <w:lang w:bidi="ar"/>
        </w:rPr>
        <w:t xml:space="preserve">s report. </w:t>
      </w:r>
    </w:p>
    <w:p w14:paraId="619E06E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6E1"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Net Income</w:t>
      </w:r>
    </w:p>
    <w:p w14:paraId="619E06E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6E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second quarter of Fiscal 2022, net income decreased 20% to $0.9 billion, while net income increased 42% to $1.8 billion during the first six months of Fiscal 2022.</w:t>
      </w:r>
      <w:r>
        <w:rPr>
          <w:rFonts w:ascii="Times New Roman" w:eastAsia="宋体" w:hAnsi="Times New Roman" w:cs="Times New Roman"/>
          <w:color w:val="000000"/>
          <w:kern w:val="0"/>
          <w:sz w:val="20"/>
          <w:szCs w:val="20"/>
          <w:shd w:val="clear" w:color="auto" w:fill="FFFFFF"/>
          <w:lang w:bidi="ar"/>
        </w:rPr>
        <w:t xml:space="preserve"> The decrease for </w:t>
      </w:r>
      <w:r>
        <w:rPr>
          <w:rFonts w:ascii="Times New Roman" w:eastAsia="宋体" w:hAnsi="Times New Roman" w:cs="Times New Roman"/>
          <w:color w:val="000000"/>
          <w:kern w:val="0"/>
          <w:sz w:val="20"/>
          <w:szCs w:val="20"/>
          <w:lang w:bidi="ar"/>
        </w:rPr>
        <w:t xml:space="preserve">the second quarter of Fiscal 2022 </w:t>
      </w:r>
      <w:r>
        <w:rPr>
          <w:rFonts w:ascii="Times New Roman" w:eastAsia="宋体" w:hAnsi="Times New Roman" w:cs="Times New Roman"/>
          <w:color w:val="000000"/>
          <w:kern w:val="0"/>
          <w:sz w:val="20"/>
          <w:szCs w:val="20"/>
          <w:lang w:bidi="ar"/>
        </w:rPr>
        <w:t>was primarily attributable to an increase in tax expense, partially offset by an increase in operating income and a favorable change in interest and other, net</w:t>
      </w:r>
      <w:r>
        <w:rPr>
          <w:rFonts w:ascii="Times New Roman" w:eastAsia="宋体" w:hAnsi="Times New Roman" w:cs="Times New Roman"/>
          <w:color w:val="000000"/>
          <w:kern w:val="0"/>
          <w:sz w:val="20"/>
          <w:szCs w:val="20"/>
          <w:shd w:val="clear" w:color="auto" w:fill="FFFFFF"/>
          <w:lang w:bidi="ar"/>
        </w:rPr>
        <w:t>.</w:t>
      </w:r>
      <w:r>
        <w:rPr>
          <w:rFonts w:ascii="Times New Roman" w:eastAsia="宋体" w:hAnsi="Times New Roman" w:cs="Times New Roman"/>
          <w:color w:val="000000"/>
          <w:kern w:val="0"/>
          <w:sz w:val="20"/>
          <w:szCs w:val="20"/>
          <w:lang w:bidi="ar"/>
        </w:rPr>
        <w:t xml:space="preserve"> The increase during the first six months of Fiscal 2022 was as a result of an increase in opera</w:t>
      </w:r>
      <w:r>
        <w:rPr>
          <w:rFonts w:ascii="Times New Roman" w:eastAsia="宋体" w:hAnsi="Times New Roman" w:cs="Times New Roman"/>
          <w:color w:val="000000"/>
          <w:kern w:val="0"/>
          <w:sz w:val="20"/>
          <w:szCs w:val="20"/>
          <w:lang w:bidi="ar"/>
        </w:rPr>
        <w:t>ting income coupled with a favorable change in interest and other, net partially off</w:t>
      </w:r>
      <w:r>
        <w:rPr>
          <w:rFonts w:ascii="Times New Roman" w:eastAsia="宋体" w:hAnsi="Times New Roman" w:cs="Times New Roman"/>
          <w:color w:val="000000"/>
          <w:kern w:val="0"/>
          <w:sz w:val="20"/>
          <w:szCs w:val="20"/>
          <w:shd w:val="clear" w:color="auto" w:fill="FFFFFF"/>
          <w:lang w:bidi="ar"/>
        </w:rPr>
        <w:t>set by an increase in tax expense.</w:t>
      </w:r>
      <w:r>
        <w:rPr>
          <w:rFonts w:ascii="Times New Roman" w:eastAsia="宋体" w:hAnsi="Times New Roman" w:cs="Times New Roman"/>
          <w:color w:val="000000"/>
          <w:kern w:val="0"/>
          <w:sz w:val="20"/>
          <w:szCs w:val="20"/>
          <w:lang w:bidi="ar"/>
        </w:rPr>
        <w:t xml:space="preserve"> Non-GAAP net income increased 18% to $1.9 billion and 35% to $3.7 billion during the second quarter and first six months of Fiscal 2022, </w:t>
      </w:r>
      <w:r>
        <w:rPr>
          <w:rFonts w:ascii="Times New Roman" w:eastAsia="宋体" w:hAnsi="Times New Roman" w:cs="Times New Roman"/>
          <w:color w:val="000000"/>
          <w:kern w:val="0"/>
          <w:sz w:val="20"/>
          <w:szCs w:val="20"/>
          <w:lang w:bidi="ar"/>
        </w:rPr>
        <w:t xml:space="preserve">respectively. </w:t>
      </w:r>
      <w:r>
        <w:rPr>
          <w:rFonts w:ascii="Times New Roman" w:eastAsia="宋体" w:hAnsi="Times New Roman" w:cs="Times New Roman"/>
          <w:color w:val="000000"/>
          <w:kern w:val="0"/>
          <w:sz w:val="20"/>
          <w:szCs w:val="20"/>
          <w:shd w:val="clear" w:color="auto" w:fill="FFFFFF"/>
          <w:lang w:bidi="ar"/>
        </w:rPr>
        <w:t xml:space="preserve">The increase in non-GAAP net income during both the second quarter and first six months of Fiscal 2022 was primarily attributable to an increase in non-GAAP operating income coupled with </w:t>
      </w:r>
      <w:r>
        <w:rPr>
          <w:rFonts w:ascii="Times New Roman" w:eastAsia="宋体" w:hAnsi="Times New Roman" w:cs="Times New Roman"/>
          <w:color w:val="000000"/>
          <w:kern w:val="0"/>
          <w:sz w:val="20"/>
          <w:szCs w:val="20"/>
          <w:lang w:bidi="ar"/>
        </w:rPr>
        <w:t>a favorable change in interest and other, net.</w:t>
      </w:r>
    </w:p>
    <w:p w14:paraId="619E06E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6E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Non-co</w:t>
      </w:r>
      <w:r>
        <w:rPr>
          <w:rFonts w:ascii="Times New Roman" w:eastAsia="宋体" w:hAnsi="Times New Roman" w:cs="Times New Roman"/>
          <w:b/>
          <w:bCs/>
          <w:color w:val="000000"/>
          <w:kern w:val="0"/>
          <w:sz w:val="20"/>
          <w:szCs w:val="20"/>
          <w:lang w:bidi="ar"/>
        </w:rPr>
        <w:t>ntrolling Interests</w:t>
      </w:r>
    </w:p>
    <w:p w14:paraId="619E06E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6E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Net income attributable to non-controlling interests consists of net income or loss attributable to our non-controlling interests in VMware, Inc. and Secureworks. During the second quarter of Fiscal 2022 and Fiscal 2021, net income attributable to non-cont</w:t>
      </w:r>
      <w:r>
        <w:rPr>
          <w:rFonts w:ascii="Times New Roman" w:eastAsia="宋体" w:hAnsi="Times New Roman" w:cs="Times New Roman"/>
          <w:color w:val="000000"/>
          <w:kern w:val="0"/>
          <w:sz w:val="20"/>
          <w:szCs w:val="20"/>
          <w:lang w:bidi="ar"/>
        </w:rPr>
        <w:t>rolling interests was $49 million and $51 million, respectively. The decrease in net income attributable to non-controlling interests during the second quarter of Fiscal 2022 was primarily due to a decrease in net income attributable to our non-controlling</w:t>
      </w:r>
      <w:r>
        <w:rPr>
          <w:rFonts w:ascii="Times New Roman" w:eastAsia="宋体" w:hAnsi="Times New Roman" w:cs="Times New Roman"/>
          <w:color w:val="000000"/>
          <w:kern w:val="0"/>
          <w:sz w:val="20"/>
          <w:szCs w:val="20"/>
          <w:lang w:bidi="ar"/>
        </w:rPr>
        <w:t xml:space="preserve"> interest in VMware, Inc. </w:t>
      </w:r>
    </w:p>
    <w:p w14:paraId="619E06E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6E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first six months of Fiscal 2022 and Fiscal 2021, net income attributable to non-controlling interests was $100 million and $90 million, respectively. The increase in net income attributable to non-controlling interes</w:t>
      </w:r>
      <w:r>
        <w:rPr>
          <w:rFonts w:ascii="Times New Roman" w:eastAsia="宋体" w:hAnsi="Times New Roman" w:cs="Times New Roman"/>
          <w:color w:val="000000"/>
          <w:kern w:val="0"/>
          <w:sz w:val="20"/>
          <w:szCs w:val="20"/>
          <w:lang w:bidi="ar"/>
        </w:rPr>
        <w:t>ts during the first six months of Fiscal 2022 was primarily due to an increase in net income attributable to our non-controlling interest in VMware, Inc. For more information about our non-controlling interests, see Note 12 of the Notes to the Condensed Co</w:t>
      </w:r>
      <w:r>
        <w:rPr>
          <w:rFonts w:ascii="Times New Roman" w:eastAsia="宋体" w:hAnsi="Times New Roman" w:cs="Times New Roman"/>
          <w:color w:val="000000"/>
          <w:kern w:val="0"/>
          <w:sz w:val="20"/>
          <w:szCs w:val="20"/>
          <w:lang w:bidi="ar"/>
        </w:rPr>
        <w:t>nsolidated Financial Statements included in this report.</w:t>
      </w:r>
    </w:p>
    <w:p w14:paraId="619E06E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6E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Net Income Attributable to Dell Technologies Inc.</w:t>
      </w:r>
    </w:p>
    <w:p w14:paraId="619E06E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6E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Net income attributable to Dell Technologies Inc. represents net income and an adjustment for non-controlling interests. During the second quarte</w:t>
      </w:r>
      <w:r>
        <w:rPr>
          <w:rFonts w:ascii="Times New Roman" w:eastAsia="宋体" w:hAnsi="Times New Roman" w:cs="Times New Roman"/>
          <w:color w:val="000000"/>
          <w:kern w:val="0"/>
          <w:sz w:val="20"/>
          <w:szCs w:val="20"/>
          <w:lang w:bidi="ar"/>
        </w:rPr>
        <w:t>r of Fiscal 2022 and Fiscal 2021, net income attributable to Dell Technologies Inc. was $0.8 billion and $1.0 billion, respectively. The decrease in net income attributable to Dell Technologies Inc. during the second quarter of Fiscal 2022 was primarily at</w:t>
      </w:r>
      <w:r>
        <w:rPr>
          <w:rFonts w:ascii="Times New Roman" w:eastAsia="宋体" w:hAnsi="Times New Roman" w:cs="Times New Roman"/>
          <w:color w:val="000000"/>
          <w:kern w:val="0"/>
          <w:sz w:val="20"/>
          <w:szCs w:val="20"/>
          <w:lang w:bidi="ar"/>
        </w:rPr>
        <w:t>tributable to a decrease in net income for the period. During the first six months of Fiscal 2022 and Fiscal 2021, net income attributable to Dell Technologies Inc. was $1.7 billion and $1.2 billion, respectively. The increase in net income attributable to</w:t>
      </w:r>
      <w:r>
        <w:rPr>
          <w:rFonts w:ascii="Times New Roman" w:eastAsia="宋体" w:hAnsi="Times New Roman" w:cs="Times New Roman"/>
          <w:color w:val="000000"/>
          <w:kern w:val="0"/>
          <w:sz w:val="20"/>
          <w:szCs w:val="20"/>
          <w:lang w:bidi="ar"/>
        </w:rPr>
        <w:t xml:space="preserve"> Dell Technologies Inc. during the first six months of Fiscal 2022 was primarily attributable to an increase in net income for the period. </w:t>
      </w:r>
    </w:p>
    <w:p w14:paraId="619E06E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6E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6F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76</w:t>
      </w:r>
    </w:p>
    <w:p w14:paraId="619E06F1"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6F2" w14:textId="77777777" w:rsidR="003D72E7" w:rsidRDefault="00AD6774">
      <w:pPr>
        <w:widowControl/>
        <w:jc w:val="center"/>
      </w:pPr>
      <w:r>
        <w:rPr>
          <w:rFonts w:ascii="宋体" w:eastAsia="宋体" w:hAnsi="宋体" w:cs="宋体"/>
          <w:kern w:val="0"/>
          <w:sz w:val="24"/>
        </w:rPr>
        <w:pict w14:anchorId="619E0DB7">
          <v:rect id="_x0000_i1100" style="width:6in;height:1.5pt" o:hralign="center" o:hrstd="t" o:hr="t" fillcolor="#a0a0a0" stroked="f"/>
        </w:pict>
      </w:r>
    </w:p>
    <w:p w14:paraId="619E06F3"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6F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Business Unit Results</w:t>
      </w:r>
    </w:p>
    <w:p w14:paraId="619E06F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6F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reportable segments are based on the following business units: ISG, CSG, and VMware. A description of our three business units is provided under “Intro</w:t>
      </w:r>
      <w:r>
        <w:rPr>
          <w:rFonts w:ascii="Times New Roman" w:eastAsia="宋体" w:hAnsi="Times New Roman" w:cs="Times New Roman"/>
          <w:color w:val="000000"/>
          <w:kern w:val="0"/>
          <w:sz w:val="20"/>
          <w:szCs w:val="20"/>
          <w:lang w:bidi="ar"/>
        </w:rPr>
        <w:t>duction.” See Note 16 of the Notes to the Condensed Consolidated Financial Statements included in this report for a reconciliation of net revenue and operating income by reportable segment to consolidated net revenue and consolidated operating income, resp</w:t>
      </w:r>
      <w:r>
        <w:rPr>
          <w:rFonts w:ascii="Times New Roman" w:eastAsia="宋体" w:hAnsi="Times New Roman" w:cs="Times New Roman"/>
          <w:color w:val="000000"/>
          <w:kern w:val="0"/>
          <w:sz w:val="20"/>
          <w:szCs w:val="20"/>
          <w:lang w:bidi="ar"/>
        </w:rPr>
        <w:t>ectively.</w:t>
      </w:r>
    </w:p>
    <w:p w14:paraId="619E06F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6F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Infrastructure Solutions Group</w:t>
      </w:r>
    </w:p>
    <w:p w14:paraId="619E06F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6FA"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The following table presents net revenue and operating income attributable to ISG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1917"/>
        <w:gridCol w:w="36"/>
        <w:gridCol w:w="120"/>
        <w:gridCol w:w="725"/>
        <w:gridCol w:w="187"/>
        <w:gridCol w:w="36"/>
        <w:gridCol w:w="36"/>
        <w:gridCol w:w="36"/>
        <w:gridCol w:w="67"/>
        <w:gridCol w:w="623"/>
        <w:gridCol w:w="187"/>
        <w:gridCol w:w="36"/>
        <w:gridCol w:w="36"/>
        <w:gridCol w:w="36"/>
        <w:gridCol w:w="121"/>
        <w:gridCol w:w="585"/>
        <w:gridCol w:w="188"/>
        <w:gridCol w:w="36"/>
        <w:gridCol w:w="36"/>
        <w:gridCol w:w="36"/>
        <w:gridCol w:w="121"/>
        <w:gridCol w:w="682"/>
        <w:gridCol w:w="189"/>
        <w:gridCol w:w="36"/>
        <w:gridCol w:w="36"/>
        <w:gridCol w:w="36"/>
        <w:gridCol w:w="84"/>
        <w:gridCol w:w="604"/>
        <w:gridCol w:w="187"/>
        <w:gridCol w:w="36"/>
        <w:gridCol w:w="36"/>
        <w:gridCol w:w="36"/>
        <w:gridCol w:w="121"/>
        <w:gridCol w:w="824"/>
        <w:gridCol w:w="189"/>
      </w:tblGrid>
      <w:tr w:rsidR="003D72E7" w14:paraId="619E071F" w14:textId="77777777">
        <w:tc>
          <w:tcPr>
            <w:tcW w:w="50" w:type="pct"/>
            <w:tcBorders>
              <w:top w:val="nil"/>
              <w:left w:val="nil"/>
              <w:bottom w:val="nil"/>
              <w:right w:val="nil"/>
            </w:tcBorders>
            <w:shd w:val="clear" w:color="auto" w:fill="auto"/>
            <w:vAlign w:val="bottom"/>
          </w:tcPr>
          <w:p w14:paraId="619E06FB" w14:textId="77777777" w:rsidR="003D72E7" w:rsidRDefault="003D72E7">
            <w:pPr>
              <w:widowControl/>
              <w:jc w:val="left"/>
              <w:rPr>
                <w:rFonts w:ascii="Times New Roman" w:eastAsia="宋体" w:hAnsi="宋体" w:cs="宋体"/>
                <w:kern w:val="0"/>
                <w:sz w:val="24"/>
              </w:rPr>
            </w:pPr>
          </w:p>
        </w:tc>
        <w:tc>
          <w:tcPr>
            <w:tcW w:w="1355" w:type="pct"/>
            <w:tcBorders>
              <w:top w:val="nil"/>
              <w:left w:val="nil"/>
              <w:bottom w:val="nil"/>
              <w:right w:val="nil"/>
            </w:tcBorders>
            <w:shd w:val="clear" w:color="auto" w:fill="auto"/>
            <w:vAlign w:val="bottom"/>
          </w:tcPr>
          <w:p w14:paraId="619E06F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6F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6FE" w14:textId="77777777" w:rsidR="003D72E7" w:rsidRDefault="003D72E7">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619E06F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0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01"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70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0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704"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E070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0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07"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70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0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70A" w14:textId="77777777" w:rsidR="003D72E7" w:rsidRDefault="003D72E7">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619E070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0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0D"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70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0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710" w14:textId="77777777" w:rsidR="003D72E7" w:rsidRDefault="003D72E7">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619E071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1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1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71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1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716" w14:textId="77777777" w:rsidR="003D72E7" w:rsidRDefault="003D72E7">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619E071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1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19"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71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1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71C" w14:textId="77777777" w:rsidR="003D72E7" w:rsidRDefault="003D72E7">
            <w:pPr>
              <w:widowControl/>
              <w:jc w:val="left"/>
              <w:rPr>
                <w:rFonts w:ascii="Times New Roman" w:eastAsia="宋体" w:hAnsi="宋体" w:cs="宋体"/>
                <w:kern w:val="0"/>
                <w:sz w:val="24"/>
              </w:rPr>
            </w:pPr>
          </w:p>
        </w:tc>
        <w:tc>
          <w:tcPr>
            <w:tcW w:w="610" w:type="pct"/>
            <w:tcBorders>
              <w:top w:val="nil"/>
              <w:left w:val="nil"/>
              <w:bottom w:val="nil"/>
              <w:right w:val="nil"/>
            </w:tcBorders>
            <w:shd w:val="clear" w:color="auto" w:fill="auto"/>
            <w:vAlign w:val="bottom"/>
          </w:tcPr>
          <w:p w14:paraId="619E071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1E" w14:textId="77777777" w:rsidR="003D72E7" w:rsidRDefault="003D72E7">
            <w:pPr>
              <w:widowControl/>
              <w:jc w:val="left"/>
              <w:rPr>
                <w:rFonts w:ascii="Times New Roman" w:eastAsia="宋体" w:hAnsi="宋体" w:cs="宋体"/>
                <w:kern w:val="0"/>
                <w:sz w:val="24"/>
              </w:rPr>
            </w:pPr>
          </w:p>
        </w:tc>
      </w:tr>
      <w:tr w:rsidR="003D72E7" w14:paraId="619E072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720" w14:textId="77777777" w:rsidR="003D72E7" w:rsidRDefault="003D72E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19E072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722" w14:textId="77777777" w:rsidR="003D72E7" w:rsidRDefault="003D72E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19E072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E073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72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72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72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72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72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72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72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72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72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72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72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73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E073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732" w14:textId="77777777" w:rsidR="003D72E7" w:rsidRDefault="003D72E7">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73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percentages)</w:t>
            </w:r>
          </w:p>
        </w:tc>
      </w:tr>
      <w:tr w:rsidR="003D72E7" w14:paraId="619E074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E073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3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3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3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3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3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3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3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3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3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3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40" w14:textId="77777777" w:rsidR="003D72E7" w:rsidRDefault="003D72E7">
            <w:pPr>
              <w:widowControl/>
              <w:jc w:val="left"/>
              <w:rPr>
                <w:rFonts w:ascii="Times New Roman" w:eastAsia="宋体" w:hAnsi="宋体" w:cs="宋体"/>
                <w:kern w:val="0"/>
                <w:sz w:val="24"/>
              </w:rPr>
            </w:pPr>
          </w:p>
        </w:tc>
      </w:tr>
      <w:tr w:rsidR="003D72E7" w14:paraId="619E0755"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E074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Servers and networking</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E074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E074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4,462 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74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4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74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74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4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E074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FFFFFF"/>
            <w:tcMar>
              <w:top w:w="40" w:type="dxa"/>
              <w:left w:w="0" w:type="dxa"/>
              <w:bottom w:w="40" w:type="dxa"/>
              <w:right w:w="140" w:type="dxa"/>
            </w:tcMar>
            <w:vAlign w:val="center"/>
          </w:tcPr>
          <w:p w14:paraId="619E074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4,196</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4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E074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FFFFFF"/>
            <w:tcMar>
              <w:top w:w="40" w:type="dxa"/>
              <w:left w:w="0" w:type="dxa"/>
              <w:bottom w:w="40" w:type="dxa"/>
              <w:right w:w="140" w:type="dxa"/>
            </w:tcMar>
            <w:vAlign w:val="center"/>
          </w:tcPr>
          <w:p w14:paraId="619E074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8,571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4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75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75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5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E075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FFFFFF"/>
            <w:tcMar>
              <w:top w:w="40" w:type="dxa"/>
              <w:left w:w="0" w:type="dxa"/>
              <w:bottom w:w="40" w:type="dxa"/>
              <w:right w:w="140" w:type="dxa"/>
            </w:tcMar>
            <w:vAlign w:val="center"/>
          </w:tcPr>
          <w:p w14:paraId="619E075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7,954</w:t>
            </w:r>
          </w:p>
        </w:tc>
      </w:tr>
      <w:tr w:rsidR="003D72E7" w14:paraId="619E0765"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E075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Storage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75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3,970 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75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5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75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75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5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140" w:type="dxa"/>
            </w:tcMar>
            <w:vAlign w:val="center"/>
          </w:tcPr>
          <w:p w14:paraId="619E075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4,011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5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140" w:type="dxa"/>
            </w:tcMar>
            <w:vAlign w:val="center"/>
          </w:tcPr>
          <w:p w14:paraId="619E075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7,772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6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76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76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6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140" w:type="dxa"/>
            </w:tcMar>
            <w:vAlign w:val="center"/>
          </w:tcPr>
          <w:p w14:paraId="619E076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7,822</w:t>
            </w:r>
          </w:p>
        </w:tc>
      </w:tr>
      <w:tr w:rsidR="003D72E7" w14:paraId="619E077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center"/>
          </w:tcPr>
          <w:p w14:paraId="619E076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ISG net revenue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76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center"/>
          </w:tcPr>
          <w:p w14:paraId="619E076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8,432 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619E076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6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76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76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6D"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76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single" w:sz="8" w:space="0" w:color="000000"/>
              <w:right w:val="nil"/>
            </w:tcBorders>
            <w:shd w:val="clear" w:color="auto" w:fill="FFFFFF"/>
            <w:tcMar>
              <w:top w:w="40" w:type="dxa"/>
              <w:left w:w="0" w:type="dxa"/>
              <w:bottom w:w="40" w:type="dxa"/>
              <w:right w:w="140" w:type="dxa"/>
            </w:tcMar>
            <w:vAlign w:val="center"/>
          </w:tcPr>
          <w:p w14:paraId="619E076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8,207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7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77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single" w:sz="8" w:space="0" w:color="000000"/>
              <w:right w:val="nil"/>
            </w:tcBorders>
            <w:shd w:val="clear" w:color="auto" w:fill="FFFFFF"/>
            <w:tcMar>
              <w:top w:w="40" w:type="dxa"/>
              <w:left w:w="0" w:type="dxa"/>
              <w:bottom w:w="40" w:type="dxa"/>
              <w:right w:w="140" w:type="dxa"/>
            </w:tcMar>
            <w:vAlign w:val="center"/>
          </w:tcPr>
          <w:p w14:paraId="619E077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16,343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7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77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77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76"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77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single" w:sz="8" w:space="0" w:color="000000"/>
              <w:right w:val="nil"/>
            </w:tcBorders>
            <w:shd w:val="clear" w:color="auto" w:fill="FFFFFF"/>
            <w:tcMar>
              <w:top w:w="40" w:type="dxa"/>
              <w:left w:w="0" w:type="dxa"/>
              <w:bottom w:w="40" w:type="dxa"/>
              <w:right w:w="140" w:type="dxa"/>
            </w:tcMar>
            <w:vAlign w:val="center"/>
          </w:tcPr>
          <w:p w14:paraId="619E077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15,776</w:t>
            </w:r>
          </w:p>
        </w:tc>
      </w:tr>
      <w:tr w:rsidR="003D72E7" w14:paraId="619E0786" w14:textId="77777777">
        <w:trPr>
          <w:trHeight w:val="30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7A"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E077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7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7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7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E077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8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E078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8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8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84"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E0785" w14:textId="77777777" w:rsidR="003D72E7" w:rsidRDefault="003D72E7">
            <w:pPr>
              <w:widowControl/>
              <w:jc w:val="left"/>
              <w:rPr>
                <w:rFonts w:ascii="Times New Roman" w:eastAsia="宋体" w:hAnsi="宋体" w:cs="宋体"/>
                <w:kern w:val="0"/>
                <w:sz w:val="24"/>
              </w:rPr>
            </w:pPr>
          </w:p>
        </w:tc>
      </w:tr>
      <w:tr w:rsidR="003D72E7" w14:paraId="619E079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E078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Operating income: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8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8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8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8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8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8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8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8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9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9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92" w14:textId="77777777" w:rsidR="003D72E7" w:rsidRDefault="003D72E7">
            <w:pPr>
              <w:widowControl/>
              <w:jc w:val="left"/>
              <w:rPr>
                <w:rFonts w:ascii="Times New Roman" w:eastAsia="宋体" w:hAnsi="宋体" w:cs="宋体"/>
                <w:kern w:val="0"/>
                <w:sz w:val="24"/>
              </w:rPr>
            </w:pPr>
          </w:p>
        </w:tc>
      </w:tr>
      <w:tr w:rsidR="003D72E7" w14:paraId="619E07A7"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E079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ISG operating income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79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center"/>
          </w:tcPr>
          <w:p w14:paraId="619E079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970 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E079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9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79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79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9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79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nil"/>
              <w:right w:val="nil"/>
            </w:tcBorders>
            <w:shd w:val="clear" w:color="auto" w:fill="CCEEFF"/>
            <w:tcMar>
              <w:top w:w="40" w:type="dxa"/>
              <w:left w:w="0" w:type="dxa"/>
              <w:bottom w:w="40" w:type="dxa"/>
              <w:right w:w="140" w:type="dxa"/>
            </w:tcMar>
            <w:vAlign w:val="center"/>
          </w:tcPr>
          <w:p w14:paraId="619E079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973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9E"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79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nil"/>
              <w:right w:val="nil"/>
            </w:tcBorders>
            <w:shd w:val="clear" w:color="auto" w:fill="CCEEFF"/>
            <w:tcMar>
              <w:top w:w="40" w:type="dxa"/>
              <w:left w:w="0" w:type="dxa"/>
              <w:bottom w:w="40" w:type="dxa"/>
              <w:right w:w="140" w:type="dxa"/>
            </w:tcMar>
            <w:vAlign w:val="center"/>
          </w:tcPr>
          <w:p w14:paraId="619E07A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1,758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A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7A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7A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7A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7A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nil"/>
              <w:right w:val="nil"/>
            </w:tcBorders>
            <w:shd w:val="clear" w:color="auto" w:fill="CCEEFF"/>
            <w:tcMar>
              <w:top w:w="40" w:type="dxa"/>
              <w:left w:w="0" w:type="dxa"/>
              <w:bottom w:w="40" w:type="dxa"/>
              <w:right w:w="140" w:type="dxa"/>
            </w:tcMar>
            <w:vAlign w:val="center"/>
          </w:tcPr>
          <w:p w14:paraId="619E07A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1,705</w:t>
            </w:r>
          </w:p>
        </w:tc>
      </w:tr>
      <w:tr w:rsidR="003D72E7" w14:paraId="619E07B8"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E07A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 of segment net revenue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7A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11.5 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E07A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A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A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AD"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7A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11.9 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E07A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B0"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7B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10.8 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E07B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B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B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7B5"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7B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10.8 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E07B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r>
    </w:tbl>
    <w:p w14:paraId="619E07B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7B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Net Revenue</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During the second quarter and </w:t>
      </w:r>
      <w:r>
        <w:rPr>
          <w:rFonts w:ascii="Times New Roman" w:eastAsia="宋体" w:hAnsi="Times New Roman" w:cs="Times New Roman"/>
          <w:color w:val="000000"/>
          <w:kern w:val="0"/>
          <w:sz w:val="20"/>
          <w:szCs w:val="20"/>
          <w:lang w:bidi="ar"/>
        </w:rPr>
        <w:t>first six months of Fiscal 2022, ISG net revenue increased 3% and 4%, respectively. These increases were due to improvements to the macroeconomic environment and a shift towards investment in IT infrastructure, focused on multi-cloud solutions and accelera</w:t>
      </w:r>
      <w:r>
        <w:rPr>
          <w:rFonts w:ascii="Times New Roman" w:eastAsia="宋体" w:hAnsi="Times New Roman" w:cs="Times New Roman"/>
          <w:color w:val="000000"/>
          <w:kern w:val="0"/>
          <w:sz w:val="20"/>
          <w:szCs w:val="20"/>
          <w:lang w:bidi="ar"/>
        </w:rPr>
        <w:t>ting digital transformation, compared to a weaker demand environment during the second quarter and first six months of Fiscal 2021 as a result of COVID-19, when customers shifted their investments toward remote work and business continuity solutions.</w:t>
      </w:r>
    </w:p>
    <w:p w14:paraId="619E07B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7B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Net</w:t>
      </w:r>
      <w:r>
        <w:rPr>
          <w:rFonts w:ascii="Times New Roman" w:eastAsia="宋体" w:hAnsi="Times New Roman" w:cs="Times New Roman"/>
          <w:color w:val="000000"/>
          <w:kern w:val="0"/>
          <w:sz w:val="20"/>
          <w:szCs w:val="20"/>
          <w:lang w:bidi="ar"/>
        </w:rPr>
        <w:t xml:space="preserve"> revenue from sales of servers and networking increased 6% and 8% during the second quarter and first six months of Fiscal 2022, respectively, due to growing demand for our PowerEdge servers, partially offset by a decline in average selling price as a resu</w:t>
      </w:r>
      <w:r>
        <w:rPr>
          <w:rFonts w:ascii="Times New Roman" w:eastAsia="宋体" w:hAnsi="Times New Roman" w:cs="Times New Roman"/>
          <w:color w:val="000000"/>
          <w:kern w:val="0"/>
          <w:sz w:val="20"/>
          <w:szCs w:val="20"/>
          <w:lang w:bidi="ar"/>
        </w:rPr>
        <w:t>lt of a mix shift within PowerEdge servers.</w:t>
      </w:r>
    </w:p>
    <w:p w14:paraId="619E07B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7B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Storage revenue decreased 1% </w:t>
      </w:r>
      <w:r>
        <w:rPr>
          <w:rFonts w:ascii="Times New Roman" w:eastAsia="宋体" w:hAnsi="Times New Roman" w:cs="Times New Roman"/>
          <w:color w:val="000000"/>
          <w:kern w:val="0"/>
          <w:sz w:val="20"/>
          <w:szCs w:val="20"/>
          <w:shd w:val="clear" w:color="auto" w:fill="FFFFFF"/>
          <w:lang w:bidi="ar"/>
        </w:rPr>
        <w:t>d</w:t>
      </w:r>
      <w:r>
        <w:rPr>
          <w:rFonts w:ascii="Times New Roman" w:eastAsia="宋体" w:hAnsi="Times New Roman" w:cs="Times New Roman"/>
          <w:color w:val="000000"/>
          <w:kern w:val="0"/>
          <w:sz w:val="20"/>
          <w:szCs w:val="20"/>
          <w:lang w:bidi="ar"/>
        </w:rPr>
        <w:t>uring both the second quarter and first six months of Fiscal 2022 primarily as a result of a weaker demand environment for our high-end storage offerings. We are seeing improvement</w:t>
      </w:r>
      <w:r>
        <w:rPr>
          <w:rFonts w:ascii="Times New Roman" w:eastAsia="宋体" w:hAnsi="Times New Roman" w:cs="Times New Roman"/>
          <w:color w:val="000000"/>
          <w:kern w:val="0"/>
          <w:sz w:val="20"/>
          <w:szCs w:val="20"/>
          <w:lang w:bidi="ar"/>
        </w:rPr>
        <w:t xml:space="preserve">s in the overall demand for our storage business, particularly in our midrange storage offerings, driven primarily by growth in our PowerStore storage array as well as hyper-converged infrastructure. </w:t>
      </w:r>
    </w:p>
    <w:p w14:paraId="619E07B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7C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ISG customers are seeking new and innovative models t</w:t>
      </w:r>
      <w:r>
        <w:rPr>
          <w:rFonts w:ascii="Times New Roman" w:eastAsia="宋体" w:hAnsi="Times New Roman" w:cs="Times New Roman"/>
          <w:color w:val="000000"/>
          <w:kern w:val="0"/>
          <w:sz w:val="20"/>
          <w:szCs w:val="20"/>
          <w:lang w:bidi="ar"/>
        </w:rPr>
        <w:t>hat address how they consume our solutions. We offer options including as-a-service, utility, leases, and immediate pay models, all designed to match customers’ consumption and financing preferences. Our multiyear agreements typically result in recurring r</w:t>
      </w:r>
      <w:r>
        <w:rPr>
          <w:rFonts w:ascii="Times New Roman" w:eastAsia="宋体" w:hAnsi="Times New Roman" w:cs="Times New Roman"/>
          <w:color w:val="000000"/>
          <w:kern w:val="0"/>
          <w:sz w:val="20"/>
          <w:szCs w:val="20"/>
          <w:lang w:bidi="ar"/>
        </w:rPr>
        <w:t xml:space="preserve">evenue streams over the term of the arrangement. We expect our flexible consumption models and as-a-service offerings through Apex will further strengthen our customer relationships and provide a foundation for growth in recurring revenue. </w:t>
      </w:r>
    </w:p>
    <w:p w14:paraId="619E07C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7C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From a geogra</w:t>
      </w:r>
      <w:r>
        <w:rPr>
          <w:rFonts w:ascii="Times New Roman" w:eastAsia="宋体" w:hAnsi="Times New Roman" w:cs="Times New Roman"/>
          <w:color w:val="000000"/>
          <w:kern w:val="0"/>
          <w:sz w:val="20"/>
          <w:szCs w:val="20"/>
          <w:lang w:bidi="ar"/>
        </w:rPr>
        <w:t>phical perspective, net revenue attributable to ISG increased in all regions during the second quarter and first six months of Fiscal 2022.</w:t>
      </w:r>
    </w:p>
    <w:p w14:paraId="619E07C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7C4"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7C5"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77</w:t>
      </w:r>
    </w:p>
    <w:p w14:paraId="619E07C6"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7C7" w14:textId="77777777" w:rsidR="003D72E7" w:rsidRDefault="00AD6774">
      <w:pPr>
        <w:widowControl/>
        <w:jc w:val="center"/>
      </w:pPr>
      <w:r>
        <w:rPr>
          <w:rFonts w:ascii="宋体" w:eastAsia="宋体" w:hAnsi="宋体" w:cs="宋体"/>
          <w:kern w:val="0"/>
          <w:sz w:val="24"/>
        </w:rPr>
        <w:pict w14:anchorId="619E0DB8">
          <v:rect id="_x0000_i1101" style="width:6in;height:1.5pt" o:hralign="center" o:hrstd="t" o:hr="t" fillcolor="#a0a0a0" stroked="f"/>
        </w:pict>
      </w:r>
    </w:p>
    <w:p w14:paraId="619E07C8"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7C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Operating Income</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During the second quarter of Fiscal 2022, ISG operating income as a percentage of net revenue decreased 40 basis points to 11.5%. The decrease was driven by an increase in ISG operating expenses as a percentage of net revenue, which was primarily attributa</w:t>
      </w:r>
      <w:r>
        <w:rPr>
          <w:rFonts w:ascii="Times New Roman" w:eastAsia="宋体" w:hAnsi="Times New Roman" w:cs="Times New Roman"/>
          <w:color w:val="000000"/>
          <w:kern w:val="0"/>
          <w:sz w:val="20"/>
          <w:szCs w:val="20"/>
          <w:lang w:bidi="ar"/>
        </w:rPr>
        <w:t xml:space="preserve">ble to employee compensation and benefit expense. </w:t>
      </w:r>
    </w:p>
    <w:p w14:paraId="619E07C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7C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For the first six months of Fiscal 2022, ISG operating income as a percentage of net revenue remained flat at 10.8%. ISG gross margin percentage decreased as a result of a mix shift within ISG towards se</w:t>
      </w:r>
      <w:r>
        <w:rPr>
          <w:rFonts w:ascii="Times New Roman" w:eastAsia="宋体" w:hAnsi="Times New Roman" w:cs="Times New Roman"/>
          <w:color w:val="000000"/>
          <w:kern w:val="0"/>
          <w:sz w:val="20"/>
          <w:szCs w:val="20"/>
          <w:lang w:bidi="ar"/>
        </w:rPr>
        <w:t xml:space="preserve">rvers and networking as well as a mix shift within storage towards midrange offerings. The gross margin percentage decrease was offset by a decrease in operating expense as a percentage of net revenue. </w:t>
      </w:r>
    </w:p>
    <w:p w14:paraId="619E07C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7C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7C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78</w:t>
      </w:r>
    </w:p>
    <w:p w14:paraId="619E07C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7D0" w14:textId="77777777" w:rsidR="003D72E7" w:rsidRDefault="00AD6774">
      <w:pPr>
        <w:widowControl/>
        <w:jc w:val="center"/>
      </w:pPr>
      <w:r>
        <w:rPr>
          <w:rFonts w:ascii="宋体" w:eastAsia="宋体" w:hAnsi="宋体" w:cs="宋体"/>
          <w:kern w:val="0"/>
          <w:sz w:val="24"/>
        </w:rPr>
        <w:pict w14:anchorId="619E0DB9">
          <v:rect id="_x0000_i1102" style="width:6in;height:1.5pt" o:hralign="center" o:hrstd="t" o:hr="t" fillcolor="#a0a0a0" stroked="f"/>
        </w:pict>
      </w:r>
    </w:p>
    <w:p w14:paraId="619E07D1"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7D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Client Solutions Group</w:t>
      </w:r>
    </w:p>
    <w:p w14:paraId="619E07D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7D4"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The following table presents net revenue and operating income attributable to CSG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4"/>
        <w:gridCol w:w="1877"/>
        <w:gridCol w:w="36"/>
        <w:gridCol w:w="121"/>
        <w:gridCol w:w="761"/>
        <w:gridCol w:w="189"/>
        <w:gridCol w:w="36"/>
        <w:gridCol w:w="36"/>
        <w:gridCol w:w="36"/>
        <w:gridCol w:w="67"/>
        <w:gridCol w:w="623"/>
        <w:gridCol w:w="187"/>
        <w:gridCol w:w="36"/>
        <w:gridCol w:w="36"/>
        <w:gridCol w:w="36"/>
        <w:gridCol w:w="121"/>
        <w:gridCol w:w="729"/>
        <w:gridCol w:w="189"/>
        <w:gridCol w:w="36"/>
        <w:gridCol w:w="36"/>
        <w:gridCol w:w="36"/>
        <w:gridCol w:w="120"/>
        <w:gridCol w:w="762"/>
        <w:gridCol w:w="187"/>
        <w:gridCol w:w="36"/>
        <w:gridCol w:w="36"/>
        <w:gridCol w:w="36"/>
        <w:gridCol w:w="71"/>
        <w:gridCol w:w="618"/>
        <w:gridCol w:w="187"/>
        <w:gridCol w:w="36"/>
        <w:gridCol w:w="36"/>
        <w:gridCol w:w="36"/>
        <w:gridCol w:w="120"/>
        <w:gridCol w:w="600"/>
        <w:gridCol w:w="187"/>
      </w:tblGrid>
      <w:tr w:rsidR="003D72E7" w14:paraId="619E07F9" w14:textId="77777777">
        <w:tc>
          <w:tcPr>
            <w:tcW w:w="50" w:type="pct"/>
            <w:tcBorders>
              <w:top w:val="nil"/>
              <w:left w:val="nil"/>
              <w:bottom w:val="nil"/>
              <w:right w:val="nil"/>
            </w:tcBorders>
            <w:shd w:val="clear" w:color="auto" w:fill="auto"/>
            <w:vAlign w:val="bottom"/>
          </w:tcPr>
          <w:p w14:paraId="619E07D5" w14:textId="77777777" w:rsidR="003D72E7" w:rsidRDefault="003D72E7">
            <w:pPr>
              <w:widowControl/>
              <w:jc w:val="left"/>
              <w:rPr>
                <w:rFonts w:ascii="Times New Roman" w:eastAsia="宋体" w:hAnsi="宋体" w:cs="宋体"/>
                <w:kern w:val="0"/>
                <w:sz w:val="24"/>
              </w:rPr>
            </w:pPr>
          </w:p>
        </w:tc>
        <w:tc>
          <w:tcPr>
            <w:tcW w:w="1290" w:type="pct"/>
            <w:tcBorders>
              <w:top w:val="nil"/>
              <w:left w:val="nil"/>
              <w:bottom w:val="nil"/>
              <w:right w:val="nil"/>
            </w:tcBorders>
            <w:shd w:val="clear" w:color="auto" w:fill="auto"/>
            <w:vAlign w:val="bottom"/>
          </w:tcPr>
          <w:p w14:paraId="619E07D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D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7D8" w14:textId="77777777" w:rsidR="003D72E7" w:rsidRDefault="003D72E7">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619E07D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D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DB"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7D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D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7DE"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E07D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E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E1"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7E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E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7E4" w14:textId="77777777" w:rsidR="003D72E7" w:rsidRDefault="003D72E7">
            <w:pPr>
              <w:widowControl/>
              <w:jc w:val="left"/>
              <w:rPr>
                <w:rFonts w:ascii="Times New Roman" w:eastAsia="宋体" w:hAnsi="宋体" w:cs="宋体"/>
                <w:kern w:val="0"/>
                <w:sz w:val="24"/>
              </w:rPr>
            </w:pPr>
          </w:p>
        </w:tc>
        <w:tc>
          <w:tcPr>
            <w:tcW w:w="610" w:type="pct"/>
            <w:tcBorders>
              <w:top w:val="nil"/>
              <w:left w:val="nil"/>
              <w:bottom w:val="nil"/>
              <w:right w:val="nil"/>
            </w:tcBorders>
            <w:shd w:val="clear" w:color="auto" w:fill="auto"/>
            <w:vAlign w:val="bottom"/>
          </w:tcPr>
          <w:p w14:paraId="619E07E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E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E7"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7E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E9"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7EA" w14:textId="77777777" w:rsidR="003D72E7" w:rsidRDefault="003D72E7">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619E07E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E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ED"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7E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E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7F0" w14:textId="77777777" w:rsidR="003D72E7" w:rsidRDefault="003D72E7">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619E07F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F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F3"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7F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F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7F6" w14:textId="77777777" w:rsidR="003D72E7" w:rsidRDefault="003D72E7">
            <w:pPr>
              <w:widowControl/>
              <w:jc w:val="left"/>
              <w:rPr>
                <w:rFonts w:ascii="Times New Roman" w:eastAsia="宋体" w:hAnsi="宋体" w:cs="宋体"/>
                <w:kern w:val="0"/>
                <w:sz w:val="24"/>
              </w:rPr>
            </w:pPr>
          </w:p>
        </w:tc>
        <w:tc>
          <w:tcPr>
            <w:tcW w:w="552" w:type="pct"/>
            <w:tcBorders>
              <w:top w:val="nil"/>
              <w:left w:val="nil"/>
              <w:bottom w:val="nil"/>
              <w:right w:val="nil"/>
            </w:tcBorders>
            <w:shd w:val="clear" w:color="auto" w:fill="auto"/>
            <w:vAlign w:val="bottom"/>
          </w:tcPr>
          <w:p w14:paraId="619E07F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7F8" w14:textId="77777777" w:rsidR="003D72E7" w:rsidRDefault="003D72E7">
            <w:pPr>
              <w:widowControl/>
              <w:jc w:val="left"/>
              <w:rPr>
                <w:rFonts w:ascii="Times New Roman" w:eastAsia="宋体" w:hAnsi="宋体" w:cs="宋体"/>
                <w:kern w:val="0"/>
                <w:sz w:val="24"/>
              </w:rPr>
            </w:pPr>
          </w:p>
        </w:tc>
      </w:tr>
      <w:tr w:rsidR="003D72E7" w14:paraId="619E07F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7FA" w14:textId="77777777" w:rsidR="003D72E7" w:rsidRDefault="003D72E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19E07F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7FC" w14:textId="77777777" w:rsidR="003D72E7" w:rsidRDefault="003D72E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19E07F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E080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7FF"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80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80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80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80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80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805"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80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80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80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80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80A"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E080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619E080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E080D"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percentages)</w:t>
            </w:r>
          </w:p>
        </w:tc>
      </w:tr>
      <w:tr w:rsidR="003D72E7" w14:paraId="619E081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E080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1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1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1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1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1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1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1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1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1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1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1A" w14:textId="77777777" w:rsidR="003D72E7" w:rsidRDefault="003D72E7">
            <w:pPr>
              <w:widowControl/>
              <w:jc w:val="left"/>
              <w:rPr>
                <w:rFonts w:ascii="Times New Roman" w:eastAsia="宋体" w:hAnsi="宋体" w:cs="宋体"/>
                <w:kern w:val="0"/>
                <w:sz w:val="24"/>
              </w:rPr>
            </w:pPr>
          </w:p>
        </w:tc>
      </w:tr>
      <w:tr w:rsidR="003D72E7" w14:paraId="619E0830"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E081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Commercial</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E081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FFFFFF"/>
            <w:tcMar>
              <w:top w:w="40" w:type="dxa"/>
              <w:left w:w="0" w:type="dxa"/>
              <w:bottom w:w="40" w:type="dxa"/>
              <w:right w:w="140" w:type="dxa"/>
            </w:tcMar>
            <w:vAlign w:val="center"/>
          </w:tcPr>
          <w:p w14:paraId="619E081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10,573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1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82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82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22"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E082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nil"/>
              <w:left w:val="nil"/>
              <w:bottom w:val="nil"/>
              <w:right w:val="nil"/>
            </w:tcBorders>
            <w:shd w:val="clear" w:color="auto" w:fill="FFFFFF"/>
            <w:tcMar>
              <w:top w:w="40" w:type="dxa"/>
              <w:left w:w="0" w:type="dxa"/>
              <w:bottom w:w="40" w:type="dxa"/>
              <w:right w:w="140" w:type="dxa"/>
            </w:tcMar>
            <w:vAlign w:val="center"/>
          </w:tcPr>
          <w:p w14:paraId="619E082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8,039</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25"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E082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E082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20,376 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82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29"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82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82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2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E082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E082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16,673 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82F" w14:textId="77777777" w:rsidR="003D72E7" w:rsidRDefault="003D72E7">
            <w:pPr>
              <w:widowControl/>
              <w:jc w:val="right"/>
              <w:rPr>
                <w:rFonts w:ascii="Times New Roman" w:eastAsia="宋体" w:hAnsi="宋体" w:cs="宋体"/>
                <w:kern w:val="0"/>
                <w:sz w:val="24"/>
              </w:rPr>
            </w:pPr>
          </w:p>
        </w:tc>
      </w:tr>
      <w:tr w:rsidR="003D72E7" w14:paraId="619E0841"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E083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Consumer</w:t>
            </w:r>
          </w:p>
        </w:tc>
        <w:tc>
          <w:tcPr>
            <w:tcW w:w="0" w:type="auto"/>
            <w:gridSpan w:val="3"/>
            <w:tcBorders>
              <w:top w:val="nil"/>
              <w:left w:val="nil"/>
              <w:bottom w:val="nil"/>
              <w:right w:val="nil"/>
            </w:tcBorders>
            <w:shd w:val="clear" w:color="auto" w:fill="CCEEFF"/>
            <w:tcMar>
              <w:top w:w="40" w:type="dxa"/>
              <w:left w:w="20" w:type="dxa"/>
              <w:bottom w:w="40" w:type="dxa"/>
              <w:right w:w="140" w:type="dxa"/>
            </w:tcMar>
            <w:vAlign w:val="center"/>
          </w:tcPr>
          <w:p w14:paraId="619E083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3,690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3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83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83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3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140" w:type="dxa"/>
            </w:tcMar>
            <w:vAlign w:val="center"/>
          </w:tcPr>
          <w:p w14:paraId="619E083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3,164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3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83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7,192 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83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3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83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83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3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83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5,634 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840" w14:textId="77777777" w:rsidR="003D72E7" w:rsidRDefault="003D72E7">
            <w:pPr>
              <w:widowControl/>
              <w:jc w:val="right"/>
              <w:rPr>
                <w:rFonts w:ascii="Times New Roman" w:eastAsia="宋体" w:hAnsi="宋体" w:cs="宋体"/>
                <w:kern w:val="0"/>
                <w:sz w:val="24"/>
              </w:rPr>
            </w:pPr>
          </w:p>
        </w:tc>
      </w:tr>
      <w:tr w:rsidR="003D72E7" w14:paraId="619E0856"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center"/>
          </w:tcPr>
          <w:p w14:paraId="619E084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CSG net revenue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84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single" w:sz="8" w:space="0" w:color="000000"/>
              <w:right w:val="nil"/>
            </w:tcBorders>
            <w:shd w:val="clear" w:color="auto" w:fill="FFFFFF"/>
            <w:tcMar>
              <w:top w:w="40" w:type="dxa"/>
              <w:left w:w="0" w:type="dxa"/>
              <w:bottom w:w="40" w:type="dxa"/>
              <w:right w:w="140" w:type="dxa"/>
            </w:tcMar>
            <w:vAlign w:val="center"/>
          </w:tcPr>
          <w:p w14:paraId="619E084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14,263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4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84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84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4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84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single" w:sz="8" w:space="0" w:color="000000"/>
              <w:right w:val="nil"/>
            </w:tcBorders>
            <w:shd w:val="clear" w:color="auto" w:fill="FFFFFF"/>
            <w:tcMar>
              <w:top w:w="40" w:type="dxa"/>
              <w:left w:w="0" w:type="dxa"/>
              <w:bottom w:w="40" w:type="dxa"/>
              <w:right w:w="140" w:type="dxa"/>
            </w:tcMar>
            <w:vAlign w:val="center"/>
          </w:tcPr>
          <w:p w14:paraId="619E084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11,203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4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84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center"/>
          </w:tcPr>
          <w:p w14:paraId="619E084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27,568 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619E084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4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85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85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5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85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center"/>
          </w:tcPr>
          <w:p w14:paraId="619E085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22,307 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619E0855" w14:textId="77777777" w:rsidR="003D72E7" w:rsidRDefault="003D72E7">
            <w:pPr>
              <w:widowControl/>
              <w:jc w:val="right"/>
              <w:rPr>
                <w:rFonts w:ascii="Times New Roman" w:eastAsia="宋体" w:hAnsi="宋体" w:cs="宋体"/>
                <w:kern w:val="0"/>
                <w:sz w:val="24"/>
              </w:rPr>
            </w:pPr>
          </w:p>
        </w:tc>
      </w:tr>
      <w:tr w:rsidR="003D72E7" w14:paraId="619E0863" w14:textId="77777777">
        <w:trPr>
          <w:trHeight w:val="30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5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E085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5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5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5B"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E085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5D"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E085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5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6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61"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E0862" w14:textId="77777777" w:rsidR="003D72E7" w:rsidRDefault="003D72E7">
            <w:pPr>
              <w:widowControl/>
              <w:jc w:val="left"/>
              <w:rPr>
                <w:rFonts w:ascii="Times New Roman" w:eastAsia="宋体" w:hAnsi="宋体" w:cs="宋体"/>
                <w:kern w:val="0"/>
                <w:sz w:val="24"/>
              </w:rPr>
            </w:pPr>
          </w:p>
        </w:tc>
      </w:tr>
      <w:tr w:rsidR="003D72E7" w14:paraId="619E087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E086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Operating income: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6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6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6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6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6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6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6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6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6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6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6F" w14:textId="77777777" w:rsidR="003D72E7" w:rsidRDefault="003D72E7">
            <w:pPr>
              <w:widowControl/>
              <w:jc w:val="left"/>
              <w:rPr>
                <w:rFonts w:ascii="Times New Roman" w:eastAsia="宋体" w:hAnsi="宋体" w:cs="宋体"/>
                <w:kern w:val="0"/>
                <w:sz w:val="24"/>
              </w:rPr>
            </w:pPr>
          </w:p>
        </w:tc>
      </w:tr>
      <w:tr w:rsidR="003D72E7" w14:paraId="619E0885"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E087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CSG operating income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87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nil"/>
              <w:right w:val="nil"/>
            </w:tcBorders>
            <w:shd w:val="clear" w:color="auto" w:fill="CCEEFF"/>
            <w:tcMar>
              <w:top w:w="40" w:type="dxa"/>
              <w:left w:w="0" w:type="dxa"/>
              <w:bottom w:w="40" w:type="dxa"/>
              <w:right w:w="140" w:type="dxa"/>
            </w:tcMar>
            <w:vAlign w:val="center"/>
          </w:tcPr>
          <w:p w14:paraId="619E087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995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7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87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39 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87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7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87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nil"/>
              <w:right w:val="nil"/>
            </w:tcBorders>
            <w:shd w:val="clear" w:color="auto" w:fill="CCEEFF"/>
            <w:tcMar>
              <w:top w:w="40" w:type="dxa"/>
              <w:left w:w="0" w:type="dxa"/>
              <w:bottom w:w="40" w:type="dxa"/>
              <w:right w:w="140" w:type="dxa"/>
            </w:tcMar>
            <w:vAlign w:val="center"/>
          </w:tcPr>
          <w:p w14:paraId="619E087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715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7A"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87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center"/>
          </w:tcPr>
          <w:p w14:paraId="619E087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2,085 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E087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7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87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88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81"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88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center"/>
          </w:tcPr>
          <w:p w14:paraId="619E088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1,307 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E0884" w14:textId="77777777" w:rsidR="003D72E7" w:rsidRDefault="003D72E7">
            <w:pPr>
              <w:widowControl/>
              <w:jc w:val="right"/>
              <w:rPr>
                <w:rFonts w:ascii="Times New Roman" w:eastAsia="宋体" w:hAnsi="宋体" w:cs="宋体"/>
                <w:kern w:val="0"/>
                <w:sz w:val="24"/>
              </w:rPr>
            </w:pPr>
          </w:p>
        </w:tc>
      </w:tr>
      <w:tr w:rsidR="003D72E7" w14:paraId="619E0896"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E088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 of segment net revenue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88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7.0 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E088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8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8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8B"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88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6.4 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E088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8E"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88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7.6 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E089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9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9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93"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89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5.9 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E089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r>
    </w:tbl>
    <w:p w14:paraId="619E089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89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Net Revenue</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During the second quarter and </w:t>
      </w:r>
      <w:r>
        <w:rPr>
          <w:rFonts w:ascii="Times New Roman" w:eastAsia="宋体" w:hAnsi="Times New Roman" w:cs="Times New Roman"/>
          <w:color w:val="000000"/>
          <w:kern w:val="0"/>
          <w:sz w:val="20"/>
          <w:szCs w:val="20"/>
          <w:lang w:bidi="ar"/>
        </w:rPr>
        <w:t>first six months of Fiscal 2022, CSG net revenue increased 27% and 24%, respectively, driven by continued strong demand across the majority of product offerings as</w:t>
      </w:r>
      <w:r>
        <w:rPr>
          <w:rFonts w:ascii="Times New Roman" w:eastAsia="宋体" w:hAnsi="Times New Roman" w:cs="Times New Roman"/>
          <w:color w:val="000000"/>
          <w:kern w:val="0"/>
          <w:sz w:val="20"/>
          <w:szCs w:val="20"/>
          <w:shd w:val="clear" w:color="auto" w:fill="FFFFFF"/>
          <w:lang w:bidi="ar"/>
        </w:rPr>
        <w:t xml:space="preserve"> customers seek improved connectivity and productivity in the “do anything from anywhere” eco</w:t>
      </w:r>
      <w:r>
        <w:rPr>
          <w:rFonts w:ascii="Times New Roman" w:eastAsia="宋体" w:hAnsi="Times New Roman" w:cs="Times New Roman"/>
          <w:color w:val="000000"/>
          <w:kern w:val="0"/>
          <w:sz w:val="20"/>
          <w:szCs w:val="20"/>
          <w:shd w:val="clear" w:color="auto" w:fill="FFFFFF"/>
          <w:lang w:bidi="ar"/>
        </w:rPr>
        <w:t xml:space="preserve">nomy. </w:t>
      </w:r>
    </w:p>
    <w:p w14:paraId="619E089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89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Commercial revenue increased 32% and 22% during the second quarter and first six months of Fiscal 2022, respectively, primarily due to an increase in sales of commercial desktops and notebooks driven by continued strong demand as customers invest </w:t>
      </w:r>
      <w:r>
        <w:rPr>
          <w:rFonts w:ascii="Times New Roman" w:eastAsia="宋体" w:hAnsi="Times New Roman" w:cs="Times New Roman"/>
          <w:color w:val="000000"/>
          <w:kern w:val="0"/>
          <w:sz w:val="20"/>
          <w:szCs w:val="20"/>
          <w:lang w:bidi="ar"/>
        </w:rPr>
        <w:t xml:space="preserve">in in-office, remote, and hybrid workforce environments. </w:t>
      </w:r>
    </w:p>
    <w:p w14:paraId="619E089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89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Consumer revenue increased 17% and 28% during the second quarter and first six months of Fiscal 2022</w:t>
      </w:r>
      <w:r>
        <w:rPr>
          <w:rFonts w:ascii="Times New Roman" w:eastAsia="宋体" w:hAnsi="Times New Roman" w:cs="Times New Roman"/>
          <w:color w:val="000000"/>
          <w:kern w:val="0"/>
          <w:sz w:val="20"/>
          <w:szCs w:val="20"/>
          <w:shd w:val="clear" w:color="auto" w:fill="FFFFFF"/>
          <w:lang w:bidi="ar"/>
        </w:rPr>
        <w:t>, respectively, primarily due to an</w:t>
      </w:r>
      <w:r>
        <w:rPr>
          <w:rFonts w:ascii="Times New Roman" w:eastAsia="宋体" w:hAnsi="Times New Roman" w:cs="Times New Roman"/>
          <w:color w:val="000000"/>
          <w:kern w:val="0"/>
          <w:sz w:val="20"/>
          <w:szCs w:val="20"/>
          <w:lang w:bidi="ar"/>
        </w:rPr>
        <w:t xml:space="preserve"> increase in demand across the majority of consumer product o</w:t>
      </w:r>
      <w:r>
        <w:rPr>
          <w:rFonts w:ascii="Times New Roman" w:eastAsia="宋体" w:hAnsi="Times New Roman" w:cs="Times New Roman"/>
          <w:color w:val="000000"/>
          <w:kern w:val="0"/>
          <w:sz w:val="20"/>
          <w:szCs w:val="20"/>
          <w:lang w:bidi="ar"/>
        </w:rPr>
        <w:t>fferings.</w:t>
      </w:r>
    </w:p>
    <w:p w14:paraId="619E089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89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Average selling price also increased for both commercial and consumer offerings as we navigated through supply chain shortages and managed pricing in response to the shift to an overall inflationary component cost environment.</w:t>
      </w:r>
    </w:p>
    <w:p w14:paraId="619E089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8A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From a geograph</w:t>
      </w:r>
      <w:r>
        <w:rPr>
          <w:rFonts w:ascii="Times New Roman" w:eastAsia="宋体" w:hAnsi="Times New Roman" w:cs="Times New Roman"/>
          <w:color w:val="000000"/>
          <w:kern w:val="0"/>
          <w:sz w:val="20"/>
          <w:szCs w:val="20"/>
          <w:lang w:bidi="ar"/>
        </w:rPr>
        <w:t xml:space="preserve">ical perspective, net revenue attributable to CSG increased across all regions during the second quarter and first six months of Fiscal 2022. </w:t>
      </w:r>
    </w:p>
    <w:p w14:paraId="619E08A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8A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Operating Income</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color w:val="000000"/>
          <w:kern w:val="0"/>
          <w:sz w:val="20"/>
          <w:szCs w:val="20"/>
          <w:lang w:bidi="ar"/>
        </w:rPr>
        <w:t xml:space="preserve"> During the second quarter and first six months of Fiscal 2022, CSG operating income as a percentage of net revenue increased 60 basis points to 7.0% and 170 basis points to 7.6%, respectively, which was primarily driven by both commercial and consumer gro</w:t>
      </w:r>
      <w:r>
        <w:rPr>
          <w:rFonts w:ascii="Times New Roman" w:eastAsia="宋体" w:hAnsi="Times New Roman" w:cs="Times New Roman"/>
          <w:color w:val="000000"/>
          <w:kern w:val="0"/>
          <w:sz w:val="20"/>
          <w:szCs w:val="20"/>
          <w:lang w:bidi="ar"/>
        </w:rPr>
        <w:t xml:space="preserve">ss margin percentage. The increases in gross margin percentage were primarily driven by disciplined pricing as we managed through the component cost challenges discussed above. For the second quarter of Fiscal 2022, the increase in gross margin percentage </w:t>
      </w:r>
      <w:r>
        <w:rPr>
          <w:rFonts w:ascii="Times New Roman" w:eastAsia="宋体" w:hAnsi="Times New Roman" w:cs="Times New Roman"/>
          <w:color w:val="000000"/>
          <w:kern w:val="0"/>
          <w:sz w:val="20"/>
          <w:szCs w:val="20"/>
          <w:lang w:bidi="ar"/>
        </w:rPr>
        <w:t xml:space="preserve">was further driven by a shift in mix towards commercial offerings. </w:t>
      </w:r>
    </w:p>
    <w:p w14:paraId="619E08A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8A4"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8A5"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79</w:t>
      </w:r>
    </w:p>
    <w:p w14:paraId="619E08A6"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8A7" w14:textId="77777777" w:rsidR="003D72E7" w:rsidRDefault="00AD6774">
      <w:pPr>
        <w:widowControl/>
        <w:jc w:val="center"/>
      </w:pPr>
      <w:r>
        <w:rPr>
          <w:rFonts w:ascii="宋体" w:eastAsia="宋体" w:hAnsi="宋体" w:cs="宋体"/>
          <w:kern w:val="0"/>
          <w:sz w:val="24"/>
        </w:rPr>
        <w:pict w14:anchorId="619E0DBA">
          <v:rect id="_x0000_i1103" style="width:6in;height:1.5pt" o:hralign="center" o:hrstd="t" o:hr="t" fillcolor="#a0a0a0" stroked="f"/>
        </w:pict>
      </w:r>
    </w:p>
    <w:p w14:paraId="619E08A8"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8A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VMware</w:t>
      </w:r>
    </w:p>
    <w:p w14:paraId="619E08A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8AB"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 xml:space="preserve">The following table presents net revenue and operating income attributable to VMware for </w:t>
      </w:r>
      <w:r>
        <w:rPr>
          <w:rFonts w:ascii="Times New Roman" w:eastAsia="宋体" w:hAnsi="Times New Roman" w:cs="Times New Roman"/>
          <w:color w:val="000000"/>
          <w:kern w:val="0"/>
          <w:sz w:val="20"/>
          <w:szCs w:val="20"/>
          <w:shd w:val="clear" w:color="auto" w:fill="FFFFFF"/>
          <w:lang w:bidi="ar"/>
        </w:rPr>
        <w:t>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1728"/>
        <w:gridCol w:w="38"/>
        <w:gridCol w:w="121"/>
        <w:gridCol w:w="764"/>
        <w:gridCol w:w="189"/>
        <w:gridCol w:w="36"/>
        <w:gridCol w:w="36"/>
        <w:gridCol w:w="36"/>
        <w:gridCol w:w="67"/>
        <w:gridCol w:w="623"/>
        <w:gridCol w:w="187"/>
        <w:gridCol w:w="36"/>
        <w:gridCol w:w="36"/>
        <w:gridCol w:w="36"/>
        <w:gridCol w:w="121"/>
        <w:gridCol w:w="645"/>
        <w:gridCol w:w="189"/>
        <w:gridCol w:w="36"/>
        <w:gridCol w:w="36"/>
        <w:gridCol w:w="36"/>
        <w:gridCol w:w="120"/>
        <w:gridCol w:w="885"/>
        <w:gridCol w:w="187"/>
        <w:gridCol w:w="36"/>
        <w:gridCol w:w="36"/>
        <w:gridCol w:w="36"/>
        <w:gridCol w:w="71"/>
        <w:gridCol w:w="618"/>
        <w:gridCol w:w="187"/>
        <w:gridCol w:w="36"/>
        <w:gridCol w:w="36"/>
        <w:gridCol w:w="36"/>
        <w:gridCol w:w="120"/>
        <w:gridCol w:w="710"/>
        <w:gridCol w:w="187"/>
      </w:tblGrid>
      <w:tr w:rsidR="003D72E7" w14:paraId="619E08D0" w14:textId="77777777">
        <w:tc>
          <w:tcPr>
            <w:tcW w:w="50" w:type="pct"/>
            <w:tcBorders>
              <w:top w:val="nil"/>
              <w:left w:val="nil"/>
              <w:bottom w:val="nil"/>
              <w:right w:val="nil"/>
            </w:tcBorders>
            <w:shd w:val="clear" w:color="auto" w:fill="auto"/>
            <w:vAlign w:val="bottom"/>
          </w:tcPr>
          <w:p w14:paraId="619E08AC" w14:textId="77777777" w:rsidR="003D72E7" w:rsidRDefault="003D72E7">
            <w:pPr>
              <w:widowControl/>
              <w:jc w:val="left"/>
              <w:rPr>
                <w:rFonts w:ascii="Times New Roman" w:eastAsia="宋体" w:hAnsi="宋体" w:cs="宋体"/>
                <w:kern w:val="0"/>
                <w:sz w:val="24"/>
              </w:rPr>
            </w:pPr>
          </w:p>
        </w:tc>
        <w:tc>
          <w:tcPr>
            <w:tcW w:w="1195" w:type="pct"/>
            <w:tcBorders>
              <w:top w:val="nil"/>
              <w:left w:val="nil"/>
              <w:bottom w:val="nil"/>
              <w:right w:val="nil"/>
            </w:tcBorders>
            <w:shd w:val="clear" w:color="auto" w:fill="auto"/>
            <w:vAlign w:val="bottom"/>
          </w:tcPr>
          <w:p w14:paraId="619E08A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8AE"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8AF" w14:textId="77777777" w:rsidR="003D72E7" w:rsidRDefault="003D72E7">
            <w:pPr>
              <w:widowControl/>
              <w:jc w:val="left"/>
              <w:rPr>
                <w:rFonts w:ascii="Times New Roman" w:eastAsia="宋体" w:hAnsi="宋体" w:cs="宋体"/>
                <w:kern w:val="0"/>
                <w:sz w:val="24"/>
              </w:rPr>
            </w:pPr>
          </w:p>
        </w:tc>
        <w:tc>
          <w:tcPr>
            <w:tcW w:w="551" w:type="pct"/>
            <w:tcBorders>
              <w:top w:val="nil"/>
              <w:left w:val="nil"/>
              <w:bottom w:val="nil"/>
              <w:right w:val="nil"/>
            </w:tcBorders>
            <w:shd w:val="clear" w:color="auto" w:fill="auto"/>
            <w:vAlign w:val="bottom"/>
          </w:tcPr>
          <w:p w14:paraId="619E08B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8B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8B2"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8B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8B4"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8B5" w14:textId="77777777" w:rsidR="003D72E7" w:rsidRDefault="003D72E7">
            <w:pPr>
              <w:widowControl/>
              <w:jc w:val="left"/>
              <w:rPr>
                <w:rFonts w:ascii="Times New Roman" w:eastAsia="宋体" w:hAnsi="宋体" w:cs="宋体"/>
                <w:kern w:val="0"/>
                <w:sz w:val="24"/>
              </w:rPr>
            </w:pPr>
          </w:p>
        </w:tc>
        <w:tc>
          <w:tcPr>
            <w:tcW w:w="471" w:type="pct"/>
            <w:tcBorders>
              <w:top w:val="nil"/>
              <w:left w:val="nil"/>
              <w:bottom w:val="nil"/>
              <w:right w:val="nil"/>
            </w:tcBorders>
            <w:shd w:val="clear" w:color="auto" w:fill="auto"/>
            <w:vAlign w:val="bottom"/>
          </w:tcPr>
          <w:p w14:paraId="619E08B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8B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8B8"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8B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8BA"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8BB" w14:textId="77777777" w:rsidR="003D72E7" w:rsidRDefault="003D72E7">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619E08B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8B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8BE"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8B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8C0"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8C1" w14:textId="77777777" w:rsidR="003D72E7" w:rsidRDefault="003D72E7">
            <w:pPr>
              <w:widowControl/>
              <w:jc w:val="left"/>
              <w:rPr>
                <w:rFonts w:ascii="Times New Roman" w:eastAsia="宋体" w:hAnsi="宋体" w:cs="宋体"/>
                <w:kern w:val="0"/>
                <w:sz w:val="24"/>
              </w:rPr>
            </w:pPr>
          </w:p>
        </w:tc>
        <w:tc>
          <w:tcPr>
            <w:tcW w:w="624" w:type="pct"/>
            <w:tcBorders>
              <w:top w:val="nil"/>
              <w:left w:val="nil"/>
              <w:bottom w:val="nil"/>
              <w:right w:val="nil"/>
            </w:tcBorders>
            <w:shd w:val="clear" w:color="auto" w:fill="auto"/>
            <w:vAlign w:val="bottom"/>
          </w:tcPr>
          <w:p w14:paraId="619E08C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8C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8C4"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8C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8C6"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8C7" w14:textId="77777777" w:rsidR="003D72E7" w:rsidRDefault="003D72E7">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619E08C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8C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8CA"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8C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8CC"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8CD" w14:textId="77777777" w:rsidR="003D72E7" w:rsidRDefault="003D72E7">
            <w:pPr>
              <w:widowControl/>
              <w:jc w:val="left"/>
              <w:rPr>
                <w:rFonts w:ascii="Times New Roman" w:eastAsia="宋体" w:hAnsi="宋体" w:cs="宋体"/>
                <w:kern w:val="0"/>
                <w:sz w:val="24"/>
              </w:rPr>
            </w:pPr>
          </w:p>
        </w:tc>
        <w:tc>
          <w:tcPr>
            <w:tcW w:w="625" w:type="pct"/>
            <w:tcBorders>
              <w:top w:val="nil"/>
              <w:left w:val="nil"/>
              <w:bottom w:val="nil"/>
              <w:right w:val="nil"/>
            </w:tcBorders>
            <w:shd w:val="clear" w:color="auto" w:fill="auto"/>
            <w:vAlign w:val="bottom"/>
          </w:tcPr>
          <w:p w14:paraId="619E08C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8CF" w14:textId="77777777" w:rsidR="003D72E7" w:rsidRDefault="003D72E7">
            <w:pPr>
              <w:widowControl/>
              <w:jc w:val="left"/>
              <w:rPr>
                <w:rFonts w:ascii="Times New Roman" w:eastAsia="宋体" w:hAnsi="宋体" w:cs="宋体"/>
                <w:kern w:val="0"/>
                <w:sz w:val="24"/>
              </w:rPr>
            </w:pPr>
          </w:p>
        </w:tc>
      </w:tr>
      <w:tr w:rsidR="003D72E7" w14:paraId="619E08D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8D1" w14:textId="77777777" w:rsidR="003D72E7" w:rsidRDefault="003D72E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19E08D2"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Three Months Ended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8D3" w14:textId="77777777" w:rsidR="003D72E7" w:rsidRDefault="003D72E7">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619E08D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E08E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8D6"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8D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8D8"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8D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8DA"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8D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8D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8D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8D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8D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Change</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8E0"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8E1"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E08E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8E3" w14:textId="77777777" w:rsidR="003D72E7" w:rsidRDefault="003D72E7">
            <w:pPr>
              <w:widowControl/>
              <w:jc w:val="left"/>
              <w:rPr>
                <w:rFonts w:ascii="Times New Roman" w:eastAsia="宋体" w:hAnsi="宋体" w:cs="宋体"/>
                <w:kern w:val="0"/>
                <w:sz w:val="24"/>
              </w:rPr>
            </w:pPr>
          </w:p>
        </w:tc>
        <w:tc>
          <w:tcPr>
            <w:tcW w:w="0" w:type="auto"/>
            <w:gridSpan w:val="3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E08E4"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 except percentages)</w:t>
            </w:r>
          </w:p>
        </w:tc>
      </w:tr>
      <w:tr w:rsidR="003D72E7" w14:paraId="619E08F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E08E6"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Net revenue: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E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E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E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E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E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E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E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E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E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F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8F1" w14:textId="77777777" w:rsidR="003D72E7" w:rsidRDefault="003D72E7">
            <w:pPr>
              <w:widowControl/>
              <w:jc w:val="left"/>
              <w:rPr>
                <w:rFonts w:ascii="Times New Roman" w:eastAsia="宋体" w:hAnsi="宋体" w:cs="宋体"/>
                <w:kern w:val="0"/>
                <w:sz w:val="24"/>
              </w:rPr>
            </w:pPr>
          </w:p>
        </w:tc>
      </w:tr>
      <w:tr w:rsidR="003D72E7" w14:paraId="619E0907"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E08F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VMware net revenue</w:t>
            </w: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8F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single" w:sz="8" w:space="0" w:color="000000"/>
              <w:right w:val="nil"/>
            </w:tcBorders>
            <w:shd w:val="clear" w:color="auto" w:fill="FFFFFF"/>
            <w:tcMar>
              <w:top w:w="40" w:type="dxa"/>
              <w:left w:w="0" w:type="dxa"/>
              <w:bottom w:w="40" w:type="dxa"/>
              <w:right w:w="140" w:type="dxa"/>
            </w:tcMar>
            <w:vAlign w:val="center"/>
          </w:tcPr>
          <w:p w14:paraId="619E08F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3,148</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F6"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8F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8F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F9"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8F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single" w:sz="8" w:space="0" w:color="000000"/>
              <w:right w:val="nil"/>
            </w:tcBorders>
            <w:shd w:val="clear" w:color="auto" w:fill="FFFFFF"/>
            <w:tcMar>
              <w:top w:w="40" w:type="dxa"/>
              <w:left w:w="0" w:type="dxa"/>
              <w:bottom w:w="40" w:type="dxa"/>
              <w:right w:w="140" w:type="dxa"/>
            </w:tcMar>
            <w:vAlign w:val="center"/>
          </w:tcPr>
          <w:p w14:paraId="619E08F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2,908</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8F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8F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center"/>
          </w:tcPr>
          <w:p w14:paraId="619E08F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6,139 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619E08F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0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90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90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03"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90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0" w:type="dxa"/>
            </w:tcMar>
            <w:vAlign w:val="center"/>
          </w:tcPr>
          <w:p w14:paraId="619E090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5,663 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619E0906" w14:textId="77777777" w:rsidR="003D72E7" w:rsidRDefault="003D72E7">
            <w:pPr>
              <w:widowControl/>
              <w:jc w:val="right"/>
              <w:rPr>
                <w:rFonts w:ascii="Times New Roman" w:eastAsia="宋体" w:hAnsi="宋体" w:cs="宋体"/>
                <w:kern w:val="0"/>
                <w:sz w:val="24"/>
              </w:rPr>
            </w:pPr>
          </w:p>
        </w:tc>
      </w:tr>
      <w:tr w:rsidR="003D72E7" w14:paraId="619E0914" w14:textId="77777777">
        <w:trPr>
          <w:trHeight w:val="30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08"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E090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0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0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0C"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E090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0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E090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1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1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12"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619E0913" w14:textId="77777777" w:rsidR="003D72E7" w:rsidRDefault="003D72E7">
            <w:pPr>
              <w:widowControl/>
              <w:jc w:val="left"/>
              <w:rPr>
                <w:rFonts w:ascii="Times New Roman" w:eastAsia="宋体" w:hAnsi="宋体" w:cs="宋体"/>
                <w:kern w:val="0"/>
                <w:sz w:val="24"/>
              </w:rPr>
            </w:pPr>
          </w:p>
        </w:tc>
      </w:tr>
      <w:tr w:rsidR="003D72E7" w14:paraId="619E092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E091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Operating income: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1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1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1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1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1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1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1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1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1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1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20" w14:textId="77777777" w:rsidR="003D72E7" w:rsidRDefault="003D72E7">
            <w:pPr>
              <w:widowControl/>
              <w:jc w:val="left"/>
              <w:rPr>
                <w:rFonts w:ascii="Times New Roman" w:eastAsia="宋体" w:hAnsi="宋体" w:cs="宋体"/>
                <w:kern w:val="0"/>
                <w:sz w:val="24"/>
              </w:rPr>
            </w:pPr>
          </w:p>
        </w:tc>
      </w:tr>
      <w:tr w:rsidR="003D72E7" w14:paraId="619E0936"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center"/>
          </w:tcPr>
          <w:p w14:paraId="619E092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VMware operating income</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92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nil"/>
              <w:right w:val="nil"/>
            </w:tcBorders>
            <w:shd w:val="clear" w:color="auto" w:fill="CCEEFF"/>
            <w:tcMar>
              <w:top w:w="40" w:type="dxa"/>
              <w:left w:w="0" w:type="dxa"/>
              <w:bottom w:w="40" w:type="dxa"/>
              <w:right w:w="140" w:type="dxa"/>
            </w:tcMar>
            <w:vAlign w:val="center"/>
          </w:tcPr>
          <w:p w14:paraId="619E092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849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2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92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927"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28"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92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2"/>
            <w:tcBorders>
              <w:top w:val="single" w:sz="8" w:space="0" w:color="000000"/>
              <w:left w:val="nil"/>
              <w:bottom w:val="nil"/>
              <w:right w:val="nil"/>
            </w:tcBorders>
            <w:shd w:val="clear" w:color="auto" w:fill="CCEEFF"/>
            <w:tcMar>
              <w:top w:w="40" w:type="dxa"/>
              <w:left w:w="0" w:type="dxa"/>
              <w:bottom w:w="40" w:type="dxa"/>
              <w:right w:w="140" w:type="dxa"/>
            </w:tcMar>
            <w:vAlign w:val="center"/>
          </w:tcPr>
          <w:p w14:paraId="619E092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894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2B"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92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center"/>
          </w:tcPr>
          <w:p w14:paraId="619E092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1,690 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E092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2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93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93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3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93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0" w:type="dxa"/>
            </w:tcMar>
            <w:vAlign w:val="center"/>
          </w:tcPr>
          <w:p w14:paraId="619E093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1,667 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E0935" w14:textId="77777777" w:rsidR="003D72E7" w:rsidRDefault="003D72E7">
            <w:pPr>
              <w:widowControl/>
              <w:jc w:val="right"/>
              <w:rPr>
                <w:rFonts w:ascii="Times New Roman" w:eastAsia="宋体" w:hAnsi="宋体" w:cs="宋体"/>
                <w:kern w:val="0"/>
                <w:sz w:val="24"/>
              </w:rPr>
            </w:pPr>
          </w:p>
        </w:tc>
      </w:tr>
      <w:tr w:rsidR="003D72E7" w14:paraId="619E0947"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center"/>
          </w:tcPr>
          <w:p w14:paraId="619E093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 of segment net revenue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93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27.0 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E093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3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3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3C"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93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30.7 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E093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3F"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center"/>
          </w:tcPr>
          <w:p w14:paraId="619E094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27.5 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center"/>
          </w:tcPr>
          <w:p w14:paraId="619E094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4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4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44"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center"/>
          </w:tcPr>
          <w:p w14:paraId="619E094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29.4 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center"/>
          </w:tcPr>
          <w:p w14:paraId="619E094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w:t>
            </w:r>
          </w:p>
        </w:tc>
      </w:tr>
    </w:tbl>
    <w:p w14:paraId="619E094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4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Net Revenue</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i/>
          <w:iCs/>
          <w:color w:val="000000"/>
          <w:kern w:val="0"/>
          <w:sz w:val="20"/>
          <w:szCs w:val="20"/>
          <w:lang w:bidi="ar"/>
        </w:rPr>
        <w:t>—</w:t>
      </w:r>
      <w:r>
        <w:rPr>
          <w:rFonts w:ascii="Times New Roman" w:eastAsia="宋体" w:hAnsi="Times New Roman" w:cs="Times New Roman"/>
          <w:color w:val="000000"/>
          <w:kern w:val="0"/>
          <w:sz w:val="20"/>
          <w:szCs w:val="20"/>
          <w:lang w:bidi="ar"/>
        </w:rPr>
        <w:t xml:space="preserve"> VMware net revenue primarily consist</w:t>
      </w:r>
      <w:r>
        <w:rPr>
          <w:rFonts w:ascii="Times New Roman" w:eastAsia="宋体" w:hAnsi="Times New Roman" w:cs="Times New Roman"/>
          <w:color w:val="000000"/>
          <w:kern w:val="0"/>
          <w:sz w:val="20"/>
          <w:szCs w:val="20"/>
          <w:lang w:bidi="ar"/>
        </w:rPr>
        <w:t>s of revenue from the sale of software licenses under perpetual licenses and subscription and SaaS offerings, as well as related software maintenance services, support, training, consulting services, and hosted services. VMware net revenue for both the sec</w:t>
      </w:r>
      <w:r>
        <w:rPr>
          <w:rFonts w:ascii="Times New Roman" w:eastAsia="宋体" w:hAnsi="Times New Roman" w:cs="Times New Roman"/>
          <w:color w:val="000000"/>
          <w:kern w:val="0"/>
          <w:sz w:val="20"/>
          <w:szCs w:val="20"/>
          <w:lang w:bidi="ar"/>
        </w:rPr>
        <w:t>ond quarter and first six months of Fiscal 2022 increased 8% primarily due to growth in sales of subscription and SaaS offerings, driven by increased demand for cloud offerings, coupled with growth in software maintenance revenue which continued to benefit</w:t>
      </w:r>
      <w:r>
        <w:rPr>
          <w:rFonts w:ascii="Times New Roman" w:eastAsia="宋体" w:hAnsi="Times New Roman" w:cs="Times New Roman"/>
          <w:color w:val="000000"/>
          <w:kern w:val="0"/>
          <w:sz w:val="20"/>
          <w:szCs w:val="20"/>
          <w:lang w:bidi="ar"/>
        </w:rPr>
        <w:t xml:space="preserve"> from maintenance contracts sold in previous periods.</w:t>
      </w:r>
    </w:p>
    <w:p w14:paraId="619E094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4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VMware net revenue for the second quarter and first six months of Fiscal 2022 increased in both the United States and internationally. </w:t>
      </w:r>
    </w:p>
    <w:p w14:paraId="619E094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4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Operating Income</w:t>
      </w:r>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During the second quarter and first six months of Fiscal 2022, VMware operating income as a percentage of net revenue decreased 370 basis points to 27.0% and 190 basis points to 27.5%, respectively. These decreases were due to a decline in VMware gross mar</w:t>
      </w:r>
      <w:r>
        <w:rPr>
          <w:rFonts w:ascii="Times New Roman" w:eastAsia="宋体" w:hAnsi="Times New Roman" w:cs="Times New Roman"/>
          <w:color w:val="000000"/>
          <w:kern w:val="0"/>
          <w:sz w:val="20"/>
          <w:szCs w:val="20"/>
          <w:lang w:bidi="ar"/>
        </w:rPr>
        <w:t>gin percentage and an increase in operating expense as a percentage of net revenue. VMware gross margin percentage declined in part due to a transition towards subscription and SaaS offerings. Operating expenses increased as a result of higher employee com</w:t>
      </w:r>
      <w:r>
        <w:rPr>
          <w:rFonts w:ascii="Times New Roman" w:eastAsia="宋体" w:hAnsi="Times New Roman" w:cs="Times New Roman"/>
          <w:color w:val="000000"/>
          <w:kern w:val="0"/>
          <w:sz w:val="20"/>
          <w:szCs w:val="20"/>
          <w:lang w:bidi="ar"/>
        </w:rPr>
        <w:t xml:space="preserve">pensation expense primarily attributable to investments in key R&amp;D initiatives, coupled with the reintroduction of expenses that were temporarily reduced in Fiscal 2021. </w:t>
      </w:r>
    </w:p>
    <w:p w14:paraId="619E094E"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94F"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80</w:t>
      </w:r>
    </w:p>
    <w:p w14:paraId="619E0950"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951" w14:textId="77777777" w:rsidR="003D72E7" w:rsidRDefault="00AD6774">
      <w:pPr>
        <w:widowControl/>
        <w:jc w:val="center"/>
      </w:pPr>
      <w:r>
        <w:rPr>
          <w:rFonts w:ascii="宋体" w:eastAsia="宋体" w:hAnsi="宋体" w:cs="宋体"/>
          <w:kern w:val="0"/>
          <w:sz w:val="24"/>
        </w:rPr>
        <w:pict w14:anchorId="619E0DBB">
          <v:rect id="_x0000_i1104" style="width:6in;height:1.5pt" o:hralign="center" o:hrstd="t" o:hr="t" fillcolor="#a0a0a0" stroked="f"/>
        </w:pict>
      </w:r>
    </w:p>
    <w:p w14:paraId="619E0952"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95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OTHER BALANCE SHEET ITEMS</w:t>
      </w:r>
    </w:p>
    <w:p w14:paraId="619E095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5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Accounts Receivable </w:t>
      </w:r>
    </w:p>
    <w:p w14:paraId="619E095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5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sell products and services directly to customers and through a variety of sales channels, including retail </w:t>
      </w:r>
      <w:r>
        <w:rPr>
          <w:rFonts w:ascii="Times New Roman" w:eastAsia="宋体" w:hAnsi="Times New Roman" w:cs="Times New Roman"/>
          <w:color w:val="000000"/>
          <w:kern w:val="0"/>
          <w:sz w:val="20"/>
          <w:szCs w:val="20"/>
          <w:lang w:bidi="ar"/>
        </w:rPr>
        <w:t>distribution. Our accounts receivable, net, was $12.9 billion and $12.8 billion as of July 30, 2021 and January 29, 2021, respectively. We maintain an allowance for expected credit losses to cover receivables that may be deemed uncollectible. The allowance</w:t>
      </w:r>
      <w:r>
        <w:rPr>
          <w:rFonts w:ascii="Times New Roman" w:eastAsia="宋体" w:hAnsi="Times New Roman" w:cs="Times New Roman"/>
          <w:color w:val="000000"/>
          <w:kern w:val="0"/>
          <w:sz w:val="20"/>
          <w:szCs w:val="20"/>
          <w:lang w:bidi="ar"/>
        </w:rPr>
        <w:t xml:space="preserve"> for expected credit losses is an estimate based on an analysis of historical loss experience, current receivables aging, management’s assessment of current conditions and reasonable and supportable expectation of future conditions, and specific identifiab</w:t>
      </w:r>
      <w:r>
        <w:rPr>
          <w:rFonts w:ascii="Times New Roman" w:eastAsia="宋体" w:hAnsi="Times New Roman" w:cs="Times New Roman"/>
          <w:color w:val="000000"/>
          <w:kern w:val="0"/>
          <w:sz w:val="20"/>
          <w:szCs w:val="20"/>
          <w:lang w:bidi="ar"/>
        </w:rPr>
        <w:t>le customer accounts that are deemed at risk. Given this uncertainty, our allowance for expected credit losses in future periods may vary from our current estimates. As of July 30, 2021 and January 29, 2021, the allowance for expected credit losses was $98</w:t>
      </w:r>
      <w:r>
        <w:rPr>
          <w:rFonts w:ascii="Times New Roman" w:eastAsia="宋体" w:hAnsi="Times New Roman" w:cs="Times New Roman"/>
          <w:color w:val="000000"/>
          <w:kern w:val="0"/>
          <w:sz w:val="20"/>
          <w:szCs w:val="20"/>
          <w:lang w:bidi="ar"/>
        </w:rPr>
        <w:t xml:space="preserve"> million and $104 million, respectively. Based on our assessment, we believe that we are adequately reserved for expected credit losses. We will continue to monitor the aging of our accounts receivable and take actions, where necessary, to reduce our expos</w:t>
      </w:r>
      <w:r>
        <w:rPr>
          <w:rFonts w:ascii="Times New Roman" w:eastAsia="宋体" w:hAnsi="Times New Roman" w:cs="Times New Roman"/>
          <w:color w:val="000000"/>
          <w:kern w:val="0"/>
          <w:sz w:val="20"/>
          <w:szCs w:val="20"/>
          <w:lang w:bidi="ar"/>
        </w:rPr>
        <w:t>ure to credit losses.</w:t>
      </w:r>
    </w:p>
    <w:p w14:paraId="619E095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5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Dell Financial Services</w:t>
      </w:r>
    </w:p>
    <w:p w14:paraId="619E095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5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Dell Financial Services and its affiliates (“DFS”) support Dell Technologies by offering and arranging various financing options and services for our customers globally, including through captive financing </w:t>
      </w:r>
      <w:r>
        <w:rPr>
          <w:rFonts w:ascii="Times New Roman" w:eastAsia="宋体" w:hAnsi="Times New Roman" w:cs="Times New Roman"/>
          <w:color w:val="000000"/>
          <w:kern w:val="0"/>
          <w:sz w:val="20"/>
          <w:szCs w:val="20"/>
          <w:lang w:bidi="ar"/>
        </w:rPr>
        <w:t>operations in North America, Europe, Australia, and New Zealand. DFS originates, collects, and services customer receivables primarily related to the purchase of our product, software, and service solutions. DFS further strengthens our customer relationshi</w:t>
      </w:r>
      <w:r>
        <w:rPr>
          <w:rFonts w:ascii="Times New Roman" w:eastAsia="宋体" w:hAnsi="Times New Roman" w:cs="Times New Roman"/>
          <w:color w:val="000000"/>
          <w:kern w:val="0"/>
          <w:sz w:val="20"/>
          <w:szCs w:val="20"/>
          <w:lang w:bidi="ar"/>
        </w:rPr>
        <w:t>ps through its flexible consumption models, provided through Apex, which enable us to offer our customers the option to pay over time and, in certain cases, based on utilization, to provide them with financial flexibility to meet their changing technologic</w:t>
      </w:r>
      <w:r>
        <w:rPr>
          <w:rFonts w:ascii="Times New Roman" w:eastAsia="宋体" w:hAnsi="Times New Roman" w:cs="Times New Roman"/>
          <w:color w:val="000000"/>
          <w:kern w:val="0"/>
          <w:sz w:val="20"/>
          <w:szCs w:val="20"/>
          <w:lang w:bidi="ar"/>
        </w:rPr>
        <w:t>al requirements. New financing originations were $1.9 billion and $2.6 billion for the second quarter of Fiscal 2022 and Fiscal 2021, respectively, and $3.8 billion and $4.4 billion for the first six months of Fiscal 2022 and Fiscal 2021, respectively.</w:t>
      </w:r>
    </w:p>
    <w:p w14:paraId="619E095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5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w:t>
      </w:r>
      <w:r>
        <w:rPr>
          <w:rFonts w:ascii="Times New Roman" w:eastAsia="宋体" w:hAnsi="Times New Roman" w:cs="Times New Roman"/>
          <w:color w:val="000000"/>
          <w:kern w:val="0"/>
          <w:sz w:val="20"/>
          <w:szCs w:val="20"/>
          <w:lang w:bidi="ar"/>
        </w:rPr>
        <w:t>FS leases are classified as sales-type leases, direct financing leases, or operating leases. Amounts due from lessees under sales-type leases or direct financing leases are recorded as part of financing receivables, with interest income recognized over the</w:t>
      </w:r>
      <w:r>
        <w:rPr>
          <w:rFonts w:ascii="Times New Roman" w:eastAsia="宋体" w:hAnsi="Times New Roman" w:cs="Times New Roman"/>
          <w:color w:val="000000"/>
          <w:kern w:val="0"/>
          <w:sz w:val="20"/>
          <w:szCs w:val="20"/>
          <w:lang w:bidi="ar"/>
        </w:rPr>
        <w:t xml:space="preserve"> contract term. On commencement of sales-type leases, we typically qualify for up-front revenue recognition. On originations of operating leases, we record equipment under operating leases, classified as property, plant, and equipment, and recognize rental</w:t>
      </w:r>
      <w:r>
        <w:rPr>
          <w:rFonts w:ascii="Times New Roman" w:eastAsia="宋体" w:hAnsi="Times New Roman" w:cs="Times New Roman"/>
          <w:color w:val="000000"/>
          <w:kern w:val="0"/>
          <w:sz w:val="20"/>
          <w:szCs w:val="20"/>
          <w:lang w:bidi="ar"/>
        </w:rPr>
        <w:t xml:space="preserve"> revenue and depreciation expense, classified as cost of net revenue, over the contract term. Direct financing leases are immaterial. Leases that commenced prior to the effective date of the current lease accounting standard continue to be accounted for un</w:t>
      </w:r>
      <w:r>
        <w:rPr>
          <w:rFonts w:ascii="Times New Roman" w:eastAsia="宋体" w:hAnsi="Times New Roman" w:cs="Times New Roman"/>
          <w:color w:val="000000"/>
          <w:kern w:val="0"/>
          <w:sz w:val="20"/>
          <w:szCs w:val="20"/>
          <w:lang w:bidi="ar"/>
        </w:rPr>
        <w:t>der previous lease accounting guidance.</w:t>
      </w:r>
    </w:p>
    <w:p w14:paraId="619E095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5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30, 2021 and January 29, 2021, our financing receivables, net were $10.3 billion and $10.5 billion, respectively. We maintain an allowance to cover expected financing receivable credit losses and evaluat</w:t>
      </w:r>
      <w:r>
        <w:rPr>
          <w:rFonts w:ascii="Times New Roman" w:eastAsia="宋体" w:hAnsi="Times New Roman" w:cs="Times New Roman"/>
          <w:color w:val="000000"/>
          <w:kern w:val="0"/>
          <w:sz w:val="20"/>
          <w:szCs w:val="20"/>
          <w:lang w:bidi="ar"/>
        </w:rPr>
        <w:t xml:space="preserve">e credit loss expectations based on our total portfolio. Our allowance for expected credit losses in future periods may vary from our current estimates. For the second quarter of Fiscal 2022 and Fiscal 2021, the principal charge-off rate for our financing </w:t>
      </w:r>
      <w:r>
        <w:rPr>
          <w:rFonts w:ascii="Times New Roman" w:eastAsia="宋体" w:hAnsi="Times New Roman" w:cs="Times New Roman"/>
          <w:color w:val="000000"/>
          <w:kern w:val="0"/>
          <w:sz w:val="20"/>
          <w:szCs w:val="20"/>
          <w:lang w:bidi="ar"/>
        </w:rPr>
        <w:t>receivables portfolio was 0.5% and 0.8%, respectively. For the first six months of Fiscal 2022 and Fiscal 2021, the principal charge-off rate for our total portfolio was 0.5% and 0.9%, respectively. The credit quality of our financing receivables has impro</w:t>
      </w:r>
      <w:r>
        <w:rPr>
          <w:rFonts w:ascii="Times New Roman" w:eastAsia="宋体" w:hAnsi="Times New Roman" w:cs="Times New Roman"/>
          <w:color w:val="000000"/>
          <w:kern w:val="0"/>
          <w:sz w:val="20"/>
          <w:szCs w:val="20"/>
          <w:lang w:bidi="ar"/>
        </w:rPr>
        <w:t>ved in recent years due to an overall improvement in the credit environment and as the mix of high-quality commercial accounts in our portfolio has continued to increase. We continue to monitor broader economic indicators and their potential impact on futu</w:t>
      </w:r>
      <w:r>
        <w:rPr>
          <w:rFonts w:ascii="Times New Roman" w:eastAsia="宋体" w:hAnsi="Times New Roman" w:cs="Times New Roman"/>
          <w:color w:val="000000"/>
          <w:kern w:val="0"/>
          <w:sz w:val="20"/>
          <w:szCs w:val="20"/>
          <w:lang w:bidi="ar"/>
        </w:rPr>
        <w:t>re loss performance. We have an extensive process to manage our exposure to customer credit risk, including active management of credit lines and our collection activities. We also sell selected fixed-term financing receivables without recourse to unrelate</w:t>
      </w:r>
      <w:r>
        <w:rPr>
          <w:rFonts w:ascii="Times New Roman" w:eastAsia="宋体" w:hAnsi="Times New Roman" w:cs="Times New Roman"/>
          <w:color w:val="000000"/>
          <w:kern w:val="0"/>
          <w:sz w:val="20"/>
          <w:szCs w:val="20"/>
          <w:lang w:bidi="ar"/>
        </w:rPr>
        <w:t xml:space="preserve">d third parties on a periodic basis, primarily to manage certain concentrations of customer credit exposure.  Based on our assessment of the customer financing receivables, we believe that we are adequately reserved. </w:t>
      </w:r>
    </w:p>
    <w:p w14:paraId="619E096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61"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96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81</w:t>
      </w:r>
    </w:p>
    <w:p w14:paraId="619E096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964" w14:textId="77777777" w:rsidR="003D72E7" w:rsidRDefault="00AD6774">
      <w:pPr>
        <w:widowControl/>
        <w:jc w:val="center"/>
      </w:pPr>
      <w:r>
        <w:rPr>
          <w:rFonts w:ascii="宋体" w:eastAsia="宋体" w:hAnsi="宋体" w:cs="宋体"/>
          <w:kern w:val="0"/>
          <w:sz w:val="24"/>
        </w:rPr>
        <w:pict w14:anchorId="619E0DBC">
          <v:rect id="_x0000_i1105" style="width:6in;height:1.5pt" o:hralign="center" o:hrstd="t" o:hr="t" fillcolor="#a0a0a0" stroked="f"/>
        </w:pict>
      </w:r>
    </w:p>
    <w:p w14:paraId="619E0965"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96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retain a residual interest in equipment leased under our fixed-term lease programs. As of July 30, 2021 and January 29, 2021, the residual interest recorded as part of financing receivables was $319 mill</w:t>
      </w:r>
      <w:r>
        <w:rPr>
          <w:rFonts w:ascii="Times New Roman" w:eastAsia="宋体" w:hAnsi="Times New Roman" w:cs="Times New Roman"/>
          <w:color w:val="000000"/>
          <w:kern w:val="0"/>
          <w:sz w:val="20"/>
          <w:szCs w:val="20"/>
          <w:lang w:bidi="ar"/>
        </w:rPr>
        <w:t>ion and $424 million, respectively. The amount of the residual interest is established at the inception of the lease based upon estimates of the value of the equipment at the end of the lease term using historical studies, industry data, and future value-a</w:t>
      </w:r>
      <w:r>
        <w:rPr>
          <w:rFonts w:ascii="Times New Roman" w:eastAsia="宋体" w:hAnsi="Times New Roman" w:cs="Times New Roman"/>
          <w:color w:val="000000"/>
          <w:kern w:val="0"/>
          <w:sz w:val="20"/>
          <w:szCs w:val="20"/>
          <w:lang w:bidi="ar"/>
        </w:rPr>
        <w:t>t-risk demand valuation methods. We assess the carrying amount of our recorded residual values for expected losses. Generally, expected losses as a result of residual value risk on equipment under lease are not considered to be significant primarily becaus</w:t>
      </w:r>
      <w:r>
        <w:rPr>
          <w:rFonts w:ascii="Times New Roman" w:eastAsia="宋体" w:hAnsi="Times New Roman" w:cs="Times New Roman"/>
          <w:color w:val="000000"/>
          <w:kern w:val="0"/>
          <w:sz w:val="20"/>
          <w:szCs w:val="20"/>
          <w:lang w:bidi="ar"/>
        </w:rPr>
        <w:t>e of the existence of a secondary market with respect to the equipment. The lease agreement also clearly defines applicable return conditions and remedies for non-compliance to ensure that the leased equipment will be in good operating condition upon retur</w:t>
      </w:r>
      <w:r>
        <w:rPr>
          <w:rFonts w:ascii="Times New Roman" w:eastAsia="宋体" w:hAnsi="Times New Roman" w:cs="Times New Roman"/>
          <w:color w:val="000000"/>
          <w:kern w:val="0"/>
          <w:sz w:val="20"/>
          <w:szCs w:val="20"/>
          <w:lang w:bidi="ar"/>
        </w:rPr>
        <w:t>n. Model changes and updates, as well as market strength and product acceptance, are monitored and adjustments are made to residual values in accordance with the significance of any such changes. To mitigate our exposure, we work closely with customers and</w:t>
      </w:r>
      <w:r>
        <w:rPr>
          <w:rFonts w:ascii="Times New Roman" w:eastAsia="宋体" w:hAnsi="Times New Roman" w:cs="Times New Roman"/>
          <w:color w:val="000000"/>
          <w:kern w:val="0"/>
          <w:sz w:val="20"/>
          <w:szCs w:val="20"/>
          <w:lang w:bidi="ar"/>
        </w:rPr>
        <w:t xml:space="preserve"> dealers to manage the sale of returned assets. No material expected losses were recorded related to residual assets during the second quarter and first six months of Fiscal 2022 and Fiscal 2021.</w:t>
      </w:r>
    </w:p>
    <w:p w14:paraId="619E096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6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 of July 30, 2021 and January 29, 2021, </w:t>
      </w:r>
      <w:r>
        <w:rPr>
          <w:rFonts w:ascii="Times New Roman" w:eastAsia="宋体" w:hAnsi="Times New Roman" w:cs="Times New Roman"/>
          <w:color w:val="000000"/>
          <w:kern w:val="0"/>
          <w:sz w:val="20"/>
          <w:szCs w:val="20"/>
          <w:lang w:bidi="ar"/>
        </w:rPr>
        <w:t>equipment under operating leases, net was $1.4 billion and $1.3 billion, respectively. Based on triggering events, we assess the carrying amount of the equipment under operating leases recorded for impairment. No material impairment losses were recorded re</w:t>
      </w:r>
      <w:r>
        <w:rPr>
          <w:rFonts w:ascii="Times New Roman" w:eastAsia="宋体" w:hAnsi="Times New Roman" w:cs="Times New Roman"/>
          <w:color w:val="000000"/>
          <w:kern w:val="0"/>
          <w:sz w:val="20"/>
          <w:szCs w:val="20"/>
          <w:lang w:bidi="ar"/>
        </w:rPr>
        <w:t>lated to such equipment during the second quarter and first six months of Fiscal 2022 and Fiscal 2021.</w:t>
      </w:r>
    </w:p>
    <w:p w14:paraId="619E096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6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DFS offerings are initially funded through cash on hand at the time of origination, most of which is subsequently replaced with third-party financing. </w:t>
      </w:r>
      <w:r>
        <w:rPr>
          <w:rFonts w:ascii="Times New Roman" w:eastAsia="宋体" w:hAnsi="Times New Roman" w:cs="Times New Roman"/>
          <w:color w:val="000000"/>
          <w:kern w:val="0"/>
          <w:sz w:val="20"/>
          <w:szCs w:val="20"/>
          <w:lang w:bidi="ar"/>
        </w:rPr>
        <w:t xml:space="preserve">For DFS offerings which qualify as sales-type leases, the initial funding of financing receivables is reflected as an impact to cash flows from operations, and is largely subsequently offset by cash proceeds from financing. For DFS operating leases, which </w:t>
      </w:r>
      <w:r>
        <w:rPr>
          <w:rFonts w:ascii="Times New Roman" w:eastAsia="宋体" w:hAnsi="Times New Roman" w:cs="Times New Roman"/>
          <w:color w:val="000000"/>
          <w:kern w:val="0"/>
          <w:sz w:val="20"/>
          <w:szCs w:val="20"/>
          <w:lang w:bidi="ar"/>
        </w:rPr>
        <w:t>have increased under the current lease standard, the initial funding is classified as a capital expenditure and reflected as an impact to cash flows used in investing activities.</w:t>
      </w:r>
    </w:p>
    <w:p w14:paraId="619E096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6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See Note 3 of the Notes to the Condensed Consolidated Financial Statements </w:t>
      </w:r>
      <w:r>
        <w:rPr>
          <w:rFonts w:ascii="Times New Roman" w:eastAsia="宋体" w:hAnsi="Times New Roman" w:cs="Times New Roman"/>
          <w:color w:val="000000"/>
          <w:kern w:val="0"/>
          <w:sz w:val="20"/>
          <w:szCs w:val="20"/>
          <w:lang w:bidi="ar"/>
        </w:rPr>
        <w:t>included in this report for additional information about our financing receivables and the associated allowances, and the equipment under operating leases.</w:t>
      </w:r>
    </w:p>
    <w:p w14:paraId="619E096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6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Off-Balance Sheet Arrangements</w:t>
      </w:r>
    </w:p>
    <w:p w14:paraId="619E096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7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 of July 30, 2021, we had no off-balance sheet </w:t>
      </w:r>
      <w:r>
        <w:rPr>
          <w:rFonts w:ascii="Times New Roman" w:eastAsia="宋体" w:hAnsi="Times New Roman" w:cs="Times New Roman"/>
          <w:color w:val="000000"/>
          <w:kern w:val="0"/>
          <w:sz w:val="20"/>
          <w:szCs w:val="20"/>
          <w:lang w:bidi="ar"/>
        </w:rPr>
        <w:t>arrangements that have or are reasonably likely to have a current or future material effect on our financial condition or results of operations.</w:t>
      </w:r>
    </w:p>
    <w:p w14:paraId="619E0971"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97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82</w:t>
      </w:r>
    </w:p>
    <w:p w14:paraId="619E097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974" w14:textId="77777777" w:rsidR="003D72E7" w:rsidRDefault="00AD6774">
      <w:pPr>
        <w:widowControl/>
        <w:jc w:val="center"/>
      </w:pPr>
      <w:r>
        <w:rPr>
          <w:rFonts w:ascii="宋体" w:eastAsia="宋体" w:hAnsi="宋体" w:cs="宋体"/>
          <w:kern w:val="0"/>
          <w:sz w:val="24"/>
        </w:rPr>
        <w:pict w14:anchorId="619E0DBD">
          <v:rect id="_x0000_i1106" style="width:6in;height:1.5pt" o:hralign="center" o:hrstd="t" o:hr="t" fillcolor="#a0a0a0" stroked="f"/>
        </w:pict>
      </w:r>
    </w:p>
    <w:p w14:paraId="619E0975"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97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MARKET CONDITIONS, LIQUID</w:t>
      </w:r>
      <w:r>
        <w:rPr>
          <w:rFonts w:ascii="Times New Roman" w:eastAsia="宋体" w:hAnsi="Times New Roman" w:cs="Times New Roman"/>
          <w:b/>
          <w:bCs/>
          <w:color w:val="000000"/>
          <w:kern w:val="0"/>
          <w:sz w:val="20"/>
          <w:szCs w:val="20"/>
          <w:lang w:bidi="ar"/>
        </w:rPr>
        <w:t>ITY, AND CAPITAL COMMITMENTS</w:t>
      </w:r>
    </w:p>
    <w:p w14:paraId="619E097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7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Market Conditions</w:t>
      </w:r>
    </w:p>
    <w:p w14:paraId="619E097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7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regularly monitor economic conditions and associated impacts on the financial markets and our business. We consistently evaluate the financial health of our supplier base, carefully manage </w:t>
      </w:r>
      <w:r>
        <w:rPr>
          <w:rFonts w:ascii="Times New Roman" w:eastAsia="宋体" w:hAnsi="Times New Roman" w:cs="Times New Roman"/>
          <w:color w:val="000000"/>
          <w:kern w:val="0"/>
          <w:sz w:val="20"/>
          <w:szCs w:val="20"/>
          <w:lang w:bidi="ar"/>
        </w:rPr>
        <w:t>customer credit, diversify counterparty risk, and monitor the concentration risk of our cash and cash equivalents balances globally. We routinely monitor our financial exposure to borrowers and counterparties.</w:t>
      </w:r>
    </w:p>
    <w:p w14:paraId="619E097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7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monitor credit risk associated with our f</w:t>
      </w:r>
      <w:r>
        <w:rPr>
          <w:rFonts w:ascii="Times New Roman" w:eastAsia="宋体" w:hAnsi="Times New Roman" w:cs="Times New Roman"/>
          <w:color w:val="000000"/>
          <w:kern w:val="0"/>
          <w:sz w:val="20"/>
          <w:szCs w:val="20"/>
          <w:lang w:bidi="ar"/>
        </w:rPr>
        <w:t xml:space="preserve">inancial counterparties using various market credit risk indicators such as credit ratings issued by nationally recognized credit rating agencies and changes in market credit default swap levels. We perform periodic evaluations of our positions with these </w:t>
      </w:r>
      <w:r>
        <w:rPr>
          <w:rFonts w:ascii="Times New Roman" w:eastAsia="宋体" w:hAnsi="Times New Roman" w:cs="Times New Roman"/>
          <w:color w:val="000000"/>
          <w:kern w:val="0"/>
          <w:sz w:val="20"/>
          <w:szCs w:val="20"/>
          <w:lang w:bidi="ar"/>
        </w:rPr>
        <w:t xml:space="preserve">counterparties and may limit exposure to any one counterparty in accordance with our policies. We monitor and manage these activities depending on current and expected market developments. </w:t>
      </w:r>
    </w:p>
    <w:p w14:paraId="619E097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7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use derivative instruments to hedge certain foreign currency </w:t>
      </w:r>
      <w:r>
        <w:rPr>
          <w:rFonts w:ascii="Times New Roman" w:eastAsia="宋体" w:hAnsi="Times New Roman" w:cs="Times New Roman"/>
          <w:color w:val="000000"/>
          <w:kern w:val="0"/>
          <w:sz w:val="20"/>
          <w:szCs w:val="20"/>
          <w:lang w:bidi="ar"/>
        </w:rPr>
        <w:t>exposures. We use forward contracts and purchased options designated as cash flow hedges to protect against the foreign currency exchange rate risks inherent in our forecasted transactions denominated in currencies other than the U.S. dollar.  In addition,</w:t>
      </w:r>
      <w:r>
        <w:rPr>
          <w:rFonts w:ascii="Times New Roman" w:eastAsia="宋体" w:hAnsi="Times New Roman" w:cs="Times New Roman"/>
          <w:color w:val="000000"/>
          <w:kern w:val="0"/>
          <w:sz w:val="20"/>
          <w:szCs w:val="20"/>
          <w:lang w:bidi="ar"/>
        </w:rPr>
        <w:t xml:space="preserve"> we primarily use forward contracts and may use purchased options to hedge monetary assets and liabilities denominated in a foreign currency.  See Note 6 of the Notes to the Condensed Consolidated Financial Statements included in this report for more infor</w:t>
      </w:r>
      <w:r>
        <w:rPr>
          <w:rFonts w:ascii="Times New Roman" w:eastAsia="宋体" w:hAnsi="Times New Roman" w:cs="Times New Roman"/>
          <w:color w:val="000000"/>
          <w:kern w:val="0"/>
          <w:sz w:val="20"/>
          <w:szCs w:val="20"/>
          <w:lang w:bidi="ar"/>
        </w:rPr>
        <w:t>mation about our use of derivative instruments.</w:t>
      </w:r>
    </w:p>
    <w:p w14:paraId="619E097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8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are exposed to interest rate risk related to our variable-rate debt portfolio. In the normal course of business, we follow established policies and procedures to manage this risk, including monitoring of</w:t>
      </w:r>
      <w:r>
        <w:rPr>
          <w:rFonts w:ascii="Times New Roman" w:eastAsia="宋体" w:hAnsi="Times New Roman" w:cs="Times New Roman"/>
          <w:color w:val="000000"/>
          <w:kern w:val="0"/>
          <w:sz w:val="20"/>
          <w:szCs w:val="20"/>
          <w:lang w:bidi="ar"/>
        </w:rPr>
        <w:t xml:space="preserve"> our asset and liability mix. As a result, we do not anticipate any material losses from interest rate risk.</w:t>
      </w:r>
    </w:p>
    <w:p w14:paraId="619E098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8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impact of any credit adjustments related to our use of counterparties on our Condensed Consolidated Financial Statements included in this rep</w:t>
      </w:r>
      <w:r>
        <w:rPr>
          <w:rFonts w:ascii="Times New Roman" w:eastAsia="宋体" w:hAnsi="Times New Roman" w:cs="Times New Roman"/>
          <w:color w:val="000000"/>
          <w:kern w:val="0"/>
          <w:sz w:val="20"/>
          <w:szCs w:val="20"/>
          <w:lang w:bidi="ar"/>
        </w:rPr>
        <w:t>ort has been immaterial.</w:t>
      </w:r>
    </w:p>
    <w:p w14:paraId="619E098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8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Liquidity and Capital Resources</w:t>
      </w:r>
    </w:p>
    <w:p w14:paraId="619E098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8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To support our ongoing business operations, we rely on operating cash flows as our primary source of liquidity. We monitor the efficiency of our balance sheet to ensure that we have adequate liqu</w:t>
      </w:r>
      <w:r>
        <w:rPr>
          <w:rFonts w:ascii="Times New Roman" w:eastAsia="宋体" w:hAnsi="Times New Roman" w:cs="Times New Roman"/>
          <w:color w:val="000000"/>
          <w:kern w:val="0"/>
          <w:sz w:val="20"/>
          <w:szCs w:val="20"/>
          <w:lang w:bidi="ar"/>
        </w:rPr>
        <w:t>idity to support our business and strategic initiatives. In addition to internally generated cash, we have access to othe</w:t>
      </w:r>
      <w:r>
        <w:rPr>
          <w:rFonts w:ascii="Times New Roman" w:eastAsia="宋体" w:hAnsi="Times New Roman" w:cs="Times New Roman"/>
          <w:color w:val="000000"/>
          <w:kern w:val="0"/>
          <w:sz w:val="20"/>
          <w:szCs w:val="20"/>
          <w:shd w:val="clear" w:color="auto" w:fill="FFFFFF"/>
          <w:lang w:bidi="ar"/>
        </w:rPr>
        <w:t xml:space="preserve">r capital sources to finance our strategic initiatives and fund growth in our financing operations. </w:t>
      </w:r>
      <w:r>
        <w:rPr>
          <w:rFonts w:ascii="Times New Roman" w:eastAsia="宋体" w:hAnsi="Times New Roman" w:cs="Times New Roman"/>
          <w:color w:val="000000"/>
          <w:kern w:val="0"/>
          <w:sz w:val="20"/>
          <w:szCs w:val="20"/>
          <w:lang w:bidi="ar"/>
        </w:rPr>
        <w:t>Our strategy is to deploy capital f</w:t>
      </w:r>
      <w:r>
        <w:rPr>
          <w:rFonts w:ascii="Times New Roman" w:eastAsia="宋体" w:hAnsi="Times New Roman" w:cs="Times New Roman"/>
          <w:color w:val="000000"/>
          <w:kern w:val="0"/>
          <w:sz w:val="20"/>
          <w:szCs w:val="20"/>
          <w:lang w:bidi="ar"/>
        </w:rPr>
        <w:t>rom any potential source, whether internally generated cash or debt, depending on the adequacy and availability of that source of capital and whether it can be accessed in a cost-effective manner.</w:t>
      </w:r>
    </w:p>
    <w:p w14:paraId="619E098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88"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following table presents our cash and cash equivalents as well as our available borrowings as of the dates indicated: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5436"/>
        <w:gridCol w:w="38"/>
        <w:gridCol w:w="120"/>
        <w:gridCol w:w="1218"/>
        <w:gridCol w:w="36"/>
        <w:gridCol w:w="36"/>
        <w:gridCol w:w="36"/>
        <w:gridCol w:w="36"/>
        <w:gridCol w:w="120"/>
        <w:gridCol w:w="1183"/>
        <w:gridCol w:w="36"/>
      </w:tblGrid>
      <w:tr w:rsidR="003D72E7" w14:paraId="619E0995" w14:textId="77777777">
        <w:tc>
          <w:tcPr>
            <w:tcW w:w="50" w:type="pct"/>
            <w:tcBorders>
              <w:top w:val="nil"/>
              <w:left w:val="nil"/>
              <w:bottom w:val="nil"/>
              <w:right w:val="nil"/>
            </w:tcBorders>
            <w:shd w:val="clear" w:color="auto" w:fill="auto"/>
            <w:vAlign w:val="bottom"/>
          </w:tcPr>
          <w:p w14:paraId="619E0989" w14:textId="77777777" w:rsidR="003D72E7" w:rsidRDefault="003D72E7">
            <w:pPr>
              <w:widowControl/>
              <w:jc w:val="left"/>
              <w:rPr>
                <w:rFonts w:ascii="Times New Roman" w:eastAsia="宋体" w:hAnsi="宋体" w:cs="宋体"/>
                <w:kern w:val="0"/>
                <w:sz w:val="24"/>
              </w:rPr>
            </w:pPr>
          </w:p>
        </w:tc>
        <w:tc>
          <w:tcPr>
            <w:tcW w:w="3285" w:type="pct"/>
            <w:tcBorders>
              <w:top w:val="nil"/>
              <w:left w:val="nil"/>
              <w:bottom w:val="nil"/>
              <w:right w:val="nil"/>
            </w:tcBorders>
            <w:shd w:val="clear" w:color="auto" w:fill="auto"/>
            <w:vAlign w:val="bottom"/>
          </w:tcPr>
          <w:p w14:paraId="619E098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98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98C"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E098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98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98F" w14:textId="77777777" w:rsidR="003D72E7" w:rsidRDefault="003D72E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619E099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99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992" w14:textId="77777777" w:rsidR="003D72E7" w:rsidRDefault="003D72E7">
            <w:pPr>
              <w:widowControl/>
              <w:jc w:val="left"/>
              <w:rPr>
                <w:rFonts w:ascii="Times New Roman" w:eastAsia="宋体" w:hAnsi="宋体" w:cs="宋体"/>
                <w:kern w:val="0"/>
                <w:sz w:val="24"/>
              </w:rPr>
            </w:pPr>
          </w:p>
        </w:tc>
        <w:tc>
          <w:tcPr>
            <w:tcW w:w="756" w:type="pct"/>
            <w:tcBorders>
              <w:top w:val="nil"/>
              <w:left w:val="nil"/>
              <w:bottom w:val="nil"/>
              <w:right w:val="nil"/>
            </w:tcBorders>
            <w:shd w:val="clear" w:color="auto" w:fill="auto"/>
            <w:vAlign w:val="bottom"/>
          </w:tcPr>
          <w:p w14:paraId="619E099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994" w14:textId="77777777" w:rsidR="003D72E7" w:rsidRDefault="003D72E7">
            <w:pPr>
              <w:widowControl/>
              <w:jc w:val="left"/>
              <w:rPr>
                <w:rFonts w:ascii="Times New Roman" w:eastAsia="宋体" w:hAnsi="宋体" w:cs="宋体"/>
                <w:kern w:val="0"/>
                <w:sz w:val="24"/>
              </w:rPr>
            </w:pPr>
          </w:p>
        </w:tc>
      </w:tr>
      <w:tr w:rsidR="003D72E7" w14:paraId="619E099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99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99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99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99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E099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99B"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E099C"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E09A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E099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Cash and cash equivalents, and available borrowings: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9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A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A1" w14:textId="77777777" w:rsidR="003D72E7" w:rsidRDefault="003D72E7">
            <w:pPr>
              <w:widowControl/>
              <w:jc w:val="left"/>
              <w:rPr>
                <w:rFonts w:ascii="Times New Roman" w:eastAsia="宋体" w:hAnsi="宋体" w:cs="宋体"/>
                <w:kern w:val="0"/>
                <w:sz w:val="24"/>
              </w:rPr>
            </w:pPr>
          </w:p>
        </w:tc>
      </w:tr>
      <w:tr w:rsidR="003D72E7" w14:paraId="619E09AB"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center"/>
          </w:tcPr>
          <w:p w14:paraId="619E09A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Cash and </w:t>
            </w:r>
            <w:r>
              <w:rPr>
                <w:rFonts w:ascii="Times New Roman" w:eastAsia="宋体" w:hAnsi="Times New Roman" w:cs="Times New Roman"/>
                <w:color w:val="000000"/>
                <w:kern w:val="0"/>
                <w:sz w:val="20"/>
                <w:szCs w:val="20"/>
                <w:lang w:bidi="ar"/>
              </w:rPr>
              <w:t>cash equivalents (a)</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E09A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E09A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11,719 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9A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A7"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E09A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E09A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14,201 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9AA" w14:textId="77777777" w:rsidR="003D72E7" w:rsidRDefault="003D72E7">
            <w:pPr>
              <w:widowControl/>
              <w:jc w:val="right"/>
              <w:rPr>
                <w:rFonts w:ascii="Times New Roman" w:eastAsia="宋体" w:hAnsi="宋体" w:cs="宋体"/>
                <w:kern w:val="0"/>
                <w:sz w:val="24"/>
              </w:rPr>
            </w:pPr>
          </w:p>
        </w:tc>
      </w:tr>
      <w:tr w:rsidR="003D72E7" w14:paraId="619E09B2"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center"/>
          </w:tcPr>
          <w:p w14:paraId="619E09AC"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Remaining available borrowings under revolving credit facilities (b)</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9A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5,463 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9A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A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9B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5,467 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9B1" w14:textId="77777777" w:rsidR="003D72E7" w:rsidRDefault="003D72E7">
            <w:pPr>
              <w:widowControl/>
              <w:jc w:val="right"/>
              <w:rPr>
                <w:rFonts w:ascii="Times New Roman" w:eastAsia="宋体" w:hAnsi="宋体" w:cs="宋体"/>
                <w:kern w:val="0"/>
                <w:sz w:val="24"/>
              </w:rPr>
            </w:pPr>
          </w:p>
        </w:tc>
      </w:tr>
      <w:tr w:rsidR="003D72E7" w14:paraId="619E09B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19E09B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cash, cash equivalents, and available borrowings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E09B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E09B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17,182 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E09B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B7"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E09B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E09B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19,668 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E09BA" w14:textId="77777777" w:rsidR="003D72E7" w:rsidRDefault="003D72E7">
            <w:pPr>
              <w:widowControl/>
              <w:jc w:val="right"/>
              <w:rPr>
                <w:rFonts w:ascii="Times New Roman" w:eastAsia="宋体" w:hAnsi="宋体" w:cs="宋体"/>
                <w:kern w:val="0"/>
                <w:sz w:val="24"/>
              </w:rPr>
            </w:pPr>
          </w:p>
        </w:tc>
      </w:tr>
    </w:tbl>
    <w:p w14:paraId="619E09B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619E09BD"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    Of the $11.7 billion of cash and cash equivalents as of July 30, 2021, $5.9 billion was held by VMware, Inc.</w:t>
      </w:r>
    </w:p>
    <w:p w14:paraId="619E09BE"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(b)    Of the $5.5 billion of remaining available borrowings under revolving credit facilities, $1.0 billion</w:t>
      </w:r>
      <w:r>
        <w:rPr>
          <w:rFonts w:ascii="Times New Roman" w:eastAsia="宋体" w:hAnsi="Times New Roman" w:cs="Times New Roman"/>
          <w:color w:val="000000"/>
          <w:kern w:val="0"/>
          <w:sz w:val="20"/>
          <w:szCs w:val="20"/>
          <w:lang w:bidi="ar"/>
        </w:rPr>
        <w:t xml:space="preserve"> was attributable to the VMware Revolving Credit Facility.</w:t>
      </w:r>
    </w:p>
    <w:p w14:paraId="619E09BF" w14:textId="77777777" w:rsidR="003D72E7" w:rsidRDefault="00AD6774">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C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Our revolving credit facilities as of July 30, 2021 consist of the Revolving Credit Facility and the VMware Revolving Credit Facility. The Revolving Credit Facility has a maximum aggregate borrow</w:t>
      </w:r>
      <w:r>
        <w:rPr>
          <w:rFonts w:ascii="Times New Roman" w:eastAsia="宋体" w:hAnsi="Times New Roman" w:cs="Times New Roman"/>
          <w:color w:val="000000"/>
          <w:kern w:val="0"/>
          <w:sz w:val="20"/>
          <w:szCs w:val="20"/>
          <w:lang w:bidi="ar"/>
        </w:rPr>
        <w:t xml:space="preserve">ing capacity of $4.5 billion, and available borrowings </w:t>
      </w:r>
      <w:r>
        <w:rPr>
          <w:rFonts w:ascii="Times New Roman" w:eastAsia="宋体" w:hAnsi="Times New Roman" w:cs="Times New Roman"/>
          <w:color w:val="000000"/>
          <w:kern w:val="0"/>
          <w:sz w:val="20"/>
          <w:szCs w:val="20"/>
          <w:shd w:val="clear" w:color="auto" w:fill="FFFFFF"/>
          <w:lang w:bidi="ar"/>
        </w:rPr>
        <w:t xml:space="preserve">under this facility are reduced by draws on the facility and outstanding letters of credit. </w:t>
      </w:r>
      <w:r>
        <w:rPr>
          <w:rFonts w:ascii="Times New Roman" w:eastAsia="宋体" w:hAnsi="Times New Roman" w:cs="Times New Roman"/>
          <w:color w:val="000000"/>
          <w:kern w:val="0"/>
          <w:sz w:val="20"/>
          <w:szCs w:val="20"/>
          <w:lang w:bidi="ar"/>
        </w:rPr>
        <w:t xml:space="preserve">As of July 30, 2021, there were no borrowings outstanding under the facility. Borrowings under the Revolving </w:t>
      </w:r>
      <w:r>
        <w:rPr>
          <w:rFonts w:ascii="Times New Roman" w:eastAsia="宋体" w:hAnsi="Times New Roman" w:cs="Times New Roman"/>
          <w:color w:val="000000"/>
          <w:kern w:val="0"/>
          <w:sz w:val="20"/>
          <w:szCs w:val="20"/>
          <w:lang w:bidi="ar"/>
        </w:rPr>
        <w:t xml:space="preserve">Credit Facility are used for general corporate purposes on a short-term basis. </w:t>
      </w:r>
    </w:p>
    <w:p w14:paraId="619E09C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C2"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9C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83</w:t>
      </w:r>
    </w:p>
    <w:p w14:paraId="619E09C4"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9C5" w14:textId="77777777" w:rsidR="003D72E7" w:rsidRDefault="00AD6774">
      <w:pPr>
        <w:widowControl/>
        <w:jc w:val="center"/>
      </w:pPr>
      <w:r>
        <w:rPr>
          <w:rFonts w:ascii="宋体" w:eastAsia="宋体" w:hAnsi="宋体" w:cs="宋体"/>
          <w:kern w:val="0"/>
          <w:sz w:val="24"/>
        </w:rPr>
        <w:pict w14:anchorId="619E0DBE">
          <v:rect id="_x0000_i1107" style="width:6in;height:1.5pt" o:hralign="center" o:hrstd="t" o:hr="t" fillcolor="#a0a0a0" stroked="f"/>
        </w:pict>
      </w:r>
    </w:p>
    <w:p w14:paraId="619E09C6"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9C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VMware Revolving Credit Facility has a maximum capacity of $1.0 billion. As of </w:t>
      </w:r>
      <w:r>
        <w:rPr>
          <w:rFonts w:ascii="Times New Roman" w:eastAsia="宋体" w:hAnsi="Times New Roman" w:cs="Times New Roman"/>
          <w:color w:val="000000"/>
          <w:kern w:val="0"/>
          <w:sz w:val="20"/>
          <w:szCs w:val="20"/>
          <w:lang w:bidi="ar"/>
        </w:rPr>
        <w:t>July 30, 2021, there were no outstanding borrowings under the facility. None of the net proceeds of borrowings under the VMware Revolving Credit Facility will be made available to support the operations or satisfy any corporate purposes of Dell Technologie</w:t>
      </w:r>
      <w:r>
        <w:rPr>
          <w:rFonts w:ascii="Times New Roman" w:eastAsia="宋体" w:hAnsi="Times New Roman" w:cs="Times New Roman"/>
          <w:color w:val="000000"/>
          <w:kern w:val="0"/>
          <w:sz w:val="20"/>
          <w:szCs w:val="20"/>
          <w:lang w:bidi="ar"/>
        </w:rPr>
        <w:t>s, other than the operations and corporate purposes of VMware, Inc. and VMware, Inc.’s subsidiaries.</w:t>
      </w:r>
    </w:p>
    <w:p w14:paraId="619E09C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C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See Note 5 of the Notes to the Condensed Consolidated Financial Statements included in this report for additional information about each of the </w:t>
      </w:r>
      <w:r>
        <w:rPr>
          <w:rFonts w:ascii="Times New Roman" w:eastAsia="宋体" w:hAnsi="Times New Roman" w:cs="Times New Roman"/>
          <w:color w:val="000000"/>
          <w:kern w:val="0"/>
          <w:sz w:val="20"/>
          <w:szCs w:val="20"/>
          <w:lang w:bidi="ar"/>
        </w:rPr>
        <w:t>foregoing revolving credit facilities.</w:t>
      </w:r>
    </w:p>
    <w:p w14:paraId="619E09C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C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We believe that our current cash and cash equivalents, together with cash that will be provided by future operations and borrowings expected to be available under our revolving credit facilities, will be sufficient </w:t>
      </w:r>
      <w:r>
        <w:rPr>
          <w:rFonts w:ascii="Times New Roman" w:eastAsia="宋体" w:hAnsi="Times New Roman" w:cs="Times New Roman"/>
          <w:color w:val="000000"/>
          <w:kern w:val="0"/>
          <w:sz w:val="20"/>
          <w:szCs w:val="20"/>
          <w:lang w:bidi="ar"/>
        </w:rPr>
        <w:t>over at least the next twelve months and for the foreseeable future thereafter to fund our operations, debt service requirements and maturities, capital expenditures, share repurchases, and other corporate needs.</w:t>
      </w:r>
    </w:p>
    <w:p w14:paraId="619E09C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C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Debt</w:t>
      </w:r>
    </w:p>
    <w:p w14:paraId="619E09C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9CF"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summarizes our</w:t>
      </w:r>
      <w:r>
        <w:rPr>
          <w:rFonts w:ascii="Times New Roman" w:eastAsia="宋体" w:hAnsi="Times New Roman" w:cs="Times New Roman"/>
          <w:color w:val="000000"/>
          <w:kern w:val="0"/>
          <w:sz w:val="20"/>
          <w:szCs w:val="20"/>
          <w:lang w:bidi="ar"/>
        </w:rPr>
        <w:t xml:space="preserve"> outstanding debt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141"/>
        <w:gridCol w:w="39"/>
        <w:gridCol w:w="120"/>
        <w:gridCol w:w="1143"/>
        <w:gridCol w:w="36"/>
        <w:gridCol w:w="36"/>
        <w:gridCol w:w="36"/>
        <w:gridCol w:w="36"/>
        <w:gridCol w:w="121"/>
        <w:gridCol w:w="1144"/>
        <w:gridCol w:w="36"/>
        <w:gridCol w:w="36"/>
        <w:gridCol w:w="36"/>
        <w:gridCol w:w="36"/>
        <w:gridCol w:w="120"/>
        <w:gridCol w:w="1144"/>
        <w:gridCol w:w="36"/>
      </w:tblGrid>
      <w:tr w:rsidR="003D72E7" w14:paraId="619E09E2" w14:textId="77777777">
        <w:trPr>
          <w:jc w:val="center"/>
        </w:trPr>
        <w:tc>
          <w:tcPr>
            <w:tcW w:w="50" w:type="pct"/>
            <w:tcBorders>
              <w:top w:val="nil"/>
              <w:left w:val="nil"/>
              <w:bottom w:val="nil"/>
              <w:right w:val="nil"/>
            </w:tcBorders>
            <w:shd w:val="clear" w:color="auto" w:fill="auto"/>
            <w:vAlign w:val="bottom"/>
          </w:tcPr>
          <w:p w14:paraId="619E09D0" w14:textId="77777777" w:rsidR="003D72E7" w:rsidRDefault="003D72E7">
            <w:pPr>
              <w:widowControl/>
              <w:jc w:val="left"/>
              <w:rPr>
                <w:rFonts w:ascii="Times New Roman" w:eastAsia="宋体" w:hAnsi="宋体" w:cs="宋体"/>
                <w:kern w:val="0"/>
                <w:sz w:val="24"/>
              </w:rPr>
            </w:pPr>
          </w:p>
        </w:tc>
        <w:tc>
          <w:tcPr>
            <w:tcW w:w="2540" w:type="pct"/>
            <w:tcBorders>
              <w:top w:val="nil"/>
              <w:left w:val="nil"/>
              <w:bottom w:val="nil"/>
              <w:right w:val="nil"/>
            </w:tcBorders>
            <w:shd w:val="clear" w:color="auto" w:fill="auto"/>
            <w:vAlign w:val="bottom"/>
          </w:tcPr>
          <w:p w14:paraId="619E09D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9D2"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9D3" w14:textId="77777777" w:rsidR="003D72E7" w:rsidRDefault="003D72E7">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619E09D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9D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9D6"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9D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9D8"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9D9" w14:textId="77777777" w:rsidR="003D72E7" w:rsidRDefault="003D72E7">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619E09D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9D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9DC"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9D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9DE"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9DF" w14:textId="77777777" w:rsidR="003D72E7" w:rsidRDefault="003D72E7">
            <w:pPr>
              <w:widowControl/>
              <w:jc w:val="left"/>
              <w:rPr>
                <w:rFonts w:ascii="Times New Roman" w:eastAsia="宋体" w:hAnsi="宋体" w:cs="宋体"/>
                <w:kern w:val="0"/>
                <w:sz w:val="24"/>
              </w:rPr>
            </w:pPr>
          </w:p>
        </w:tc>
        <w:tc>
          <w:tcPr>
            <w:tcW w:w="727" w:type="pct"/>
            <w:tcBorders>
              <w:top w:val="nil"/>
              <w:left w:val="nil"/>
              <w:bottom w:val="nil"/>
              <w:right w:val="nil"/>
            </w:tcBorders>
            <w:shd w:val="clear" w:color="auto" w:fill="auto"/>
            <w:vAlign w:val="bottom"/>
          </w:tcPr>
          <w:p w14:paraId="619E09E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9E1" w14:textId="77777777" w:rsidR="003D72E7" w:rsidRDefault="003D72E7">
            <w:pPr>
              <w:widowControl/>
              <w:jc w:val="left"/>
              <w:rPr>
                <w:rFonts w:ascii="Times New Roman" w:eastAsia="宋体" w:hAnsi="宋体" w:cs="宋体"/>
                <w:kern w:val="0"/>
                <w:sz w:val="24"/>
              </w:rPr>
            </w:pPr>
          </w:p>
        </w:tc>
      </w:tr>
      <w:tr w:rsidR="003D72E7" w14:paraId="619E09E9"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9E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9E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9E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9E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Increase (decrease)</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9E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9E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E09E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9EA" w14:textId="77777777" w:rsidR="003D72E7" w:rsidRDefault="003D72E7">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E09EB"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E09F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E09E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Core debt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E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E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F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F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9F2" w14:textId="77777777" w:rsidR="003D72E7" w:rsidRDefault="003D72E7">
            <w:pPr>
              <w:widowControl/>
              <w:jc w:val="left"/>
              <w:rPr>
                <w:rFonts w:ascii="Times New Roman" w:eastAsia="宋体" w:hAnsi="宋体" w:cs="宋体"/>
                <w:kern w:val="0"/>
                <w:sz w:val="24"/>
              </w:rPr>
            </w:pPr>
          </w:p>
        </w:tc>
      </w:tr>
      <w:tr w:rsidR="003D72E7" w14:paraId="619E0A00"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vAlign w:val="center"/>
          </w:tcPr>
          <w:p w14:paraId="619E09F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Senior Secured Credit Facilities and First Lien Notes</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E09F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E09F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24,761 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9F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F8"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E09F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E09F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9F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9F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E09F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E09F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24,777 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9FF" w14:textId="77777777" w:rsidR="003D72E7" w:rsidRDefault="003D72E7">
            <w:pPr>
              <w:widowControl/>
              <w:jc w:val="right"/>
              <w:rPr>
                <w:rFonts w:ascii="Times New Roman" w:eastAsia="宋体" w:hAnsi="宋体" w:cs="宋体"/>
                <w:kern w:val="0"/>
                <w:sz w:val="24"/>
              </w:rPr>
            </w:pPr>
          </w:p>
        </w:tc>
      </w:tr>
      <w:tr w:rsidR="003D72E7" w14:paraId="619E0A0A"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vAlign w:val="center"/>
          </w:tcPr>
          <w:p w14:paraId="619E0A0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Unsecured Notes and Debentures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A0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952 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A0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0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A0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(400)</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A0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0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A0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1,352 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A09" w14:textId="77777777" w:rsidR="003D72E7" w:rsidRDefault="003D72E7">
            <w:pPr>
              <w:widowControl/>
              <w:jc w:val="right"/>
              <w:rPr>
                <w:rFonts w:ascii="Times New Roman" w:eastAsia="宋体" w:hAnsi="宋体" w:cs="宋体"/>
                <w:kern w:val="0"/>
                <w:sz w:val="24"/>
              </w:rPr>
            </w:pPr>
          </w:p>
        </w:tc>
      </w:tr>
      <w:tr w:rsidR="003D72E7" w14:paraId="619E0A14"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vAlign w:val="center"/>
          </w:tcPr>
          <w:p w14:paraId="619E0A0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Senior Notes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A0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1,625 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0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0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A0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(1,075)</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1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1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A1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2,700 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13" w14:textId="77777777" w:rsidR="003D72E7" w:rsidRDefault="003D72E7">
            <w:pPr>
              <w:widowControl/>
              <w:jc w:val="right"/>
              <w:rPr>
                <w:rFonts w:ascii="Times New Roman" w:eastAsia="宋体" w:hAnsi="宋体" w:cs="宋体"/>
                <w:kern w:val="0"/>
                <w:sz w:val="24"/>
              </w:rPr>
            </w:pPr>
          </w:p>
        </w:tc>
      </w:tr>
      <w:tr w:rsidR="003D72E7" w14:paraId="619E0A1E"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vAlign w:val="center"/>
          </w:tcPr>
          <w:p w14:paraId="619E0A1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EMC 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A1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A17"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18"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A1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A1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1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A1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1,000 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A1D" w14:textId="77777777" w:rsidR="003D72E7" w:rsidRDefault="003D72E7">
            <w:pPr>
              <w:widowControl/>
              <w:jc w:val="right"/>
              <w:rPr>
                <w:rFonts w:ascii="Times New Roman" w:eastAsia="宋体" w:hAnsi="宋体" w:cs="宋体"/>
                <w:kern w:val="0"/>
                <w:sz w:val="24"/>
              </w:rPr>
            </w:pPr>
          </w:p>
        </w:tc>
      </w:tr>
      <w:tr w:rsidR="003D72E7" w14:paraId="619E0A28"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vAlign w:val="center"/>
          </w:tcPr>
          <w:p w14:paraId="619E0A1F"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DFS allocated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A2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(700)</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2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22"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A2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(34)</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2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2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A2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(666)</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27" w14:textId="77777777" w:rsidR="003D72E7" w:rsidRDefault="003D72E7">
            <w:pPr>
              <w:widowControl/>
              <w:jc w:val="right"/>
              <w:rPr>
                <w:rFonts w:ascii="Times New Roman" w:eastAsia="宋体" w:hAnsi="宋体" w:cs="宋体"/>
                <w:kern w:val="0"/>
                <w:sz w:val="24"/>
              </w:rPr>
            </w:pPr>
          </w:p>
        </w:tc>
      </w:tr>
      <w:tr w:rsidR="003D72E7" w14:paraId="619E0A32"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center"/>
          </w:tcPr>
          <w:p w14:paraId="619E0A2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core debt </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A2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27,638 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E0A2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2C"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A2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(1,525)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E0A2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2F"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A3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29,163 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E0A31" w14:textId="77777777" w:rsidR="003D72E7" w:rsidRDefault="003D72E7">
            <w:pPr>
              <w:widowControl/>
              <w:jc w:val="right"/>
              <w:rPr>
                <w:rFonts w:ascii="Times New Roman" w:eastAsia="宋体" w:hAnsi="宋体" w:cs="宋体"/>
                <w:kern w:val="0"/>
                <w:sz w:val="24"/>
              </w:rPr>
            </w:pPr>
          </w:p>
        </w:tc>
      </w:tr>
      <w:tr w:rsidR="003D72E7" w14:paraId="619E0A3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E0A3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DFS related debt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3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3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3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3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38" w14:textId="77777777" w:rsidR="003D72E7" w:rsidRDefault="003D72E7">
            <w:pPr>
              <w:widowControl/>
              <w:jc w:val="left"/>
              <w:rPr>
                <w:rFonts w:ascii="Times New Roman" w:eastAsia="宋体" w:hAnsi="宋体" w:cs="宋体"/>
                <w:kern w:val="0"/>
                <w:sz w:val="24"/>
              </w:rPr>
            </w:pPr>
          </w:p>
        </w:tc>
      </w:tr>
      <w:tr w:rsidR="003D72E7" w14:paraId="619E0A43"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vAlign w:val="center"/>
          </w:tcPr>
          <w:p w14:paraId="619E0A3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DFS debt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A3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9,557 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A3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3D"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A3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(109)</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A3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4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A4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9,666 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A42" w14:textId="77777777" w:rsidR="003D72E7" w:rsidRDefault="003D72E7">
            <w:pPr>
              <w:widowControl/>
              <w:jc w:val="right"/>
              <w:rPr>
                <w:rFonts w:ascii="Times New Roman" w:eastAsia="宋体" w:hAnsi="宋体" w:cs="宋体"/>
                <w:kern w:val="0"/>
                <w:sz w:val="24"/>
              </w:rPr>
            </w:pPr>
          </w:p>
        </w:tc>
      </w:tr>
      <w:tr w:rsidR="003D72E7" w14:paraId="619E0A4D"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vAlign w:val="center"/>
          </w:tcPr>
          <w:p w14:paraId="619E0A4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DFS allocated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A4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700 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4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47"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A4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4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4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A4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666 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4C" w14:textId="77777777" w:rsidR="003D72E7" w:rsidRDefault="003D72E7">
            <w:pPr>
              <w:widowControl/>
              <w:jc w:val="right"/>
              <w:rPr>
                <w:rFonts w:ascii="Times New Roman" w:eastAsia="宋体" w:hAnsi="宋体" w:cs="宋体"/>
                <w:kern w:val="0"/>
                <w:sz w:val="24"/>
              </w:rPr>
            </w:pPr>
          </w:p>
        </w:tc>
      </w:tr>
      <w:tr w:rsidR="003D72E7" w14:paraId="619E0A57"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center"/>
          </w:tcPr>
          <w:p w14:paraId="619E0A4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DFS related debt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A4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10,257 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E0A5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51"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A5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E0A5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54"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A5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10,332 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E0A56" w14:textId="77777777" w:rsidR="003D72E7" w:rsidRDefault="003D72E7">
            <w:pPr>
              <w:widowControl/>
              <w:jc w:val="right"/>
              <w:rPr>
                <w:rFonts w:ascii="Times New Roman" w:eastAsia="宋体" w:hAnsi="宋体" w:cs="宋体"/>
                <w:kern w:val="0"/>
                <w:sz w:val="24"/>
              </w:rPr>
            </w:pPr>
          </w:p>
        </w:tc>
      </w:tr>
      <w:tr w:rsidR="003D72E7" w14:paraId="619E0A6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619E0A5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Margin Loan Facility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A59"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1,392 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5A"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5B"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A5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(2,843)</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5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5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A5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4,235 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60" w14:textId="77777777" w:rsidR="003D72E7" w:rsidRDefault="003D72E7">
            <w:pPr>
              <w:widowControl/>
              <w:jc w:val="right"/>
              <w:rPr>
                <w:rFonts w:ascii="Times New Roman" w:eastAsia="宋体" w:hAnsi="宋体" w:cs="宋体"/>
                <w:kern w:val="0"/>
                <w:sz w:val="24"/>
              </w:rPr>
            </w:pPr>
          </w:p>
        </w:tc>
      </w:tr>
      <w:tr w:rsidR="003D72E7" w14:paraId="619E0A6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E0A6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Debt of public subsidiary</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6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64"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6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6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67" w14:textId="77777777" w:rsidR="003D72E7" w:rsidRDefault="003D72E7">
            <w:pPr>
              <w:widowControl/>
              <w:jc w:val="left"/>
              <w:rPr>
                <w:rFonts w:ascii="Times New Roman" w:eastAsia="宋体" w:hAnsi="宋体" w:cs="宋体"/>
                <w:kern w:val="0"/>
                <w:sz w:val="24"/>
              </w:rPr>
            </w:pPr>
          </w:p>
        </w:tc>
      </w:tr>
      <w:tr w:rsidR="003D72E7" w14:paraId="619E0A72"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vAlign w:val="center"/>
          </w:tcPr>
          <w:p w14:paraId="619E0A6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VMware Notes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A6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4,750 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6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6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A6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6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6F"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A70"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4,750 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71" w14:textId="77777777" w:rsidR="003D72E7" w:rsidRDefault="003D72E7">
            <w:pPr>
              <w:widowControl/>
              <w:jc w:val="right"/>
              <w:rPr>
                <w:rFonts w:ascii="Times New Roman" w:eastAsia="宋体" w:hAnsi="宋体" w:cs="宋体"/>
                <w:kern w:val="0"/>
                <w:sz w:val="24"/>
              </w:rPr>
            </w:pPr>
          </w:p>
        </w:tc>
      </w:tr>
      <w:tr w:rsidR="003D72E7" w14:paraId="619E0A79" w14:textId="77777777">
        <w:trPr>
          <w:jc w:val="center"/>
          <w:hidden/>
        </w:trPr>
        <w:tc>
          <w:tcPr>
            <w:tcW w:w="0" w:type="auto"/>
            <w:gridSpan w:val="3"/>
            <w:tcBorders>
              <w:top w:val="nil"/>
              <w:left w:val="nil"/>
              <w:bottom w:val="nil"/>
              <w:right w:val="nil"/>
            </w:tcBorders>
            <w:shd w:val="clear" w:color="auto" w:fill="auto"/>
            <w:vAlign w:val="bottom"/>
          </w:tcPr>
          <w:p w14:paraId="619E0A7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A7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A75"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A76"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A77"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A78" w14:textId="77777777" w:rsidR="003D72E7" w:rsidRDefault="003D72E7">
            <w:pPr>
              <w:widowControl/>
              <w:jc w:val="left"/>
              <w:rPr>
                <w:rFonts w:ascii="Times New Roman" w:eastAsia="宋体" w:hAnsi="宋体" w:cs="宋体"/>
                <w:vanish/>
                <w:kern w:val="0"/>
                <w:sz w:val="24"/>
              </w:rPr>
            </w:pPr>
          </w:p>
        </w:tc>
      </w:tr>
      <w:tr w:rsidR="003D72E7" w14:paraId="619E0A83" w14:textId="77777777">
        <w:trPr>
          <w:jc w:val="center"/>
        </w:trPr>
        <w:tc>
          <w:tcPr>
            <w:tcW w:w="0" w:type="auto"/>
            <w:gridSpan w:val="3"/>
            <w:tcBorders>
              <w:top w:val="nil"/>
              <w:left w:val="nil"/>
              <w:bottom w:val="nil"/>
              <w:right w:val="nil"/>
            </w:tcBorders>
            <w:shd w:val="clear" w:color="auto" w:fill="CCEEFF"/>
            <w:tcMar>
              <w:top w:w="40" w:type="dxa"/>
              <w:left w:w="260" w:type="dxa"/>
              <w:bottom w:w="40" w:type="dxa"/>
              <w:right w:w="20" w:type="dxa"/>
            </w:tcMar>
            <w:vAlign w:val="center"/>
          </w:tcPr>
          <w:p w14:paraId="619E0A7A"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public subsidiary debt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A7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E0A7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7D"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A7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E0A7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80"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619E0A81"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619E0A82" w14:textId="77777777" w:rsidR="003D72E7" w:rsidRDefault="003D72E7">
            <w:pPr>
              <w:widowControl/>
              <w:jc w:val="right"/>
              <w:rPr>
                <w:rFonts w:ascii="Times New Roman" w:eastAsia="宋体" w:hAnsi="宋体" w:cs="宋体"/>
                <w:kern w:val="0"/>
                <w:sz w:val="24"/>
              </w:rPr>
            </w:pPr>
          </w:p>
        </w:tc>
      </w:tr>
      <w:tr w:rsidR="003D72E7" w14:paraId="619E0A8D"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19E0A84"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debt, principal amount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A8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44,037 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E0A86"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87"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A8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(4,443)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E0A8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8A"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619E0A8B"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48,480 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619E0A8C" w14:textId="77777777" w:rsidR="003D72E7" w:rsidRDefault="003D72E7">
            <w:pPr>
              <w:widowControl/>
              <w:jc w:val="right"/>
              <w:rPr>
                <w:rFonts w:ascii="Times New Roman" w:eastAsia="宋体" w:hAnsi="宋体" w:cs="宋体"/>
                <w:kern w:val="0"/>
                <w:sz w:val="24"/>
              </w:rPr>
            </w:pPr>
          </w:p>
        </w:tc>
      </w:tr>
      <w:tr w:rsidR="003D72E7" w14:paraId="619E0A97" w14:textId="77777777">
        <w:trPr>
          <w:jc w:val="center"/>
        </w:trPr>
        <w:tc>
          <w:tcPr>
            <w:tcW w:w="0" w:type="auto"/>
            <w:gridSpan w:val="3"/>
            <w:tcBorders>
              <w:top w:val="nil"/>
              <w:left w:val="nil"/>
              <w:bottom w:val="nil"/>
              <w:right w:val="nil"/>
            </w:tcBorders>
            <w:shd w:val="clear" w:color="auto" w:fill="CCEEFF"/>
            <w:tcMar>
              <w:top w:w="40" w:type="dxa"/>
              <w:left w:w="500" w:type="dxa"/>
              <w:bottom w:w="40" w:type="dxa"/>
              <w:right w:w="20" w:type="dxa"/>
            </w:tcMar>
            <w:vAlign w:val="center"/>
          </w:tcPr>
          <w:p w14:paraId="619E0A8E"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Carrying value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A8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(443)</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A90"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91"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A9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A9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94"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A95"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(496)</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A96" w14:textId="77777777" w:rsidR="003D72E7" w:rsidRDefault="003D72E7">
            <w:pPr>
              <w:widowControl/>
              <w:jc w:val="right"/>
              <w:rPr>
                <w:rFonts w:ascii="Times New Roman" w:eastAsia="宋体" w:hAnsi="宋体" w:cs="宋体"/>
                <w:kern w:val="0"/>
                <w:sz w:val="24"/>
              </w:rPr>
            </w:pPr>
          </w:p>
        </w:tc>
      </w:tr>
      <w:tr w:rsidR="003D72E7" w14:paraId="619E0AA4"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19E0A98"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Total debt, carrying value</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E0A9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E0A9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43,594 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E0A9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9C"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E0A9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E0A9E"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(4,390)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E0A9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A0"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E0AA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E0AA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47,984 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E0AA3" w14:textId="77777777" w:rsidR="003D72E7" w:rsidRDefault="003D72E7">
            <w:pPr>
              <w:widowControl/>
              <w:jc w:val="right"/>
              <w:rPr>
                <w:rFonts w:ascii="Times New Roman" w:eastAsia="宋体" w:hAnsi="宋体" w:cs="宋体"/>
                <w:kern w:val="0"/>
                <w:sz w:val="24"/>
              </w:rPr>
            </w:pPr>
          </w:p>
        </w:tc>
      </w:tr>
    </w:tbl>
    <w:p w14:paraId="619E0AA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AA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first six months of Fiscal 2022, the outstanding principal amount of our debt</w:t>
      </w:r>
      <w:r>
        <w:rPr>
          <w:rFonts w:ascii="Times New Roman" w:eastAsia="宋体" w:hAnsi="Times New Roman" w:cs="Times New Roman"/>
          <w:color w:val="000000"/>
          <w:kern w:val="0"/>
          <w:sz w:val="20"/>
          <w:szCs w:val="20"/>
          <w:shd w:val="clear" w:color="auto" w:fill="FFFFFF"/>
          <w:lang w:bidi="ar"/>
        </w:rPr>
        <w:t xml:space="preserve"> decreased </w:t>
      </w:r>
      <w:r>
        <w:rPr>
          <w:rFonts w:ascii="Times New Roman" w:eastAsia="宋体" w:hAnsi="Times New Roman" w:cs="Times New Roman"/>
          <w:color w:val="000000"/>
          <w:kern w:val="0"/>
          <w:sz w:val="20"/>
          <w:szCs w:val="20"/>
          <w:lang w:bidi="ar"/>
        </w:rPr>
        <w:t xml:space="preserve">by $4.4 billion to </w:t>
      </w:r>
      <w:r>
        <w:rPr>
          <w:rFonts w:ascii="Times New Roman" w:eastAsia="宋体" w:hAnsi="Times New Roman" w:cs="Times New Roman"/>
          <w:color w:val="000000"/>
          <w:kern w:val="0"/>
          <w:sz w:val="20"/>
          <w:szCs w:val="20"/>
          <w:lang w:bidi="ar"/>
        </w:rPr>
        <w:t>$44.0 billion as of July 30, 2021, primarily as a result of principal repayments, including $3.0 billion principal amount of the Margin Loan Facility paid in the second quarter of Fiscal 2022.</w:t>
      </w:r>
    </w:p>
    <w:p w14:paraId="619E0AA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AA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define core debt as the total principal amount of our debt</w:t>
      </w:r>
      <w:r>
        <w:rPr>
          <w:rFonts w:ascii="Times New Roman" w:eastAsia="宋体" w:hAnsi="Times New Roman" w:cs="Times New Roman"/>
          <w:color w:val="000000"/>
          <w:kern w:val="0"/>
          <w:sz w:val="20"/>
          <w:szCs w:val="20"/>
          <w:lang w:bidi="ar"/>
        </w:rPr>
        <w:t>, less DFS related debt, our Margin Loan Facility and other debt, and public subsidiary debt. Our core debt was $27.6 billion as of July 30, 2021. During the first six months of Fiscal 2022, the decrease in our core debt was driven by principal repayments,</w:t>
      </w:r>
      <w:r>
        <w:rPr>
          <w:rFonts w:ascii="Times New Roman" w:eastAsia="宋体" w:hAnsi="Times New Roman" w:cs="Times New Roman"/>
          <w:color w:val="000000"/>
          <w:kern w:val="0"/>
          <w:sz w:val="20"/>
          <w:szCs w:val="20"/>
          <w:lang w:bidi="ar"/>
        </w:rPr>
        <w:t xml:space="preserve"> including $1,075 million principal amount of our 5.875% Senior Notes due June 2021 and $400 million principal amount of our 4.625% Unsecured Notes due April 2021. There are no scheduled maturities of core debt for the remainder of Fiscal 2022. See Note 5 </w:t>
      </w:r>
      <w:r>
        <w:rPr>
          <w:rFonts w:ascii="Times New Roman" w:eastAsia="宋体" w:hAnsi="Times New Roman" w:cs="Times New Roman"/>
          <w:color w:val="000000"/>
          <w:kern w:val="0"/>
          <w:sz w:val="20"/>
          <w:szCs w:val="20"/>
          <w:lang w:bidi="ar"/>
        </w:rPr>
        <w:t xml:space="preserve">of the Notes to the Condensed Consolidated Financial Statements included in this report for more information about our debt. </w:t>
      </w:r>
    </w:p>
    <w:p w14:paraId="619E0AA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AA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AAB"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AAC"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84</w:t>
      </w:r>
    </w:p>
    <w:p w14:paraId="619E0AA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AAE" w14:textId="77777777" w:rsidR="003D72E7" w:rsidRDefault="00AD6774">
      <w:pPr>
        <w:widowControl/>
        <w:jc w:val="center"/>
      </w:pPr>
      <w:r>
        <w:rPr>
          <w:rFonts w:ascii="宋体" w:eastAsia="宋体" w:hAnsi="宋体" w:cs="宋体"/>
          <w:kern w:val="0"/>
          <w:sz w:val="24"/>
        </w:rPr>
        <w:pict w14:anchorId="619E0DBF">
          <v:rect id="_x0000_i1108" style="width:6in;height:1.5pt" o:hralign="center" o:hrstd="t" o:hr="t" fillcolor="#a0a0a0" stroked="f"/>
        </w:pict>
      </w:r>
    </w:p>
    <w:p w14:paraId="619E0AAF"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AB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As of July 30, 2021, Margin Loan </w:t>
      </w:r>
      <w:r>
        <w:rPr>
          <w:rFonts w:ascii="Times New Roman" w:eastAsia="宋体" w:hAnsi="Times New Roman" w:cs="Times New Roman"/>
          <w:color w:val="000000"/>
          <w:kern w:val="0"/>
          <w:sz w:val="20"/>
          <w:szCs w:val="20"/>
          <w:lang w:bidi="ar"/>
        </w:rPr>
        <w:t>Facility and other debt primarily consisted of the $1.0 billion Margin Loan Facility. As described above, during the first six months of July 30, 2021, we repaid $3.0 billion principal amount of the Margin Loan Facility. Subsequent to July 30, 2021, we rep</w:t>
      </w:r>
      <w:r>
        <w:rPr>
          <w:rFonts w:ascii="Times New Roman" w:eastAsia="宋体" w:hAnsi="Times New Roman" w:cs="Times New Roman"/>
          <w:color w:val="000000"/>
          <w:kern w:val="0"/>
          <w:sz w:val="20"/>
          <w:szCs w:val="20"/>
          <w:lang w:bidi="ar"/>
        </w:rPr>
        <w:t>aid the</w:t>
      </w:r>
      <w:r>
        <w:rPr>
          <w:rFonts w:ascii="Times New Roman" w:eastAsia="宋体" w:hAnsi="Times New Roman" w:cs="Times New Roman"/>
          <w:color w:val="000000"/>
          <w:kern w:val="0"/>
          <w:sz w:val="20"/>
          <w:szCs w:val="20"/>
          <w:shd w:val="clear" w:color="auto" w:fill="FFFFFF"/>
          <w:lang w:bidi="ar"/>
        </w:rPr>
        <w:t xml:space="preserve"> re</w:t>
      </w:r>
      <w:r>
        <w:rPr>
          <w:rFonts w:ascii="Times New Roman" w:eastAsia="宋体" w:hAnsi="Times New Roman" w:cs="Times New Roman"/>
          <w:color w:val="000000"/>
          <w:kern w:val="0"/>
          <w:sz w:val="20"/>
          <w:szCs w:val="20"/>
          <w:lang w:bidi="ar"/>
        </w:rPr>
        <w:t>maining $1.0 billion principal amo</w:t>
      </w:r>
      <w:r>
        <w:rPr>
          <w:rFonts w:ascii="Times New Roman" w:eastAsia="宋体" w:hAnsi="Times New Roman" w:cs="Times New Roman"/>
          <w:color w:val="000000"/>
          <w:kern w:val="0"/>
          <w:sz w:val="20"/>
          <w:szCs w:val="20"/>
          <w:shd w:val="clear" w:color="auto" w:fill="FFFFFF"/>
          <w:lang w:bidi="ar"/>
        </w:rPr>
        <w:t xml:space="preserve">unt. See Note 18 of the </w:t>
      </w:r>
      <w:r>
        <w:rPr>
          <w:rFonts w:ascii="Times New Roman" w:eastAsia="宋体" w:hAnsi="Times New Roman" w:cs="Times New Roman"/>
          <w:color w:val="000000"/>
          <w:kern w:val="0"/>
          <w:sz w:val="20"/>
          <w:szCs w:val="20"/>
          <w:lang w:bidi="ar"/>
        </w:rPr>
        <w:t>Notes to the Condensed Consolidated Financial Statements included in this report for more information.</w:t>
      </w:r>
      <w:r>
        <w:rPr>
          <w:rFonts w:ascii="Times New Roman" w:eastAsia="宋体" w:hAnsi="Times New Roman" w:cs="Times New Roman"/>
          <w:color w:val="000000"/>
          <w:kern w:val="0"/>
          <w:sz w:val="20"/>
          <w:szCs w:val="20"/>
          <w:shd w:val="clear" w:color="auto" w:fill="FFFFFF"/>
          <w:lang w:bidi="ar"/>
        </w:rPr>
        <w:t xml:space="preserve"> </w:t>
      </w:r>
    </w:p>
    <w:p w14:paraId="619E0AB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AB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DFS related debt primarily represents debt from our securitization and structured </w:t>
      </w:r>
      <w:r>
        <w:rPr>
          <w:rFonts w:ascii="Times New Roman" w:eastAsia="宋体" w:hAnsi="Times New Roman" w:cs="Times New Roman"/>
          <w:color w:val="000000"/>
          <w:kern w:val="0"/>
          <w:sz w:val="20"/>
          <w:szCs w:val="20"/>
          <w:lang w:bidi="ar"/>
        </w:rPr>
        <w:t>financing programs. The majority of DFS debt is non-recourse to Dell Technologies and represents borrowings under securitization programs and structured financing programs, for which our risk of loss is limited to transferred lease and loan payments and as</w:t>
      </w:r>
      <w:r>
        <w:rPr>
          <w:rFonts w:ascii="Times New Roman" w:eastAsia="宋体" w:hAnsi="Times New Roman" w:cs="Times New Roman"/>
          <w:color w:val="000000"/>
          <w:kern w:val="0"/>
          <w:sz w:val="20"/>
          <w:szCs w:val="20"/>
          <w:lang w:bidi="ar"/>
        </w:rPr>
        <w:t xml:space="preserve">sociated equipment, and under which the credit holders have no recourse to Dell Technologies. </w:t>
      </w:r>
    </w:p>
    <w:p w14:paraId="619E0AB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AB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To fund expansion of the DFS business, we balance the use of the securitization and structured financing programs with other sources of liquidity. We approxima</w:t>
      </w:r>
      <w:r>
        <w:rPr>
          <w:rFonts w:ascii="Times New Roman" w:eastAsia="宋体" w:hAnsi="Times New Roman" w:cs="Times New Roman"/>
          <w:color w:val="000000"/>
          <w:kern w:val="0"/>
          <w:sz w:val="20"/>
          <w:szCs w:val="20"/>
          <w:lang w:bidi="ar"/>
        </w:rPr>
        <w:t>te the amount of our debt used to fund the DFS business by applying a 7:1 debt to equity ratio to the sum of our financing receivables balance and equipment under our DFS operating leases, net. The debt to equity ratio used is based on the underlying credi</w:t>
      </w:r>
      <w:r>
        <w:rPr>
          <w:rFonts w:ascii="Times New Roman" w:eastAsia="宋体" w:hAnsi="Times New Roman" w:cs="Times New Roman"/>
          <w:color w:val="000000"/>
          <w:kern w:val="0"/>
          <w:sz w:val="20"/>
          <w:szCs w:val="20"/>
          <w:lang w:bidi="ar"/>
        </w:rPr>
        <w:t>t quality of the assets. See Note 3 of the Notes to the Condensed Consolidated Financial Statements included in this report for more information about our DFS debt.</w:t>
      </w:r>
    </w:p>
    <w:p w14:paraId="619E0AB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AB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Public subsidiary debt represents VMware, Inc. indebtedness. VMware, Inc. and its </w:t>
      </w:r>
      <w:r>
        <w:rPr>
          <w:rFonts w:ascii="Times New Roman" w:eastAsia="宋体" w:hAnsi="Times New Roman" w:cs="Times New Roman"/>
          <w:color w:val="000000"/>
          <w:kern w:val="0"/>
          <w:sz w:val="20"/>
          <w:szCs w:val="20"/>
          <w:lang w:bidi="ar"/>
        </w:rPr>
        <w:t>respective subsidiaries are unrestricted subsidiaries for purposes of the core debt of Dell Technologies.  Neither Dell Technologies nor any of its subsidiaries, other than VMware, Inc., is obligated to make payment on the VMware Notes.  None of the net pr</w:t>
      </w:r>
      <w:r>
        <w:rPr>
          <w:rFonts w:ascii="Times New Roman" w:eastAsia="宋体" w:hAnsi="Times New Roman" w:cs="Times New Roman"/>
          <w:color w:val="000000"/>
          <w:kern w:val="0"/>
          <w:sz w:val="20"/>
          <w:szCs w:val="20"/>
          <w:lang w:bidi="ar"/>
        </w:rPr>
        <w:t>oceeds of the VMware Notes will be made available to support the operations or satisfy any corporate purposes of Dell Technologies, other than the operations and corporate purposes of VMware, Inc. and its subsidiaries. See Note 5 of the Notes to the Conden</w:t>
      </w:r>
      <w:r>
        <w:rPr>
          <w:rFonts w:ascii="Times New Roman" w:eastAsia="宋体" w:hAnsi="Times New Roman" w:cs="Times New Roman"/>
          <w:color w:val="000000"/>
          <w:kern w:val="0"/>
          <w:sz w:val="20"/>
          <w:szCs w:val="20"/>
          <w:lang w:bidi="ar"/>
        </w:rPr>
        <w:t>sed Consolidated Financial Statements included in this report for more information about VMware, Inc. debt.</w:t>
      </w:r>
    </w:p>
    <w:p w14:paraId="619E0AB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AB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connection with the planned VMware Spin-off announced on April 14, 2021, VMware, Inc. intends to pay a cash dividend, pro rata, to each of the </w:t>
      </w:r>
      <w:r>
        <w:rPr>
          <w:rFonts w:ascii="Times New Roman" w:eastAsia="宋体" w:hAnsi="Times New Roman" w:cs="Times New Roman"/>
          <w:color w:val="000000"/>
          <w:kern w:val="0"/>
          <w:sz w:val="20"/>
          <w:szCs w:val="20"/>
          <w:lang w:bidi="ar"/>
        </w:rPr>
        <w:t>holders of VMware, Inc. common stock in an aggregate amount equal to an amount to be mutually agreed by Dell Technologies and VMware, Inc. between $11.5 billion and $12.0 billion. Subsequent to July 30, 2021, VMware, Inc. completed a public offering of uns</w:t>
      </w:r>
      <w:r>
        <w:rPr>
          <w:rFonts w:ascii="Times New Roman" w:eastAsia="宋体" w:hAnsi="Times New Roman" w:cs="Times New Roman"/>
          <w:color w:val="000000"/>
          <w:kern w:val="0"/>
          <w:sz w:val="20"/>
          <w:szCs w:val="20"/>
          <w:lang w:bidi="ar"/>
        </w:rPr>
        <w:t>ecured senior notes in the aggregate principal amount of $6.0 billion, and expects to fund the cash dividend, in part, with proceeds from its new indebtedness for such purpose. The transaction is expected to close during the fourth quarter of calendar 2021</w:t>
      </w:r>
      <w:r>
        <w:rPr>
          <w:rFonts w:ascii="Times New Roman" w:eastAsia="宋体" w:hAnsi="Times New Roman" w:cs="Times New Roman"/>
          <w:color w:val="000000"/>
          <w:kern w:val="0"/>
          <w:sz w:val="20"/>
          <w:szCs w:val="20"/>
          <w:lang w:bidi="ar"/>
        </w:rPr>
        <w:t>, subject to certain closing conditions. Upon the closing of the transaction, we intend to use the net proceeds from our pro rata share of the cash dividend to repay debt as part of our capital strategy to position Dell Technologies for investment grade ra</w:t>
      </w:r>
      <w:r>
        <w:rPr>
          <w:rFonts w:ascii="Times New Roman" w:eastAsia="宋体" w:hAnsi="Times New Roman" w:cs="Times New Roman"/>
          <w:color w:val="000000"/>
          <w:kern w:val="0"/>
          <w:sz w:val="20"/>
          <w:szCs w:val="20"/>
          <w:lang w:bidi="ar"/>
        </w:rPr>
        <w:t xml:space="preserve">tings. See Note 1 of the Notes to the Condensed Consolidated Financial Statements included in this report for more information about the planned VMware Spin-off. See </w:t>
      </w:r>
      <w:r>
        <w:rPr>
          <w:rFonts w:ascii="Times New Roman" w:eastAsia="宋体" w:hAnsi="Times New Roman" w:cs="Times New Roman"/>
          <w:color w:val="000000"/>
          <w:kern w:val="0"/>
          <w:sz w:val="20"/>
          <w:szCs w:val="20"/>
          <w:shd w:val="clear" w:color="auto" w:fill="FFFFFF"/>
          <w:lang w:bidi="ar"/>
        </w:rPr>
        <w:t xml:space="preserve">Note 18 </w:t>
      </w:r>
      <w:r>
        <w:rPr>
          <w:rFonts w:ascii="Times New Roman" w:eastAsia="宋体" w:hAnsi="Times New Roman" w:cs="Times New Roman"/>
          <w:color w:val="000000"/>
          <w:kern w:val="0"/>
          <w:sz w:val="20"/>
          <w:szCs w:val="20"/>
          <w:lang w:bidi="ar"/>
        </w:rPr>
        <w:t>of the Notes to the Condensed Consolidated Financial Statements included in this r</w:t>
      </w:r>
      <w:r>
        <w:rPr>
          <w:rFonts w:ascii="Times New Roman" w:eastAsia="宋体" w:hAnsi="Times New Roman" w:cs="Times New Roman"/>
          <w:color w:val="000000"/>
          <w:kern w:val="0"/>
          <w:sz w:val="20"/>
          <w:szCs w:val="20"/>
          <w:lang w:bidi="ar"/>
        </w:rPr>
        <w:t>eport for more information about the VMware, Inc. debt issuance.</w:t>
      </w:r>
    </w:p>
    <w:p w14:paraId="619E0AB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AB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have made steady progress in paying down debt and we will continue to focus on deleveraging. We believe we will continue to be able to make our debt principal and interest payments, incl</w:t>
      </w:r>
      <w:r>
        <w:rPr>
          <w:rFonts w:ascii="Times New Roman" w:eastAsia="宋体" w:hAnsi="Times New Roman" w:cs="Times New Roman"/>
          <w:color w:val="000000"/>
          <w:kern w:val="0"/>
          <w:sz w:val="20"/>
          <w:szCs w:val="20"/>
          <w:lang w:bidi="ar"/>
        </w:rPr>
        <w:t>uding the short-term maturities, from existing and expected sources of cash, primarily from operating cash flows. Cash used for debt principal and interest payments may also include short-term borrowings under our revolving credit facilities. Under our var</w:t>
      </w:r>
      <w:r>
        <w:rPr>
          <w:rFonts w:ascii="Times New Roman" w:eastAsia="宋体" w:hAnsi="Times New Roman" w:cs="Times New Roman"/>
          <w:color w:val="000000"/>
          <w:kern w:val="0"/>
          <w:sz w:val="20"/>
          <w:szCs w:val="20"/>
          <w:lang w:bidi="ar"/>
        </w:rPr>
        <w:t>iable-rate debt, we could experience variations in our future interest expense from potential fluctuations in applicable reference rates, or from possible fluctuations in the level of DFS debt required to meet future demand for customer financing. We or ou</w:t>
      </w:r>
      <w:r>
        <w:rPr>
          <w:rFonts w:ascii="Times New Roman" w:eastAsia="宋体" w:hAnsi="Times New Roman" w:cs="Times New Roman"/>
          <w:color w:val="000000"/>
          <w:kern w:val="0"/>
          <w:sz w:val="20"/>
          <w:szCs w:val="20"/>
          <w:lang w:bidi="ar"/>
        </w:rPr>
        <w:t>r affiliates or their related persons, at our or their sole discretion and without public announcement, may purchase, redeem, prepay, refinance, or otherwise retire any amount of our outstanding indebtedness under the terms of such indebtedness at any time</w:t>
      </w:r>
      <w:r>
        <w:rPr>
          <w:rFonts w:ascii="Times New Roman" w:eastAsia="宋体" w:hAnsi="Times New Roman" w:cs="Times New Roman"/>
          <w:color w:val="000000"/>
          <w:kern w:val="0"/>
          <w:sz w:val="20"/>
          <w:szCs w:val="20"/>
          <w:lang w:bidi="ar"/>
        </w:rPr>
        <w:t xml:space="preserve"> and from time to time, in open market or negotiated transactions with the holders of such indebtedness or otherwise, as appropriate market conditions exist.</w:t>
      </w:r>
    </w:p>
    <w:p w14:paraId="619E0AB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AB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ABD"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ABE"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85</w:t>
      </w:r>
    </w:p>
    <w:p w14:paraId="619E0AB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AC0" w14:textId="77777777" w:rsidR="003D72E7" w:rsidRDefault="00AD6774">
      <w:pPr>
        <w:widowControl/>
        <w:jc w:val="center"/>
      </w:pPr>
      <w:r>
        <w:rPr>
          <w:rFonts w:ascii="宋体" w:eastAsia="宋体" w:hAnsi="宋体" w:cs="宋体"/>
          <w:kern w:val="0"/>
          <w:sz w:val="24"/>
        </w:rPr>
        <w:pict w14:anchorId="619E0DC0">
          <v:rect id="_x0000_i1109" style="width:6in;height:1.5pt" o:hralign="center" o:hrstd="t" o:hr="t" fillcolor="#a0a0a0" stroked="f"/>
        </w:pict>
      </w:r>
    </w:p>
    <w:p w14:paraId="619E0AC1"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AC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Cash Flo</w:t>
      </w:r>
      <w:r>
        <w:rPr>
          <w:rFonts w:ascii="Times New Roman" w:eastAsia="宋体" w:hAnsi="Times New Roman" w:cs="Times New Roman"/>
          <w:b/>
          <w:bCs/>
          <w:color w:val="000000"/>
          <w:kern w:val="0"/>
          <w:sz w:val="20"/>
          <w:szCs w:val="20"/>
          <w:shd w:val="clear" w:color="auto" w:fill="FFFFFF"/>
          <w:lang w:bidi="ar"/>
        </w:rPr>
        <w:t>ws</w:t>
      </w:r>
    </w:p>
    <w:p w14:paraId="619E0AC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AC4"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 xml:space="preserve">The following table presents a summary of our </w:t>
      </w:r>
      <w:r>
        <w:rPr>
          <w:rFonts w:ascii="Times New Roman" w:eastAsia="宋体" w:hAnsi="Times New Roman" w:cs="Times New Roman"/>
          <w:color w:val="000000"/>
          <w:kern w:val="0"/>
          <w:sz w:val="20"/>
          <w:szCs w:val="20"/>
          <w:lang w:bidi="ar"/>
        </w:rPr>
        <w:t>Condensed Consolidated Statements of Cash Flows</w:t>
      </w:r>
      <w:r>
        <w:rPr>
          <w:rFonts w:ascii="Times New Roman" w:eastAsia="宋体" w:hAnsi="Times New Roman" w:cs="Times New Roman"/>
          <w:color w:val="000000"/>
          <w:kern w:val="0"/>
          <w:sz w:val="20"/>
          <w:szCs w:val="20"/>
          <w:shd w:val="clear" w:color="auto" w:fill="FFFFFF"/>
          <w:lang w:bidi="ar"/>
        </w:rPr>
        <w:t xml:space="preserve"> for the periods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5375"/>
        <w:gridCol w:w="39"/>
        <w:gridCol w:w="120"/>
        <w:gridCol w:w="1231"/>
        <w:gridCol w:w="36"/>
        <w:gridCol w:w="36"/>
        <w:gridCol w:w="36"/>
        <w:gridCol w:w="36"/>
        <w:gridCol w:w="120"/>
        <w:gridCol w:w="1231"/>
        <w:gridCol w:w="36"/>
      </w:tblGrid>
      <w:tr w:rsidR="003D72E7" w14:paraId="619E0AD1" w14:textId="77777777">
        <w:tc>
          <w:tcPr>
            <w:tcW w:w="50" w:type="pct"/>
            <w:tcBorders>
              <w:top w:val="nil"/>
              <w:left w:val="nil"/>
              <w:bottom w:val="nil"/>
              <w:right w:val="nil"/>
            </w:tcBorders>
            <w:shd w:val="clear" w:color="auto" w:fill="auto"/>
            <w:vAlign w:val="bottom"/>
          </w:tcPr>
          <w:p w14:paraId="619E0AC5" w14:textId="77777777" w:rsidR="003D72E7" w:rsidRDefault="003D72E7">
            <w:pPr>
              <w:widowControl/>
              <w:jc w:val="left"/>
              <w:rPr>
                <w:rFonts w:ascii="Times New Roman" w:eastAsia="宋体" w:hAnsi="宋体" w:cs="宋体"/>
                <w:kern w:val="0"/>
                <w:sz w:val="24"/>
              </w:rPr>
            </w:pPr>
          </w:p>
        </w:tc>
        <w:tc>
          <w:tcPr>
            <w:tcW w:w="3263" w:type="pct"/>
            <w:tcBorders>
              <w:top w:val="nil"/>
              <w:left w:val="nil"/>
              <w:bottom w:val="nil"/>
              <w:right w:val="nil"/>
            </w:tcBorders>
            <w:shd w:val="clear" w:color="auto" w:fill="auto"/>
            <w:vAlign w:val="bottom"/>
          </w:tcPr>
          <w:p w14:paraId="619E0AC6"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AC7"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AC8" w14:textId="77777777" w:rsidR="003D72E7" w:rsidRDefault="003D72E7">
            <w:pPr>
              <w:widowControl/>
              <w:jc w:val="left"/>
              <w:rPr>
                <w:rFonts w:ascii="Times New Roman" w:eastAsia="宋体" w:hAnsi="宋体" w:cs="宋体"/>
                <w:kern w:val="0"/>
                <w:sz w:val="24"/>
              </w:rPr>
            </w:pPr>
          </w:p>
        </w:tc>
        <w:tc>
          <w:tcPr>
            <w:tcW w:w="771" w:type="pct"/>
            <w:tcBorders>
              <w:top w:val="nil"/>
              <w:left w:val="nil"/>
              <w:bottom w:val="nil"/>
              <w:right w:val="nil"/>
            </w:tcBorders>
            <w:shd w:val="clear" w:color="auto" w:fill="auto"/>
            <w:vAlign w:val="bottom"/>
          </w:tcPr>
          <w:p w14:paraId="619E0AC9"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AC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ACB"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AC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ACD"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ACE" w14:textId="77777777" w:rsidR="003D72E7" w:rsidRDefault="003D72E7">
            <w:pPr>
              <w:widowControl/>
              <w:jc w:val="left"/>
              <w:rPr>
                <w:rFonts w:ascii="Times New Roman" w:eastAsia="宋体" w:hAnsi="宋体" w:cs="宋体"/>
                <w:kern w:val="0"/>
                <w:sz w:val="24"/>
              </w:rPr>
            </w:pPr>
          </w:p>
        </w:tc>
        <w:tc>
          <w:tcPr>
            <w:tcW w:w="771" w:type="pct"/>
            <w:tcBorders>
              <w:top w:val="nil"/>
              <w:left w:val="nil"/>
              <w:bottom w:val="nil"/>
              <w:right w:val="nil"/>
            </w:tcBorders>
            <w:shd w:val="clear" w:color="auto" w:fill="auto"/>
            <w:vAlign w:val="bottom"/>
          </w:tcPr>
          <w:p w14:paraId="619E0ACF"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AD0" w14:textId="77777777" w:rsidR="003D72E7" w:rsidRDefault="003D72E7">
            <w:pPr>
              <w:widowControl/>
              <w:jc w:val="left"/>
              <w:rPr>
                <w:rFonts w:ascii="Times New Roman" w:eastAsia="宋体" w:hAnsi="宋体" w:cs="宋体"/>
                <w:kern w:val="0"/>
                <w:sz w:val="24"/>
              </w:rPr>
            </w:pPr>
          </w:p>
        </w:tc>
      </w:tr>
      <w:tr w:rsidR="003D72E7" w14:paraId="619E0AD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AD2" w14:textId="77777777" w:rsidR="003D72E7" w:rsidRDefault="003D72E7">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619E0AD3"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E0AD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AD5"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AD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single" w:sz="8" w:space="0" w:color="000000"/>
              <w:left w:val="nil"/>
              <w:bottom w:val="single" w:sz="8" w:space="0" w:color="000000"/>
              <w:right w:val="nil"/>
            </w:tcBorders>
            <w:shd w:val="clear" w:color="auto" w:fill="auto"/>
            <w:tcMar>
              <w:top w:w="0" w:type="dxa"/>
              <w:left w:w="20" w:type="dxa"/>
              <w:bottom w:w="0" w:type="dxa"/>
              <w:right w:w="20" w:type="dxa"/>
            </w:tcMar>
            <w:vAlign w:val="bottom"/>
          </w:tcPr>
          <w:p w14:paraId="619E0AD7"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auto"/>
            <w:tcMar>
              <w:top w:w="40" w:type="dxa"/>
              <w:left w:w="20" w:type="dxa"/>
              <w:bottom w:w="40" w:type="dxa"/>
              <w:right w:w="20" w:type="dxa"/>
            </w:tcMar>
            <w:vAlign w:val="bottom"/>
          </w:tcPr>
          <w:p w14:paraId="619E0AD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31, 2020</w:t>
            </w:r>
          </w:p>
        </w:tc>
      </w:tr>
      <w:tr w:rsidR="003D72E7" w14:paraId="619E0AD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ADA"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center"/>
          </w:tcPr>
          <w:p w14:paraId="619E0ADB" w14:textId="77777777" w:rsidR="003D72E7" w:rsidRDefault="00AD6774">
            <w:pPr>
              <w:widowControl/>
              <w:jc w:val="center"/>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E0AE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619E0ADD"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i/>
                <w:iCs/>
                <w:color w:val="000000"/>
                <w:kern w:val="0"/>
                <w:sz w:val="20"/>
                <w:szCs w:val="20"/>
                <w:lang w:bidi="ar"/>
              </w:rPr>
              <w:t>Net change in cash from:</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D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D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E0" w14:textId="77777777" w:rsidR="003D72E7" w:rsidRDefault="003D72E7">
            <w:pPr>
              <w:widowControl/>
              <w:jc w:val="left"/>
              <w:rPr>
                <w:rFonts w:ascii="Times New Roman" w:eastAsia="宋体" w:hAnsi="宋体" w:cs="宋体"/>
                <w:kern w:val="0"/>
                <w:sz w:val="24"/>
              </w:rPr>
            </w:pPr>
          </w:p>
        </w:tc>
      </w:tr>
      <w:tr w:rsidR="003D72E7" w14:paraId="619E0AEA"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center"/>
          </w:tcPr>
          <w:p w14:paraId="619E0AE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Operating </w:t>
            </w:r>
            <w:r>
              <w:rPr>
                <w:rFonts w:ascii="Times New Roman" w:eastAsia="宋体" w:hAnsi="Times New Roman" w:cs="Times New Roman"/>
                <w:color w:val="000000"/>
                <w:kern w:val="0"/>
                <w:sz w:val="20"/>
                <w:szCs w:val="20"/>
                <w:lang w:bidi="ar"/>
              </w:rPr>
              <w:t>activities</w:t>
            </w: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E0AE3"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E0AE4"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3,963 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E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E6"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center"/>
          </w:tcPr>
          <w:p w14:paraId="619E0AE7"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center"/>
          </w:tcPr>
          <w:p w14:paraId="619E0AE8"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2,536 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E9" w14:textId="77777777" w:rsidR="003D72E7" w:rsidRDefault="003D72E7">
            <w:pPr>
              <w:widowControl/>
              <w:jc w:val="right"/>
              <w:rPr>
                <w:rFonts w:ascii="Times New Roman" w:eastAsia="宋体" w:hAnsi="宋体" w:cs="宋体"/>
                <w:kern w:val="0"/>
                <w:sz w:val="24"/>
              </w:rPr>
            </w:pPr>
          </w:p>
        </w:tc>
      </w:tr>
      <w:tr w:rsidR="003D72E7" w14:paraId="619E0AF1"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center"/>
          </w:tcPr>
          <w:p w14:paraId="619E0AEB"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Investing activities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AEC"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(1,188)</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AED"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EE"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AEF"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(1,409)</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AF0" w14:textId="77777777" w:rsidR="003D72E7" w:rsidRDefault="003D72E7">
            <w:pPr>
              <w:widowControl/>
              <w:jc w:val="right"/>
              <w:rPr>
                <w:rFonts w:ascii="Times New Roman" w:eastAsia="宋体" w:hAnsi="宋体" w:cs="宋体"/>
                <w:kern w:val="0"/>
                <w:sz w:val="24"/>
              </w:rPr>
            </w:pPr>
          </w:p>
        </w:tc>
      </w:tr>
      <w:tr w:rsidR="003D72E7" w14:paraId="619E0AF8"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center"/>
          </w:tcPr>
          <w:p w14:paraId="619E0AF2"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Financing activities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AF3"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(5,311)</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F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AF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619E0AF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827 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619E0AF7" w14:textId="77777777" w:rsidR="003D72E7" w:rsidRDefault="003D72E7">
            <w:pPr>
              <w:widowControl/>
              <w:jc w:val="right"/>
              <w:rPr>
                <w:rFonts w:ascii="Times New Roman" w:eastAsia="宋体" w:hAnsi="宋体" w:cs="宋体"/>
                <w:kern w:val="0"/>
                <w:sz w:val="24"/>
              </w:rPr>
            </w:pPr>
          </w:p>
        </w:tc>
      </w:tr>
      <w:tr w:rsidR="003D72E7" w14:paraId="619E0AFF"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center"/>
          </w:tcPr>
          <w:p w14:paraId="619E0AF9"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Effect of exchange rate changes on cash, cash equivalents, and restricted cash</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AFA"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(21)</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AF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AF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619E0AFD"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(52)</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619E0AFE" w14:textId="77777777" w:rsidR="003D72E7" w:rsidRDefault="003D72E7">
            <w:pPr>
              <w:widowControl/>
              <w:jc w:val="right"/>
              <w:rPr>
                <w:rFonts w:ascii="Times New Roman" w:eastAsia="宋体" w:hAnsi="宋体" w:cs="宋体"/>
                <w:kern w:val="0"/>
                <w:sz w:val="24"/>
              </w:rPr>
            </w:pPr>
          </w:p>
        </w:tc>
      </w:tr>
      <w:tr w:rsidR="003D72E7" w14:paraId="619E0B0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center"/>
          </w:tcPr>
          <w:p w14:paraId="619E0B00"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Change in cash, cash equivalents, and </w:t>
            </w:r>
            <w:r>
              <w:rPr>
                <w:rFonts w:ascii="Times New Roman" w:eastAsia="宋体" w:hAnsi="Times New Roman" w:cs="Times New Roman"/>
                <w:color w:val="000000"/>
                <w:kern w:val="0"/>
                <w:sz w:val="20"/>
                <w:szCs w:val="20"/>
                <w:lang w:bidi="ar"/>
              </w:rPr>
              <w:t>restricted cash</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E0B01"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E0B02"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(2,557)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E0B0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B04"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619E0B05" w14:textId="77777777" w:rsidR="003D72E7" w:rsidRDefault="00AD6774">
            <w:pPr>
              <w:widowControl/>
              <w:jc w:val="lef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center"/>
          </w:tcPr>
          <w:p w14:paraId="619E0B06" w14:textId="77777777" w:rsidR="003D72E7" w:rsidRDefault="00AD6774">
            <w:pPr>
              <w:widowControl/>
              <w:jc w:val="right"/>
              <w:textAlignment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1,902 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619E0B07" w14:textId="77777777" w:rsidR="003D72E7" w:rsidRDefault="003D72E7">
            <w:pPr>
              <w:widowControl/>
              <w:jc w:val="right"/>
              <w:rPr>
                <w:rFonts w:ascii="Times New Roman" w:eastAsia="宋体" w:hAnsi="宋体" w:cs="宋体"/>
                <w:kern w:val="0"/>
                <w:sz w:val="24"/>
              </w:rPr>
            </w:pPr>
          </w:p>
        </w:tc>
      </w:tr>
    </w:tbl>
    <w:p w14:paraId="619E0B0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0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Operating Activities</w:t>
      </w:r>
      <w:r>
        <w:rPr>
          <w:rFonts w:ascii="Times New Roman" w:eastAsia="宋体" w:hAnsi="Times New Roman" w:cs="Times New Roman"/>
          <w:color w:val="000000"/>
          <w:kern w:val="0"/>
          <w:sz w:val="20"/>
          <w:szCs w:val="20"/>
          <w:lang w:bidi="ar"/>
        </w:rPr>
        <w:t xml:space="preserve"> — Cash provided by operating activities was $4.0 billion for the first six months of Fiscal 2022 compared to cash provided by operating activities of $2.5 billion for the first six months of Fiscal 2021. The increase in op</w:t>
      </w:r>
      <w:r>
        <w:rPr>
          <w:rFonts w:ascii="Times New Roman" w:eastAsia="宋体" w:hAnsi="Times New Roman" w:cs="Times New Roman"/>
          <w:color w:val="000000"/>
          <w:kern w:val="0"/>
          <w:sz w:val="20"/>
          <w:szCs w:val="20"/>
          <w:lang w:bidi="ar"/>
        </w:rPr>
        <w:t>erating cash flows during the first six months of Fiscal 2022 was primarily driven by strong profitability coupled with favorable working capital dynamics, compared to unfavorable working capital impacts in the first six months of Fiscal 2021 related to th</w:t>
      </w:r>
      <w:r>
        <w:rPr>
          <w:rFonts w:ascii="Times New Roman" w:eastAsia="宋体" w:hAnsi="Times New Roman" w:cs="Times New Roman"/>
          <w:color w:val="000000"/>
          <w:kern w:val="0"/>
          <w:sz w:val="20"/>
          <w:szCs w:val="20"/>
          <w:lang w:bidi="ar"/>
        </w:rPr>
        <w:t xml:space="preserve">e COVID-19 pandemic. </w:t>
      </w:r>
    </w:p>
    <w:p w14:paraId="619E0B0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0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DFS offerings are initially funded through cash on hand at the time of origination, most of which is subsequently replaced with third-party financing. For DFS offerings which qualify as sales-type leases, the initial funding of fina</w:t>
      </w:r>
      <w:r>
        <w:rPr>
          <w:rFonts w:ascii="Times New Roman" w:eastAsia="宋体" w:hAnsi="Times New Roman" w:cs="Times New Roman"/>
          <w:color w:val="000000"/>
          <w:kern w:val="0"/>
          <w:sz w:val="20"/>
          <w:szCs w:val="20"/>
          <w:lang w:bidi="ar"/>
        </w:rPr>
        <w:t>ncing receivables is reflected as an impact to cash flows from operations, and is largely subsequently offset by cash proceeds from financing activities. For DFS operating leases, which have increased under the current leasing standard, the initial funding</w:t>
      </w:r>
      <w:r>
        <w:rPr>
          <w:rFonts w:ascii="Times New Roman" w:eastAsia="宋体" w:hAnsi="Times New Roman" w:cs="Times New Roman"/>
          <w:color w:val="000000"/>
          <w:kern w:val="0"/>
          <w:sz w:val="20"/>
          <w:szCs w:val="20"/>
          <w:lang w:bidi="ar"/>
        </w:rPr>
        <w:t xml:space="preserve"> is classified as a capital expenditure and reflected as cash flows used in investing activities. DFS new financing originations were $3.8 billion and $4.4 billion during the first six months of Fiscal 2022 and Fiscal 2021, respectively. As of July 30, 202</w:t>
      </w:r>
      <w:r>
        <w:rPr>
          <w:rFonts w:ascii="Times New Roman" w:eastAsia="宋体" w:hAnsi="Times New Roman" w:cs="Times New Roman"/>
          <w:color w:val="000000"/>
          <w:kern w:val="0"/>
          <w:sz w:val="20"/>
          <w:szCs w:val="20"/>
          <w:lang w:bidi="ar"/>
        </w:rPr>
        <w:t xml:space="preserve">1, DFS had $10.3 billion of financing receivables, net and $1.4 billion of equipment under operating leases, net. </w:t>
      </w:r>
    </w:p>
    <w:p w14:paraId="619E0B0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0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Investing Activities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 Investing activities primarily consist of cash used to fund capital expenditures for property, plant, and equipment, which includes equipment under operating leases, as well as capitalized software development costs, acquisitions, strategic investments, a</w:t>
      </w:r>
      <w:r>
        <w:rPr>
          <w:rFonts w:ascii="Times New Roman" w:eastAsia="宋体" w:hAnsi="Times New Roman" w:cs="Times New Roman"/>
          <w:color w:val="000000"/>
          <w:kern w:val="0"/>
          <w:sz w:val="20"/>
          <w:szCs w:val="20"/>
          <w:lang w:bidi="ar"/>
        </w:rPr>
        <w:t>nd the maturities, sales, and purchases of investments. During the first six months of Fiscal 2022, cash used in investing activities was $1.2 billion and was primarily driven by capital expenditures. In comparison, cash used in investing activities was $1</w:t>
      </w:r>
      <w:r>
        <w:rPr>
          <w:rFonts w:ascii="Times New Roman" w:eastAsia="宋体" w:hAnsi="Times New Roman" w:cs="Times New Roman"/>
          <w:color w:val="000000"/>
          <w:kern w:val="0"/>
          <w:sz w:val="20"/>
          <w:szCs w:val="20"/>
          <w:lang w:bidi="ar"/>
        </w:rPr>
        <w:t xml:space="preserve">.4 billion during the first six months of Fiscal 2021 and was primarily driven by capital expenditures and acquisitions of businesses by our public subsidiaries. </w:t>
      </w:r>
    </w:p>
    <w:p w14:paraId="619E0B0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1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Financing Activities</w:t>
      </w:r>
      <w:r>
        <w:rPr>
          <w:rFonts w:ascii="Times New Roman" w:eastAsia="宋体" w:hAnsi="Times New Roman" w:cs="Times New Roman"/>
          <w:color w:val="000000"/>
          <w:kern w:val="0"/>
          <w:sz w:val="20"/>
          <w:szCs w:val="20"/>
          <w:lang w:bidi="ar"/>
        </w:rPr>
        <w:t xml:space="preserve"> — Financing activities primarily consist of the proceeds and repayment</w:t>
      </w:r>
      <w:r>
        <w:rPr>
          <w:rFonts w:ascii="Times New Roman" w:eastAsia="宋体" w:hAnsi="Times New Roman" w:cs="Times New Roman"/>
          <w:color w:val="000000"/>
          <w:kern w:val="0"/>
          <w:sz w:val="20"/>
          <w:szCs w:val="20"/>
          <w:lang w:bidi="ar"/>
        </w:rPr>
        <w:t>s of debt, cash used to repurchase common stock, and proceeds from the issuance of common stock. Cash used in financing activities was $5.3 billion during the first six months of Fiscal 2022 and primarily consisted of debt repayments and repurchases of com</w:t>
      </w:r>
      <w:r>
        <w:rPr>
          <w:rFonts w:ascii="Times New Roman" w:eastAsia="宋体" w:hAnsi="Times New Roman" w:cs="Times New Roman"/>
          <w:color w:val="000000"/>
          <w:kern w:val="0"/>
          <w:sz w:val="20"/>
          <w:szCs w:val="20"/>
          <w:lang w:bidi="ar"/>
        </w:rPr>
        <w:t>mon stock by our public subsidiaries, partially offset by net proceeds of DFS debt. In comparison, cash provided by financing activities of $0.8 billion during the first six months of Fiscal 2021 primarily consisted of cash proceeds from the issuances of m</w:t>
      </w:r>
      <w:r>
        <w:rPr>
          <w:rFonts w:ascii="Times New Roman" w:eastAsia="宋体" w:hAnsi="Times New Roman" w:cs="Times New Roman"/>
          <w:color w:val="000000"/>
          <w:kern w:val="0"/>
          <w:sz w:val="20"/>
          <w:szCs w:val="20"/>
          <w:lang w:bidi="ar"/>
        </w:rPr>
        <w:t>ultiple series of First Lien Notes and VMware Notes, partially offset by debt repayments and repurchases of common stock by our public subsidiaries.</w:t>
      </w:r>
    </w:p>
    <w:p w14:paraId="619E0B1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1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Capital Commitments</w:t>
      </w:r>
    </w:p>
    <w:p w14:paraId="619E0B1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1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Capital Expenditures</w:t>
      </w:r>
      <w:r>
        <w:rPr>
          <w:rFonts w:ascii="Times New Roman" w:eastAsia="宋体" w:hAnsi="Times New Roman" w:cs="Times New Roman"/>
          <w:i/>
          <w:iCs/>
          <w:color w:val="000000"/>
          <w:kern w:val="0"/>
          <w:sz w:val="20"/>
          <w:szCs w:val="20"/>
          <w:lang w:bidi="ar"/>
        </w:rPr>
        <w:t xml:space="preserve"> </w:t>
      </w:r>
      <w:r>
        <w:rPr>
          <w:rFonts w:ascii="Times New Roman" w:eastAsia="宋体" w:hAnsi="Times New Roman" w:cs="Times New Roman"/>
          <w:color w:val="000000"/>
          <w:kern w:val="0"/>
          <w:sz w:val="20"/>
          <w:szCs w:val="20"/>
          <w:lang w:bidi="ar"/>
        </w:rPr>
        <w:t xml:space="preserve">— During the first six months of Fiscal 2022 and Fiscal 2021, </w:t>
      </w:r>
      <w:r>
        <w:rPr>
          <w:rFonts w:ascii="Times New Roman" w:eastAsia="宋体" w:hAnsi="Times New Roman" w:cs="Times New Roman"/>
          <w:color w:val="000000"/>
          <w:kern w:val="0"/>
          <w:sz w:val="20"/>
          <w:szCs w:val="20"/>
          <w:lang w:bidi="ar"/>
        </w:rPr>
        <w:t>we spen</w:t>
      </w:r>
      <w:r>
        <w:rPr>
          <w:rFonts w:ascii="Times New Roman" w:eastAsia="宋体" w:hAnsi="Times New Roman" w:cs="Times New Roman"/>
          <w:color w:val="000000"/>
          <w:kern w:val="0"/>
          <w:sz w:val="20"/>
          <w:szCs w:val="20"/>
          <w:shd w:val="clear" w:color="auto" w:fill="FFFFFF"/>
          <w:lang w:bidi="ar"/>
        </w:rPr>
        <w:t>t $1.3 billion and $1.1 billion</w:t>
      </w:r>
      <w:r>
        <w:rPr>
          <w:rFonts w:ascii="Times New Roman" w:eastAsia="宋体" w:hAnsi="Times New Roman" w:cs="Times New Roman"/>
          <w:color w:val="000000"/>
          <w:kern w:val="0"/>
          <w:sz w:val="20"/>
          <w:szCs w:val="20"/>
          <w:lang w:bidi="ar"/>
        </w:rPr>
        <w:t>, respectively, on property, plant, and equipment and capitalized software development costs. Product demand, product mix, and the use of contract manufacturers, as well as ongoing investments in operating and IT infra</w:t>
      </w:r>
      <w:r>
        <w:rPr>
          <w:rFonts w:ascii="Times New Roman" w:eastAsia="宋体" w:hAnsi="Times New Roman" w:cs="Times New Roman"/>
          <w:color w:val="000000"/>
          <w:kern w:val="0"/>
          <w:sz w:val="20"/>
          <w:szCs w:val="20"/>
          <w:lang w:bidi="ar"/>
        </w:rPr>
        <w:t>structure and software development, influence the level and prioritization of our capital expenditures. Aggregate capital expenditures for Fiscal 2022 are currently expected to total between $2.7 billion and $2.9 billion, of which approximately $0.9 billio</w:t>
      </w:r>
      <w:r>
        <w:rPr>
          <w:rFonts w:ascii="Times New Roman" w:eastAsia="宋体" w:hAnsi="Times New Roman" w:cs="Times New Roman"/>
          <w:color w:val="000000"/>
          <w:kern w:val="0"/>
          <w:sz w:val="20"/>
          <w:szCs w:val="20"/>
          <w:lang w:bidi="ar"/>
        </w:rPr>
        <w:t xml:space="preserve">n is expected to be expended for equipment under operating leases and approximately $0.3 billion for capitalized software development costs. </w:t>
      </w:r>
    </w:p>
    <w:p w14:paraId="619E0B1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1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17"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B18"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86</w:t>
      </w:r>
    </w:p>
    <w:p w14:paraId="619E0B19"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B1A" w14:textId="77777777" w:rsidR="003D72E7" w:rsidRDefault="00AD6774">
      <w:pPr>
        <w:widowControl/>
        <w:jc w:val="center"/>
      </w:pPr>
      <w:r>
        <w:rPr>
          <w:rFonts w:ascii="宋体" w:eastAsia="宋体" w:hAnsi="宋体" w:cs="宋体"/>
          <w:kern w:val="0"/>
          <w:sz w:val="24"/>
        </w:rPr>
        <w:pict w14:anchorId="619E0DC1">
          <v:rect id="_x0000_i1110" style="width:6in;height:1.5pt" o:hralign="center" o:hrstd="t" o:hr="t" fillcolor="#a0a0a0" stroked="f"/>
        </w:pict>
      </w:r>
    </w:p>
    <w:p w14:paraId="619E0B1B"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B1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u w:val="single"/>
          <w:lang w:bidi="ar"/>
        </w:rPr>
        <w:t>Purchase Obligations</w:t>
      </w:r>
      <w:r>
        <w:rPr>
          <w:rFonts w:ascii="Times New Roman" w:eastAsia="宋体" w:hAnsi="Times New Roman" w:cs="Times New Roman"/>
          <w:color w:val="000000"/>
          <w:kern w:val="0"/>
          <w:sz w:val="20"/>
          <w:szCs w:val="20"/>
          <w:lang w:bidi="ar"/>
        </w:rPr>
        <w:t xml:space="preserve"> — Purchase obligations are defined as contractual obligations to purchase goods or services that are enforceable and legally binding on us. These obligations </w:t>
      </w:r>
      <w:r>
        <w:rPr>
          <w:rFonts w:ascii="Times New Roman" w:eastAsia="宋体" w:hAnsi="Times New Roman" w:cs="Times New Roman"/>
          <w:color w:val="000000"/>
          <w:kern w:val="0"/>
          <w:sz w:val="20"/>
          <w:szCs w:val="20"/>
          <w:lang w:bidi="ar"/>
        </w:rPr>
        <w:t>specify all significant terms, including fixed or minimum quantities to be purchased; fixed, minimum, or variable price provisions; and the approximate timing of the transaction. Purchase obligations do not include contracts that may be canceled without pe</w:t>
      </w:r>
      <w:r>
        <w:rPr>
          <w:rFonts w:ascii="Times New Roman" w:eastAsia="宋体" w:hAnsi="Times New Roman" w:cs="Times New Roman"/>
          <w:color w:val="000000"/>
          <w:kern w:val="0"/>
          <w:sz w:val="20"/>
          <w:szCs w:val="20"/>
          <w:lang w:bidi="ar"/>
        </w:rPr>
        <w:t xml:space="preserve">nalty. </w:t>
      </w:r>
    </w:p>
    <w:p w14:paraId="619E0B1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1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We utilize several suppliers to manufacture sub-assemblies for our products. Our efficient supply chain management allows us to enter into flexible and mutually beneficial purchase arrangements with our suppliers in order to minimize inventory ri</w:t>
      </w:r>
      <w:r>
        <w:rPr>
          <w:rFonts w:ascii="Times New Roman" w:eastAsia="宋体" w:hAnsi="Times New Roman" w:cs="Times New Roman"/>
          <w:color w:val="000000"/>
          <w:kern w:val="0"/>
          <w:sz w:val="20"/>
          <w:szCs w:val="20"/>
          <w:lang w:bidi="ar"/>
        </w:rPr>
        <w:t>sk. Consistent with industry practice, we acquire raw materials or other goods and services, including product components, by issuing to suppliers authorizations to purchase based on our projected demand and manufacturing needs. These purchase orders are t</w:t>
      </w:r>
      <w:r>
        <w:rPr>
          <w:rFonts w:ascii="Times New Roman" w:eastAsia="宋体" w:hAnsi="Times New Roman" w:cs="Times New Roman"/>
          <w:color w:val="000000"/>
          <w:kern w:val="0"/>
          <w:sz w:val="20"/>
          <w:szCs w:val="20"/>
          <w:lang w:bidi="ar"/>
        </w:rPr>
        <w:t>ypically fulfilled within 30 days and are entered into during the ordinary course of business in order to establish best pricing and continuity of supply for our production.</w:t>
      </w:r>
    </w:p>
    <w:p w14:paraId="619E0B1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2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of July 30, 2021, purchase obligations were $5.2 billion, $0.6 billion, and $</w:t>
      </w:r>
      <w:r>
        <w:rPr>
          <w:rFonts w:ascii="Times New Roman" w:eastAsia="宋体" w:hAnsi="Times New Roman" w:cs="Times New Roman"/>
          <w:color w:val="000000"/>
          <w:kern w:val="0"/>
          <w:sz w:val="20"/>
          <w:szCs w:val="20"/>
          <w:lang w:bidi="ar"/>
        </w:rPr>
        <w:t>0.9 billion for the remaining six months of Fiscal 2022, Fiscal 2023, and Fiscal 2024 and thereafter, respectively.</w:t>
      </w:r>
    </w:p>
    <w:p w14:paraId="619E0B21"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B22"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87</w:t>
      </w:r>
    </w:p>
    <w:p w14:paraId="619E0B2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B24" w14:textId="77777777" w:rsidR="003D72E7" w:rsidRDefault="00AD6774">
      <w:pPr>
        <w:widowControl/>
        <w:jc w:val="center"/>
      </w:pPr>
      <w:r>
        <w:rPr>
          <w:rFonts w:ascii="宋体" w:eastAsia="宋体" w:hAnsi="宋体" w:cs="宋体"/>
          <w:kern w:val="0"/>
          <w:sz w:val="24"/>
        </w:rPr>
        <w:pict w14:anchorId="619E0DC2">
          <v:rect id="_x0000_i1111" style="width:6in;height:1.5pt" o:hralign="center" o:hrstd="t" o:hr="t" fillcolor="#a0a0a0" stroked="f"/>
        </w:pict>
      </w:r>
    </w:p>
    <w:p w14:paraId="619E0B25"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B2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Summarized Guarantor Financial Information</w:t>
      </w:r>
    </w:p>
    <w:p w14:paraId="619E0B2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2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discussed in Note 5 of the Notes to the Condensed Consolidated Financial Statements included in this report, Dell International L.L.C. and EMC Corporation (the “Issuers”), both of which are wholly-owned subsidiaries of Dell Technologies, completed priva</w:t>
      </w:r>
      <w:r>
        <w:rPr>
          <w:rFonts w:ascii="Times New Roman" w:eastAsia="宋体" w:hAnsi="Times New Roman" w:cs="Times New Roman"/>
          <w:color w:val="000000"/>
          <w:kern w:val="0"/>
          <w:sz w:val="20"/>
          <w:szCs w:val="20"/>
          <w:lang w:bidi="ar"/>
        </w:rPr>
        <w:t>te offerings of multiple series of senior secured notes issued on June 1, 2016, March 20, 2019, and April 9, 2020 (collectively, the “First Lien Notes”). On May 17, 2021, the Issuers launched an exchange offer of the outstanding First Lien Notes for regist</w:t>
      </w:r>
      <w:r>
        <w:rPr>
          <w:rFonts w:ascii="Times New Roman" w:eastAsia="宋体" w:hAnsi="Times New Roman" w:cs="Times New Roman"/>
          <w:color w:val="000000"/>
          <w:kern w:val="0"/>
          <w:sz w:val="20"/>
          <w:szCs w:val="20"/>
          <w:lang w:bidi="ar"/>
        </w:rPr>
        <w:t xml:space="preserve">ered senior secured notes with substantially similar terms (the “Exchange Notes”). In June 2021, the Issuers completed the exchange offer and issued an aggregate of $18.4 billion principal amount of Exchange Notes in exchange for the same principal amount </w:t>
      </w:r>
      <w:r>
        <w:rPr>
          <w:rFonts w:ascii="Times New Roman" w:eastAsia="宋体" w:hAnsi="Times New Roman" w:cs="Times New Roman"/>
          <w:color w:val="000000"/>
          <w:kern w:val="0"/>
          <w:sz w:val="20"/>
          <w:szCs w:val="20"/>
          <w:lang w:bidi="ar"/>
        </w:rPr>
        <w:t xml:space="preserve">of First Lien Notes. As of July 30, 2021, the aggregate principal amount of unregistered First Lien Notes remaining outstanding following the settlement of the exchange offer was approximately $0.1 billion. </w:t>
      </w:r>
    </w:p>
    <w:p w14:paraId="619E0B2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2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Guarantees</w:t>
      </w:r>
      <w:r>
        <w:rPr>
          <w:rFonts w:ascii="Times New Roman" w:eastAsia="宋体" w:hAnsi="Times New Roman" w:cs="Times New Roman"/>
          <w:color w:val="000000"/>
          <w:kern w:val="0"/>
          <w:sz w:val="20"/>
          <w:szCs w:val="20"/>
          <w:lang w:bidi="ar"/>
        </w:rPr>
        <w:t xml:space="preserve"> — The Exchange Notes are guaranteed</w:t>
      </w:r>
      <w:r>
        <w:rPr>
          <w:rFonts w:ascii="Times New Roman" w:eastAsia="宋体" w:hAnsi="Times New Roman" w:cs="Times New Roman"/>
          <w:color w:val="000000"/>
          <w:kern w:val="0"/>
          <w:sz w:val="20"/>
          <w:szCs w:val="20"/>
          <w:lang w:bidi="ar"/>
        </w:rPr>
        <w:t xml:space="preserve"> on a joint and several unsecured basis by Dell Technologies and on a joint and several secured basis by Denali Intermediate, Inc. (“Denali Intermediate”), Dell and each of Denali Intermediate’s wholly-owned domestic subsidiaries that guarantees the Issuer</w:t>
      </w:r>
      <w:r>
        <w:rPr>
          <w:rFonts w:ascii="Times New Roman" w:eastAsia="宋体" w:hAnsi="Times New Roman" w:cs="Times New Roman"/>
          <w:color w:val="000000"/>
          <w:kern w:val="0"/>
          <w:sz w:val="20"/>
          <w:szCs w:val="20"/>
          <w:lang w:bidi="ar"/>
        </w:rPr>
        <w:t>s’ Senior Credit Facility obligations (collectively, the “Guarantors”). Not all of Denali Intermediate’s subsidiaries guarantee the Exchange Notes, including none of Denali Intermediate’s non-wholly-owned subsidiaries, foreign subsidiaries, receivables sub</w:t>
      </w:r>
      <w:r>
        <w:rPr>
          <w:rFonts w:ascii="Times New Roman" w:eastAsia="宋体" w:hAnsi="Times New Roman" w:cs="Times New Roman"/>
          <w:color w:val="000000"/>
          <w:kern w:val="0"/>
          <w:sz w:val="20"/>
          <w:szCs w:val="20"/>
          <w:lang w:bidi="ar"/>
        </w:rPr>
        <w:t>sidiaries and subsidiaries designated as unrestricted subsidiaries under the Senior Credit Facility (such non-guarantor subsidiaries, collectively, the “Non-Guarantor Subsidiaries”). SecureWorks Corp., Boomi, Inc., Virtustream, Inc., VMware, Inc., EMC Equi</w:t>
      </w:r>
      <w:r>
        <w:rPr>
          <w:rFonts w:ascii="Times New Roman" w:eastAsia="宋体" w:hAnsi="Times New Roman" w:cs="Times New Roman"/>
          <w:color w:val="000000"/>
          <w:kern w:val="0"/>
          <w:sz w:val="20"/>
          <w:szCs w:val="20"/>
          <w:lang w:bidi="ar"/>
        </w:rPr>
        <w:t>ty Assets LLC and VMW Holdco L.L.C. (collectively, the “Unrestricted Subsidiaries”) have been designated as unrestricted subsidiaries under the Senior Credit Facility and therefore do not guarantee the Exchange Notes or the Senior Credit Facility obligatio</w:t>
      </w:r>
      <w:r>
        <w:rPr>
          <w:rFonts w:ascii="Times New Roman" w:eastAsia="宋体" w:hAnsi="Times New Roman" w:cs="Times New Roman"/>
          <w:color w:val="000000"/>
          <w:kern w:val="0"/>
          <w:sz w:val="20"/>
          <w:szCs w:val="20"/>
          <w:lang w:bidi="ar"/>
        </w:rPr>
        <w:t xml:space="preserve">ns. See Exhibit 22.1 incorporated by reference to this report for a list of subsidiary guarantors and issuers of guaranteed securities. </w:t>
      </w:r>
    </w:p>
    <w:p w14:paraId="619E0B2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2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guarantees are full and unconditional, subject to certain customary release provisions. The indentures that gover</w:t>
      </w:r>
      <w:r>
        <w:rPr>
          <w:rFonts w:ascii="Times New Roman" w:eastAsia="宋体" w:hAnsi="Times New Roman" w:cs="Times New Roman"/>
          <w:color w:val="000000"/>
          <w:kern w:val="0"/>
          <w:sz w:val="20"/>
          <w:szCs w:val="20"/>
          <w:lang w:bidi="ar"/>
        </w:rPr>
        <w:t>n the Exchange Notes provide that guarantees by subsidiaries of Denali Intermediate may be released in the event, among other things, (i) such Guarantor is sold or sells all of its assets in compliance with the applicable provisions of the indentures; (ii)</w:t>
      </w:r>
      <w:r>
        <w:rPr>
          <w:rFonts w:ascii="Times New Roman" w:eastAsia="宋体" w:hAnsi="Times New Roman" w:cs="Times New Roman"/>
          <w:color w:val="000000"/>
          <w:kern w:val="0"/>
          <w:sz w:val="20"/>
          <w:szCs w:val="20"/>
          <w:lang w:bidi="ar"/>
        </w:rPr>
        <w:t xml:space="preserve"> such Guarantor is released from its guaranty under the Senior Credit Facility, including the declaration of such subsidiary as “unrestricted” under the Senior Credit Facility; (iii) the merger, amalgamation or consolidation, or liquidation, of such Guaran</w:t>
      </w:r>
      <w:r>
        <w:rPr>
          <w:rFonts w:ascii="Times New Roman" w:eastAsia="宋体" w:hAnsi="Times New Roman" w:cs="Times New Roman"/>
          <w:color w:val="000000"/>
          <w:kern w:val="0"/>
          <w:sz w:val="20"/>
          <w:szCs w:val="20"/>
          <w:lang w:bidi="ar"/>
        </w:rPr>
        <w:t xml:space="preserve">tor; or (iv) the achievement of investment grade ratings with respect to the Issuers and the Exchange Notes. In addition, all Guarantors will be released from their guarantees if the requirements for legal defeasance or covenant defeasance or to discharge </w:t>
      </w:r>
      <w:r>
        <w:rPr>
          <w:rFonts w:ascii="Times New Roman" w:eastAsia="宋体" w:hAnsi="Times New Roman" w:cs="Times New Roman"/>
          <w:color w:val="000000"/>
          <w:kern w:val="0"/>
          <w:sz w:val="20"/>
          <w:szCs w:val="20"/>
          <w:lang w:bidi="ar"/>
        </w:rPr>
        <w:t>the indentures have been satisfied.</w:t>
      </w:r>
    </w:p>
    <w:p w14:paraId="619E0B2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2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Basis of Preparation of the Summarized Financial Information</w:t>
      </w:r>
      <w:r>
        <w:rPr>
          <w:rFonts w:ascii="Times New Roman" w:eastAsia="宋体" w:hAnsi="Times New Roman" w:cs="Times New Roman"/>
          <w:color w:val="000000"/>
          <w:kern w:val="0"/>
          <w:sz w:val="20"/>
          <w:szCs w:val="20"/>
          <w:lang w:bidi="ar"/>
        </w:rPr>
        <w:t xml:space="preserve"> — The tables below are summarized financial information provided in conformity with Rule 13-01 of the SEC’s Regulation S-X. The summarized financial informat</w:t>
      </w:r>
      <w:r>
        <w:rPr>
          <w:rFonts w:ascii="Times New Roman" w:eastAsia="宋体" w:hAnsi="Times New Roman" w:cs="Times New Roman"/>
          <w:color w:val="000000"/>
          <w:kern w:val="0"/>
          <w:sz w:val="20"/>
          <w:szCs w:val="20"/>
          <w:lang w:bidi="ar"/>
        </w:rPr>
        <w:t>ion of the Issuers and Guarantors (collectively, the “Obligor Group”) is presented on a combined basis, excluding intercompany balances and transactions between entities in the Obligor Group. To the extent material, the Obligor Group’s amounts due from, am</w:t>
      </w:r>
      <w:r>
        <w:rPr>
          <w:rFonts w:ascii="Times New Roman" w:eastAsia="宋体" w:hAnsi="Times New Roman" w:cs="Times New Roman"/>
          <w:color w:val="000000"/>
          <w:kern w:val="0"/>
          <w:sz w:val="20"/>
          <w:szCs w:val="20"/>
          <w:lang w:bidi="ar"/>
        </w:rPr>
        <w:t>ounts due to and transactions with Non-Guarantor Subsidiaries have been presented separately. The Obligor Group’s investment balances in Non-Guarantor Subsidiaries have been excluded.</w:t>
      </w:r>
    </w:p>
    <w:p w14:paraId="619E0B2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30" w14:textId="77777777" w:rsidR="003D72E7" w:rsidRDefault="00AD6774">
      <w:pPr>
        <w:widowControl/>
        <w:spacing w:after="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summarized results of operations informat</w:t>
      </w:r>
      <w:r>
        <w:rPr>
          <w:rFonts w:ascii="Times New Roman" w:eastAsia="宋体" w:hAnsi="Times New Roman" w:cs="Times New Roman"/>
          <w:color w:val="000000"/>
          <w:kern w:val="0"/>
          <w:sz w:val="20"/>
          <w:szCs w:val="20"/>
          <w:lang w:bidi="ar"/>
        </w:rPr>
        <w:t>ion for the Obligor Group for the period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1"/>
        <w:gridCol w:w="6592"/>
        <w:gridCol w:w="38"/>
        <w:gridCol w:w="121"/>
        <w:gridCol w:w="1497"/>
        <w:gridCol w:w="37"/>
      </w:tblGrid>
      <w:tr w:rsidR="003D72E7" w14:paraId="619E0B37" w14:textId="77777777">
        <w:tc>
          <w:tcPr>
            <w:tcW w:w="50" w:type="pct"/>
            <w:tcBorders>
              <w:top w:val="nil"/>
              <w:left w:val="nil"/>
              <w:bottom w:val="nil"/>
              <w:right w:val="nil"/>
            </w:tcBorders>
            <w:shd w:val="clear" w:color="auto" w:fill="auto"/>
            <w:vAlign w:val="bottom"/>
          </w:tcPr>
          <w:p w14:paraId="619E0B31" w14:textId="77777777" w:rsidR="003D72E7" w:rsidRDefault="003D72E7">
            <w:pPr>
              <w:widowControl/>
              <w:jc w:val="left"/>
              <w:rPr>
                <w:rFonts w:ascii="Times New Roman" w:eastAsia="宋体" w:hAnsi="宋体" w:cs="宋体"/>
                <w:kern w:val="0"/>
                <w:sz w:val="24"/>
              </w:rPr>
            </w:pPr>
          </w:p>
        </w:tc>
        <w:tc>
          <w:tcPr>
            <w:tcW w:w="3972" w:type="pct"/>
            <w:tcBorders>
              <w:top w:val="nil"/>
              <w:left w:val="nil"/>
              <w:bottom w:val="nil"/>
              <w:right w:val="nil"/>
            </w:tcBorders>
            <w:shd w:val="clear" w:color="auto" w:fill="auto"/>
            <w:vAlign w:val="bottom"/>
          </w:tcPr>
          <w:p w14:paraId="619E0B3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B33"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B34" w14:textId="77777777" w:rsidR="003D72E7" w:rsidRDefault="003D72E7">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619E0B35"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B36" w14:textId="77777777" w:rsidR="003D72E7" w:rsidRDefault="003D72E7">
            <w:pPr>
              <w:widowControl/>
              <w:jc w:val="left"/>
              <w:rPr>
                <w:rFonts w:ascii="Times New Roman" w:eastAsia="宋体" w:hAnsi="宋体" w:cs="宋体"/>
                <w:kern w:val="0"/>
                <w:sz w:val="24"/>
              </w:rPr>
            </w:pPr>
          </w:p>
        </w:tc>
      </w:tr>
      <w:tr w:rsidR="003D72E7" w14:paraId="619E0B3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B3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B3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Six Months Ended</w:t>
            </w:r>
          </w:p>
        </w:tc>
      </w:tr>
      <w:tr w:rsidR="003D72E7" w14:paraId="619E0B3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B3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B3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r>
      <w:tr w:rsidR="003D72E7" w14:paraId="619E0B4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B3E"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B3F"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E0B4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B4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revenue (a)</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B4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B4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11,755 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B44" w14:textId="77777777" w:rsidR="003D72E7" w:rsidRDefault="003D72E7">
            <w:pPr>
              <w:widowControl/>
              <w:jc w:val="right"/>
              <w:rPr>
                <w:rFonts w:ascii="Times New Roman" w:eastAsia="宋体" w:hAnsi="宋体" w:cs="宋体"/>
                <w:kern w:val="0"/>
                <w:sz w:val="24"/>
              </w:rPr>
            </w:pPr>
          </w:p>
        </w:tc>
      </w:tr>
      <w:tr w:rsidR="003D72E7" w14:paraId="619E0B4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E0B4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Gross margin (b)</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B4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B4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4,257 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B49" w14:textId="77777777" w:rsidR="003D72E7" w:rsidRDefault="003D72E7">
            <w:pPr>
              <w:widowControl/>
              <w:jc w:val="right"/>
              <w:rPr>
                <w:rFonts w:ascii="Times New Roman" w:eastAsia="宋体" w:hAnsi="宋体" w:cs="宋体"/>
                <w:kern w:val="0"/>
                <w:sz w:val="24"/>
              </w:rPr>
            </w:pPr>
          </w:p>
        </w:tc>
      </w:tr>
      <w:tr w:rsidR="003D72E7" w14:paraId="619E0B4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B4B"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Operating loss (c)</w:t>
            </w: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B4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B4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B4E" w14:textId="77777777" w:rsidR="003D72E7" w:rsidRDefault="003D72E7">
            <w:pPr>
              <w:widowControl/>
              <w:jc w:val="right"/>
              <w:rPr>
                <w:rFonts w:ascii="Times New Roman" w:eastAsia="宋体" w:hAnsi="宋体" w:cs="宋体"/>
                <w:kern w:val="0"/>
                <w:sz w:val="24"/>
              </w:rPr>
            </w:pPr>
          </w:p>
        </w:tc>
      </w:tr>
      <w:tr w:rsidR="003D72E7" w14:paraId="619E0B53"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E0B5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Interest and other,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B5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B52" w14:textId="77777777" w:rsidR="003D72E7" w:rsidRDefault="003D72E7">
            <w:pPr>
              <w:widowControl/>
              <w:jc w:val="right"/>
              <w:rPr>
                <w:rFonts w:ascii="Times New Roman" w:eastAsia="宋体" w:hAnsi="宋体" w:cs="宋体"/>
                <w:kern w:val="0"/>
                <w:sz w:val="24"/>
              </w:rPr>
            </w:pPr>
          </w:p>
        </w:tc>
      </w:tr>
      <w:tr w:rsidR="003D72E7" w14:paraId="619E0B5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B54"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Loss before income taxes</w:t>
            </w: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E0B5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E0B5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E0B57" w14:textId="77777777" w:rsidR="003D72E7" w:rsidRDefault="003D72E7">
            <w:pPr>
              <w:widowControl/>
              <w:jc w:val="right"/>
              <w:rPr>
                <w:rFonts w:ascii="Times New Roman" w:eastAsia="宋体" w:hAnsi="宋体" w:cs="宋体"/>
                <w:kern w:val="0"/>
                <w:sz w:val="24"/>
              </w:rPr>
            </w:pPr>
          </w:p>
        </w:tc>
      </w:tr>
      <w:tr w:rsidR="003D72E7" w14:paraId="619E0B5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E0B5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Net loss attributable to Obligor Group</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B5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B5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B5C" w14:textId="77777777" w:rsidR="003D72E7" w:rsidRDefault="003D72E7">
            <w:pPr>
              <w:widowControl/>
              <w:jc w:val="right"/>
              <w:rPr>
                <w:rFonts w:ascii="Times New Roman" w:eastAsia="宋体" w:hAnsi="宋体" w:cs="宋体"/>
                <w:kern w:val="0"/>
                <w:sz w:val="24"/>
              </w:rPr>
            </w:pPr>
          </w:p>
        </w:tc>
      </w:tr>
    </w:tbl>
    <w:p w14:paraId="619E0B5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619E0B5F"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 Includes net revenue from services provided and product sales to Non-Guarantor Subsidiaries of $1,341 million and $84 million, respectively.</w:t>
      </w:r>
    </w:p>
    <w:p w14:paraId="619E0B60"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(b) Includes cost of net </w:t>
      </w:r>
      <w:r>
        <w:rPr>
          <w:rFonts w:ascii="Times New Roman" w:eastAsia="宋体" w:hAnsi="Times New Roman" w:cs="Times New Roman"/>
          <w:color w:val="000000"/>
          <w:kern w:val="0"/>
          <w:sz w:val="20"/>
          <w:szCs w:val="20"/>
          <w:lang w:bidi="ar"/>
        </w:rPr>
        <w:t>revenue from resale of solutions purchased from Non-Guarantor Subsidiaries of $1,189 million.</w:t>
      </w:r>
    </w:p>
    <w:p w14:paraId="619E0B61"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(c) Includes operating expenses from shared services provided by Non-Guarantor Subsidiaries of $38 million.</w:t>
      </w:r>
    </w:p>
    <w:p w14:paraId="619E0B62" w14:textId="77777777" w:rsidR="003D72E7" w:rsidRDefault="00AD6774">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63"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B64"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88</w:t>
      </w:r>
    </w:p>
    <w:p w14:paraId="619E0B65"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B66" w14:textId="77777777" w:rsidR="003D72E7" w:rsidRDefault="00AD6774">
      <w:pPr>
        <w:widowControl/>
        <w:jc w:val="center"/>
      </w:pPr>
      <w:r>
        <w:rPr>
          <w:rFonts w:ascii="宋体" w:eastAsia="宋体" w:hAnsi="宋体" w:cs="宋体"/>
          <w:kern w:val="0"/>
          <w:sz w:val="24"/>
        </w:rPr>
        <w:pict w14:anchorId="619E0DC3">
          <v:rect id="_x0000_i1112" style="width:6in;height:1.5pt" o:hralign="center" o:hrstd="t" o:hr="t" fillcolor="#a0a0a0" stroked="f"/>
        </w:pict>
      </w:r>
    </w:p>
    <w:p w14:paraId="619E0B67"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B6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summarized balance sheet information for the Obligor Group as of the dates indicated: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888"/>
        <w:gridCol w:w="39"/>
        <w:gridCol w:w="120"/>
        <w:gridCol w:w="1474"/>
        <w:gridCol w:w="36"/>
        <w:gridCol w:w="36"/>
        <w:gridCol w:w="36"/>
        <w:gridCol w:w="36"/>
        <w:gridCol w:w="120"/>
        <w:gridCol w:w="1475"/>
        <w:gridCol w:w="36"/>
      </w:tblGrid>
      <w:tr w:rsidR="003D72E7" w14:paraId="619E0B75" w14:textId="77777777">
        <w:tc>
          <w:tcPr>
            <w:tcW w:w="50" w:type="pct"/>
            <w:tcBorders>
              <w:top w:val="nil"/>
              <w:left w:val="nil"/>
              <w:bottom w:val="nil"/>
              <w:right w:val="nil"/>
            </w:tcBorders>
            <w:shd w:val="clear" w:color="auto" w:fill="auto"/>
            <w:vAlign w:val="bottom"/>
          </w:tcPr>
          <w:p w14:paraId="619E0B69" w14:textId="77777777" w:rsidR="003D72E7" w:rsidRDefault="003D72E7">
            <w:pPr>
              <w:widowControl/>
              <w:jc w:val="left"/>
              <w:rPr>
                <w:rFonts w:ascii="Times New Roman" w:eastAsia="宋体" w:hAnsi="宋体" w:cs="宋体"/>
                <w:kern w:val="0"/>
                <w:sz w:val="24"/>
              </w:rPr>
            </w:pPr>
          </w:p>
        </w:tc>
        <w:tc>
          <w:tcPr>
            <w:tcW w:w="2971" w:type="pct"/>
            <w:tcBorders>
              <w:top w:val="nil"/>
              <w:left w:val="nil"/>
              <w:bottom w:val="nil"/>
              <w:right w:val="nil"/>
            </w:tcBorders>
            <w:shd w:val="clear" w:color="auto" w:fill="auto"/>
            <w:vAlign w:val="bottom"/>
          </w:tcPr>
          <w:p w14:paraId="619E0B6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B6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B6C" w14:textId="77777777" w:rsidR="003D72E7" w:rsidRDefault="003D72E7">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619E0B6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B6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B6F" w14:textId="77777777" w:rsidR="003D72E7" w:rsidRDefault="003D72E7">
            <w:pPr>
              <w:widowControl/>
              <w:jc w:val="left"/>
              <w:rPr>
                <w:rFonts w:ascii="Times New Roman" w:eastAsia="宋体" w:hAnsi="宋体" w:cs="宋体"/>
                <w:kern w:val="0"/>
                <w:sz w:val="24"/>
              </w:rPr>
            </w:pPr>
          </w:p>
        </w:tc>
        <w:tc>
          <w:tcPr>
            <w:tcW w:w="19" w:type="pct"/>
            <w:tcBorders>
              <w:top w:val="nil"/>
              <w:left w:val="nil"/>
              <w:bottom w:val="nil"/>
              <w:right w:val="nil"/>
            </w:tcBorders>
            <w:shd w:val="clear" w:color="auto" w:fill="auto"/>
            <w:vAlign w:val="bottom"/>
          </w:tcPr>
          <w:p w14:paraId="619E0B7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B7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B72" w14:textId="77777777" w:rsidR="003D72E7" w:rsidRDefault="003D72E7">
            <w:pPr>
              <w:widowControl/>
              <w:jc w:val="left"/>
              <w:rPr>
                <w:rFonts w:ascii="Times New Roman" w:eastAsia="宋体" w:hAnsi="宋体" w:cs="宋体"/>
                <w:kern w:val="0"/>
                <w:sz w:val="24"/>
              </w:rPr>
            </w:pPr>
          </w:p>
        </w:tc>
        <w:tc>
          <w:tcPr>
            <w:tcW w:w="917" w:type="pct"/>
            <w:tcBorders>
              <w:top w:val="nil"/>
              <w:left w:val="nil"/>
              <w:bottom w:val="nil"/>
              <w:right w:val="nil"/>
            </w:tcBorders>
            <w:shd w:val="clear" w:color="auto" w:fill="auto"/>
            <w:vAlign w:val="bottom"/>
          </w:tcPr>
          <w:p w14:paraId="619E0B7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B74" w14:textId="77777777" w:rsidR="003D72E7" w:rsidRDefault="003D72E7">
            <w:pPr>
              <w:widowControl/>
              <w:jc w:val="left"/>
              <w:rPr>
                <w:rFonts w:ascii="Times New Roman" w:eastAsia="宋体" w:hAnsi="宋体" w:cs="宋体"/>
                <w:kern w:val="0"/>
                <w:sz w:val="24"/>
              </w:rPr>
            </w:pPr>
          </w:p>
        </w:tc>
      </w:tr>
      <w:tr w:rsidR="003D72E7" w14:paraId="619E0B7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B7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B7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July 30, 2021</w:t>
            </w: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619E0B7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B7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January 29, 2021</w:t>
            </w:r>
          </w:p>
        </w:tc>
      </w:tr>
      <w:tr w:rsidR="003D72E7" w14:paraId="619E0B7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B7B" w14:textId="77777777" w:rsidR="003D72E7" w:rsidRDefault="003D72E7">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B7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 millions)</w:t>
            </w:r>
          </w:p>
        </w:tc>
      </w:tr>
      <w:tr w:rsidR="003D72E7" w14:paraId="619E0B7F" w14:textId="77777777">
        <w:tc>
          <w:tcPr>
            <w:tcW w:w="0" w:type="auto"/>
            <w:gridSpan w:val="12"/>
            <w:tcBorders>
              <w:top w:val="nil"/>
              <w:left w:val="nil"/>
              <w:bottom w:val="nil"/>
              <w:right w:val="nil"/>
            </w:tcBorders>
            <w:shd w:val="clear" w:color="auto" w:fill="CCEEFF"/>
            <w:tcMar>
              <w:top w:w="40" w:type="dxa"/>
              <w:left w:w="20" w:type="dxa"/>
              <w:bottom w:w="40" w:type="dxa"/>
              <w:right w:w="20" w:type="dxa"/>
            </w:tcMar>
            <w:vAlign w:val="bottom"/>
          </w:tcPr>
          <w:p w14:paraId="619E0B7E"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ASSETS</w:t>
            </w:r>
          </w:p>
        </w:tc>
      </w:tr>
      <w:tr w:rsidR="003D72E7" w14:paraId="619E0B8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E0B8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 assets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B81"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B82"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12,579 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B83"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B84"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B85"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B8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12,096 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B87" w14:textId="77777777" w:rsidR="003D72E7" w:rsidRDefault="003D72E7">
            <w:pPr>
              <w:widowControl/>
              <w:jc w:val="right"/>
              <w:rPr>
                <w:rFonts w:ascii="Times New Roman" w:eastAsia="宋体" w:hAnsi="宋体" w:cs="宋体"/>
                <w:kern w:val="0"/>
                <w:sz w:val="24"/>
              </w:rPr>
            </w:pPr>
          </w:p>
        </w:tc>
      </w:tr>
      <w:tr w:rsidR="003D72E7" w14:paraId="619E0B8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B8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Goodwill and intangible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B8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15,786 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B8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B8C"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B8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16,213 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B8E" w14:textId="77777777" w:rsidR="003D72E7" w:rsidRDefault="003D72E7">
            <w:pPr>
              <w:widowControl/>
              <w:jc w:val="right"/>
              <w:rPr>
                <w:rFonts w:ascii="Times New Roman" w:eastAsia="宋体" w:hAnsi="宋体" w:cs="宋体"/>
                <w:kern w:val="0"/>
                <w:sz w:val="24"/>
              </w:rPr>
            </w:pPr>
          </w:p>
        </w:tc>
      </w:tr>
      <w:tr w:rsidR="003D72E7" w14:paraId="619E0B9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E0B9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non-current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B9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6,621 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B9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B9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B9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6,178 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B95" w14:textId="77777777" w:rsidR="003D72E7" w:rsidRDefault="003D72E7">
            <w:pPr>
              <w:widowControl/>
              <w:jc w:val="right"/>
              <w:rPr>
                <w:rFonts w:ascii="Times New Roman" w:eastAsia="宋体" w:hAnsi="宋体" w:cs="宋体"/>
                <w:kern w:val="0"/>
                <w:sz w:val="24"/>
              </w:rPr>
            </w:pPr>
          </w:p>
        </w:tc>
      </w:tr>
      <w:tr w:rsidR="003D72E7" w14:paraId="619E0B9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B9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Intercompany loan receivables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B9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3,477 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B9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B9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B9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4,714 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B9C" w14:textId="77777777" w:rsidR="003D72E7" w:rsidRDefault="003D72E7">
            <w:pPr>
              <w:widowControl/>
              <w:jc w:val="right"/>
              <w:rPr>
                <w:rFonts w:ascii="Times New Roman" w:eastAsia="宋体" w:hAnsi="宋体" w:cs="宋体"/>
                <w:kern w:val="0"/>
                <w:sz w:val="24"/>
              </w:rPr>
            </w:pPr>
          </w:p>
        </w:tc>
      </w:tr>
      <w:tr w:rsidR="003D72E7" w14:paraId="619E0BA6" w14:textId="77777777">
        <w:tc>
          <w:tcPr>
            <w:tcW w:w="0" w:type="auto"/>
            <w:gridSpan w:val="3"/>
            <w:tcBorders>
              <w:top w:val="nil"/>
              <w:left w:val="nil"/>
              <w:bottom w:val="nil"/>
              <w:right w:val="nil"/>
            </w:tcBorders>
            <w:shd w:val="clear" w:color="auto" w:fill="FFFFFF"/>
            <w:tcMar>
              <w:top w:w="40" w:type="dxa"/>
              <w:left w:w="260" w:type="dxa"/>
              <w:bottom w:w="40" w:type="dxa"/>
              <w:right w:w="20" w:type="dxa"/>
            </w:tcMar>
            <w:vAlign w:val="bottom"/>
          </w:tcPr>
          <w:p w14:paraId="619E0B9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assets</w:t>
            </w: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E0B9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E0BA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38,463 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E0BA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BA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E0BA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0" w:type="dxa"/>
            </w:tcMar>
            <w:vAlign w:val="bottom"/>
          </w:tcPr>
          <w:p w14:paraId="619E0BA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39,201 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E0BA5" w14:textId="77777777" w:rsidR="003D72E7" w:rsidRDefault="003D72E7">
            <w:pPr>
              <w:widowControl/>
              <w:jc w:val="right"/>
              <w:rPr>
                <w:rFonts w:ascii="Times New Roman" w:eastAsia="宋体" w:hAnsi="宋体" w:cs="宋体"/>
                <w:kern w:val="0"/>
                <w:sz w:val="24"/>
              </w:rPr>
            </w:pPr>
          </w:p>
        </w:tc>
      </w:tr>
      <w:tr w:rsidR="003D72E7" w14:paraId="619E0BA8" w14:textId="77777777">
        <w:tc>
          <w:tcPr>
            <w:tcW w:w="0" w:type="auto"/>
            <w:gridSpan w:val="12"/>
            <w:tcBorders>
              <w:top w:val="nil"/>
              <w:left w:val="nil"/>
              <w:bottom w:val="nil"/>
              <w:right w:val="nil"/>
            </w:tcBorders>
            <w:shd w:val="clear" w:color="auto" w:fill="CCEEFF"/>
            <w:tcMar>
              <w:top w:w="40" w:type="dxa"/>
              <w:left w:w="20" w:type="dxa"/>
              <w:bottom w:w="40" w:type="dxa"/>
              <w:right w:w="20" w:type="dxa"/>
            </w:tcMar>
            <w:vAlign w:val="bottom"/>
          </w:tcPr>
          <w:p w14:paraId="619E0BA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LIABILITIES</w:t>
            </w:r>
          </w:p>
        </w:tc>
      </w:tr>
      <w:tr w:rsidR="003D72E7" w14:paraId="619E0BB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E0BA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Current liabilities</w:t>
            </w: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BA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BA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15,605 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BA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BAD"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BA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BAF"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15,736 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BB0" w14:textId="77777777" w:rsidR="003D72E7" w:rsidRDefault="003D72E7">
            <w:pPr>
              <w:widowControl/>
              <w:jc w:val="right"/>
              <w:rPr>
                <w:rFonts w:ascii="Times New Roman" w:eastAsia="宋体" w:hAnsi="宋体" w:cs="宋体"/>
                <w:kern w:val="0"/>
                <w:sz w:val="24"/>
              </w:rPr>
            </w:pPr>
          </w:p>
        </w:tc>
      </w:tr>
      <w:tr w:rsidR="003D72E7" w14:paraId="619E0BB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BB2"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Intercompany payables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BB3"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4,619 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BB4"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BB5"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BB6"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5,527 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BB7" w14:textId="77777777" w:rsidR="003D72E7" w:rsidRDefault="003D72E7">
            <w:pPr>
              <w:widowControl/>
              <w:jc w:val="right"/>
              <w:rPr>
                <w:rFonts w:ascii="Times New Roman" w:eastAsia="宋体" w:hAnsi="宋体" w:cs="宋体"/>
                <w:kern w:val="0"/>
                <w:sz w:val="24"/>
              </w:rPr>
            </w:pPr>
          </w:p>
        </w:tc>
      </w:tr>
      <w:tr w:rsidR="003D72E7" w14:paraId="619E0BBF" w14:textId="77777777">
        <w:tc>
          <w:tcPr>
            <w:tcW w:w="0" w:type="auto"/>
            <w:gridSpan w:val="3"/>
            <w:tcBorders>
              <w:top w:val="nil"/>
              <w:left w:val="nil"/>
              <w:bottom w:val="nil"/>
              <w:right w:val="nil"/>
            </w:tcBorders>
            <w:shd w:val="clear" w:color="auto" w:fill="FFFFFF"/>
            <w:tcMar>
              <w:top w:w="40" w:type="dxa"/>
              <w:left w:w="140" w:type="dxa"/>
              <w:bottom w:w="40" w:type="dxa"/>
              <w:right w:w="20" w:type="dxa"/>
            </w:tcMar>
            <w:vAlign w:val="bottom"/>
          </w:tcPr>
          <w:p w14:paraId="619E0BB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 current liabilities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BB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20,224 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BB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BBC"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619E0BB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21,263 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619E0BBE" w14:textId="77777777" w:rsidR="003D72E7" w:rsidRDefault="003D72E7">
            <w:pPr>
              <w:widowControl/>
              <w:jc w:val="right"/>
              <w:rPr>
                <w:rFonts w:ascii="Times New Roman" w:eastAsia="宋体" w:hAnsi="宋体" w:cs="宋体"/>
                <w:kern w:val="0"/>
                <w:sz w:val="24"/>
              </w:rPr>
            </w:pPr>
          </w:p>
        </w:tc>
      </w:tr>
      <w:tr w:rsidR="003D72E7" w14:paraId="619E0BC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BC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Long-term debt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BC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27,917 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BC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BC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BC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27,951 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BC5" w14:textId="77777777" w:rsidR="003D72E7" w:rsidRDefault="003D72E7">
            <w:pPr>
              <w:widowControl/>
              <w:jc w:val="right"/>
              <w:rPr>
                <w:rFonts w:ascii="Times New Roman" w:eastAsia="宋体" w:hAnsi="宋体" w:cs="宋体"/>
                <w:kern w:val="0"/>
                <w:sz w:val="24"/>
              </w:rPr>
            </w:pPr>
          </w:p>
        </w:tc>
      </w:tr>
      <w:tr w:rsidR="003D72E7" w14:paraId="619E0BC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E0BC7"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Other non-current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BC8"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7,925 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BC9"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BCA"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BC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7,549 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BCC" w14:textId="77777777" w:rsidR="003D72E7" w:rsidRDefault="003D72E7">
            <w:pPr>
              <w:widowControl/>
              <w:jc w:val="right"/>
              <w:rPr>
                <w:rFonts w:ascii="Times New Roman" w:eastAsia="宋体" w:hAnsi="宋体" w:cs="宋体"/>
                <w:kern w:val="0"/>
                <w:sz w:val="24"/>
              </w:rPr>
            </w:pPr>
          </w:p>
        </w:tc>
      </w:tr>
      <w:tr w:rsidR="003D72E7" w14:paraId="619E0BD6" w14:textId="77777777">
        <w:tc>
          <w:tcPr>
            <w:tcW w:w="0" w:type="auto"/>
            <w:gridSpan w:val="3"/>
            <w:tcBorders>
              <w:top w:val="nil"/>
              <w:left w:val="nil"/>
              <w:bottom w:val="nil"/>
              <w:right w:val="nil"/>
            </w:tcBorders>
            <w:shd w:val="clear" w:color="auto" w:fill="CCEEFF"/>
            <w:tcMar>
              <w:top w:w="40" w:type="dxa"/>
              <w:left w:w="260" w:type="dxa"/>
              <w:bottom w:w="40" w:type="dxa"/>
              <w:right w:w="20" w:type="dxa"/>
            </w:tcMar>
            <w:vAlign w:val="bottom"/>
          </w:tcPr>
          <w:p w14:paraId="619E0BCE"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Total </w:t>
            </w:r>
            <w:r>
              <w:rPr>
                <w:rFonts w:ascii="Times New Roman" w:eastAsia="宋体" w:hAnsi="Times New Roman" w:cs="Times New Roman"/>
                <w:color w:val="000000"/>
                <w:kern w:val="0"/>
                <w:sz w:val="20"/>
                <w:szCs w:val="20"/>
                <w:lang w:bidi="ar"/>
              </w:rPr>
              <w:t>liabilities</w:t>
            </w: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E0BC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E0BD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56,066 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E0BD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BD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619E0BD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0" w:type="dxa"/>
            </w:tcMar>
            <w:vAlign w:val="bottom"/>
          </w:tcPr>
          <w:p w14:paraId="619E0BD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56,763 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619E0BD5" w14:textId="77777777" w:rsidR="003D72E7" w:rsidRDefault="003D72E7">
            <w:pPr>
              <w:widowControl/>
              <w:jc w:val="right"/>
              <w:rPr>
                <w:rFonts w:ascii="Times New Roman" w:eastAsia="宋体" w:hAnsi="宋体" w:cs="宋体"/>
                <w:kern w:val="0"/>
                <w:sz w:val="24"/>
              </w:rPr>
            </w:pPr>
          </w:p>
        </w:tc>
      </w:tr>
    </w:tbl>
    <w:p w14:paraId="619E0BD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D8"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Summarized Affiliate Financial Information</w:t>
      </w:r>
    </w:p>
    <w:p w14:paraId="619E0BD9" w14:textId="77777777" w:rsidR="003D72E7" w:rsidRDefault="00AD6774">
      <w:pPr>
        <w:widowControl/>
        <w:ind w:left="360" w:hanging="360"/>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D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equity interests of various affiliates within Dell Technologies’ consolidated group have been pledged as collateral for the Exchange Notes. Dell Technologies is ther</w:t>
      </w:r>
      <w:r>
        <w:rPr>
          <w:rFonts w:ascii="Times New Roman" w:eastAsia="宋体" w:hAnsi="Times New Roman" w:cs="Times New Roman"/>
          <w:color w:val="000000"/>
          <w:kern w:val="0"/>
          <w:sz w:val="20"/>
          <w:szCs w:val="20"/>
          <w:lang w:bidi="ar"/>
        </w:rPr>
        <w:t xml:space="preserve">efore subject to Rule 13-02 of the SEC’s Regulation S-X, which requires that summarized financial information for the affiliates whose securities are pledged as collateral (collectively, the “Affiliate Group”) be provided on a combined basis to the extent </w:t>
      </w:r>
      <w:r>
        <w:rPr>
          <w:rFonts w:ascii="Times New Roman" w:eastAsia="宋体" w:hAnsi="Times New Roman" w:cs="Times New Roman"/>
          <w:color w:val="000000"/>
          <w:kern w:val="0"/>
          <w:sz w:val="20"/>
          <w:szCs w:val="20"/>
          <w:lang w:bidi="ar"/>
        </w:rPr>
        <w:t>such information is material and materially different than the corresponding amounts presented in the Consolidated Financial Statements of Dell Technologies. The summarized financial information for the Affiliate Group would produce results materially cons</w:t>
      </w:r>
      <w:r>
        <w:rPr>
          <w:rFonts w:ascii="Times New Roman" w:eastAsia="宋体" w:hAnsi="Times New Roman" w:cs="Times New Roman"/>
          <w:color w:val="000000"/>
          <w:kern w:val="0"/>
          <w:sz w:val="20"/>
          <w:szCs w:val="20"/>
          <w:lang w:bidi="ar"/>
        </w:rPr>
        <w:t>istent with information presented in Dell Technologies’ Consolidated Financial Statements and we have therefore not included such information in this report. In particular, the assets, liabilities, and results of operations of the Affiliate Group are not m</w:t>
      </w:r>
      <w:r>
        <w:rPr>
          <w:rFonts w:ascii="Times New Roman" w:eastAsia="宋体" w:hAnsi="Times New Roman" w:cs="Times New Roman"/>
          <w:color w:val="000000"/>
          <w:kern w:val="0"/>
          <w:sz w:val="20"/>
          <w:szCs w:val="20"/>
          <w:lang w:bidi="ar"/>
        </w:rPr>
        <w:t xml:space="preserve">aterially different than the corresponding amounts presented in the Consolidated Financial Statements of Dell Technologies, except with respect to the redeemable shares as of January 29, 2021. The redeemable shares balance was $472 million as reflected on </w:t>
      </w:r>
      <w:r>
        <w:rPr>
          <w:rFonts w:ascii="Times New Roman" w:eastAsia="宋体" w:hAnsi="Times New Roman" w:cs="Times New Roman"/>
          <w:color w:val="000000"/>
          <w:kern w:val="0"/>
          <w:sz w:val="20"/>
          <w:szCs w:val="20"/>
          <w:lang w:bidi="ar"/>
        </w:rPr>
        <w:t>the Condensed Consolidated Statements of Financial Position included in this report, as compared to no redeemable shares reflected on the Affiliate Group balance sheet as of the respective dates.</w:t>
      </w:r>
    </w:p>
    <w:p w14:paraId="619E0BD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D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i/>
          <w:iCs/>
          <w:color w:val="000000"/>
          <w:kern w:val="0"/>
          <w:sz w:val="20"/>
          <w:szCs w:val="20"/>
          <w:lang w:bidi="ar"/>
        </w:rPr>
        <w:t>Collateral Arrangement</w:t>
      </w:r>
      <w:r>
        <w:rPr>
          <w:rFonts w:ascii="Times New Roman" w:eastAsia="宋体" w:hAnsi="Times New Roman" w:cs="Times New Roman"/>
          <w:color w:val="000000"/>
          <w:kern w:val="0"/>
          <w:sz w:val="20"/>
          <w:szCs w:val="20"/>
          <w:lang w:bidi="ar"/>
        </w:rPr>
        <w:t xml:space="preserve"> — The collateral (“Collateral”) securing the Exchange Notes generally consists of the following, whether now owned or hereafter acquired:</w:t>
      </w:r>
    </w:p>
    <w:p w14:paraId="619E0BD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DE"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•100% of the equity interests of the Issuers, Dell and each Material Subsidiary (as defined in the applicable inden</w:t>
      </w:r>
      <w:r>
        <w:rPr>
          <w:rFonts w:ascii="Times New Roman" w:eastAsia="宋体" w:hAnsi="Times New Roman" w:cs="Times New Roman"/>
          <w:color w:val="000000"/>
          <w:kern w:val="0"/>
          <w:sz w:val="20"/>
          <w:szCs w:val="20"/>
          <w:lang w:bidi="ar"/>
        </w:rPr>
        <w:t>ture) that is a wholly-owned subsidiary of the Issuers and the Guarantors (which pledge, in the case of capital stock of any Foreign Subsidiary or FSHCO (each as defined in the applicable indenture), is limited to 65% of the voting capital stock and 100% o</w:t>
      </w:r>
      <w:r>
        <w:rPr>
          <w:rFonts w:ascii="Times New Roman" w:eastAsia="宋体" w:hAnsi="Times New Roman" w:cs="Times New Roman"/>
          <w:color w:val="000000"/>
          <w:kern w:val="0"/>
          <w:sz w:val="20"/>
          <w:szCs w:val="20"/>
          <w:lang w:bidi="ar"/>
        </w:rPr>
        <w:t>f the non-voting capital stock of such Foreign Subsidiary or FSHCO); and</w:t>
      </w:r>
    </w:p>
    <w:p w14:paraId="619E0BD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E0"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•substantially all tangible and intangible personal property and material fee-owned real property of the Issuers and Guarantors (other than Dell Technologies) including but not </w:t>
      </w:r>
      <w:r>
        <w:rPr>
          <w:rFonts w:ascii="Times New Roman" w:eastAsia="宋体" w:hAnsi="Times New Roman" w:cs="Times New Roman"/>
          <w:color w:val="000000"/>
          <w:kern w:val="0"/>
          <w:sz w:val="20"/>
          <w:szCs w:val="20"/>
          <w:lang w:bidi="ar"/>
        </w:rPr>
        <w:t>limited to, accounts receivable, inventory, equipment, general intangibles (including contract rights), investment property, intellectual property, real property, intercompany notes, instruments, chattel paper and documents, letter of credit rights, commer</w:t>
      </w:r>
      <w:r>
        <w:rPr>
          <w:rFonts w:ascii="Times New Roman" w:eastAsia="宋体" w:hAnsi="Times New Roman" w:cs="Times New Roman"/>
          <w:color w:val="000000"/>
          <w:kern w:val="0"/>
          <w:sz w:val="20"/>
          <w:szCs w:val="20"/>
          <w:lang w:bidi="ar"/>
        </w:rPr>
        <w:t>cial tort claims, and proceeds of the foregoing.</w:t>
      </w:r>
    </w:p>
    <w:p w14:paraId="619E0BE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E2"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See Exhibit 22.1 incorporated by reference to this report for a list of each affiliate of Dell Technologies whose security is pledged as collateral to secure the Exchange Notes. There is no trading market </w:t>
      </w:r>
      <w:r>
        <w:rPr>
          <w:rFonts w:ascii="Times New Roman" w:eastAsia="宋体" w:hAnsi="Times New Roman" w:cs="Times New Roman"/>
          <w:color w:val="000000"/>
          <w:kern w:val="0"/>
          <w:sz w:val="20"/>
          <w:szCs w:val="20"/>
          <w:lang w:bidi="ar"/>
        </w:rPr>
        <w:t>for the applicable affiliates’ securities pledged as collateral.</w:t>
      </w:r>
    </w:p>
    <w:p w14:paraId="619E0BE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E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Delivery of the Collateral securing the Exchange Notes would be required in certain customary events of default, including failure to make required payments, failure to comply with covenant</w:t>
      </w:r>
      <w:r>
        <w:rPr>
          <w:rFonts w:ascii="Times New Roman" w:eastAsia="宋体" w:hAnsi="Times New Roman" w:cs="Times New Roman"/>
          <w:color w:val="000000"/>
          <w:kern w:val="0"/>
          <w:sz w:val="20"/>
          <w:szCs w:val="20"/>
          <w:lang w:bidi="ar"/>
        </w:rPr>
        <w:t>s, and the occurrence of certain events of bankruptcy and insolvency.</w:t>
      </w:r>
    </w:p>
    <w:p w14:paraId="619E0BE5"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BE6"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89</w:t>
      </w:r>
    </w:p>
    <w:p w14:paraId="619E0BE7"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BE8" w14:textId="77777777" w:rsidR="003D72E7" w:rsidRDefault="00AD6774">
      <w:pPr>
        <w:widowControl/>
        <w:jc w:val="center"/>
      </w:pPr>
      <w:r>
        <w:rPr>
          <w:rFonts w:ascii="宋体" w:eastAsia="宋体" w:hAnsi="宋体" w:cs="宋体"/>
          <w:kern w:val="0"/>
          <w:sz w:val="24"/>
        </w:rPr>
        <w:pict w14:anchorId="619E0DC4">
          <v:rect id="_x0000_i1113" style="width:6in;height:1.5pt" o:hralign="center" o:hrstd="t" o:hr="t" fillcolor="#a0a0a0" stroked="f"/>
        </w:pict>
      </w:r>
    </w:p>
    <w:p w14:paraId="619E0BE9"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BE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E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Collateral may be released in certain circumstances, including, (i) to enable the sale, </w:t>
      </w:r>
      <w:r>
        <w:rPr>
          <w:rFonts w:ascii="Times New Roman" w:eastAsia="宋体" w:hAnsi="Times New Roman" w:cs="Times New Roman"/>
          <w:color w:val="000000"/>
          <w:kern w:val="0"/>
          <w:sz w:val="20"/>
          <w:szCs w:val="20"/>
          <w:lang w:bidi="ar"/>
        </w:rPr>
        <w:t>transfer or other disposition of such property or assets, (ii) upon the release of the guarantee of a Guarantor, (iii) upon such property or asset becoming an “excluded asset” as defined in the indentures governing the Exchange Notes, (iv) upon the achieve</w:t>
      </w:r>
      <w:r>
        <w:rPr>
          <w:rFonts w:ascii="Times New Roman" w:eastAsia="宋体" w:hAnsi="Times New Roman" w:cs="Times New Roman"/>
          <w:color w:val="000000"/>
          <w:kern w:val="0"/>
          <w:sz w:val="20"/>
          <w:szCs w:val="20"/>
          <w:lang w:bidi="ar"/>
        </w:rPr>
        <w:t>ment of investment grade ratings with respect to the Issuers and the Exchange Notes, and (v) to the extent the liens on the Collateral securing the Senior Credit Facility obligations are released (other than in connection with the payment in full of the Se</w:t>
      </w:r>
      <w:r>
        <w:rPr>
          <w:rFonts w:ascii="Times New Roman" w:eastAsia="宋体" w:hAnsi="Times New Roman" w:cs="Times New Roman"/>
          <w:color w:val="000000"/>
          <w:kern w:val="0"/>
          <w:sz w:val="20"/>
          <w:szCs w:val="20"/>
          <w:lang w:bidi="ar"/>
        </w:rPr>
        <w:t>nior Credit Facility).</w:t>
      </w:r>
    </w:p>
    <w:p w14:paraId="619E0BE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E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 Collateral does not include, and will not include, among other things, (i) a pledge of the assets or equity interests of certain subsidiaries, including the Unrestricted Subsidiaries and their respective subsidiaries, (ii) any </w:t>
      </w:r>
      <w:r>
        <w:rPr>
          <w:rFonts w:ascii="Times New Roman" w:eastAsia="宋体" w:hAnsi="Times New Roman" w:cs="Times New Roman"/>
          <w:color w:val="000000"/>
          <w:kern w:val="0"/>
          <w:sz w:val="20"/>
          <w:szCs w:val="20"/>
          <w:lang w:bidi="ar"/>
        </w:rPr>
        <w:t>fee-owned real property with a book value of less than $150 million, (iii) any commercial tort claims or letter of credit rights with an individual value of less than $50 million, (iv) any “principal property” as defined in the indentures governing the Uns</w:t>
      </w:r>
      <w:r>
        <w:rPr>
          <w:rFonts w:ascii="Times New Roman" w:eastAsia="宋体" w:hAnsi="Times New Roman" w:cs="Times New Roman"/>
          <w:color w:val="000000"/>
          <w:kern w:val="0"/>
          <w:sz w:val="20"/>
          <w:szCs w:val="20"/>
          <w:lang w:bidi="ar"/>
        </w:rPr>
        <w:t>ecured Notes and Debentures of Dell and the EMC Notes, and capital stock of any subsidiary holding “principal property” as defined in the indenture governing the Unsecured Notes and Debentures of Dell, or (v) certain excluded assets.</w:t>
      </w:r>
    </w:p>
    <w:p w14:paraId="619E0BE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E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F0"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BF1"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90</w:t>
      </w:r>
    </w:p>
    <w:p w14:paraId="619E0BF2"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BF3" w14:textId="77777777" w:rsidR="003D72E7" w:rsidRDefault="00AD6774">
      <w:pPr>
        <w:widowControl/>
        <w:jc w:val="center"/>
      </w:pPr>
      <w:r>
        <w:rPr>
          <w:rFonts w:ascii="宋体" w:eastAsia="宋体" w:hAnsi="宋体" w:cs="宋体"/>
          <w:kern w:val="0"/>
          <w:sz w:val="24"/>
        </w:rPr>
        <w:pict w14:anchorId="619E0DC5">
          <v:rect id="_x0000_i1114" style="width:6in;height:1.5pt" o:hralign="center" o:hrstd="t" o:hr="t" fillcolor="#a0a0a0" stroked="f"/>
        </w:pict>
      </w:r>
    </w:p>
    <w:p w14:paraId="619E0BF4"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BF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3 — QUANTITATIVE AND QUALITATIVE DISCLOSURES ABOUT MARKET RISK</w:t>
      </w:r>
    </w:p>
    <w:p w14:paraId="619E0BF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F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For quantitative and qualitative disclosures about market risk affecting us, see “Part II — Item 7A — Quantitative and</w:t>
      </w:r>
      <w:r>
        <w:rPr>
          <w:rFonts w:ascii="Times New Roman" w:eastAsia="宋体" w:hAnsi="Times New Roman" w:cs="Times New Roman"/>
          <w:color w:val="000000"/>
          <w:kern w:val="0"/>
          <w:sz w:val="20"/>
          <w:szCs w:val="20"/>
          <w:lang w:bidi="ar"/>
        </w:rPr>
        <w:t xml:space="preserve"> Qualitative Disclosures About Market Risk” in our Annual Report on Form 10-K for the fiscal year ended January 29, 2021. Our exposure to market risks has not changed materially from that set forth in our Annual Report.</w:t>
      </w:r>
    </w:p>
    <w:p w14:paraId="619E0BF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F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4 — CONTROLS AND PROCEDURES</w:t>
      </w:r>
    </w:p>
    <w:p w14:paraId="619E0BF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F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This report includes the certifications of our Chief Executive Officer and Chief Financial Officer required by Rule 13a-14 under the Securities Exchange Act of 1934 (the “Exchange Act”). See Exhibits 31.1 and 31.2 filed with this report. This Item 4 incl</w:t>
      </w:r>
      <w:r>
        <w:rPr>
          <w:rFonts w:ascii="Times New Roman" w:eastAsia="宋体" w:hAnsi="Times New Roman" w:cs="Times New Roman"/>
          <w:color w:val="000000"/>
          <w:kern w:val="0"/>
          <w:sz w:val="20"/>
          <w:szCs w:val="20"/>
          <w:lang w:bidi="ar"/>
        </w:rPr>
        <w:t>udes information concerning the controls and control evaluations referred to in those certifications.</w:t>
      </w:r>
    </w:p>
    <w:p w14:paraId="619E0BF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F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Evaluation of Disclosure Controls and Procedures</w:t>
      </w:r>
    </w:p>
    <w:p w14:paraId="619E0BF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BF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Disclosure controls and procedures (as defined in Rules 13a-15(e) and 15d-15(e) under the </w:t>
      </w:r>
      <w:r>
        <w:rPr>
          <w:rFonts w:ascii="Times New Roman" w:eastAsia="宋体" w:hAnsi="Times New Roman" w:cs="Times New Roman"/>
          <w:color w:val="000000"/>
          <w:kern w:val="0"/>
          <w:sz w:val="20"/>
          <w:szCs w:val="20"/>
          <w:lang w:bidi="ar"/>
        </w:rPr>
        <w:t>Exchange Act) are designed to provide reasonable assurance that information required to be disclosed in reports filed or submitted under the Exchange Act is recorded, processed, summarized, and reported within the time periods specified in SEC rules and fo</w:t>
      </w:r>
      <w:r>
        <w:rPr>
          <w:rFonts w:ascii="Times New Roman" w:eastAsia="宋体" w:hAnsi="Times New Roman" w:cs="Times New Roman"/>
          <w:color w:val="000000"/>
          <w:kern w:val="0"/>
          <w:sz w:val="20"/>
          <w:szCs w:val="20"/>
          <w:lang w:bidi="ar"/>
        </w:rPr>
        <w:t>rms and that such information is accumulated and communicated to management, including the Chief Executive Officer and the Chief Financial Officer, as appropriate to allow timely decisions regarding required disclosures.</w:t>
      </w:r>
    </w:p>
    <w:p w14:paraId="619E0C0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01"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In connection with the preparatio</w:t>
      </w:r>
      <w:r>
        <w:rPr>
          <w:rFonts w:ascii="Times New Roman" w:eastAsia="宋体" w:hAnsi="Times New Roman" w:cs="Times New Roman"/>
          <w:color w:val="000000"/>
          <w:kern w:val="0"/>
          <w:sz w:val="20"/>
          <w:szCs w:val="20"/>
          <w:lang w:bidi="ar"/>
        </w:rPr>
        <w:t>n of this report, our management, under the supervision and with the participation of our Chief Executive Officer and Chief Financial Officer, conducted an evaluation of the effectiveness of the design and operation of our disclosure controls and procedure</w:t>
      </w:r>
      <w:r>
        <w:rPr>
          <w:rFonts w:ascii="Times New Roman" w:eastAsia="宋体" w:hAnsi="Times New Roman" w:cs="Times New Roman"/>
          <w:color w:val="000000"/>
          <w:kern w:val="0"/>
          <w:sz w:val="20"/>
          <w:szCs w:val="20"/>
          <w:lang w:bidi="ar"/>
        </w:rPr>
        <w:t>s as of July 30, 2021. Based on that evaluation, our Chief Executive Officer and Chief Financial Officer have concluded that our disclosure controls and procedures were effective at the reasonable assurance level as of July 30, 2021.</w:t>
      </w:r>
    </w:p>
    <w:p w14:paraId="619E0C0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0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Changes in Internal </w:t>
      </w:r>
      <w:r>
        <w:rPr>
          <w:rFonts w:ascii="Times New Roman" w:eastAsia="宋体" w:hAnsi="Times New Roman" w:cs="Times New Roman"/>
          <w:b/>
          <w:bCs/>
          <w:color w:val="000000"/>
          <w:kern w:val="0"/>
          <w:sz w:val="20"/>
          <w:szCs w:val="20"/>
          <w:lang w:bidi="ar"/>
        </w:rPr>
        <w:t>Control Over Financial Reporting</w:t>
      </w:r>
    </w:p>
    <w:p w14:paraId="619E0C0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0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There were no changes in our internal control over financial reporting during the fiscal quarter ended July 30, 2021 that have materially affected, or are reasonably likely to materially affect, our internal control over </w:t>
      </w:r>
      <w:r>
        <w:rPr>
          <w:rFonts w:ascii="Times New Roman" w:eastAsia="宋体" w:hAnsi="Times New Roman" w:cs="Times New Roman"/>
          <w:color w:val="000000"/>
          <w:kern w:val="0"/>
          <w:sz w:val="20"/>
          <w:szCs w:val="20"/>
          <w:lang w:bidi="ar"/>
        </w:rPr>
        <w:t>financial reporting.</w:t>
      </w:r>
    </w:p>
    <w:p w14:paraId="619E0C06"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C07"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91</w:t>
      </w:r>
    </w:p>
    <w:p w14:paraId="619E0C08"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C09" w14:textId="77777777" w:rsidR="003D72E7" w:rsidRDefault="00AD6774">
      <w:pPr>
        <w:widowControl/>
        <w:jc w:val="center"/>
      </w:pPr>
      <w:r>
        <w:rPr>
          <w:rFonts w:ascii="宋体" w:eastAsia="宋体" w:hAnsi="宋体" w:cs="宋体"/>
          <w:kern w:val="0"/>
          <w:sz w:val="24"/>
        </w:rPr>
        <w:pict w14:anchorId="619E0DC6">
          <v:rect id="_x0000_i1115" style="width:6in;height:1.5pt" o:hralign="center" o:hrstd="t" o:hr="t" fillcolor="#a0a0a0" stroked="f"/>
        </w:pict>
      </w:r>
    </w:p>
    <w:p w14:paraId="619E0C0A"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C0B"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PART II — OTHER INFORMATION</w:t>
      </w:r>
    </w:p>
    <w:p w14:paraId="619E0C0C"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C0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1 — LEGAL PROCEEDINGS</w:t>
      </w:r>
    </w:p>
    <w:p w14:paraId="619E0C0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0F"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The information required by this item is incorporated herein by reference to the informati</w:t>
      </w:r>
      <w:r>
        <w:rPr>
          <w:rFonts w:ascii="Times New Roman" w:eastAsia="宋体" w:hAnsi="Times New Roman" w:cs="Times New Roman"/>
          <w:color w:val="000000"/>
          <w:kern w:val="0"/>
          <w:sz w:val="20"/>
          <w:szCs w:val="20"/>
          <w:shd w:val="clear" w:color="auto" w:fill="FFFFFF"/>
          <w:lang w:bidi="ar"/>
        </w:rPr>
        <w:t xml:space="preserve">on set forth under the caption “Legal Matters” in Note 9 of the </w:t>
      </w:r>
      <w:r>
        <w:rPr>
          <w:rFonts w:ascii="Times New Roman" w:eastAsia="宋体" w:hAnsi="Times New Roman" w:cs="Times New Roman"/>
          <w:color w:val="000000"/>
          <w:kern w:val="0"/>
          <w:sz w:val="20"/>
          <w:szCs w:val="20"/>
          <w:lang w:bidi="ar"/>
        </w:rPr>
        <w:t>Notes to the Condensed Consolidated Financial Statements</w:t>
      </w:r>
      <w:r>
        <w:rPr>
          <w:rFonts w:ascii="Times New Roman" w:eastAsia="宋体" w:hAnsi="Times New Roman" w:cs="Times New Roman"/>
          <w:color w:val="000000"/>
          <w:kern w:val="0"/>
          <w:sz w:val="20"/>
          <w:szCs w:val="20"/>
          <w:shd w:val="clear" w:color="auto" w:fill="FFFFFF"/>
          <w:lang w:bidi="ar"/>
        </w:rPr>
        <w:t xml:space="preserve"> included in Part I of this report.</w:t>
      </w:r>
    </w:p>
    <w:p w14:paraId="619E0C1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11"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1A — RISK FACTORS</w:t>
      </w:r>
    </w:p>
    <w:p w14:paraId="619E0C1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1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 addition to the other information set forth in this report, the </w:t>
      </w:r>
      <w:r>
        <w:rPr>
          <w:rFonts w:ascii="Times New Roman" w:eastAsia="宋体" w:hAnsi="Times New Roman" w:cs="Times New Roman"/>
          <w:color w:val="000000"/>
          <w:kern w:val="0"/>
          <w:sz w:val="20"/>
          <w:szCs w:val="20"/>
          <w:lang w:bidi="ar"/>
        </w:rPr>
        <w:t>risks discussed in “Part I — Item 1A — Risk Factors” in our Annual Report on Form 10-K for the fiscal year ended January 29, 2021 could materially affect our business, operating results, financial condition, or prospects. Further, as a result of the announ</w:t>
      </w:r>
      <w:r>
        <w:rPr>
          <w:rFonts w:ascii="Times New Roman" w:eastAsia="宋体" w:hAnsi="Times New Roman" w:cs="Times New Roman"/>
          <w:color w:val="000000"/>
          <w:kern w:val="0"/>
          <w:sz w:val="20"/>
          <w:szCs w:val="20"/>
          <w:lang w:bidi="ar"/>
        </w:rPr>
        <w:t>cement of our planned VMware Spin-off on April 14, 2021, we are subject to the following additional risks:</w:t>
      </w:r>
    </w:p>
    <w:p w14:paraId="619E0C1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15"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Risks Related to the Announced Spin-Off of VMware, Inc.</w:t>
      </w:r>
    </w:p>
    <w:p w14:paraId="619E0C16"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1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The previously announced spin-off of VMware, Inc. is contingent upon the </w:t>
      </w:r>
      <w:r>
        <w:rPr>
          <w:rFonts w:ascii="Times New Roman" w:eastAsia="宋体" w:hAnsi="Times New Roman" w:cs="Times New Roman"/>
          <w:b/>
          <w:bCs/>
          <w:color w:val="000000"/>
          <w:kern w:val="0"/>
          <w:sz w:val="20"/>
          <w:szCs w:val="20"/>
          <w:lang w:bidi="ar"/>
        </w:rPr>
        <w:t>satisfaction of a number of conditions, may not be completed on the currently contemplated timeline, or at all, and may not achieve the intended benefits.</w:t>
      </w:r>
    </w:p>
    <w:p w14:paraId="619E0C1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1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On April 14, 2021, we announced that we had entered into a definitive agreement with VMware, Inc. p</w:t>
      </w:r>
      <w:r>
        <w:rPr>
          <w:rFonts w:ascii="Times New Roman" w:eastAsia="宋体" w:hAnsi="Times New Roman" w:cs="Times New Roman"/>
          <w:color w:val="000000"/>
          <w:kern w:val="0"/>
          <w:sz w:val="20"/>
          <w:szCs w:val="20"/>
          <w:lang w:bidi="ar"/>
        </w:rPr>
        <w:t>ursuant to which VMware, Inc. will distribute to its stockholders, including us, a special one-time cash dividend, and we will distribute all of the issued and outstanding shares of VMware Common Stock then owned by us to the holders of record of shares of</w:t>
      </w:r>
      <w:r>
        <w:rPr>
          <w:rFonts w:ascii="Times New Roman" w:eastAsia="宋体" w:hAnsi="Times New Roman" w:cs="Times New Roman"/>
          <w:color w:val="000000"/>
          <w:kern w:val="0"/>
          <w:sz w:val="20"/>
          <w:szCs w:val="20"/>
          <w:lang w:bidi="ar"/>
        </w:rPr>
        <w:t xml:space="preserve"> Dell Technologies as of the distribution record date (the “VMware Spin-off”). The VMware Spin-off may not be completed as currently contemplated or at all, and may not provide the benefits that we intend. Completion of the proposed VMware Spin-off is subj</w:t>
      </w:r>
      <w:r>
        <w:rPr>
          <w:rFonts w:ascii="Times New Roman" w:eastAsia="宋体" w:hAnsi="Times New Roman" w:cs="Times New Roman"/>
          <w:color w:val="000000"/>
          <w:kern w:val="0"/>
          <w:sz w:val="20"/>
          <w:szCs w:val="20"/>
          <w:lang w:bidi="ar"/>
        </w:rPr>
        <w:t>ect to certain conditions, including the payment by VMware, Inc. of its special dividend and receipt of a favorable private letter ruling from the Internal Revenue Service and an opinion that the transaction will qualify as generally tax-free for Dell Tech</w:t>
      </w:r>
      <w:r>
        <w:rPr>
          <w:rFonts w:ascii="Times New Roman" w:eastAsia="宋体" w:hAnsi="Times New Roman" w:cs="Times New Roman"/>
          <w:color w:val="000000"/>
          <w:kern w:val="0"/>
          <w:sz w:val="20"/>
          <w:szCs w:val="20"/>
          <w:lang w:bidi="ar"/>
        </w:rPr>
        <w:t>nologies stockholders for U.S. federal income tax purposes. The payment by VMware, Inc. of its special dividend is in turn subject to further conditions including, among other matters, the absence of specified material adverse changes to VMware, Inc. prior</w:t>
      </w:r>
      <w:r>
        <w:rPr>
          <w:rFonts w:ascii="Times New Roman" w:eastAsia="宋体" w:hAnsi="Times New Roman" w:cs="Times New Roman"/>
          <w:color w:val="000000"/>
          <w:kern w:val="0"/>
          <w:sz w:val="20"/>
          <w:szCs w:val="20"/>
          <w:lang w:bidi="ar"/>
        </w:rPr>
        <w:t xml:space="preserve"> to declaration of the special dividend, VMware, Inc. satisfying certain credit rating agency criteria, and VMware, Inc. receiving an opinion from an independent firm regarding surplus and solvency matters. The proposed VMware Spin-off is complex in nature</w:t>
      </w:r>
      <w:r>
        <w:rPr>
          <w:rFonts w:ascii="Times New Roman" w:eastAsia="宋体" w:hAnsi="Times New Roman" w:cs="Times New Roman"/>
          <w:color w:val="000000"/>
          <w:kern w:val="0"/>
          <w:sz w:val="20"/>
          <w:szCs w:val="20"/>
          <w:lang w:bidi="ar"/>
        </w:rPr>
        <w:t xml:space="preserve">, and may be affected by unanticipated developments, disruptions in the credit or equity markets, or changes in general economic conditions. These or other unanticipated developments could delay or prevent the VMware Spin-off or cause it to occur on terms </w:t>
      </w:r>
      <w:r>
        <w:rPr>
          <w:rFonts w:ascii="Times New Roman" w:eastAsia="宋体" w:hAnsi="Times New Roman" w:cs="Times New Roman"/>
          <w:color w:val="000000"/>
          <w:kern w:val="0"/>
          <w:sz w:val="20"/>
          <w:szCs w:val="20"/>
          <w:lang w:bidi="ar"/>
        </w:rPr>
        <w:t xml:space="preserve">or conditions that are less favorable than anticipated. </w:t>
      </w:r>
    </w:p>
    <w:p w14:paraId="619E0C1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1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If the VMware Spin-off is completed, the transaction may not be successful in accomplishing our objectives. There is the potential for business disruption to each company and significant separation</w:t>
      </w:r>
      <w:r>
        <w:rPr>
          <w:rFonts w:ascii="Times New Roman" w:eastAsia="宋体" w:hAnsi="Times New Roman" w:cs="Times New Roman"/>
          <w:color w:val="000000"/>
          <w:kern w:val="0"/>
          <w:sz w:val="20"/>
          <w:szCs w:val="20"/>
          <w:lang w:bidi="ar"/>
        </w:rPr>
        <w:t xml:space="preserve"> costs. Planning and executing the VMware Spin-off will require significant additional time, effort and expense, and may divert the attention of our management and employees, and those of VMware, Inc., from other aspects of the business operations, and any</w:t>
      </w:r>
      <w:r>
        <w:rPr>
          <w:rFonts w:ascii="Times New Roman" w:eastAsia="宋体" w:hAnsi="Times New Roman" w:cs="Times New Roman"/>
          <w:color w:val="000000"/>
          <w:kern w:val="0"/>
          <w:sz w:val="20"/>
          <w:szCs w:val="20"/>
          <w:lang w:bidi="ar"/>
        </w:rPr>
        <w:t xml:space="preserve"> delays in the completion of the transaction may increase the amount of time, effort, and expense that is devoted to the transaction. The VMware Spin-off could cause our customers or customers of VMware, Inc. to delay or defer decisions to purchase product</w:t>
      </w:r>
      <w:r>
        <w:rPr>
          <w:rFonts w:ascii="Times New Roman" w:eastAsia="宋体" w:hAnsi="Times New Roman" w:cs="Times New Roman"/>
          <w:color w:val="000000"/>
          <w:kern w:val="0"/>
          <w:sz w:val="20"/>
          <w:szCs w:val="20"/>
          <w:lang w:bidi="ar"/>
        </w:rPr>
        <w:t>s or renew contracts, or to end their relationships. Any of these factors could have a material adverse effect on our business, financial condition, results of operations, cash flows or the price of our Class C Common Stock. In addition, following the prop</w:t>
      </w:r>
      <w:r>
        <w:rPr>
          <w:rFonts w:ascii="Times New Roman" w:eastAsia="宋体" w:hAnsi="Times New Roman" w:cs="Times New Roman"/>
          <w:color w:val="000000"/>
          <w:kern w:val="0"/>
          <w:sz w:val="20"/>
          <w:szCs w:val="20"/>
          <w:lang w:bidi="ar"/>
        </w:rPr>
        <w:t>osed transaction, the combined value of the common stock of the two companies held by our stockholders may not be equal to or greater than what the value of our common stock alone would have been had the proposed VMware Spin-off not occurred.</w:t>
      </w:r>
    </w:p>
    <w:p w14:paraId="619E0C1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1D"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risks d</w:t>
      </w:r>
      <w:r>
        <w:rPr>
          <w:rFonts w:ascii="Times New Roman" w:eastAsia="宋体" w:hAnsi="Times New Roman" w:cs="Times New Roman"/>
          <w:color w:val="000000"/>
          <w:kern w:val="0"/>
          <w:sz w:val="20"/>
          <w:szCs w:val="20"/>
          <w:lang w:bidi="ar"/>
        </w:rPr>
        <w:t>escribed in our Annual Report on Form 10-K, our subsequent SEC reports, and other risks described above are not the only risks facing us.  There are additional risks and uncertainties not currently known to us or that we currently deem to be immaterial tha</w:t>
      </w:r>
      <w:r>
        <w:rPr>
          <w:rFonts w:ascii="Times New Roman" w:eastAsia="宋体" w:hAnsi="Times New Roman" w:cs="Times New Roman"/>
          <w:color w:val="000000"/>
          <w:kern w:val="0"/>
          <w:sz w:val="20"/>
          <w:szCs w:val="20"/>
          <w:lang w:bidi="ar"/>
        </w:rPr>
        <w:t>t also may materially adversely affect our business, operating results, financial condition, or prospects.</w:t>
      </w:r>
    </w:p>
    <w:p w14:paraId="619E0C1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1F"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C20"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92</w:t>
      </w:r>
    </w:p>
    <w:p w14:paraId="619E0C21"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C22" w14:textId="77777777" w:rsidR="003D72E7" w:rsidRDefault="00AD6774">
      <w:pPr>
        <w:widowControl/>
        <w:jc w:val="center"/>
      </w:pPr>
      <w:r>
        <w:rPr>
          <w:rFonts w:ascii="宋体" w:eastAsia="宋体" w:hAnsi="宋体" w:cs="宋体"/>
          <w:kern w:val="0"/>
          <w:sz w:val="24"/>
        </w:rPr>
        <w:pict w14:anchorId="619E0DC7">
          <v:rect id="_x0000_i1116" style="width:6in;height:1.5pt" o:hralign="center" o:hrstd="t" o:hr="t" fillcolor="#a0a0a0" stroked="f"/>
        </w:pict>
      </w:r>
    </w:p>
    <w:p w14:paraId="619E0C23"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C24"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shd w:val="clear" w:color="auto" w:fill="FFFFFF"/>
          <w:lang w:bidi="ar"/>
        </w:rPr>
        <w:t xml:space="preserve">ITEM 2 — UNREGISTERED SALES OF EQUITY SECURITIES AND USE OF </w:t>
      </w:r>
      <w:r>
        <w:rPr>
          <w:rFonts w:ascii="Times New Roman" w:eastAsia="宋体" w:hAnsi="Times New Roman" w:cs="Times New Roman"/>
          <w:b/>
          <w:bCs/>
          <w:color w:val="000000"/>
          <w:kern w:val="0"/>
          <w:sz w:val="20"/>
          <w:szCs w:val="20"/>
          <w:shd w:val="clear" w:color="auto" w:fill="FFFFFF"/>
          <w:lang w:bidi="ar"/>
        </w:rPr>
        <w:t>PROCEEDS</w:t>
      </w:r>
    </w:p>
    <w:p w14:paraId="619E0C2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2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Sales of Unregistered Securities</w:t>
      </w:r>
    </w:p>
    <w:p w14:paraId="619E0C2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2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During the second quarter of Fiscal 2022, we issued to employees an aggregate of 427 shares of the Class C Common Stock for an immaterial amount pursuant to exercises of stock options granted under the Dell Inc</w:t>
      </w:r>
      <w:r>
        <w:rPr>
          <w:rFonts w:ascii="Times New Roman" w:eastAsia="宋体" w:hAnsi="Times New Roman" w:cs="Times New Roman"/>
          <w:color w:val="000000"/>
          <w:kern w:val="0"/>
          <w:sz w:val="20"/>
          <w:szCs w:val="20"/>
          <w:lang w:bidi="ar"/>
        </w:rPr>
        <w:t xml:space="preserve">. Amended and Restated 2002 Long-Term Incentive Plan. The foregoing transactions were affected without registration in reliance on the exemption from registration under the Securities Act of 1933 afforded by Rule 701 thereunder as transactions pursuant to </w:t>
      </w:r>
      <w:r>
        <w:rPr>
          <w:rFonts w:ascii="Times New Roman" w:eastAsia="宋体" w:hAnsi="Times New Roman" w:cs="Times New Roman"/>
          <w:color w:val="000000"/>
          <w:kern w:val="0"/>
          <w:sz w:val="20"/>
          <w:szCs w:val="20"/>
          <w:lang w:bidi="ar"/>
        </w:rPr>
        <w:t>compensatory benefit plans or contracts relating to compensation as provided under such rule.</w:t>
      </w:r>
    </w:p>
    <w:p w14:paraId="619E0C2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2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Purchases of Equity Securities</w:t>
      </w:r>
    </w:p>
    <w:p w14:paraId="619E0C2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2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following table presents information with respect to our purchases of Class C Common Stock during the second quarter of Fis</w:t>
      </w:r>
      <w:r>
        <w:rPr>
          <w:rFonts w:ascii="Times New Roman" w:eastAsia="宋体" w:hAnsi="Times New Roman" w:cs="Times New Roman"/>
          <w:color w:val="000000"/>
          <w:kern w:val="0"/>
          <w:sz w:val="20"/>
          <w:szCs w:val="20"/>
          <w:lang w:bidi="ar"/>
        </w:rPr>
        <w:t>cal 2022.</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4"/>
        <w:gridCol w:w="2771"/>
        <w:gridCol w:w="36"/>
        <w:gridCol w:w="56"/>
        <w:gridCol w:w="1291"/>
        <w:gridCol w:w="36"/>
        <w:gridCol w:w="36"/>
        <w:gridCol w:w="36"/>
        <w:gridCol w:w="36"/>
        <w:gridCol w:w="121"/>
        <w:gridCol w:w="835"/>
        <w:gridCol w:w="36"/>
        <w:gridCol w:w="36"/>
        <w:gridCol w:w="36"/>
        <w:gridCol w:w="36"/>
        <w:gridCol w:w="61"/>
        <w:gridCol w:w="1265"/>
        <w:gridCol w:w="36"/>
        <w:gridCol w:w="36"/>
        <w:gridCol w:w="36"/>
        <w:gridCol w:w="36"/>
        <w:gridCol w:w="67"/>
        <w:gridCol w:w="1311"/>
        <w:gridCol w:w="36"/>
      </w:tblGrid>
      <w:tr w:rsidR="003D72E7" w14:paraId="619E0C45" w14:textId="77777777">
        <w:tc>
          <w:tcPr>
            <w:tcW w:w="50" w:type="pct"/>
            <w:tcBorders>
              <w:top w:val="nil"/>
              <w:left w:val="nil"/>
              <w:bottom w:val="nil"/>
              <w:right w:val="nil"/>
            </w:tcBorders>
            <w:shd w:val="clear" w:color="auto" w:fill="auto"/>
            <w:vAlign w:val="bottom"/>
          </w:tcPr>
          <w:p w14:paraId="619E0C2D" w14:textId="77777777" w:rsidR="003D72E7" w:rsidRDefault="003D72E7">
            <w:pPr>
              <w:widowControl/>
              <w:jc w:val="left"/>
              <w:rPr>
                <w:rFonts w:ascii="Times New Roman" w:eastAsia="宋体" w:hAnsi="宋体" w:cs="宋体"/>
                <w:kern w:val="0"/>
                <w:sz w:val="24"/>
              </w:rPr>
            </w:pPr>
          </w:p>
        </w:tc>
        <w:tc>
          <w:tcPr>
            <w:tcW w:w="1676" w:type="pct"/>
            <w:tcBorders>
              <w:top w:val="nil"/>
              <w:left w:val="nil"/>
              <w:bottom w:val="nil"/>
              <w:right w:val="nil"/>
            </w:tcBorders>
            <w:shd w:val="clear" w:color="auto" w:fill="auto"/>
            <w:vAlign w:val="bottom"/>
          </w:tcPr>
          <w:p w14:paraId="619E0C2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2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C30" w14:textId="77777777" w:rsidR="003D72E7" w:rsidRDefault="003D72E7">
            <w:pPr>
              <w:widowControl/>
              <w:jc w:val="left"/>
              <w:rPr>
                <w:rFonts w:ascii="Times New Roman" w:eastAsia="宋体" w:hAnsi="宋体" w:cs="宋体"/>
                <w:kern w:val="0"/>
                <w:sz w:val="24"/>
              </w:rPr>
            </w:pPr>
          </w:p>
        </w:tc>
        <w:tc>
          <w:tcPr>
            <w:tcW w:w="791" w:type="pct"/>
            <w:tcBorders>
              <w:top w:val="nil"/>
              <w:left w:val="nil"/>
              <w:bottom w:val="nil"/>
              <w:right w:val="nil"/>
            </w:tcBorders>
            <w:shd w:val="clear" w:color="auto" w:fill="auto"/>
            <w:vAlign w:val="bottom"/>
          </w:tcPr>
          <w:p w14:paraId="619E0C3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32"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33" w14:textId="77777777" w:rsidR="003D72E7" w:rsidRDefault="003D72E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619E0C3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35"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C36" w14:textId="77777777" w:rsidR="003D72E7" w:rsidRDefault="003D72E7">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619E0C37"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38"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39" w14:textId="77777777" w:rsidR="003D72E7" w:rsidRDefault="003D72E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619E0C3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3B"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C3C" w14:textId="77777777" w:rsidR="003D72E7" w:rsidRDefault="003D72E7">
            <w:pPr>
              <w:widowControl/>
              <w:jc w:val="left"/>
              <w:rPr>
                <w:rFonts w:ascii="Times New Roman" w:eastAsia="宋体" w:hAnsi="宋体" w:cs="宋体"/>
                <w:kern w:val="0"/>
                <w:sz w:val="24"/>
              </w:rPr>
            </w:pPr>
          </w:p>
        </w:tc>
        <w:tc>
          <w:tcPr>
            <w:tcW w:w="791" w:type="pct"/>
            <w:tcBorders>
              <w:top w:val="nil"/>
              <w:left w:val="nil"/>
              <w:bottom w:val="nil"/>
              <w:right w:val="nil"/>
            </w:tcBorders>
            <w:shd w:val="clear" w:color="auto" w:fill="auto"/>
            <w:vAlign w:val="bottom"/>
          </w:tcPr>
          <w:p w14:paraId="619E0C3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3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3F" w14:textId="77777777" w:rsidR="003D72E7" w:rsidRDefault="003D72E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619E0C4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41"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C42" w14:textId="77777777" w:rsidR="003D72E7" w:rsidRDefault="003D72E7">
            <w:pPr>
              <w:widowControl/>
              <w:jc w:val="left"/>
              <w:rPr>
                <w:rFonts w:ascii="Times New Roman" w:eastAsia="宋体" w:hAnsi="宋体" w:cs="宋体"/>
                <w:kern w:val="0"/>
                <w:sz w:val="24"/>
              </w:rPr>
            </w:pPr>
          </w:p>
        </w:tc>
        <w:tc>
          <w:tcPr>
            <w:tcW w:w="822" w:type="pct"/>
            <w:tcBorders>
              <w:top w:val="nil"/>
              <w:left w:val="nil"/>
              <w:bottom w:val="nil"/>
              <w:right w:val="nil"/>
            </w:tcBorders>
            <w:shd w:val="clear" w:color="auto" w:fill="auto"/>
            <w:vAlign w:val="bottom"/>
          </w:tcPr>
          <w:p w14:paraId="619E0C43"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44" w14:textId="77777777" w:rsidR="003D72E7" w:rsidRDefault="003D72E7">
            <w:pPr>
              <w:widowControl/>
              <w:jc w:val="left"/>
              <w:rPr>
                <w:rFonts w:ascii="Times New Roman" w:eastAsia="宋体" w:hAnsi="宋体" w:cs="宋体"/>
                <w:kern w:val="0"/>
                <w:sz w:val="24"/>
              </w:rPr>
            </w:pPr>
          </w:p>
        </w:tc>
      </w:tr>
      <w:tr w:rsidR="003D72E7" w14:paraId="619E0C4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C4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Period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C47"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Number of Shares Purchased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4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C49"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Weighted Average Price Paid per Share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4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C4B"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Total Number of Shares Purchased as Part of Publicly Announced Programs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4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C4D"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 xml:space="preserve">Approximate Dollar Value of Shares that May Yet Be </w:t>
            </w:r>
            <w:r>
              <w:rPr>
                <w:rFonts w:ascii="Times New Roman" w:eastAsia="宋体" w:hAnsi="Times New Roman" w:cs="Times New Roman"/>
                <w:b/>
                <w:bCs/>
                <w:color w:val="000000"/>
                <w:kern w:val="0"/>
                <w:sz w:val="20"/>
                <w:szCs w:val="20"/>
                <w:lang w:bidi="ar"/>
              </w:rPr>
              <w:t>Purchased Under the Programs</w:t>
            </w:r>
          </w:p>
        </w:tc>
      </w:tr>
      <w:tr w:rsidR="003D72E7" w14:paraId="619E0C5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619E0C4F"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Repurchases from May 1, 2021 through May 28,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E0C50"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E0C51"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C52" w14:textId="77777777" w:rsidR="003D72E7" w:rsidRDefault="003D72E7">
            <w:pPr>
              <w:widowControl/>
              <w:jc w:val="left"/>
              <w:rPr>
                <w:rFonts w:ascii="Times New Roman" w:eastAsia="宋体" w:hAnsi="宋体" w:cs="宋体"/>
                <w:kern w:val="0"/>
                <w:sz w:val="24"/>
              </w:rPr>
            </w:pPr>
          </w:p>
        </w:tc>
        <w:tc>
          <w:tcPr>
            <w:tcW w:w="0" w:type="auto"/>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E0C53"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single" w:sz="8" w:space="0" w:color="000000"/>
              <w:left w:val="nil"/>
              <w:bottom w:val="nil"/>
              <w:right w:val="nil"/>
            </w:tcBorders>
            <w:shd w:val="clear" w:color="auto" w:fill="CCEEFF"/>
            <w:tcMar>
              <w:top w:w="40" w:type="dxa"/>
              <w:left w:w="0" w:type="dxa"/>
              <w:bottom w:w="40" w:type="dxa"/>
              <w:right w:w="0" w:type="dxa"/>
            </w:tcMar>
            <w:vAlign w:val="bottom"/>
          </w:tcPr>
          <w:p w14:paraId="619E0C5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E0C5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C56"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619E0C5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619E0C5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C5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619E0C5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NA</w:t>
            </w:r>
          </w:p>
        </w:tc>
      </w:tr>
      <w:tr w:rsidR="003D72E7" w14:paraId="619E0C6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E0C5C"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Repurchases from May 29, 2021 through June 25, 2021 </w:t>
            </w:r>
            <w:r>
              <w:rPr>
                <w:rFonts w:ascii="Times New Roman" w:eastAsia="宋体" w:hAnsi="Times New Roman" w:cs="Times New Roman"/>
                <w:color w:val="000000"/>
                <w:kern w:val="0"/>
                <w:sz w:val="12"/>
                <w:szCs w:val="12"/>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C5D"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29,658 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C5E"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C5F"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C60"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C6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C6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C63"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619E0C6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C65"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C6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E0C6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NA</w:t>
            </w:r>
          </w:p>
        </w:tc>
      </w:tr>
      <w:tr w:rsidR="003D72E7" w14:paraId="619E0C7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C69"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Repurchases from June 26, 2021 through July 30, 2021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C6A"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C6B"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C6C"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CCEEFF"/>
            <w:tcMar>
              <w:top w:w="40" w:type="dxa"/>
              <w:left w:w="20" w:type="dxa"/>
              <w:bottom w:w="40" w:type="dxa"/>
              <w:right w:w="0" w:type="dxa"/>
            </w:tcMar>
            <w:vAlign w:val="bottom"/>
          </w:tcPr>
          <w:p w14:paraId="619E0C6D"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CCEEFF"/>
            <w:tcMar>
              <w:top w:w="40" w:type="dxa"/>
              <w:left w:w="0" w:type="dxa"/>
              <w:bottom w:w="40" w:type="dxa"/>
              <w:right w:w="0" w:type="dxa"/>
            </w:tcMar>
            <w:vAlign w:val="bottom"/>
          </w:tcPr>
          <w:p w14:paraId="619E0C6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C6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C70" w14:textId="77777777" w:rsidR="003D72E7" w:rsidRDefault="003D72E7">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619E0C7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619E0C72"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619E0C73"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619E0C74"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NA</w:t>
            </w:r>
          </w:p>
        </w:tc>
      </w:tr>
      <w:tr w:rsidR="003D72E7" w14:paraId="619E0C8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E0C76"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E0C77"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29,658 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E0C78"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C79" w14:textId="77777777" w:rsidR="003D72E7" w:rsidRDefault="003D72E7">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FFFFFF"/>
            <w:tcMar>
              <w:top w:w="40" w:type="dxa"/>
              <w:left w:w="20" w:type="dxa"/>
              <w:bottom w:w="40" w:type="dxa"/>
              <w:right w:w="0" w:type="dxa"/>
            </w:tcMar>
            <w:vAlign w:val="bottom"/>
          </w:tcPr>
          <w:p w14:paraId="619E0C7A"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tcBorders>
              <w:top w:val="nil"/>
              <w:left w:val="nil"/>
              <w:bottom w:val="nil"/>
              <w:right w:val="nil"/>
            </w:tcBorders>
            <w:shd w:val="clear" w:color="auto" w:fill="FFFFFF"/>
            <w:tcMar>
              <w:top w:w="40" w:type="dxa"/>
              <w:left w:w="0" w:type="dxa"/>
              <w:bottom w:w="40" w:type="dxa"/>
              <w:right w:w="0" w:type="dxa"/>
            </w:tcMar>
            <w:vAlign w:val="bottom"/>
          </w:tcPr>
          <w:p w14:paraId="619E0C7B"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98.64 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619E0C7C"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C7D" w14:textId="77777777" w:rsidR="003D72E7" w:rsidRDefault="003D72E7">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619E0C7E"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619E0C7F" w14:textId="77777777" w:rsidR="003D72E7" w:rsidRDefault="003D72E7">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619E0C80"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619E0C81" w14:textId="77777777" w:rsidR="003D72E7" w:rsidRDefault="00AD6774">
            <w:pPr>
              <w:widowControl/>
              <w:jc w:val="righ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NA</w:t>
            </w:r>
          </w:p>
        </w:tc>
      </w:tr>
    </w:tbl>
    <w:p w14:paraId="619E0C8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____________________</w:t>
      </w:r>
    </w:p>
    <w:p w14:paraId="619E0C84" w14:textId="77777777" w:rsidR="003D72E7" w:rsidRDefault="00AD6774">
      <w:pPr>
        <w:widowControl/>
        <w:ind w:left="360" w:hanging="360"/>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(1) Represents previously issued shares delivered to the Company to satisfy tax withholding obligations in connection with the vesting of emplo</w:t>
      </w:r>
      <w:r>
        <w:rPr>
          <w:rFonts w:ascii="Times New Roman" w:eastAsia="宋体" w:hAnsi="Times New Roman" w:cs="Times New Roman"/>
          <w:color w:val="000000"/>
          <w:kern w:val="0"/>
          <w:sz w:val="20"/>
          <w:szCs w:val="20"/>
          <w:lang w:bidi="ar"/>
        </w:rPr>
        <w:t>yee restricted stock awards.</w:t>
      </w:r>
    </w:p>
    <w:p w14:paraId="619E0C8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86"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On February 24, 2020, the Company’s board of directors approved a stock repurchase program under which the Company is authorized to repurchase up to $1.0 billion of shares of the Class C Common Stock over a 24-month period ex</w:t>
      </w:r>
      <w:r>
        <w:rPr>
          <w:rFonts w:ascii="Times New Roman" w:eastAsia="宋体" w:hAnsi="Times New Roman" w:cs="Times New Roman"/>
          <w:color w:val="000000"/>
          <w:kern w:val="0"/>
          <w:sz w:val="20"/>
          <w:szCs w:val="20"/>
          <w:lang w:bidi="ar"/>
        </w:rPr>
        <w:t>piring on February 28, 2022. During the six months ended July 31, 2020, the Company suspended activity under the program.</w:t>
      </w:r>
    </w:p>
    <w:p w14:paraId="619E0C8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88"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5 — OTHER INFORMATION</w:t>
      </w:r>
    </w:p>
    <w:p w14:paraId="619E0C8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8A"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Iran Threat Reduction and Syria Human Rights Act of 2012</w:t>
      </w:r>
    </w:p>
    <w:p w14:paraId="619E0C8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8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Set forth below is a description of </w:t>
      </w:r>
      <w:r>
        <w:rPr>
          <w:rFonts w:ascii="Times New Roman" w:eastAsia="宋体" w:hAnsi="Times New Roman" w:cs="Times New Roman"/>
          <w:color w:val="000000"/>
          <w:kern w:val="0"/>
          <w:sz w:val="20"/>
          <w:szCs w:val="20"/>
          <w:lang w:bidi="ar"/>
        </w:rPr>
        <w:t>matters reported by us pursuant to Section 219 of the Iran Threat Reduction and Syria Human Rights Act of 2012 and Section 13(r) of the Exchange Act. Concurrently with the filing of this quarterly report, we are filing a notice pursuant to Section 13(r) of</w:t>
      </w:r>
      <w:r>
        <w:rPr>
          <w:rFonts w:ascii="Times New Roman" w:eastAsia="宋体" w:hAnsi="Times New Roman" w:cs="Times New Roman"/>
          <w:color w:val="000000"/>
          <w:kern w:val="0"/>
          <w:sz w:val="20"/>
          <w:szCs w:val="20"/>
          <w:lang w:bidi="ar"/>
        </w:rPr>
        <w:t xml:space="preserve"> the Exchange Act that such matters have been disclosed in this quarterly report.</w:t>
      </w:r>
    </w:p>
    <w:p w14:paraId="619E0C8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8E"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On March 2, 2021, the U.S. government designated the Russian Federal Security Service (the “FSB”) as a blocked party under Executive Order 13382. On the same day, the U.S. </w:t>
      </w:r>
      <w:r>
        <w:rPr>
          <w:rFonts w:ascii="Times New Roman" w:eastAsia="宋体" w:hAnsi="Times New Roman" w:cs="Times New Roman"/>
          <w:color w:val="000000"/>
          <w:kern w:val="0"/>
          <w:sz w:val="20"/>
          <w:szCs w:val="20"/>
          <w:lang w:bidi="ar"/>
        </w:rPr>
        <w:t>Department of the Treasury’s Office of Foreign Assets Control issued General License No. 1B (the “OFAC General License”), which generally authorizes U.S. companies to engage in certain licensing, permitting, certification, notification and related transact</w:t>
      </w:r>
      <w:r>
        <w:rPr>
          <w:rFonts w:ascii="Times New Roman" w:eastAsia="宋体" w:hAnsi="Times New Roman" w:cs="Times New Roman"/>
          <w:color w:val="000000"/>
          <w:kern w:val="0"/>
          <w:sz w:val="20"/>
          <w:szCs w:val="20"/>
          <w:lang w:bidi="ar"/>
        </w:rPr>
        <w:t>ions with the FSB to the extent such activities are required for the importation, distribution, or use of information technology products in the Russian Federation.</w:t>
      </w:r>
    </w:p>
    <w:p w14:paraId="619E0C8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90"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As permitted under the OFAC General License, our subsidiary Dell LLC and other subsidiari</w:t>
      </w:r>
      <w:r>
        <w:rPr>
          <w:rFonts w:ascii="Times New Roman" w:eastAsia="宋体" w:hAnsi="Times New Roman" w:cs="Times New Roman"/>
          <w:color w:val="000000"/>
          <w:kern w:val="0"/>
          <w:sz w:val="20"/>
          <w:szCs w:val="20"/>
          <w:lang w:bidi="ar"/>
        </w:rPr>
        <w:t>es periodically file notifications with the FSB in connection with the importation and distribution of our products in the Russian Federation. During our fiscal quarter ended July 30, 2021, Dell LLC filed notifications with the FSB. No payments were issued</w:t>
      </w:r>
      <w:r>
        <w:rPr>
          <w:rFonts w:ascii="Times New Roman" w:eastAsia="宋体" w:hAnsi="Times New Roman" w:cs="Times New Roman"/>
          <w:color w:val="000000"/>
          <w:kern w:val="0"/>
          <w:sz w:val="20"/>
          <w:szCs w:val="20"/>
          <w:lang w:bidi="ar"/>
        </w:rPr>
        <w:t xml:space="preserve"> or received, and no gross revenue or net profits were generated, in connection with these filing activities. Dell Technologies and its subsidiaries do not sell products or provide services to the FSB. To the extent permitted by applicable law, including b</w:t>
      </w:r>
      <w:r>
        <w:rPr>
          <w:rFonts w:ascii="Times New Roman" w:eastAsia="宋体" w:hAnsi="Times New Roman" w:cs="Times New Roman"/>
          <w:color w:val="000000"/>
          <w:kern w:val="0"/>
          <w:sz w:val="20"/>
          <w:szCs w:val="20"/>
          <w:lang w:bidi="ar"/>
        </w:rPr>
        <w:t>y the OFAC General License, we expect to continue to file notifications with the FSB to qualify our products for importation and distribution in the Russian Federation.</w:t>
      </w:r>
    </w:p>
    <w:p w14:paraId="619E0C91"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92"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C93"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93</w:t>
      </w:r>
    </w:p>
    <w:p w14:paraId="619E0C94"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C95" w14:textId="77777777" w:rsidR="003D72E7" w:rsidRDefault="00AD6774">
      <w:pPr>
        <w:widowControl/>
        <w:jc w:val="center"/>
      </w:pPr>
      <w:r>
        <w:rPr>
          <w:rFonts w:ascii="宋体" w:eastAsia="宋体" w:hAnsi="宋体" w:cs="宋体"/>
          <w:kern w:val="0"/>
          <w:sz w:val="24"/>
        </w:rPr>
        <w:pict w14:anchorId="619E0DC8">
          <v:rect id="_x0000_i1117" style="width:6in;height:1.5pt" o:hralign="center" o:hrstd="t" o:hr="t" fillcolor="#a0a0a0" stroked="f"/>
        </w:pict>
      </w:r>
    </w:p>
    <w:p w14:paraId="619E0C96"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C97"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b/>
          <w:bCs/>
          <w:color w:val="000000"/>
          <w:kern w:val="0"/>
          <w:sz w:val="20"/>
          <w:szCs w:val="20"/>
          <w:lang w:bidi="ar"/>
        </w:rPr>
        <w:t>ITEM 6 — EXHIBITS</w:t>
      </w:r>
    </w:p>
    <w:p w14:paraId="619E0C9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99"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The Company hereby files or furnishes the exhibits listed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78"/>
        <w:gridCol w:w="976"/>
        <w:gridCol w:w="38"/>
        <w:gridCol w:w="36"/>
        <w:gridCol w:w="36"/>
        <w:gridCol w:w="36"/>
        <w:gridCol w:w="45"/>
        <w:gridCol w:w="7054"/>
        <w:gridCol w:w="37"/>
      </w:tblGrid>
      <w:tr w:rsidR="003D72E7" w14:paraId="619E0CA3" w14:textId="77777777">
        <w:trPr>
          <w:jc w:val="center"/>
        </w:trPr>
        <w:tc>
          <w:tcPr>
            <w:tcW w:w="50" w:type="pct"/>
            <w:tcBorders>
              <w:top w:val="nil"/>
              <w:left w:val="nil"/>
              <w:bottom w:val="nil"/>
              <w:right w:val="nil"/>
            </w:tcBorders>
            <w:shd w:val="clear" w:color="auto" w:fill="auto"/>
            <w:vAlign w:val="bottom"/>
          </w:tcPr>
          <w:p w14:paraId="619E0C9A" w14:textId="77777777" w:rsidR="003D72E7" w:rsidRDefault="003D72E7">
            <w:pPr>
              <w:widowControl/>
              <w:jc w:val="left"/>
              <w:rPr>
                <w:rFonts w:ascii="Times New Roman" w:eastAsia="宋体" w:hAnsi="宋体" w:cs="宋体"/>
                <w:kern w:val="0"/>
                <w:sz w:val="24"/>
              </w:rPr>
            </w:pPr>
          </w:p>
        </w:tc>
        <w:tc>
          <w:tcPr>
            <w:tcW w:w="610" w:type="pct"/>
            <w:tcBorders>
              <w:top w:val="nil"/>
              <w:left w:val="nil"/>
              <w:bottom w:val="nil"/>
              <w:right w:val="nil"/>
            </w:tcBorders>
            <w:shd w:val="clear" w:color="auto" w:fill="auto"/>
            <w:vAlign w:val="bottom"/>
          </w:tcPr>
          <w:p w14:paraId="619E0C9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9C"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9D" w14:textId="77777777" w:rsidR="003D72E7" w:rsidRDefault="003D72E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619E0C9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9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CA0" w14:textId="77777777" w:rsidR="003D72E7" w:rsidRDefault="003D72E7">
            <w:pPr>
              <w:widowControl/>
              <w:jc w:val="left"/>
              <w:rPr>
                <w:rFonts w:ascii="Times New Roman" w:eastAsia="宋体" w:hAnsi="宋体" w:cs="宋体"/>
                <w:kern w:val="0"/>
                <w:sz w:val="24"/>
              </w:rPr>
            </w:pPr>
          </w:p>
        </w:tc>
        <w:tc>
          <w:tcPr>
            <w:tcW w:w="4243" w:type="pct"/>
            <w:tcBorders>
              <w:top w:val="nil"/>
              <w:left w:val="nil"/>
              <w:bottom w:val="nil"/>
              <w:right w:val="nil"/>
            </w:tcBorders>
            <w:shd w:val="clear" w:color="auto" w:fill="auto"/>
            <w:vAlign w:val="bottom"/>
          </w:tcPr>
          <w:p w14:paraId="619E0CA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A2" w14:textId="77777777" w:rsidR="003D72E7" w:rsidRDefault="003D72E7">
            <w:pPr>
              <w:widowControl/>
              <w:jc w:val="left"/>
              <w:rPr>
                <w:rFonts w:ascii="Times New Roman" w:eastAsia="宋体" w:hAnsi="宋体" w:cs="宋体"/>
                <w:kern w:val="0"/>
                <w:sz w:val="24"/>
              </w:rPr>
            </w:pPr>
          </w:p>
        </w:tc>
      </w:tr>
      <w:tr w:rsidR="003D72E7" w14:paraId="619E0CA7" w14:textId="77777777">
        <w:trPr>
          <w:jc w:val="center"/>
        </w:trPr>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CA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Exhibit Number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A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619E0CA6"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b/>
                <w:bCs/>
                <w:color w:val="000000"/>
                <w:kern w:val="0"/>
                <w:sz w:val="20"/>
                <w:szCs w:val="20"/>
                <w:lang w:bidi="ar"/>
              </w:rPr>
              <w:t>Description</w:t>
            </w:r>
          </w:p>
        </w:tc>
      </w:tr>
      <w:tr w:rsidR="003D72E7" w14:paraId="619E0CAB" w14:textId="77777777">
        <w:trPr>
          <w:jc w:val="center"/>
        </w:trPr>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619E0CA8" w14:textId="77777777" w:rsidR="003D72E7" w:rsidRDefault="00AD6774">
            <w:pPr>
              <w:widowControl/>
              <w:jc w:val="right"/>
              <w:textAlignment w:val="top"/>
              <w:rPr>
                <w:rFonts w:ascii="宋体" w:eastAsia="宋体" w:hAnsi="宋体" w:cs="宋体"/>
                <w:kern w:val="0"/>
                <w:sz w:val="24"/>
              </w:rPr>
            </w:pPr>
            <w:hyperlink r:id="rId6" w:history="1">
              <w:r>
                <w:rPr>
                  <w:rStyle w:val="a4"/>
                  <w:rFonts w:ascii="Times New Roman" w:eastAsia="宋体" w:hAnsi="Times New Roman" w:cs="Times New Roman"/>
                  <w:kern w:val="0"/>
                  <w:sz w:val="20"/>
                  <w:szCs w:val="20"/>
                </w:rPr>
                <w:t>4.1††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A9"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619E0CAA" w14:textId="77777777" w:rsidR="003D72E7" w:rsidRDefault="00AD6774">
            <w:pPr>
              <w:widowControl/>
              <w:jc w:val="left"/>
              <w:textAlignment w:val="top"/>
              <w:rPr>
                <w:rFonts w:ascii="宋体" w:eastAsia="宋体" w:hAnsi="宋体" w:cs="宋体"/>
                <w:kern w:val="0"/>
                <w:sz w:val="24"/>
              </w:rPr>
            </w:pPr>
            <w:hyperlink r:id="rId7" w:history="1">
              <w:r>
                <w:rPr>
                  <w:rStyle w:val="a4"/>
                  <w:rFonts w:ascii="Times New Roman" w:eastAsia="宋体" w:hAnsi="Times New Roman" w:cs="Times New Roman"/>
                  <w:kern w:val="0"/>
                  <w:sz w:val="20"/>
                  <w:szCs w:val="20"/>
                </w:rPr>
                <w:t>Consent to the Extension of Registration</w:t>
              </w:r>
              <w:r>
                <w:rPr>
                  <w:rStyle w:val="a4"/>
                  <w:rFonts w:ascii="Times New Roman" w:eastAsia="宋体" w:hAnsi="Times New Roman" w:cs="Times New Roman"/>
                  <w:kern w:val="0"/>
                  <w:sz w:val="20"/>
                  <w:szCs w:val="20"/>
                </w:rPr>
                <w:t xml:space="preserve"> Rights Under the Second Amended and Restated Registration Rights Agreement, dated June 17, 2021, among Dell Technologies Inc. (the “Company”) and SL SPV-2 L.P., Silver Lake Partners IV, L.P., Silver Lake Technology Investors IV, L.P., Silver Lake Partners</w:t>
              </w:r>
              <w:r>
                <w:rPr>
                  <w:rStyle w:val="a4"/>
                  <w:rFonts w:ascii="Times New Roman" w:eastAsia="宋体" w:hAnsi="Times New Roman" w:cs="Times New Roman"/>
                  <w:kern w:val="0"/>
                  <w:sz w:val="20"/>
                  <w:szCs w:val="20"/>
                </w:rPr>
                <w:t xml:space="preserve"> V DE (AIV), L.P., Silver Lake Technology Investors V, L.P.</w:t>
              </w:r>
            </w:hyperlink>
          </w:p>
        </w:tc>
      </w:tr>
      <w:tr w:rsidR="003D72E7" w14:paraId="619E0CA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AC" w14:textId="77777777" w:rsidR="003D72E7" w:rsidRDefault="00AD6774">
            <w:pPr>
              <w:widowControl/>
              <w:jc w:val="right"/>
              <w:textAlignment w:val="top"/>
              <w:rPr>
                <w:rFonts w:ascii="宋体" w:eastAsia="宋体" w:hAnsi="宋体" w:cs="宋体"/>
                <w:kern w:val="0"/>
                <w:sz w:val="24"/>
              </w:rPr>
            </w:pPr>
            <w:hyperlink r:id="rId8" w:history="1">
              <w:r>
                <w:rPr>
                  <w:rStyle w:val="a4"/>
                  <w:rFonts w:ascii="Times New Roman" w:eastAsia="宋体" w:hAnsi="Times New Roman" w:cs="Times New Roman"/>
                  <w:kern w:val="0"/>
                  <w:sz w:val="20"/>
                  <w:szCs w:val="20"/>
                </w:rPr>
                <w:t>22.1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A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AE" w14:textId="77777777" w:rsidR="003D72E7" w:rsidRDefault="00AD6774">
            <w:pPr>
              <w:widowControl/>
              <w:jc w:val="left"/>
              <w:textAlignment w:val="top"/>
              <w:rPr>
                <w:rFonts w:ascii="宋体" w:eastAsia="宋体" w:hAnsi="宋体" w:cs="宋体"/>
                <w:kern w:val="0"/>
                <w:sz w:val="24"/>
              </w:rPr>
            </w:pPr>
            <w:hyperlink r:id="rId9" w:history="1">
              <w:r>
                <w:rPr>
                  <w:rStyle w:val="a4"/>
                  <w:rFonts w:ascii="Times New Roman" w:eastAsia="宋体" w:hAnsi="Times New Roman" w:cs="Times New Roman"/>
                  <w:kern w:val="0"/>
                  <w:sz w:val="20"/>
                  <w:szCs w:val="20"/>
                </w:rPr>
                <w:t>List of Guarantor Subsidiaries and Issuers of</w:t>
              </w:r>
              <w:r>
                <w:rPr>
                  <w:rStyle w:val="a4"/>
                  <w:rFonts w:ascii="Times New Roman" w:eastAsia="宋体" w:hAnsi="Times New Roman" w:cs="Times New Roman"/>
                  <w:kern w:val="0"/>
                  <w:sz w:val="20"/>
                  <w:szCs w:val="20"/>
                </w:rPr>
                <w:t xml:space="preserve"> Guaranteed Securities and Affiliates Whose Securities Collateralize Securities of Dell Technologies Inc.</w:t>
              </w:r>
            </w:hyperlink>
            <w:r>
              <w:rPr>
                <w:rFonts w:ascii="Times New Roman" w:eastAsia="宋体" w:hAnsi="Times New Roman" w:cs="Times New Roman"/>
                <w:color w:val="000000"/>
                <w:kern w:val="0"/>
                <w:sz w:val="20"/>
                <w:szCs w:val="20"/>
                <w:lang w:bidi="ar"/>
              </w:rPr>
              <w:t xml:space="preserve"> </w:t>
            </w:r>
            <w:r>
              <w:rPr>
                <w:rFonts w:ascii="Times New Roman" w:eastAsia="宋体" w:hAnsi="Times New Roman" w:cs="Times New Roman"/>
                <w:color w:val="0000FF"/>
                <w:kern w:val="0"/>
                <w:sz w:val="20"/>
                <w:szCs w:val="20"/>
                <w:u w:val="single"/>
                <w:lang w:bidi="ar"/>
              </w:rPr>
              <w:t>(incorporated by reference to Exhibit 22.1 to the Company’s Quarterly Report on Form 10</w:t>
            </w:r>
            <w:r>
              <w:rPr>
                <w:rFonts w:ascii="Times New Roman" w:eastAsia="宋体" w:hAnsi="Times New Roman" w:cs="Times New Roman"/>
                <w:color w:val="0000FF"/>
                <w:kern w:val="0"/>
                <w:sz w:val="20"/>
                <w:szCs w:val="20"/>
                <w:u w:val="single"/>
                <w:lang w:bidi="ar"/>
              </w:rPr>
              <w:noBreakHyphen/>
              <w:t>Q for the quarterly period ended April 30, 2021) (Commissio</w:t>
            </w:r>
            <w:r>
              <w:rPr>
                <w:rFonts w:ascii="Times New Roman" w:eastAsia="宋体" w:hAnsi="Times New Roman" w:cs="Times New Roman"/>
                <w:color w:val="0000FF"/>
                <w:kern w:val="0"/>
                <w:sz w:val="20"/>
                <w:szCs w:val="20"/>
                <w:u w:val="single"/>
                <w:lang w:bidi="ar"/>
              </w:rPr>
              <w:t>n File No. 001-37867).</w:t>
            </w:r>
          </w:p>
        </w:tc>
      </w:tr>
      <w:tr w:rsidR="003D72E7" w14:paraId="619E0CB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B0" w14:textId="77777777" w:rsidR="003D72E7" w:rsidRDefault="00AD6774">
            <w:pPr>
              <w:widowControl/>
              <w:jc w:val="right"/>
              <w:textAlignment w:val="top"/>
              <w:rPr>
                <w:rFonts w:ascii="宋体" w:eastAsia="宋体" w:hAnsi="宋体" w:cs="宋体"/>
                <w:kern w:val="0"/>
                <w:sz w:val="24"/>
              </w:rPr>
            </w:pPr>
            <w:hyperlink r:id="rId10" w:history="1">
              <w:r>
                <w:rPr>
                  <w:rStyle w:val="a4"/>
                  <w:rFonts w:ascii="Times New Roman" w:eastAsia="宋体" w:hAnsi="Times New Roman" w:cs="Times New Roman"/>
                  <w:kern w:val="0"/>
                  <w:sz w:val="20"/>
                  <w:szCs w:val="20"/>
                </w:rPr>
                <w:t>31.1††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B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B2" w14:textId="77777777" w:rsidR="003D72E7" w:rsidRDefault="00AD6774">
            <w:pPr>
              <w:widowControl/>
              <w:jc w:val="left"/>
              <w:textAlignment w:val="top"/>
              <w:rPr>
                <w:rFonts w:ascii="宋体" w:eastAsia="宋体" w:hAnsi="宋体" w:cs="宋体"/>
                <w:kern w:val="0"/>
                <w:sz w:val="24"/>
              </w:rPr>
            </w:pPr>
            <w:hyperlink r:id="rId11" w:history="1">
              <w:r>
                <w:rPr>
                  <w:rStyle w:val="a4"/>
                  <w:rFonts w:ascii="Times New Roman" w:eastAsia="宋体" w:hAnsi="Times New Roman" w:cs="Times New Roman"/>
                  <w:kern w:val="0"/>
                  <w:sz w:val="20"/>
                  <w:szCs w:val="20"/>
                </w:rPr>
                <w:t>Certification of Michael S. Dell, Chairman and Chief Executive Officer, pursuant to Rule 13a-14(a) or Rule 15d-14(a) under the Securities Exchange Act o</w:t>
              </w:r>
              <w:r>
                <w:rPr>
                  <w:rStyle w:val="a4"/>
                  <w:rFonts w:ascii="Times New Roman" w:eastAsia="宋体" w:hAnsi="Times New Roman" w:cs="Times New Roman"/>
                  <w:kern w:val="0"/>
                  <w:sz w:val="20"/>
                  <w:szCs w:val="20"/>
                </w:rPr>
                <w:t>f 1934, as adopted pursuant to Section 302 of the Sarbanes-Oxley Act of 2002.</w:t>
              </w:r>
            </w:hyperlink>
          </w:p>
        </w:tc>
      </w:tr>
      <w:tr w:rsidR="003D72E7" w14:paraId="619E0CB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B4" w14:textId="77777777" w:rsidR="003D72E7" w:rsidRDefault="00AD6774">
            <w:pPr>
              <w:widowControl/>
              <w:jc w:val="right"/>
              <w:textAlignment w:val="top"/>
              <w:rPr>
                <w:rFonts w:ascii="宋体" w:eastAsia="宋体" w:hAnsi="宋体" w:cs="宋体"/>
                <w:kern w:val="0"/>
                <w:sz w:val="24"/>
              </w:rPr>
            </w:pPr>
            <w:hyperlink r:id="rId12" w:history="1">
              <w:r>
                <w:rPr>
                  <w:rStyle w:val="a4"/>
                  <w:rFonts w:ascii="Times New Roman" w:eastAsia="宋体" w:hAnsi="Times New Roman" w:cs="Times New Roman"/>
                  <w:kern w:val="0"/>
                  <w:sz w:val="20"/>
                  <w:szCs w:val="20"/>
                </w:rPr>
                <w:t>31.2††</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B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B6" w14:textId="77777777" w:rsidR="003D72E7" w:rsidRDefault="00AD6774">
            <w:pPr>
              <w:widowControl/>
              <w:jc w:val="left"/>
              <w:textAlignment w:val="top"/>
              <w:rPr>
                <w:rFonts w:ascii="宋体" w:eastAsia="宋体" w:hAnsi="宋体" w:cs="宋体"/>
                <w:kern w:val="0"/>
                <w:sz w:val="24"/>
              </w:rPr>
            </w:pPr>
            <w:hyperlink r:id="rId13" w:history="1">
              <w:r>
                <w:rPr>
                  <w:rStyle w:val="a4"/>
                  <w:rFonts w:ascii="Times New Roman" w:eastAsia="宋体" w:hAnsi="Times New Roman" w:cs="Times New Roman"/>
                  <w:kern w:val="0"/>
                  <w:sz w:val="20"/>
                  <w:szCs w:val="20"/>
                </w:rPr>
                <w:t xml:space="preserve">Certification of Thomas W. Sweet, Executive Vice President and Chief Financial Officer, pursuant to Rule 13a-14(a) or Rule 15d-14(a) under the Securities Exchange Act of 1934, as adopted pursuant to Section 302 </w:t>
              </w:r>
              <w:r>
                <w:rPr>
                  <w:rStyle w:val="a4"/>
                  <w:rFonts w:ascii="Times New Roman" w:eastAsia="宋体" w:hAnsi="Times New Roman" w:cs="Times New Roman"/>
                  <w:kern w:val="0"/>
                  <w:sz w:val="20"/>
                  <w:szCs w:val="20"/>
                </w:rPr>
                <w:t>of the Sarbanes-Oxley Act of 2002.</w:t>
              </w:r>
            </w:hyperlink>
          </w:p>
        </w:tc>
      </w:tr>
      <w:tr w:rsidR="003D72E7" w14:paraId="619E0CB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B8" w14:textId="77777777" w:rsidR="003D72E7" w:rsidRDefault="00AD6774">
            <w:pPr>
              <w:widowControl/>
              <w:jc w:val="right"/>
              <w:textAlignment w:val="top"/>
              <w:rPr>
                <w:rFonts w:ascii="宋体" w:eastAsia="宋体" w:hAnsi="宋体" w:cs="宋体"/>
                <w:kern w:val="0"/>
                <w:sz w:val="24"/>
              </w:rPr>
            </w:pPr>
            <w:hyperlink r:id="rId14" w:history="1">
              <w:r>
                <w:rPr>
                  <w:rStyle w:val="a4"/>
                  <w:rFonts w:ascii="Times New Roman" w:eastAsia="宋体" w:hAnsi="Times New Roman" w:cs="Times New Roman"/>
                  <w:kern w:val="0"/>
                  <w:sz w:val="20"/>
                  <w:szCs w:val="20"/>
                </w:rPr>
                <w:t>32.1†††</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B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BA" w14:textId="77777777" w:rsidR="003D72E7" w:rsidRDefault="00AD6774">
            <w:pPr>
              <w:widowControl/>
              <w:jc w:val="left"/>
              <w:textAlignment w:val="top"/>
              <w:rPr>
                <w:rFonts w:ascii="宋体" w:eastAsia="宋体" w:hAnsi="宋体" w:cs="宋体"/>
                <w:kern w:val="0"/>
                <w:sz w:val="24"/>
              </w:rPr>
            </w:pPr>
            <w:hyperlink r:id="rId15" w:history="1">
              <w:r>
                <w:rPr>
                  <w:rStyle w:val="a4"/>
                  <w:rFonts w:ascii="Times New Roman" w:eastAsia="宋体" w:hAnsi="Times New Roman" w:cs="Times New Roman"/>
                  <w:kern w:val="0"/>
                  <w:sz w:val="20"/>
                  <w:szCs w:val="20"/>
                </w:rPr>
                <w:t>Certifications of Michael S. Dell, Chairman and Chief Executive Officer, and Thomas W. Sweet, Executive Vice President and Chief Financial Officer, pursuant to Rule 13a-14(b) or Rule 15d-14(b) under the Securities Exchange Act of 1934 and 18 U.S.C. Sect</w:t>
              </w:r>
              <w:r>
                <w:rPr>
                  <w:rStyle w:val="a4"/>
                  <w:rFonts w:ascii="Times New Roman" w:eastAsia="宋体" w:hAnsi="Times New Roman" w:cs="Times New Roman"/>
                  <w:kern w:val="0"/>
                  <w:sz w:val="20"/>
                  <w:szCs w:val="20"/>
                </w:rPr>
                <w:t>ion 1350, as adopted pursuant to Section 906 of the Sarbanes-Oxley Act of 2002.</w:t>
              </w:r>
            </w:hyperlink>
          </w:p>
        </w:tc>
      </w:tr>
      <w:tr w:rsidR="003D72E7" w14:paraId="619E0CB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BC" w14:textId="77777777" w:rsidR="003D72E7" w:rsidRDefault="00AD6774">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 .INS††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B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BE" w14:textId="77777777" w:rsidR="003D72E7" w:rsidRDefault="00AD6774">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XBRL Instance Document - the instance document does not appear in the Interactive Data File because its XBRL tags are embedded within the Inline XBRL </w:t>
            </w:r>
            <w:r>
              <w:rPr>
                <w:rFonts w:ascii="Times New Roman" w:eastAsia="宋体" w:hAnsi="Times New Roman" w:cs="Times New Roman"/>
                <w:color w:val="000000"/>
                <w:kern w:val="0"/>
                <w:sz w:val="20"/>
                <w:szCs w:val="20"/>
                <w:lang w:bidi="ar"/>
              </w:rPr>
              <w:t>document.</w:t>
            </w:r>
          </w:p>
        </w:tc>
      </w:tr>
      <w:tr w:rsidR="003D72E7" w14:paraId="619E0CC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C0" w14:textId="77777777" w:rsidR="003D72E7" w:rsidRDefault="00AD6774">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 .SCH††</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C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C2" w14:textId="77777777" w:rsidR="003D72E7" w:rsidRDefault="00AD6774">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Inline XBRL Taxonomy Extension Schema Document.</w:t>
            </w:r>
          </w:p>
        </w:tc>
      </w:tr>
      <w:tr w:rsidR="003D72E7" w14:paraId="619E0CC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C4" w14:textId="77777777" w:rsidR="003D72E7" w:rsidRDefault="00AD6774">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 .CAL††</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C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C6" w14:textId="77777777" w:rsidR="003D72E7" w:rsidRDefault="00AD6774">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Inline XBRL Taxonomy Extension Calculation Linkbase Document.</w:t>
            </w:r>
          </w:p>
        </w:tc>
      </w:tr>
      <w:tr w:rsidR="003D72E7" w14:paraId="619E0CC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C8" w14:textId="77777777" w:rsidR="003D72E7" w:rsidRDefault="00AD6774">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 .DEF††</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C9"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CA" w14:textId="77777777" w:rsidR="003D72E7" w:rsidRDefault="00AD6774">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Inline XBRL Taxonomy Extension Definition Linkbase Document.</w:t>
            </w:r>
          </w:p>
        </w:tc>
      </w:tr>
      <w:tr w:rsidR="003D72E7" w14:paraId="619E0CC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CC" w14:textId="77777777" w:rsidR="003D72E7" w:rsidRDefault="00AD6774">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 .LAB††</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CD"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CE" w14:textId="77777777" w:rsidR="003D72E7" w:rsidRDefault="00AD6774">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Inline XBRL </w:t>
            </w:r>
            <w:r>
              <w:rPr>
                <w:rFonts w:ascii="Times New Roman" w:eastAsia="宋体" w:hAnsi="Times New Roman" w:cs="Times New Roman"/>
                <w:color w:val="000000"/>
                <w:kern w:val="0"/>
                <w:sz w:val="20"/>
                <w:szCs w:val="20"/>
                <w:lang w:bidi="ar"/>
              </w:rPr>
              <w:t>Taxonomy Extension Label Linkbase Document.</w:t>
            </w:r>
          </w:p>
        </w:tc>
      </w:tr>
      <w:tr w:rsidR="003D72E7" w14:paraId="619E0CD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D0" w14:textId="77777777" w:rsidR="003D72E7" w:rsidRDefault="00AD6774">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101 .PRE††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D1"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D2" w14:textId="77777777" w:rsidR="003D72E7" w:rsidRDefault="00AD6774">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Inline XBRL Taxonomy Extension Presentation Linkbase Document.</w:t>
            </w:r>
          </w:p>
        </w:tc>
      </w:tr>
      <w:tr w:rsidR="003D72E7" w14:paraId="619E0CD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D4" w14:textId="77777777" w:rsidR="003D72E7" w:rsidRDefault="00AD6774">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104††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D5"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D6" w14:textId="77777777" w:rsidR="003D72E7" w:rsidRDefault="00AD6774">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Cover Page Interactive Data File - the cover page XBRL tags are embedded within the Inline XBRL document (included in </w:t>
            </w:r>
            <w:r>
              <w:rPr>
                <w:rFonts w:ascii="Times New Roman" w:eastAsia="宋体" w:hAnsi="Times New Roman" w:cs="Times New Roman"/>
                <w:color w:val="000000"/>
                <w:kern w:val="0"/>
                <w:sz w:val="20"/>
                <w:szCs w:val="20"/>
                <w:lang w:bidi="ar"/>
              </w:rPr>
              <w:t>Exhibit 101).</w:t>
            </w:r>
          </w:p>
        </w:tc>
      </w:tr>
    </w:tbl>
    <w:p w14:paraId="619E0CD8" w14:textId="77777777" w:rsidR="003D72E7" w:rsidRDefault="00AD677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995"/>
        <w:gridCol w:w="36"/>
        <w:gridCol w:w="36"/>
        <w:gridCol w:w="36"/>
        <w:gridCol w:w="36"/>
        <w:gridCol w:w="46"/>
        <w:gridCol w:w="7054"/>
        <w:gridCol w:w="37"/>
      </w:tblGrid>
      <w:tr w:rsidR="003D72E7" w14:paraId="619E0CE2" w14:textId="77777777">
        <w:trPr>
          <w:jc w:val="center"/>
        </w:trPr>
        <w:tc>
          <w:tcPr>
            <w:tcW w:w="50" w:type="pct"/>
            <w:tcBorders>
              <w:top w:val="nil"/>
              <w:left w:val="nil"/>
              <w:bottom w:val="nil"/>
              <w:right w:val="nil"/>
            </w:tcBorders>
            <w:shd w:val="clear" w:color="auto" w:fill="auto"/>
            <w:vAlign w:val="bottom"/>
          </w:tcPr>
          <w:p w14:paraId="619E0CD9" w14:textId="77777777" w:rsidR="003D72E7" w:rsidRDefault="003D72E7">
            <w:pPr>
              <w:widowControl/>
              <w:jc w:val="left"/>
              <w:rPr>
                <w:rFonts w:ascii="Times New Roman" w:eastAsia="宋体" w:hAnsi="宋体" w:cs="宋体"/>
                <w:kern w:val="0"/>
                <w:sz w:val="24"/>
              </w:rPr>
            </w:pPr>
          </w:p>
        </w:tc>
        <w:tc>
          <w:tcPr>
            <w:tcW w:w="610" w:type="pct"/>
            <w:tcBorders>
              <w:top w:val="nil"/>
              <w:left w:val="nil"/>
              <w:bottom w:val="nil"/>
              <w:right w:val="nil"/>
            </w:tcBorders>
            <w:shd w:val="clear" w:color="auto" w:fill="auto"/>
            <w:vAlign w:val="bottom"/>
          </w:tcPr>
          <w:p w14:paraId="619E0CDA"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DB"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DC" w14:textId="77777777" w:rsidR="003D72E7" w:rsidRDefault="003D72E7">
            <w:pPr>
              <w:widowControl/>
              <w:jc w:val="left"/>
              <w:rPr>
                <w:rFonts w:ascii="Times New Roman" w:eastAsia="宋体" w:hAnsi="宋体" w:cs="宋体"/>
                <w:kern w:val="0"/>
                <w:sz w:val="24"/>
              </w:rPr>
            </w:pPr>
          </w:p>
        </w:tc>
        <w:tc>
          <w:tcPr>
            <w:tcW w:w="26" w:type="pct"/>
            <w:tcBorders>
              <w:top w:val="nil"/>
              <w:left w:val="nil"/>
              <w:bottom w:val="nil"/>
              <w:right w:val="nil"/>
            </w:tcBorders>
            <w:shd w:val="clear" w:color="auto" w:fill="auto"/>
            <w:vAlign w:val="bottom"/>
          </w:tcPr>
          <w:p w14:paraId="619E0CDD"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DE"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CDF" w14:textId="77777777" w:rsidR="003D72E7" w:rsidRDefault="003D72E7">
            <w:pPr>
              <w:widowControl/>
              <w:jc w:val="left"/>
              <w:rPr>
                <w:rFonts w:ascii="Times New Roman" w:eastAsia="宋体" w:hAnsi="宋体" w:cs="宋体"/>
                <w:kern w:val="0"/>
                <w:sz w:val="24"/>
              </w:rPr>
            </w:pPr>
          </w:p>
        </w:tc>
        <w:tc>
          <w:tcPr>
            <w:tcW w:w="4243" w:type="pct"/>
            <w:tcBorders>
              <w:top w:val="nil"/>
              <w:left w:val="nil"/>
              <w:bottom w:val="nil"/>
              <w:right w:val="nil"/>
            </w:tcBorders>
            <w:shd w:val="clear" w:color="auto" w:fill="auto"/>
            <w:vAlign w:val="bottom"/>
          </w:tcPr>
          <w:p w14:paraId="619E0CE0"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E1" w14:textId="77777777" w:rsidR="003D72E7" w:rsidRDefault="003D72E7">
            <w:pPr>
              <w:widowControl/>
              <w:jc w:val="left"/>
              <w:rPr>
                <w:rFonts w:ascii="Times New Roman" w:eastAsia="宋体" w:hAnsi="宋体" w:cs="宋体"/>
                <w:kern w:val="0"/>
                <w:sz w:val="24"/>
              </w:rPr>
            </w:pPr>
          </w:p>
        </w:tc>
      </w:tr>
      <w:tr w:rsidR="003D72E7" w14:paraId="619E0CE6" w14:textId="77777777">
        <w:trPr>
          <w:jc w:val="center"/>
          <w:hidden/>
        </w:trPr>
        <w:tc>
          <w:tcPr>
            <w:tcW w:w="0" w:type="auto"/>
            <w:gridSpan w:val="3"/>
            <w:tcBorders>
              <w:top w:val="nil"/>
              <w:left w:val="nil"/>
              <w:bottom w:val="nil"/>
              <w:right w:val="nil"/>
            </w:tcBorders>
            <w:shd w:val="clear" w:color="auto" w:fill="auto"/>
            <w:vAlign w:val="bottom"/>
          </w:tcPr>
          <w:p w14:paraId="619E0CE3"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CE4"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CE5" w14:textId="77777777" w:rsidR="003D72E7" w:rsidRDefault="003D72E7">
            <w:pPr>
              <w:widowControl/>
              <w:jc w:val="left"/>
              <w:rPr>
                <w:rFonts w:ascii="Times New Roman" w:eastAsia="宋体" w:hAnsi="宋体" w:cs="宋体"/>
                <w:vanish/>
                <w:kern w:val="0"/>
                <w:sz w:val="24"/>
              </w:rPr>
            </w:pPr>
          </w:p>
        </w:tc>
      </w:tr>
      <w:tr w:rsidR="003D72E7" w14:paraId="619E0CEA" w14:textId="77777777">
        <w:trPr>
          <w:jc w:val="center"/>
        </w:trPr>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619E0CE7" w14:textId="77777777" w:rsidR="003D72E7" w:rsidRDefault="00AD6774">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E8"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E9" w14:textId="77777777" w:rsidR="003D72E7" w:rsidRDefault="00AD6774">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Filed with this report.</w:t>
            </w:r>
          </w:p>
        </w:tc>
      </w:tr>
      <w:tr w:rsidR="003D72E7" w14:paraId="619E0CE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EB" w14:textId="77777777" w:rsidR="003D72E7" w:rsidRDefault="00AD6774">
            <w:pPr>
              <w:widowControl/>
              <w:jc w:val="righ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CEC"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CED" w14:textId="77777777" w:rsidR="003D72E7" w:rsidRDefault="00AD6774">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Furnished with this report.</w:t>
            </w:r>
          </w:p>
        </w:tc>
      </w:tr>
      <w:tr w:rsidR="003D72E7" w14:paraId="619E0CF2" w14:textId="77777777">
        <w:trPr>
          <w:jc w:val="center"/>
          <w:hidden/>
        </w:trPr>
        <w:tc>
          <w:tcPr>
            <w:tcW w:w="0" w:type="auto"/>
            <w:gridSpan w:val="3"/>
            <w:tcBorders>
              <w:top w:val="nil"/>
              <w:left w:val="nil"/>
              <w:bottom w:val="nil"/>
              <w:right w:val="nil"/>
            </w:tcBorders>
            <w:shd w:val="clear" w:color="auto" w:fill="auto"/>
            <w:vAlign w:val="bottom"/>
          </w:tcPr>
          <w:p w14:paraId="619E0CEF"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CF0" w14:textId="77777777" w:rsidR="003D72E7" w:rsidRDefault="003D72E7">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619E0CF1" w14:textId="77777777" w:rsidR="003D72E7" w:rsidRDefault="003D72E7">
            <w:pPr>
              <w:widowControl/>
              <w:jc w:val="left"/>
              <w:rPr>
                <w:rFonts w:ascii="Times New Roman" w:eastAsia="宋体" w:hAnsi="宋体" w:cs="宋体"/>
                <w:vanish/>
                <w:kern w:val="0"/>
                <w:sz w:val="24"/>
              </w:rPr>
            </w:pPr>
          </w:p>
        </w:tc>
      </w:tr>
    </w:tbl>
    <w:p w14:paraId="619E0CF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CF4"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CF5"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94</w:t>
      </w:r>
    </w:p>
    <w:p w14:paraId="619E0CF6"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CF7" w14:textId="77777777" w:rsidR="003D72E7" w:rsidRDefault="00AD6774">
      <w:pPr>
        <w:widowControl/>
        <w:jc w:val="center"/>
      </w:pPr>
      <w:r>
        <w:rPr>
          <w:rFonts w:ascii="宋体" w:eastAsia="宋体" w:hAnsi="宋体" w:cs="宋体"/>
          <w:kern w:val="0"/>
          <w:sz w:val="24"/>
        </w:rPr>
        <w:pict w14:anchorId="619E0DC9">
          <v:rect id="_x0000_i1118" style="width:6in;height:1.5pt" o:hralign="center" o:hrstd="t" o:hr="t" fillcolor="#a0a0a0" stroked="f"/>
        </w:pict>
      </w:r>
    </w:p>
    <w:p w14:paraId="619E0CF8" w14:textId="77777777" w:rsidR="003D72E7" w:rsidRDefault="00AD6774">
      <w:pPr>
        <w:widowControl/>
        <w:jc w:val="left"/>
        <w:rPr>
          <w:rFonts w:ascii="宋体" w:eastAsia="宋体" w:hAnsi="宋体" w:cs="宋体"/>
          <w:kern w:val="0"/>
          <w:sz w:val="24"/>
        </w:rPr>
      </w:pPr>
      <w:hyperlink w:anchor="i60e70608537f4631891d7a02836596f9_10" w:history="1">
        <w:r>
          <w:rPr>
            <w:rStyle w:val="a4"/>
            <w:rFonts w:ascii="Times New Roman" w:eastAsia="宋体" w:hAnsi="Times New Roman" w:cs="Times New Roman"/>
            <w:sz w:val="20"/>
            <w:szCs w:val="20"/>
          </w:rPr>
          <w:t>Table of Contents</w:t>
        </w:r>
      </w:hyperlink>
    </w:p>
    <w:p w14:paraId="619E0CF9"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b/>
          <w:bCs/>
          <w:color w:val="000000"/>
          <w:kern w:val="0"/>
          <w:sz w:val="20"/>
          <w:szCs w:val="20"/>
          <w:lang w:bidi="ar"/>
        </w:rPr>
        <w:t>SIGNATURES</w:t>
      </w:r>
    </w:p>
    <w:p w14:paraId="619E0CFA"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CFB"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 xml:space="preserve">Pursuant to the requirements of the Securities </w:t>
      </w:r>
      <w:r>
        <w:rPr>
          <w:rFonts w:ascii="Times New Roman" w:eastAsia="宋体" w:hAnsi="Times New Roman" w:cs="Times New Roman"/>
          <w:color w:val="000000"/>
          <w:kern w:val="0"/>
          <w:sz w:val="20"/>
          <w:szCs w:val="20"/>
          <w:shd w:val="clear" w:color="auto" w:fill="FFFFFF"/>
          <w:lang w:bidi="ar"/>
        </w:rPr>
        <w:t>Exchange Act of 1934, the registrant has duly caused this report to be signed on its behalf by the undersigned, thereunto duly authorized.</w:t>
      </w:r>
    </w:p>
    <w:p w14:paraId="619E0CFC"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lang w:bidi="ar"/>
        </w:rPr>
        <w:t xml:space="preserve"> </w:t>
      </w:r>
    </w:p>
    <w:tbl>
      <w:tblPr>
        <w:tblW w:w="4795" w:type="pct"/>
        <w:tblInd w:w="93" w:type="dxa"/>
        <w:tblCellMar>
          <w:top w:w="15" w:type="dxa"/>
          <w:left w:w="15" w:type="dxa"/>
          <w:bottom w:w="15" w:type="dxa"/>
          <w:right w:w="15" w:type="dxa"/>
        </w:tblCellMar>
        <w:tblLook w:val="04A0" w:firstRow="1" w:lastRow="0" w:firstColumn="1" w:lastColumn="0" w:noHBand="0" w:noVBand="1"/>
      </w:tblPr>
      <w:tblGrid>
        <w:gridCol w:w="49"/>
        <w:gridCol w:w="3280"/>
        <w:gridCol w:w="36"/>
        <w:gridCol w:w="89"/>
        <w:gridCol w:w="282"/>
        <w:gridCol w:w="37"/>
        <w:gridCol w:w="49"/>
        <w:gridCol w:w="4136"/>
        <w:gridCol w:w="36"/>
      </w:tblGrid>
      <w:tr w:rsidR="003D72E7" w14:paraId="619E0D06" w14:textId="77777777">
        <w:tc>
          <w:tcPr>
            <w:tcW w:w="50" w:type="pct"/>
            <w:tcBorders>
              <w:top w:val="nil"/>
              <w:left w:val="nil"/>
              <w:bottom w:val="nil"/>
              <w:right w:val="nil"/>
            </w:tcBorders>
            <w:shd w:val="clear" w:color="auto" w:fill="auto"/>
            <w:vAlign w:val="bottom"/>
          </w:tcPr>
          <w:p w14:paraId="619E0CFD" w14:textId="77777777" w:rsidR="003D72E7" w:rsidRDefault="003D72E7">
            <w:pPr>
              <w:widowControl/>
              <w:jc w:val="left"/>
              <w:rPr>
                <w:rFonts w:ascii="Times New Roman" w:eastAsia="宋体" w:hAnsi="宋体" w:cs="宋体"/>
                <w:kern w:val="0"/>
                <w:sz w:val="24"/>
              </w:rPr>
            </w:pPr>
          </w:p>
        </w:tc>
        <w:tc>
          <w:tcPr>
            <w:tcW w:w="2071" w:type="pct"/>
            <w:tcBorders>
              <w:top w:val="nil"/>
              <w:left w:val="nil"/>
              <w:bottom w:val="nil"/>
              <w:right w:val="nil"/>
            </w:tcBorders>
            <w:shd w:val="clear" w:color="auto" w:fill="auto"/>
            <w:vAlign w:val="bottom"/>
          </w:tcPr>
          <w:p w14:paraId="619E0CFE"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CFF"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D00" w14:textId="77777777" w:rsidR="003D72E7" w:rsidRDefault="003D72E7">
            <w:pPr>
              <w:widowControl/>
              <w:jc w:val="left"/>
              <w:rPr>
                <w:rFonts w:ascii="Times New Roman" w:eastAsia="宋体" w:hAnsi="宋体" w:cs="宋体"/>
                <w:kern w:val="0"/>
                <w:sz w:val="24"/>
              </w:rPr>
            </w:pPr>
          </w:p>
        </w:tc>
        <w:tc>
          <w:tcPr>
            <w:tcW w:w="158" w:type="pct"/>
            <w:tcBorders>
              <w:top w:val="nil"/>
              <w:left w:val="nil"/>
              <w:bottom w:val="nil"/>
              <w:right w:val="nil"/>
            </w:tcBorders>
            <w:shd w:val="clear" w:color="auto" w:fill="auto"/>
            <w:vAlign w:val="bottom"/>
          </w:tcPr>
          <w:p w14:paraId="619E0D01"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D02" w14:textId="77777777" w:rsidR="003D72E7" w:rsidRDefault="003D72E7">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619E0D03" w14:textId="77777777" w:rsidR="003D72E7" w:rsidRDefault="003D72E7">
            <w:pPr>
              <w:widowControl/>
              <w:jc w:val="left"/>
              <w:rPr>
                <w:rFonts w:ascii="Times New Roman" w:eastAsia="宋体" w:hAnsi="宋体" w:cs="宋体"/>
                <w:kern w:val="0"/>
                <w:sz w:val="24"/>
              </w:rPr>
            </w:pPr>
          </w:p>
        </w:tc>
        <w:tc>
          <w:tcPr>
            <w:tcW w:w="2605" w:type="pct"/>
            <w:tcBorders>
              <w:top w:val="nil"/>
              <w:left w:val="nil"/>
              <w:bottom w:val="nil"/>
              <w:right w:val="nil"/>
            </w:tcBorders>
            <w:shd w:val="clear" w:color="auto" w:fill="auto"/>
            <w:vAlign w:val="bottom"/>
          </w:tcPr>
          <w:p w14:paraId="619E0D04" w14:textId="77777777" w:rsidR="003D72E7" w:rsidRDefault="003D72E7">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619E0D05" w14:textId="77777777" w:rsidR="003D72E7" w:rsidRDefault="003D72E7">
            <w:pPr>
              <w:widowControl/>
              <w:jc w:val="left"/>
              <w:rPr>
                <w:rFonts w:ascii="Times New Roman" w:eastAsia="宋体" w:hAnsi="宋体" w:cs="宋体"/>
                <w:kern w:val="0"/>
                <w:sz w:val="24"/>
              </w:rPr>
            </w:pPr>
          </w:p>
        </w:tc>
      </w:tr>
      <w:tr w:rsidR="003D72E7" w14:paraId="619E0D0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D07" w14:textId="77777777" w:rsidR="003D72E7" w:rsidRDefault="003D72E7">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619E0D08" w14:textId="77777777" w:rsidR="003D72E7" w:rsidRDefault="00AD6774">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DELL TECHNOLOGIES INC.</w:t>
            </w:r>
          </w:p>
        </w:tc>
      </w:tr>
      <w:tr w:rsidR="003D72E7" w14:paraId="619E0D0D"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D0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D0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D0C" w14:textId="77777777" w:rsidR="003D72E7" w:rsidRDefault="003D72E7">
            <w:pPr>
              <w:widowControl/>
              <w:jc w:val="left"/>
              <w:rPr>
                <w:rFonts w:ascii="Times New Roman" w:eastAsia="宋体" w:hAnsi="宋体" w:cs="宋体"/>
                <w:kern w:val="0"/>
                <w:sz w:val="24"/>
              </w:rPr>
            </w:pPr>
          </w:p>
        </w:tc>
      </w:tr>
      <w:tr w:rsidR="003D72E7" w14:paraId="619E0D1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D0E" w14:textId="77777777" w:rsidR="003D72E7" w:rsidRDefault="00AD6774">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619E0D0F" w14:textId="77777777" w:rsidR="003D72E7" w:rsidRDefault="00AD6774">
            <w:pPr>
              <w:widowControl/>
              <w:jc w:val="left"/>
              <w:textAlignment w:val="top"/>
              <w:rPr>
                <w:rFonts w:ascii="宋体" w:eastAsia="宋体" w:hAnsi="宋体" w:cs="宋体"/>
                <w:kern w:val="0"/>
                <w:sz w:val="24"/>
              </w:rPr>
            </w:pPr>
            <w:r>
              <w:rPr>
                <w:rFonts w:ascii="Times New Roman" w:eastAsia="宋体" w:hAnsi="Times New Roman" w:cs="Times New Roman"/>
                <w:color w:val="000000"/>
                <w:kern w:val="0"/>
                <w:sz w:val="20"/>
                <w:szCs w:val="20"/>
                <w:lang w:bidi="ar"/>
              </w:rPr>
              <w:t>By: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D1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/s/ BRUNILDA RIOS</w:t>
            </w:r>
          </w:p>
        </w:tc>
      </w:tr>
      <w:tr w:rsidR="003D72E7" w14:paraId="619E0D1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D12"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D13" w14:textId="77777777" w:rsidR="003D72E7" w:rsidRDefault="003D72E7">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619E0D14"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Brunilda Rios</w:t>
            </w:r>
          </w:p>
        </w:tc>
      </w:tr>
      <w:tr w:rsidR="003D72E7" w14:paraId="619E0D1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D16"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D17"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D18"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 xml:space="preserve">Senior Vice </w:t>
            </w:r>
            <w:r>
              <w:rPr>
                <w:rFonts w:ascii="Times New Roman" w:eastAsia="宋体" w:hAnsi="Times New Roman" w:cs="Times New Roman"/>
                <w:i/>
                <w:iCs/>
                <w:color w:val="000000"/>
                <w:kern w:val="0"/>
                <w:sz w:val="20"/>
                <w:szCs w:val="20"/>
                <w:lang w:bidi="ar"/>
              </w:rPr>
              <w:t>President, Corporate Finance and</w:t>
            </w:r>
          </w:p>
        </w:tc>
      </w:tr>
      <w:tr w:rsidR="003D72E7" w14:paraId="619E0D1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D1A"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D1B"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D1C"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i/>
                <w:iCs/>
                <w:color w:val="000000"/>
                <w:kern w:val="0"/>
                <w:sz w:val="20"/>
                <w:szCs w:val="20"/>
                <w:lang w:bidi="ar"/>
              </w:rPr>
              <w:t>Chief Accounting Officer</w:t>
            </w:r>
          </w:p>
        </w:tc>
      </w:tr>
      <w:tr w:rsidR="003D72E7" w14:paraId="619E0D2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D1E"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619E0D1F" w14:textId="77777777" w:rsidR="003D72E7" w:rsidRDefault="003D72E7">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619E0D20" w14:textId="77777777" w:rsidR="003D72E7" w:rsidRDefault="00AD6774">
            <w:pPr>
              <w:widowControl/>
              <w:jc w:val="center"/>
              <w:textAlignment w:val="bottom"/>
              <w:rPr>
                <w:rFonts w:ascii="宋体" w:eastAsia="宋体" w:hAnsi="宋体" w:cs="宋体"/>
                <w:kern w:val="0"/>
                <w:sz w:val="24"/>
              </w:rPr>
            </w:pPr>
            <w:r>
              <w:rPr>
                <w:rFonts w:ascii="Times New Roman" w:eastAsia="宋体" w:hAnsi="Times New Roman" w:cs="Times New Roman"/>
                <w:color w:val="000000"/>
                <w:kern w:val="0"/>
                <w:sz w:val="20"/>
                <w:szCs w:val="20"/>
                <w:lang w:bidi="ar"/>
              </w:rPr>
              <w:t>(On behalf of registrant and as principal accounting officer)</w:t>
            </w:r>
          </w:p>
        </w:tc>
      </w:tr>
    </w:tbl>
    <w:p w14:paraId="619E0D2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D23" w14:textId="77777777" w:rsidR="003D72E7" w:rsidRDefault="00AD6774">
      <w:pPr>
        <w:widowControl/>
        <w:jc w:val="left"/>
        <w:rPr>
          <w:rFonts w:ascii="宋体" w:eastAsia="宋体" w:hAnsi="宋体" w:cs="宋体"/>
          <w:kern w:val="0"/>
          <w:sz w:val="24"/>
        </w:rPr>
      </w:pPr>
      <w:r>
        <w:rPr>
          <w:rFonts w:ascii="Times New Roman" w:eastAsia="宋体" w:hAnsi="Times New Roman" w:cs="Times New Roman"/>
          <w:color w:val="000000"/>
          <w:kern w:val="0"/>
          <w:sz w:val="20"/>
          <w:szCs w:val="20"/>
          <w:shd w:val="clear" w:color="auto" w:fill="FFFFFF"/>
          <w:lang w:bidi="ar"/>
        </w:rPr>
        <w:t>Dat</w:t>
      </w:r>
      <w:r>
        <w:rPr>
          <w:rFonts w:ascii="Times New Roman" w:eastAsia="宋体" w:hAnsi="Times New Roman" w:cs="Times New Roman"/>
          <w:color w:val="000000"/>
          <w:kern w:val="0"/>
          <w:sz w:val="20"/>
          <w:szCs w:val="20"/>
          <w:lang w:bidi="ar"/>
        </w:rPr>
        <w:t xml:space="preserve">e: September 3, 2021 </w:t>
      </w:r>
    </w:p>
    <w:p w14:paraId="619E0D24"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D2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619E0D26"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D27" w14:textId="77777777" w:rsidR="003D72E7" w:rsidRDefault="00AD6774">
      <w:pPr>
        <w:widowControl/>
        <w:jc w:val="center"/>
        <w:rPr>
          <w:rFonts w:ascii="宋体" w:eastAsia="宋体" w:hAnsi="宋体" w:cs="宋体"/>
          <w:kern w:val="0"/>
          <w:sz w:val="24"/>
        </w:rPr>
      </w:pPr>
      <w:r>
        <w:rPr>
          <w:rFonts w:ascii="Times New Roman" w:eastAsia="宋体" w:hAnsi="Times New Roman" w:cs="Times New Roman"/>
          <w:color w:val="000000"/>
          <w:kern w:val="0"/>
          <w:sz w:val="20"/>
          <w:szCs w:val="20"/>
          <w:lang w:bidi="ar"/>
        </w:rPr>
        <w:t>95</w:t>
      </w:r>
    </w:p>
    <w:p w14:paraId="619E0D28" w14:textId="77777777" w:rsidR="003D72E7" w:rsidRDefault="00AD6774">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619E0D2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619E0DCA" wp14:editId="619E0DCB">
            <wp:extent cx="38100" cy="38100"/>
            <wp:effectExtent l="0" t="0" r="12700" b="12700"/>
            <wp:docPr id="25" name="图片 128"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8" descr="IMG_288"/>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D72E7" w14:paraId="619E0D2B" w14:textId="77777777">
        <w:trPr>
          <w:tblCellSpacing w:w="15" w:type="dxa"/>
        </w:trPr>
        <w:tc>
          <w:tcPr>
            <w:tcW w:w="0" w:type="auto"/>
            <w:tcBorders>
              <w:top w:val="nil"/>
              <w:left w:val="nil"/>
              <w:bottom w:val="nil"/>
              <w:right w:val="nil"/>
            </w:tcBorders>
            <w:shd w:val="clear" w:color="auto" w:fill="auto"/>
            <w:vAlign w:val="center"/>
          </w:tcPr>
          <w:p w14:paraId="619E0D2A" w14:textId="77777777" w:rsidR="003D72E7" w:rsidRDefault="003D72E7">
            <w:pPr>
              <w:widowControl/>
              <w:jc w:val="left"/>
              <w:rPr>
                <w:rFonts w:ascii="Times New Roman" w:eastAsia="宋体" w:hAnsi="宋体" w:cs="宋体"/>
                <w:kern w:val="0"/>
                <w:sz w:val="24"/>
              </w:rPr>
            </w:pPr>
          </w:p>
        </w:tc>
      </w:tr>
    </w:tbl>
    <w:p w14:paraId="619E0D2C" w14:textId="77777777" w:rsidR="003D72E7" w:rsidRDefault="00AD677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D72E7" w14:paraId="619E0D2E" w14:textId="77777777">
        <w:trPr>
          <w:tblCellSpacing w:w="15" w:type="dxa"/>
        </w:trPr>
        <w:tc>
          <w:tcPr>
            <w:tcW w:w="0" w:type="auto"/>
            <w:tcBorders>
              <w:top w:val="nil"/>
              <w:left w:val="nil"/>
              <w:bottom w:val="nil"/>
              <w:right w:val="nil"/>
            </w:tcBorders>
            <w:shd w:val="clear" w:color="auto" w:fill="auto"/>
            <w:vAlign w:val="center"/>
          </w:tcPr>
          <w:p w14:paraId="619E0D2D" w14:textId="77777777" w:rsidR="003D72E7" w:rsidRDefault="003D72E7">
            <w:pPr>
              <w:widowControl/>
              <w:jc w:val="left"/>
              <w:rPr>
                <w:rFonts w:ascii="Times New Roman" w:eastAsia="宋体" w:hAnsi="宋体" w:cs="宋体"/>
                <w:kern w:val="0"/>
                <w:sz w:val="24"/>
              </w:rPr>
            </w:pPr>
          </w:p>
        </w:tc>
      </w:tr>
    </w:tbl>
    <w:p w14:paraId="619E0D2F" w14:textId="77777777" w:rsidR="003D72E7" w:rsidRDefault="00AD677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D72E7" w14:paraId="619E0D31" w14:textId="77777777">
        <w:trPr>
          <w:tblCellSpacing w:w="15" w:type="dxa"/>
        </w:trPr>
        <w:tc>
          <w:tcPr>
            <w:tcW w:w="0" w:type="auto"/>
            <w:tcBorders>
              <w:top w:val="nil"/>
              <w:left w:val="nil"/>
              <w:bottom w:val="nil"/>
              <w:right w:val="nil"/>
            </w:tcBorders>
            <w:shd w:val="clear" w:color="auto" w:fill="auto"/>
            <w:vAlign w:val="center"/>
          </w:tcPr>
          <w:p w14:paraId="619E0D30" w14:textId="77777777" w:rsidR="003D72E7" w:rsidRDefault="003D72E7">
            <w:pPr>
              <w:widowControl/>
              <w:jc w:val="left"/>
              <w:rPr>
                <w:rFonts w:ascii="Times New Roman" w:eastAsia="宋体" w:hAnsi="宋体" w:cs="宋体"/>
                <w:kern w:val="0"/>
                <w:sz w:val="24"/>
              </w:rPr>
            </w:pPr>
          </w:p>
        </w:tc>
      </w:tr>
    </w:tbl>
    <w:p w14:paraId="619E0D32" w14:textId="77777777" w:rsidR="003D72E7" w:rsidRDefault="00AD677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D72E7" w14:paraId="619E0D34" w14:textId="77777777">
        <w:trPr>
          <w:tblCellSpacing w:w="15" w:type="dxa"/>
        </w:trPr>
        <w:tc>
          <w:tcPr>
            <w:tcW w:w="0" w:type="auto"/>
            <w:tcBorders>
              <w:top w:val="nil"/>
              <w:left w:val="nil"/>
              <w:bottom w:val="nil"/>
              <w:right w:val="nil"/>
            </w:tcBorders>
            <w:shd w:val="clear" w:color="auto" w:fill="auto"/>
            <w:vAlign w:val="center"/>
          </w:tcPr>
          <w:p w14:paraId="619E0D33" w14:textId="77777777" w:rsidR="003D72E7" w:rsidRDefault="003D72E7">
            <w:pPr>
              <w:widowControl/>
              <w:jc w:val="left"/>
              <w:rPr>
                <w:rFonts w:ascii="Times New Roman" w:eastAsia="宋体" w:hAnsi="宋体" w:cs="宋体"/>
                <w:kern w:val="0"/>
                <w:sz w:val="24"/>
              </w:rPr>
            </w:pPr>
          </w:p>
        </w:tc>
      </w:tr>
    </w:tbl>
    <w:p w14:paraId="619E0D3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619E0D36" w14:textId="77777777" w:rsidR="003D72E7" w:rsidRDefault="00AD6774">
      <w:pPr>
        <w:pStyle w:val="a3"/>
        <w:widowControl/>
        <w:rPr>
          <w:rFonts w:cs="宋体" w:hint="default"/>
        </w:rPr>
      </w:pPr>
      <w:r>
        <w:rPr>
          <w:rFonts w:cs="宋体"/>
          <w:lang w:bidi="ar"/>
        </w:rPr>
        <w:t>Settings</w:t>
      </w:r>
    </w:p>
    <w:p w14:paraId="619E0D37" w14:textId="77777777" w:rsidR="003D72E7" w:rsidRDefault="00AD6774">
      <w:pPr>
        <w:pStyle w:val="z-1"/>
        <w:widowControl/>
        <w:rPr>
          <w:rFonts w:cs="宋体"/>
        </w:rPr>
      </w:pPr>
      <w:r>
        <w:rPr>
          <w:rFonts w:ascii="宋体" w:cs="宋体" w:hint="eastAsia"/>
        </w:rPr>
        <w:t>窗体顶端</w:t>
      </w:r>
    </w:p>
    <w:p w14:paraId="619E0D3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619E0DCC" wp14:editId="619E0DCD">
            <wp:extent cx="38100" cy="38100"/>
            <wp:effectExtent l="0" t="0" r="12700" b="12700"/>
            <wp:docPr id="1" name="图片 129"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9" descr="IMG_289"/>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619E0D39"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619E0DCE" wp14:editId="619E0DCF">
            <wp:extent cx="38100" cy="38100"/>
            <wp:effectExtent l="0" t="0" r="12700" b="12700"/>
            <wp:docPr id="2" name="图片 130"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0" descr="IMG_290"/>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Safari. </w:t>
      </w:r>
    </w:p>
    <w:p w14:paraId="619E0D3A" w14:textId="77777777" w:rsidR="003D72E7" w:rsidRDefault="00AD6774">
      <w:pPr>
        <w:widowControl/>
        <w:jc w:val="center"/>
      </w:pPr>
      <w:r>
        <w:rPr>
          <w:rFonts w:ascii="宋体" w:eastAsia="宋体" w:hAnsi="宋体" w:cs="宋体"/>
          <w:kern w:val="0"/>
          <w:sz w:val="24"/>
        </w:rPr>
        <w:pict w14:anchorId="619E0DD0">
          <v:rect id="_x0000_i1119" style="width:6in;height:1.5pt" o:hralign="center" o:hrstd="t" o:hr="t" fillcolor="#a0a0a0" stroked="f"/>
        </w:pict>
      </w:r>
    </w:p>
    <w:p w14:paraId="619E0D3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619E0D3C" w14:textId="77777777" w:rsidR="003D72E7" w:rsidRDefault="00AD6774">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619E0DD1" wp14:editId="619E0DD2">
            <wp:extent cx="38100" cy="38100"/>
            <wp:effectExtent l="0" t="0" r="12700" b="12700"/>
            <wp:docPr id="7" name="图片 132"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2" descr="IMG_291"/>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619E0D3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619E0D3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619E0D3F" w14:textId="77777777" w:rsidR="003D72E7" w:rsidRDefault="00AD6774">
      <w:pPr>
        <w:widowControl/>
        <w:jc w:val="center"/>
      </w:pPr>
      <w:r>
        <w:rPr>
          <w:rFonts w:ascii="宋体" w:eastAsia="宋体" w:hAnsi="宋体" w:cs="宋体"/>
          <w:kern w:val="0"/>
          <w:sz w:val="24"/>
        </w:rPr>
        <w:pict w14:anchorId="619E0DD3">
          <v:rect id="_x0000_i1120" style="width:6in;height:1.5pt" o:hralign="center" o:hrstd="t" o:hr="t" fillcolor="#a0a0a0" stroked="f"/>
        </w:pict>
      </w:r>
    </w:p>
    <w:p w14:paraId="619E0D40"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619E0D41" w14:textId="77777777" w:rsidR="003D72E7" w:rsidRDefault="00AD6774">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619E0DD4" wp14:editId="619E0DD5">
            <wp:extent cx="38100" cy="38100"/>
            <wp:effectExtent l="0" t="0" r="12700" b="12700"/>
            <wp:docPr id="6" name="图片 134"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4" descr="IMG_292"/>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619E0D42"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619E0D43"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619E0D44" w14:textId="77777777" w:rsidR="003D72E7" w:rsidRDefault="00AD6774">
      <w:pPr>
        <w:widowControl/>
        <w:jc w:val="center"/>
      </w:pPr>
      <w:r>
        <w:rPr>
          <w:rFonts w:ascii="宋体" w:eastAsia="宋体" w:hAnsi="宋体" w:cs="宋体"/>
          <w:kern w:val="0"/>
          <w:sz w:val="24"/>
        </w:rPr>
        <w:pict w14:anchorId="619E0DD6">
          <v:rect id="_x0000_i1121" style="width:6in;height:1.5pt" o:hralign="center" o:hrstd="t" o:hr="t" fillcolor="#a0a0a0" stroked="f"/>
        </w:pict>
      </w:r>
    </w:p>
    <w:p w14:paraId="619E0D45"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619E0D46" w14:textId="77777777" w:rsidR="003D72E7" w:rsidRDefault="00AD6774">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619E0DD7" wp14:editId="619E0DD8">
            <wp:extent cx="38100" cy="38100"/>
            <wp:effectExtent l="0" t="0" r="12700" b="12700"/>
            <wp:docPr id="9" name="图片 13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6" descr="IMG_293"/>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619E0D47"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619E0D48"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619E0D49" w14:textId="77777777" w:rsidR="003D72E7" w:rsidRDefault="00AD6774">
      <w:pPr>
        <w:widowControl/>
        <w:jc w:val="center"/>
      </w:pPr>
      <w:r>
        <w:rPr>
          <w:rFonts w:ascii="宋体" w:eastAsia="宋体" w:hAnsi="宋体" w:cs="宋体"/>
          <w:kern w:val="0"/>
          <w:sz w:val="24"/>
        </w:rPr>
        <w:pict w14:anchorId="619E0DD9">
          <v:rect id="_x0000_i1122" style="width:6in;height:1.5pt" o:hralign="center" o:hrstd="t" o:hr="t" fillcolor="#a0a0a0" stroked="f"/>
        </w:pict>
      </w:r>
    </w:p>
    <w:p w14:paraId="619E0D4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619E0D4B" w14:textId="77777777" w:rsidR="003D72E7" w:rsidRDefault="00AD6774">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619E0DDA" wp14:editId="619E0DDB">
            <wp:extent cx="38100" cy="38100"/>
            <wp:effectExtent l="0" t="0" r="12700" b="12700"/>
            <wp:docPr id="11" name="图片 138"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8" descr="IMG_294"/>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619E0D4C"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619E0D4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619E0D4E" w14:textId="77777777" w:rsidR="003D72E7" w:rsidRDefault="00AD6774">
      <w:pPr>
        <w:pStyle w:val="z-10"/>
        <w:widowControl/>
        <w:rPr>
          <w:rFonts w:cs="宋体"/>
        </w:rPr>
      </w:pPr>
      <w:r>
        <w:rPr>
          <w:rFonts w:ascii="宋体" w:cs="宋体" w:hint="eastAsia"/>
        </w:rPr>
        <w:t>窗体底端</w:t>
      </w:r>
    </w:p>
    <w:p w14:paraId="619E0D4F"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619E0DDC" wp14:editId="619E0DDD">
            <wp:extent cx="38100" cy="38100"/>
            <wp:effectExtent l="0" t="0" r="12700" b="12700"/>
            <wp:docPr id="12" name="图片 139"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9" descr="IMG_295"/>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D72E7" w14:paraId="619E0D51" w14:textId="77777777">
        <w:trPr>
          <w:tblCellSpacing w:w="15" w:type="dxa"/>
        </w:trPr>
        <w:tc>
          <w:tcPr>
            <w:tcW w:w="0" w:type="auto"/>
            <w:tcBorders>
              <w:top w:val="nil"/>
              <w:left w:val="nil"/>
              <w:bottom w:val="nil"/>
              <w:right w:val="nil"/>
            </w:tcBorders>
            <w:shd w:val="clear" w:color="auto" w:fill="auto"/>
            <w:vAlign w:val="center"/>
          </w:tcPr>
          <w:p w14:paraId="619E0D50" w14:textId="77777777" w:rsidR="003D72E7" w:rsidRDefault="003D72E7">
            <w:pPr>
              <w:widowControl/>
              <w:jc w:val="left"/>
              <w:rPr>
                <w:rFonts w:ascii="Times New Roman" w:eastAsia="宋体" w:hAnsi="宋体" w:cs="宋体"/>
                <w:kern w:val="0"/>
                <w:sz w:val="24"/>
              </w:rPr>
            </w:pPr>
          </w:p>
        </w:tc>
      </w:tr>
    </w:tbl>
    <w:p w14:paraId="619E0D52" w14:textId="77777777" w:rsidR="003D72E7" w:rsidRDefault="00AD677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D72E7" w14:paraId="619E0D54" w14:textId="77777777">
        <w:trPr>
          <w:tblCellSpacing w:w="15" w:type="dxa"/>
        </w:trPr>
        <w:tc>
          <w:tcPr>
            <w:tcW w:w="0" w:type="auto"/>
            <w:tcBorders>
              <w:top w:val="nil"/>
              <w:left w:val="nil"/>
              <w:bottom w:val="nil"/>
              <w:right w:val="nil"/>
            </w:tcBorders>
            <w:shd w:val="clear" w:color="auto" w:fill="auto"/>
            <w:vAlign w:val="center"/>
          </w:tcPr>
          <w:p w14:paraId="619E0D53" w14:textId="77777777" w:rsidR="003D72E7" w:rsidRDefault="003D72E7">
            <w:pPr>
              <w:widowControl/>
              <w:jc w:val="left"/>
              <w:rPr>
                <w:rFonts w:ascii="Times New Roman" w:eastAsia="宋体" w:hAnsi="宋体" w:cs="宋体"/>
                <w:kern w:val="0"/>
                <w:sz w:val="24"/>
              </w:rPr>
            </w:pPr>
          </w:p>
        </w:tc>
      </w:tr>
    </w:tbl>
    <w:p w14:paraId="619E0D55" w14:textId="77777777" w:rsidR="003D72E7" w:rsidRDefault="00AD677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D72E7" w14:paraId="619E0D57" w14:textId="77777777">
        <w:trPr>
          <w:tblCellSpacing w:w="15" w:type="dxa"/>
        </w:trPr>
        <w:tc>
          <w:tcPr>
            <w:tcW w:w="0" w:type="auto"/>
            <w:tcBorders>
              <w:top w:val="nil"/>
              <w:left w:val="nil"/>
              <w:bottom w:val="nil"/>
              <w:right w:val="nil"/>
            </w:tcBorders>
            <w:shd w:val="clear" w:color="auto" w:fill="auto"/>
            <w:vAlign w:val="center"/>
          </w:tcPr>
          <w:p w14:paraId="619E0D56" w14:textId="77777777" w:rsidR="003D72E7" w:rsidRDefault="003D72E7">
            <w:pPr>
              <w:widowControl/>
              <w:jc w:val="left"/>
              <w:rPr>
                <w:rFonts w:ascii="Times New Roman" w:eastAsia="宋体" w:hAnsi="宋体" w:cs="宋体"/>
                <w:kern w:val="0"/>
                <w:sz w:val="24"/>
              </w:rPr>
            </w:pPr>
          </w:p>
        </w:tc>
      </w:tr>
    </w:tbl>
    <w:p w14:paraId="619E0D58" w14:textId="77777777" w:rsidR="003D72E7" w:rsidRDefault="00AD677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D72E7" w14:paraId="619E0D5A" w14:textId="77777777">
        <w:trPr>
          <w:tblCellSpacing w:w="15" w:type="dxa"/>
        </w:trPr>
        <w:tc>
          <w:tcPr>
            <w:tcW w:w="0" w:type="auto"/>
            <w:tcBorders>
              <w:top w:val="nil"/>
              <w:left w:val="nil"/>
              <w:bottom w:val="nil"/>
              <w:right w:val="nil"/>
            </w:tcBorders>
            <w:shd w:val="clear" w:color="auto" w:fill="auto"/>
            <w:vAlign w:val="center"/>
          </w:tcPr>
          <w:p w14:paraId="619E0D59" w14:textId="77777777" w:rsidR="003D72E7" w:rsidRDefault="003D72E7">
            <w:pPr>
              <w:widowControl/>
              <w:jc w:val="left"/>
              <w:rPr>
                <w:rFonts w:ascii="Times New Roman" w:eastAsia="宋体" w:hAnsi="宋体" w:cs="宋体"/>
                <w:kern w:val="0"/>
                <w:sz w:val="24"/>
              </w:rPr>
            </w:pPr>
          </w:p>
        </w:tc>
      </w:tr>
    </w:tbl>
    <w:p w14:paraId="619E0D5B"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619E0D5C" w14:textId="77777777" w:rsidR="003D72E7" w:rsidRDefault="00AD6774">
      <w:pPr>
        <w:pStyle w:val="a3"/>
        <w:widowControl/>
        <w:rPr>
          <w:rFonts w:cs="宋体" w:hint="default"/>
        </w:rPr>
      </w:pPr>
      <w:r>
        <w:rPr>
          <w:rFonts w:cs="宋体"/>
          <w:lang w:bidi="ar"/>
        </w:rPr>
        <w:t xml:space="preserve">Nested Facts / </w:t>
      </w:r>
    </w:p>
    <w:p w14:paraId="619E0D5D"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619E0D5E"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619E0DDE" wp14:editId="619E0DDF">
            <wp:extent cx="38100" cy="38100"/>
            <wp:effectExtent l="0" t="0" r="12700" b="12700"/>
            <wp:docPr id="10" name="图片 140"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0" descr="IMG_296"/>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D72E7" w14:paraId="619E0D60" w14:textId="77777777">
        <w:trPr>
          <w:tblCellSpacing w:w="15" w:type="dxa"/>
        </w:trPr>
        <w:tc>
          <w:tcPr>
            <w:tcW w:w="0" w:type="auto"/>
            <w:tcBorders>
              <w:top w:val="nil"/>
              <w:left w:val="nil"/>
              <w:bottom w:val="nil"/>
              <w:right w:val="nil"/>
            </w:tcBorders>
            <w:shd w:val="clear" w:color="auto" w:fill="auto"/>
            <w:vAlign w:val="center"/>
          </w:tcPr>
          <w:p w14:paraId="619E0D5F" w14:textId="77777777" w:rsidR="003D72E7" w:rsidRDefault="003D72E7">
            <w:pPr>
              <w:widowControl/>
              <w:jc w:val="left"/>
              <w:rPr>
                <w:rFonts w:ascii="Times New Roman" w:eastAsia="宋体" w:hAnsi="宋体" w:cs="宋体"/>
                <w:kern w:val="0"/>
                <w:sz w:val="24"/>
              </w:rPr>
            </w:pPr>
          </w:p>
        </w:tc>
      </w:tr>
    </w:tbl>
    <w:p w14:paraId="619E0D61" w14:textId="77777777" w:rsidR="003D72E7" w:rsidRDefault="00AD677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D72E7" w14:paraId="619E0D63" w14:textId="77777777">
        <w:trPr>
          <w:tblCellSpacing w:w="15" w:type="dxa"/>
        </w:trPr>
        <w:tc>
          <w:tcPr>
            <w:tcW w:w="0" w:type="auto"/>
            <w:tcBorders>
              <w:top w:val="nil"/>
              <w:left w:val="nil"/>
              <w:bottom w:val="nil"/>
              <w:right w:val="nil"/>
            </w:tcBorders>
            <w:shd w:val="clear" w:color="auto" w:fill="auto"/>
            <w:vAlign w:val="center"/>
          </w:tcPr>
          <w:p w14:paraId="619E0D62" w14:textId="77777777" w:rsidR="003D72E7" w:rsidRDefault="003D72E7">
            <w:pPr>
              <w:widowControl/>
              <w:jc w:val="left"/>
              <w:rPr>
                <w:rFonts w:ascii="Times New Roman" w:eastAsia="宋体" w:hAnsi="宋体" w:cs="宋体"/>
                <w:kern w:val="0"/>
                <w:sz w:val="24"/>
              </w:rPr>
            </w:pPr>
          </w:p>
        </w:tc>
      </w:tr>
    </w:tbl>
    <w:p w14:paraId="619E0D64" w14:textId="77777777" w:rsidR="003D72E7" w:rsidRDefault="00AD677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D72E7" w14:paraId="619E0D66" w14:textId="77777777">
        <w:trPr>
          <w:tblCellSpacing w:w="15" w:type="dxa"/>
        </w:trPr>
        <w:tc>
          <w:tcPr>
            <w:tcW w:w="0" w:type="auto"/>
            <w:tcBorders>
              <w:top w:val="nil"/>
              <w:left w:val="nil"/>
              <w:bottom w:val="nil"/>
              <w:right w:val="nil"/>
            </w:tcBorders>
            <w:shd w:val="clear" w:color="auto" w:fill="auto"/>
            <w:vAlign w:val="center"/>
          </w:tcPr>
          <w:p w14:paraId="619E0D65" w14:textId="77777777" w:rsidR="003D72E7" w:rsidRDefault="003D72E7">
            <w:pPr>
              <w:widowControl/>
              <w:jc w:val="left"/>
              <w:rPr>
                <w:rFonts w:ascii="Times New Roman" w:eastAsia="宋体" w:hAnsi="宋体" w:cs="宋体"/>
                <w:kern w:val="0"/>
                <w:sz w:val="24"/>
              </w:rPr>
            </w:pPr>
          </w:p>
        </w:tc>
      </w:tr>
    </w:tbl>
    <w:p w14:paraId="619E0D67" w14:textId="77777777" w:rsidR="003D72E7" w:rsidRDefault="00AD6774">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3D72E7" w14:paraId="619E0D69" w14:textId="77777777">
        <w:trPr>
          <w:tblCellSpacing w:w="15" w:type="dxa"/>
        </w:trPr>
        <w:tc>
          <w:tcPr>
            <w:tcW w:w="0" w:type="auto"/>
            <w:tcBorders>
              <w:top w:val="nil"/>
              <w:left w:val="nil"/>
              <w:bottom w:val="nil"/>
              <w:right w:val="nil"/>
            </w:tcBorders>
            <w:shd w:val="clear" w:color="auto" w:fill="auto"/>
            <w:vAlign w:val="center"/>
          </w:tcPr>
          <w:p w14:paraId="619E0D68" w14:textId="77777777" w:rsidR="003D72E7" w:rsidRDefault="003D72E7">
            <w:pPr>
              <w:widowControl/>
              <w:jc w:val="left"/>
              <w:rPr>
                <w:rFonts w:ascii="Times New Roman" w:eastAsia="宋体" w:hAnsi="宋体" w:cs="宋体"/>
                <w:kern w:val="0"/>
                <w:sz w:val="24"/>
              </w:rPr>
            </w:pPr>
          </w:p>
        </w:tc>
      </w:tr>
    </w:tbl>
    <w:p w14:paraId="619E0D6A" w14:textId="77777777" w:rsidR="003D72E7" w:rsidRDefault="00AD6774">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619E0D6B" w14:textId="77777777" w:rsidR="003D72E7" w:rsidRDefault="003D72E7"/>
    <w:sectPr w:rsidR="003D72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6E350" w14:textId="77777777" w:rsidR="00AD6774" w:rsidRDefault="00AD6774" w:rsidP="00AD6774">
      <w:r>
        <w:separator/>
      </w:r>
    </w:p>
  </w:endnote>
  <w:endnote w:type="continuationSeparator" w:id="0">
    <w:p w14:paraId="2539C701" w14:textId="77777777" w:rsidR="00AD6774" w:rsidRDefault="00AD6774" w:rsidP="00AD6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0EC8A" w14:textId="77777777" w:rsidR="00AD6774" w:rsidRDefault="00AD6774" w:rsidP="00AD6774">
      <w:r>
        <w:separator/>
      </w:r>
    </w:p>
  </w:footnote>
  <w:footnote w:type="continuationSeparator" w:id="0">
    <w:p w14:paraId="5072FF2B" w14:textId="77777777" w:rsidR="00AD6774" w:rsidRDefault="00AD6774" w:rsidP="00AD67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CBFD8D2E"/>
    <w:rsid w:val="CBFD8D2E"/>
    <w:rsid w:val="003D72E7"/>
    <w:rsid w:val="00AD6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9DC943"/>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hint="eastAsia"/>
      <w:kern w:val="0"/>
      <w:sz w:val="24"/>
    </w:rPr>
  </w:style>
  <w:style w:type="character" w:styleId="a4">
    <w:name w:val="Hyperlink"/>
    <w:basedOn w:val="a0"/>
    <w:rPr>
      <w:color w:val="0000FF"/>
      <w:u w:val="single"/>
    </w:rPr>
  </w:style>
  <w:style w:type="character" w:customStyle="1" w:styleId="15">
    <w:name w:val="15"/>
    <w:basedOn w:val="a0"/>
    <w:rPr>
      <w:rFonts w:ascii="Times New Roman" w:hAnsi="Times New Roman" w:cs="Times New Roman" w:hint="default"/>
      <w:b/>
    </w:rPr>
  </w:style>
  <w:style w:type="paragraph" w:customStyle="1" w:styleId="z-1">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6">
    <w:name w:val="16"/>
    <w:basedOn w:val="a0"/>
    <w:rPr>
      <w:rFonts w:ascii="Times New Roman" w:hAnsi="Times New Roman" w:cs="Times New Roman" w:hint="default"/>
      <w:color w:val="0000FF"/>
      <w:u w:val="single"/>
    </w:rPr>
  </w:style>
  <w:style w:type="paragraph" w:customStyle="1" w:styleId="z-10">
    <w:name w:val="z-窗体底端1"/>
    <w:basedOn w:val="a"/>
    <w:pPr>
      <w:pBdr>
        <w:top w:val="single" w:sz="6" w:space="1" w:color="auto"/>
      </w:pBdr>
      <w:jc w:val="center"/>
    </w:pPr>
    <w:rPr>
      <w:rFonts w:ascii="Arial" w:eastAsia="宋体" w:hAnsi="宋体" w:cs="Times New Roman"/>
      <w:vanish/>
      <w:kern w:val="0"/>
      <w:sz w:val="16"/>
      <w:szCs w:val="16"/>
    </w:rPr>
  </w:style>
  <w:style w:type="character" w:customStyle="1" w:styleId="10">
    <w:name w:val="10"/>
    <w:basedOn w:val="a0"/>
    <w:rPr>
      <w:rFonts w:ascii="Times New Roman" w:hAnsi="Times New Roman" w:cs="Times New Roman" w:hint="default"/>
    </w:rPr>
  </w:style>
  <w:style w:type="paragraph" w:styleId="a5">
    <w:name w:val="header"/>
    <w:basedOn w:val="a"/>
    <w:link w:val="a6"/>
    <w:rsid w:val="00AD677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AD6774"/>
    <w:rPr>
      <w:rFonts w:asciiTheme="minorHAnsi" w:eastAsiaTheme="minorEastAsia" w:hAnsiTheme="minorHAnsi" w:cstheme="minorBidi"/>
      <w:kern w:val="2"/>
      <w:sz w:val="18"/>
      <w:szCs w:val="18"/>
    </w:rPr>
  </w:style>
  <w:style w:type="paragraph" w:styleId="a7">
    <w:name w:val="footer"/>
    <w:basedOn w:val="a"/>
    <w:link w:val="a8"/>
    <w:rsid w:val="00AD6774"/>
    <w:pPr>
      <w:tabs>
        <w:tab w:val="center" w:pos="4153"/>
        <w:tab w:val="right" w:pos="8306"/>
      </w:tabs>
      <w:snapToGrid w:val="0"/>
      <w:jc w:val="left"/>
    </w:pPr>
    <w:rPr>
      <w:sz w:val="18"/>
      <w:szCs w:val="18"/>
    </w:rPr>
  </w:style>
  <w:style w:type="character" w:customStyle="1" w:styleId="a8">
    <w:name w:val="页脚 字符"/>
    <w:basedOn w:val="a0"/>
    <w:link w:val="a7"/>
    <w:rsid w:val="00AD677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571996/000157199621000026/exhibit221q1fy22.htm" TargetMode="External"/><Relationship Id="rId13" Type="http://schemas.openxmlformats.org/officeDocument/2006/relationships/hyperlink" Target="https://www.sec.gov/Archives/edgar/data/0001571996/000157199621000040/exhibit312q2fy22.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gov/Archives/edgar/data/0001571996/000157199621000040/exhibit41q2fy22.htm" TargetMode="External"/><Relationship Id="rId12" Type="http://schemas.openxmlformats.org/officeDocument/2006/relationships/hyperlink" Target="https://www.sec.gov/Archives/edgar/data/0001571996/000157199621000040/exhibit312q2fy22.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www.sec.gov/Archives/edgar/data/0001571996/000157199621000040/exhibit41q2fy22.htm" TargetMode="External"/><Relationship Id="rId11" Type="http://schemas.openxmlformats.org/officeDocument/2006/relationships/hyperlink" Target="https://www.sec.gov/Archives/edgar/data/0001571996/000157199621000040/exhibit311q2fy22.htm" TargetMode="External"/><Relationship Id="rId5" Type="http://schemas.openxmlformats.org/officeDocument/2006/relationships/endnotes" Target="endnotes.xml"/><Relationship Id="rId15" Type="http://schemas.openxmlformats.org/officeDocument/2006/relationships/hyperlink" Target="https://www.sec.gov/Archives/edgar/data/0001571996/000157199621000040/exhibit321q2fy22.htm" TargetMode="External"/><Relationship Id="rId10" Type="http://schemas.openxmlformats.org/officeDocument/2006/relationships/hyperlink" Target="https://www.sec.gov/Archives/edgar/data/0001571996/000157199621000040/exhibit311q2fy22.htm" TargetMode="External"/><Relationship Id="rId4" Type="http://schemas.openxmlformats.org/officeDocument/2006/relationships/footnotes" Target="footnotes.xml"/><Relationship Id="rId9" Type="http://schemas.openxmlformats.org/officeDocument/2006/relationships/hyperlink" Target="https://www.sec.gov/Archives/edgar/data/1571996/000157199621000026/exhibit221q1fy22.htm" TargetMode="External"/><Relationship Id="rId14" Type="http://schemas.openxmlformats.org/officeDocument/2006/relationships/hyperlink" Target="https://www.sec.gov/Archives/edgar/data/0001571996/000157199621000040/exhibit321q2fy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45348</Words>
  <Characters>258490</Characters>
  <Application>Microsoft Office Word</Application>
  <DocSecurity>0</DocSecurity>
  <Lines>2154</Lines>
  <Paragraphs>606</Paragraphs>
  <ScaleCrop>false</ScaleCrop>
  <Company/>
  <LinksUpToDate>false</LinksUpToDate>
  <CharactersWithSpaces>303232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2023-02-11T19:16:00Z</dcterms:created>
  <dcterms:modified xsi:type="dcterms:W3CDTF">2023-02-13T13:05:00Z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DE9A0FDD9A98CF22F078E763ED6B0909</vt:lpwstr>
  </property>
</Properties>
</file>