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D39C" w14:textId="03FA53D1" w:rsidR="00AE727E" w:rsidRDefault="008433E0">
      <w:pPr>
        <w:jc w:val="center"/>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UNITED STATES</w:t>
      </w:r>
    </w:p>
    <w:p w14:paraId="07DCD39D" w14:textId="77777777" w:rsidR="00AE727E" w:rsidRDefault="008433E0">
      <w:pPr>
        <w:jc w:val="center"/>
      </w:pPr>
      <w:r>
        <w:rPr>
          <w:rFonts w:ascii="Times New Roman" w:eastAsia="宋体" w:hAnsi="Times New Roman"/>
          <w:b/>
          <w:bCs/>
          <w:color w:val="000000"/>
          <w:sz w:val="20"/>
          <w:szCs w:val="20"/>
        </w:rPr>
        <w:t>SECURITIES AND EXCHANGE COMMISSION</w:t>
      </w:r>
    </w:p>
    <w:p w14:paraId="07DCD39E" w14:textId="77777777" w:rsidR="00AE727E" w:rsidRDefault="008433E0">
      <w:pPr>
        <w:jc w:val="center"/>
      </w:pPr>
      <w:r>
        <w:rPr>
          <w:rFonts w:ascii="Times New Roman" w:eastAsia="宋体" w:hAnsi="Times New Roman"/>
          <w:b/>
          <w:bCs/>
          <w:color w:val="000000"/>
          <w:sz w:val="20"/>
          <w:szCs w:val="20"/>
        </w:rPr>
        <w:t>Washington, D.C. 20549</w:t>
      </w:r>
    </w:p>
    <w:p w14:paraId="07DCD39F" w14:textId="77777777" w:rsidR="00AE727E" w:rsidRDefault="008433E0">
      <w:pPr>
        <w:spacing w:before="60"/>
      </w:pPr>
      <w:r>
        <w:rPr>
          <w:rFonts w:ascii="Times New Roman" w:eastAsia="宋体" w:hAnsi="Times New Roman"/>
          <w:color w:val="000000"/>
          <w:sz w:val="2"/>
          <w:szCs w:val="2"/>
        </w:rPr>
        <w:t> </w:t>
      </w:r>
    </w:p>
    <w:p w14:paraId="07DCD3A0" w14:textId="77777777" w:rsidR="00AE727E" w:rsidRDefault="008433E0">
      <w:pPr>
        <w:jc w:val="center"/>
      </w:pPr>
      <w:r>
        <w:rPr>
          <w:rFonts w:ascii="Times New Roman" w:eastAsia="宋体" w:hAnsi="Times New Roman"/>
          <w:b/>
          <w:bCs/>
          <w:color w:val="000000"/>
          <w:sz w:val="28"/>
          <w:szCs w:val="28"/>
        </w:rPr>
        <w:t xml:space="preserve">Form 10-Q </w:t>
      </w:r>
    </w:p>
    <w:p w14:paraId="07DCD3A1" w14:textId="77777777" w:rsidR="00AE727E" w:rsidRDefault="008433E0">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53"/>
        <w:gridCol w:w="36"/>
        <w:gridCol w:w="36"/>
        <w:gridCol w:w="241"/>
        <w:gridCol w:w="36"/>
        <w:gridCol w:w="36"/>
        <w:gridCol w:w="3852"/>
        <w:gridCol w:w="36"/>
        <w:gridCol w:w="36"/>
        <w:gridCol w:w="1897"/>
        <w:gridCol w:w="36"/>
        <w:gridCol w:w="36"/>
        <w:gridCol w:w="2447"/>
        <w:gridCol w:w="36"/>
      </w:tblGrid>
      <w:tr w:rsidR="00AE727E" w14:paraId="07DCD3B1" w14:textId="77777777">
        <w:trPr>
          <w:jc w:val="center"/>
        </w:trPr>
        <w:tc>
          <w:tcPr>
            <w:tcW w:w="20" w:type="dxa"/>
            <w:shd w:val="clear" w:color="auto" w:fill="auto"/>
            <w:vAlign w:val="bottom"/>
          </w:tcPr>
          <w:p w14:paraId="07DCD3A2" w14:textId="77777777" w:rsidR="00AE727E" w:rsidRDefault="00AE727E">
            <w:pPr>
              <w:rPr>
                <w:rFonts w:ascii="宋体"/>
              </w:rPr>
            </w:pPr>
          </w:p>
        </w:tc>
        <w:tc>
          <w:tcPr>
            <w:tcW w:w="965" w:type="dxa"/>
            <w:shd w:val="clear" w:color="auto" w:fill="auto"/>
            <w:vAlign w:val="bottom"/>
          </w:tcPr>
          <w:p w14:paraId="07DCD3A3" w14:textId="77777777" w:rsidR="00AE727E" w:rsidRDefault="00AE727E">
            <w:pPr>
              <w:rPr>
                <w:rFonts w:ascii="宋体"/>
              </w:rPr>
            </w:pPr>
          </w:p>
        </w:tc>
        <w:tc>
          <w:tcPr>
            <w:tcW w:w="20" w:type="dxa"/>
            <w:shd w:val="clear" w:color="auto" w:fill="auto"/>
            <w:vAlign w:val="bottom"/>
          </w:tcPr>
          <w:p w14:paraId="07DCD3A4" w14:textId="77777777" w:rsidR="00AE727E" w:rsidRDefault="00AE727E">
            <w:pPr>
              <w:rPr>
                <w:rFonts w:ascii="宋体"/>
              </w:rPr>
            </w:pPr>
          </w:p>
        </w:tc>
        <w:tc>
          <w:tcPr>
            <w:tcW w:w="20" w:type="dxa"/>
            <w:shd w:val="clear" w:color="auto" w:fill="auto"/>
            <w:vAlign w:val="bottom"/>
          </w:tcPr>
          <w:p w14:paraId="07DCD3A5" w14:textId="77777777" w:rsidR="00AE727E" w:rsidRDefault="00AE727E">
            <w:pPr>
              <w:rPr>
                <w:rFonts w:ascii="宋体"/>
              </w:rPr>
            </w:pPr>
          </w:p>
        </w:tc>
        <w:tc>
          <w:tcPr>
            <w:tcW w:w="245" w:type="dxa"/>
            <w:shd w:val="clear" w:color="auto" w:fill="auto"/>
            <w:vAlign w:val="bottom"/>
          </w:tcPr>
          <w:p w14:paraId="07DCD3A6" w14:textId="77777777" w:rsidR="00AE727E" w:rsidRDefault="00AE727E">
            <w:pPr>
              <w:rPr>
                <w:rFonts w:ascii="宋体"/>
              </w:rPr>
            </w:pPr>
          </w:p>
        </w:tc>
        <w:tc>
          <w:tcPr>
            <w:tcW w:w="20" w:type="dxa"/>
            <w:shd w:val="clear" w:color="auto" w:fill="auto"/>
            <w:vAlign w:val="bottom"/>
          </w:tcPr>
          <w:p w14:paraId="07DCD3A7" w14:textId="77777777" w:rsidR="00AE727E" w:rsidRDefault="00AE727E">
            <w:pPr>
              <w:rPr>
                <w:rFonts w:ascii="宋体"/>
              </w:rPr>
            </w:pPr>
          </w:p>
        </w:tc>
        <w:tc>
          <w:tcPr>
            <w:tcW w:w="20" w:type="dxa"/>
            <w:shd w:val="clear" w:color="auto" w:fill="auto"/>
            <w:vAlign w:val="bottom"/>
          </w:tcPr>
          <w:p w14:paraId="07DCD3A8" w14:textId="77777777" w:rsidR="00AE727E" w:rsidRDefault="00AE727E">
            <w:pPr>
              <w:rPr>
                <w:rFonts w:ascii="宋体"/>
              </w:rPr>
            </w:pPr>
          </w:p>
        </w:tc>
        <w:tc>
          <w:tcPr>
            <w:tcW w:w="3920" w:type="dxa"/>
            <w:shd w:val="clear" w:color="auto" w:fill="auto"/>
            <w:vAlign w:val="bottom"/>
          </w:tcPr>
          <w:p w14:paraId="07DCD3A9" w14:textId="77777777" w:rsidR="00AE727E" w:rsidRDefault="00AE727E">
            <w:pPr>
              <w:rPr>
                <w:rFonts w:ascii="宋体"/>
              </w:rPr>
            </w:pPr>
          </w:p>
        </w:tc>
        <w:tc>
          <w:tcPr>
            <w:tcW w:w="20" w:type="dxa"/>
            <w:shd w:val="clear" w:color="auto" w:fill="auto"/>
            <w:vAlign w:val="bottom"/>
          </w:tcPr>
          <w:p w14:paraId="07DCD3AA" w14:textId="77777777" w:rsidR="00AE727E" w:rsidRDefault="00AE727E">
            <w:pPr>
              <w:rPr>
                <w:rFonts w:ascii="宋体"/>
              </w:rPr>
            </w:pPr>
          </w:p>
        </w:tc>
        <w:tc>
          <w:tcPr>
            <w:tcW w:w="20" w:type="dxa"/>
            <w:shd w:val="clear" w:color="auto" w:fill="auto"/>
            <w:vAlign w:val="bottom"/>
          </w:tcPr>
          <w:p w14:paraId="07DCD3AB" w14:textId="77777777" w:rsidR="00AE727E" w:rsidRDefault="00AE727E">
            <w:pPr>
              <w:rPr>
                <w:rFonts w:ascii="宋体"/>
              </w:rPr>
            </w:pPr>
          </w:p>
        </w:tc>
        <w:tc>
          <w:tcPr>
            <w:tcW w:w="1925" w:type="dxa"/>
            <w:shd w:val="clear" w:color="auto" w:fill="auto"/>
            <w:vAlign w:val="bottom"/>
          </w:tcPr>
          <w:p w14:paraId="07DCD3AC" w14:textId="77777777" w:rsidR="00AE727E" w:rsidRDefault="00AE727E">
            <w:pPr>
              <w:rPr>
                <w:rFonts w:ascii="宋体"/>
              </w:rPr>
            </w:pPr>
          </w:p>
        </w:tc>
        <w:tc>
          <w:tcPr>
            <w:tcW w:w="20" w:type="dxa"/>
            <w:shd w:val="clear" w:color="auto" w:fill="auto"/>
            <w:vAlign w:val="bottom"/>
          </w:tcPr>
          <w:p w14:paraId="07DCD3AD" w14:textId="77777777" w:rsidR="00AE727E" w:rsidRDefault="00AE727E">
            <w:pPr>
              <w:rPr>
                <w:rFonts w:ascii="宋体"/>
              </w:rPr>
            </w:pPr>
          </w:p>
        </w:tc>
        <w:tc>
          <w:tcPr>
            <w:tcW w:w="20" w:type="dxa"/>
            <w:shd w:val="clear" w:color="auto" w:fill="auto"/>
            <w:vAlign w:val="bottom"/>
          </w:tcPr>
          <w:p w14:paraId="07DCD3AE" w14:textId="77777777" w:rsidR="00AE727E" w:rsidRDefault="00AE727E">
            <w:pPr>
              <w:rPr>
                <w:rFonts w:ascii="宋体"/>
              </w:rPr>
            </w:pPr>
          </w:p>
        </w:tc>
        <w:tc>
          <w:tcPr>
            <w:tcW w:w="2495" w:type="dxa"/>
            <w:shd w:val="clear" w:color="auto" w:fill="auto"/>
            <w:vAlign w:val="bottom"/>
          </w:tcPr>
          <w:p w14:paraId="07DCD3AF" w14:textId="77777777" w:rsidR="00AE727E" w:rsidRDefault="00AE727E">
            <w:pPr>
              <w:rPr>
                <w:rFonts w:ascii="宋体"/>
              </w:rPr>
            </w:pPr>
          </w:p>
        </w:tc>
        <w:tc>
          <w:tcPr>
            <w:tcW w:w="20" w:type="dxa"/>
            <w:shd w:val="clear" w:color="auto" w:fill="auto"/>
            <w:vAlign w:val="bottom"/>
          </w:tcPr>
          <w:p w14:paraId="07DCD3B0" w14:textId="77777777" w:rsidR="00AE727E" w:rsidRDefault="00AE727E">
            <w:pPr>
              <w:rPr>
                <w:rFonts w:ascii="宋体"/>
              </w:rPr>
            </w:pPr>
          </w:p>
        </w:tc>
      </w:tr>
      <w:tr w:rsidR="00AE727E" w14:paraId="07DCD3B7" w14:textId="77777777">
        <w:trPr>
          <w:trHeight w:val="280"/>
          <w:jc w:val="center"/>
        </w:trPr>
        <w:tc>
          <w:tcPr>
            <w:tcW w:w="0" w:type="auto"/>
            <w:gridSpan w:val="3"/>
            <w:shd w:val="clear" w:color="auto" w:fill="auto"/>
            <w:tcMar>
              <w:top w:w="40" w:type="dxa"/>
              <w:left w:w="20" w:type="dxa"/>
              <w:bottom w:w="40" w:type="dxa"/>
              <w:right w:w="20" w:type="dxa"/>
            </w:tcMar>
            <w:vAlign w:val="bottom"/>
          </w:tcPr>
          <w:p w14:paraId="07DCD3B2" w14:textId="77777777" w:rsidR="00AE727E" w:rsidRDefault="008433E0">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07DCD3B3" w14:textId="77777777" w:rsidR="00AE727E" w:rsidRDefault="008433E0">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DCD3B4" w14:textId="77777777" w:rsidR="00AE727E" w:rsidRDefault="008433E0">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07DCD3B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3B6" w14:textId="77777777" w:rsidR="00AE727E" w:rsidRDefault="00AE727E">
            <w:pPr>
              <w:rPr>
                <w:rFonts w:ascii="宋体"/>
              </w:rPr>
            </w:pPr>
          </w:p>
        </w:tc>
      </w:tr>
      <w:tr w:rsidR="00AE727E" w14:paraId="07DCD3BB" w14:textId="77777777">
        <w:trPr>
          <w:trHeight w:val="480"/>
          <w:jc w:val="center"/>
        </w:trPr>
        <w:tc>
          <w:tcPr>
            <w:tcW w:w="0" w:type="auto"/>
            <w:gridSpan w:val="3"/>
            <w:shd w:val="clear" w:color="auto" w:fill="auto"/>
            <w:tcMar>
              <w:top w:w="40" w:type="dxa"/>
              <w:left w:w="20" w:type="dxa"/>
              <w:bottom w:w="40" w:type="dxa"/>
              <w:right w:w="20" w:type="dxa"/>
            </w:tcMar>
            <w:vAlign w:val="center"/>
          </w:tcPr>
          <w:p w14:paraId="07DCD3B8" w14:textId="77777777" w:rsidR="00AE727E" w:rsidRDefault="008433E0">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07DCD3B9" w14:textId="77777777" w:rsidR="00AE727E" w:rsidRDefault="008433E0">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07DCD3BA" w14:textId="77777777" w:rsidR="00AE727E" w:rsidRDefault="008433E0">
            <w:pPr>
              <w:textAlignment w:val="top"/>
            </w:pPr>
            <w:r>
              <w:rPr>
                <w:rFonts w:ascii="Times New Roman" w:eastAsia="宋体" w:hAnsi="Times New Roman"/>
                <w:b/>
                <w:bCs/>
                <w:color w:val="000000"/>
                <w:sz w:val="18"/>
                <w:szCs w:val="18"/>
              </w:rPr>
              <w:t>QUARTERLY REPORT PURSUANT TO SECTION 13 OR 15(d) OF THE SECURITIES</w:t>
            </w:r>
            <w:r>
              <w:rPr>
                <w:rFonts w:ascii="Times New Roman" w:eastAsia="宋体" w:hAnsi="Times New Roman"/>
                <w:b/>
                <w:bCs/>
                <w:color w:val="000000"/>
                <w:sz w:val="18"/>
                <w:szCs w:val="18"/>
              </w:rPr>
              <w:br/>
              <w:t>EXCHANGE ACT OF 1934</w:t>
            </w:r>
          </w:p>
        </w:tc>
      </w:tr>
      <w:tr w:rsidR="00AE727E" w14:paraId="07DCD3C1" w14:textId="77777777">
        <w:trPr>
          <w:trHeight w:val="300"/>
          <w:jc w:val="center"/>
        </w:trPr>
        <w:tc>
          <w:tcPr>
            <w:tcW w:w="0" w:type="auto"/>
            <w:gridSpan w:val="3"/>
            <w:shd w:val="clear" w:color="auto" w:fill="auto"/>
            <w:tcMar>
              <w:top w:w="0" w:type="dxa"/>
              <w:left w:w="20" w:type="dxa"/>
              <w:bottom w:w="0" w:type="dxa"/>
              <w:right w:w="20" w:type="dxa"/>
            </w:tcMar>
            <w:vAlign w:val="bottom"/>
          </w:tcPr>
          <w:p w14:paraId="07DCD3BC"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3B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3BE" w14:textId="77777777" w:rsidR="00AE727E" w:rsidRDefault="008433E0">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07DCD3BF" w14:textId="77777777" w:rsidR="00AE727E" w:rsidRDefault="008433E0">
            <w:pPr>
              <w:textAlignment w:val="bottom"/>
            </w:pPr>
            <w:r>
              <w:rPr>
                <w:rFonts w:ascii="Times New Roman" w:eastAsia="宋体" w:hAnsi="Times New Roman"/>
                <w:b/>
                <w:bCs/>
                <w:color w:val="000000"/>
                <w:sz w:val="18"/>
                <w:szCs w:val="18"/>
              </w:rPr>
              <w:t>October 29, 2021</w:t>
            </w:r>
          </w:p>
        </w:tc>
        <w:tc>
          <w:tcPr>
            <w:tcW w:w="0" w:type="auto"/>
            <w:gridSpan w:val="3"/>
            <w:shd w:val="clear" w:color="auto" w:fill="auto"/>
            <w:tcMar>
              <w:top w:w="0" w:type="dxa"/>
              <w:left w:w="20" w:type="dxa"/>
              <w:bottom w:w="0" w:type="dxa"/>
              <w:right w:w="20" w:type="dxa"/>
            </w:tcMar>
            <w:vAlign w:val="bottom"/>
          </w:tcPr>
          <w:p w14:paraId="07DCD3C0" w14:textId="77777777" w:rsidR="00AE727E" w:rsidRDefault="00AE727E">
            <w:pPr>
              <w:rPr>
                <w:rFonts w:ascii="宋体"/>
              </w:rPr>
            </w:pPr>
          </w:p>
        </w:tc>
      </w:tr>
      <w:tr w:rsidR="00AE727E" w14:paraId="07DCD3C3" w14:textId="77777777">
        <w:trPr>
          <w:trHeight w:val="240"/>
          <w:jc w:val="center"/>
        </w:trPr>
        <w:tc>
          <w:tcPr>
            <w:tcW w:w="0" w:type="auto"/>
            <w:gridSpan w:val="15"/>
            <w:shd w:val="clear" w:color="auto" w:fill="auto"/>
            <w:tcMar>
              <w:top w:w="40" w:type="dxa"/>
              <w:left w:w="20" w:type="dxa"/>
              <w:bottom w:w="40" w:type="dxa"/>
              <w:right w:w="20" w:type="dxa"/>
            </w:tcMar>
          </w:tcPr>
          <w:p w14:paraId="07DCD3C2" w14:textId="77777777" w:rsidR="00AE727E" w:rsidRDefault="008433E0">
            <w:pPr>
              <w:jc w:val="center"/>
              <w:textAlignment w:val="top"/>
            </w:pPr>
            <w:r>
              <w:rPr>
                <w:rFonts w:ascii="Times New Roman" w:eastAsia="宋体" w:hAnsi="Times New Roman"/>
                <w:b/>
                <w:bCs/>
                <w:color w:val="000000"/>
                <w:sz w:val="18"/>
                <w:szCs w:val="18"/>
              </w:rPr>
              <w:t>or</w:t>
            </w:r>
          </w:p>
        </w:tc>
      </w:tr>
      <w:tr w:rsidR="00AE727E" w14:paraId="07DCD3C7" w14:textId="77777777">
        <w:trPr>
          <w:trHeight w:val="460"/>
          <w:jc w:val="center"/>
        </w:trPr>
        <w:tc>
          <w:tcPr>
            <w:tcW w:w="0" w:type="auto"/>
            <w:gridSpan w:val="3"/>
            <w:shd w:val="clear" w:color="auto" w:fill="auto"/>
            <w:tcMar>
              <w:top w:w="40" w:type="dxa"/>
              <w:left w:w="20" w:type="dxa"/>
              <w:bottom w:w="40" w:type="dxa"/>
              <w:right w:w="20" w:type="dxa"/>
            </w:tcMar>
            <w:vAlign w:val="center"/>
          </w:tcPr>
          <w:p w14:paraId="07DCD3C4" w14:textId="77777777" w:rsidR="00AE727E" w:rsidRDefault="008433E0">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07DCD3C5" w14:textId="77777777" w:rsidR="00AE727E" w:rsidRDefault="008433E0">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07DCD3C6" w14:textId="77777777" w:rsidR="00AE727E" w:rsidRDefault="008433E0">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AE727E" w14:paraId="07DCD3C9" w14:textId="77777777">
        <w:trPr>
          <w:trHeight w:val="280"/>
          <w:jc w:val="center"/>
        </w:trPr>
        <w:tc>
          <w:tcPr>
            <w:tcW w:w="0" w:type="auto"/>
            <w:gridSpan w:val="15"/>
            <w:shd w:val="clear" w:color="auto" w:fill="auto"/>
            <w:tcMar>
              <w:top w:w="40" w:type="dxa"/>
              <w:left w:w="20" w:type="dxa"/>
              <w:bottom w:w="40" w:type="dxa"/>
              <w:right w:w="20" w:type="dxa"/>
            </w:tcMar>
            <w:vAlign w:val="bottom"/>
          </w:tcPr>
          <w:p w14:paraId="07DCD3C8" w14:textId="77777777" w:rsidR="00AE727E" w:rsidRDefault="008433E0">
            <w:pP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07DCD3CA" w14:textId="77777777" w:rsidR="00AE727E" w:rsidRDefault="008433E0">
      <w:r>
        <w:rPr>
          <w:rFonts w:ascii="Times New Roman" w:eastAsia="宋体" w:hAnsi="Times New Roman"/>
          <w:color w:val="000000"/>
          <w:sz w:val="2"/>
          <w:szCs w:val="2"/>
        </w:rPr>
        <w:t> </w:t>
      </w:r>
    </w:p>
    <w:p w14:paraId="07DCD3CB" w14:textId="77777777" w:rsidR="00AE727E" w:rsidRDefault="008433E0">
      <w:pPr>
        <w:jc w:val="center"/>
      </w:pPr>
      <w:r>
        <w:rPr>
          <w:rFonts w:ascii="Times New Roman" w:eastAsia="宋体" w:hAnsi="Times New Roman"/>
          <w:b/>
          <w:bCs/>
          <w:color w:val="000000"/>
          <w:sz w:val="18"/>
          <w:szCs w:val="18"/>
        </w:rPr>
        <w:t xml:space="preserve">Commission File Number: 001-37867 </w:t>
      </w:r>
    </w:p>
    <w:p w14:paraId="07DCD3CC" w14:textId="77777777" w:rsidR="00AE727E" w:rsidRDefault="008433E0">
      <w:pPr>
        <w:spacing w:before="60"/>
      </w:pPr>
      <w:r>
        <w:rPr>
          <w:rFonts w:ascii="Times New Roman" w:eastAsia="宋体" w:hAnsi="Times New Roman"/>
          <w:color w:val="000000"/>
          <w:sz w:val="2"/>
          <w:szCs w:val="2"/>
        </w:rPr>
        <w:t> </w:t>
      </w:r>
    </w:p>
    <w:p w14:paraId="07DCD3CD" w14:textId="77777777" w:rsidR="00AE727E" w:rsidRDefault="008433E0">
      <w:pPr>
        <w:spacing w:after="120"/>
        <w:jc w:val="center"/>
      </w:pPr>
      <w:r>
        <w:rPr>
          <w:rFonts w:ascii="Times New Roman" w:eastAsia="宋体" w:hAnsi="Times New Roman"/>
          <w:b/>
          <w:bCs/>
          <w:color w:val="000000"/>
          <w:sz w:val="32"/>
          <w:szCs w:val="32"/>
        </w:rPr>
        <w:t xml:space="preserve">Dell Technologies Inc. </w:t>
      </w:r>
    </w:p>
    <w:p w14:paraId="07DCD3CE" w14:textId="77777777" w:rsidR="00AE727E" w:rsidRDefault="008433E0">
      <w:pPr>
        <w:spacing w:before="60"/>
        <w:jc w:val="center"/>
      </w:pPr>
      <w:r>
        <w:rPr>
          <w:rFonts w:ascii="Times New Roman" w:eastAsia="宋体" w:hAnsi="Times New Roman"/>
          <w:color w:val="000000"/>
          <w:sz w:val="16"/>
          <w:szCs w:val="16"/>
        </w:rPr>
        <w:t>(Exact name of registrant as specified in its charter)</w:t>
      </w:r>
      <w:r>
        <w:rPr>
          <w:rFonts w:ascii="Times New Roman" w:eastAsia="宋体" w:hAnsi="Times New Roman"/>
          <w:color w:val="000000"/>
          <w:sz w:val="2"/>
          <w:szCs w:val="2"/>
        </w:rPr>
        <w:t> </w:t>
      </w:r>
    </w:p>
    <w:p w14:paraId="07DCD3CF" w14:textId="77777777" w:rsidR="00AE727E" w:rsidRDefault="008433E0">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AE727E" w14:paraId="07DCD3D9" w14:textId="77777777">
        <w:tc>
          <w:tcPr>
            <w:tcW w:w="50" w:type="pct"/>
            <w:shd w:val="clear" w:color="auto" w:fill="auto"/>
            <w:vAlign w:val="bottom"/>
          </w:tcPr>
          <w:p w14:paraId="07DCD3D0" w14:textId="77777777" w:rsidR="00AE727E" w:rsidRDefault="00AE727E">
            <w:pPr>
              <w:rPr>
                <w:rFonts w:ascii="宋体"/>
              </w:rPr>
            </w:pPr>
          </w:p>
        </w:tc>
        <w:tc>
          <w:tcPr>
            <w:tcW w:w="2371" w:type="pct"/>
            <w:shd w:val="clear" w:color="auto" w:fill="auto"/>
            <w:vAlign w:val="bottom"/>
          </w:tcPr>
          <w:p w14:paraId="07DCD3D1" w14:textId="77777777" w:rsidR="00AE727E" w:rsidRDefault="00AE727E">
            <w:pPr>
              <w:rPr>
                <w:rFonts w:ascii="宋体"/>
              </w:rPr>
            </w:pPr>
          </w:p>
        </w:tc>
        <w:tc>
          <w:tcPr>
            <w:tcW w:w="5" w:type="pct"/>
            <w:shd w:val="clear" w:color="auto" w:fill="auto"/>
            <w:vAlign w:val="bottom"/>
          </w:tcPr>
          <w:p w14:paraId="07DCD3D2" w14:textId="77777777" w:rsidR="00AE727E" w:rsidRDefault="00AE727E">
            <w:pPr>
              <w:rPr>
                <w:rFonts w:ascii="宋体"/>
              </w:rPr>
            </w:pPr>
          </w:p>
        </w:tc>
        <w:tc>
          <w:tcPr>
            <w:tcW w:w="5" w:type="pct"/>
            <w:shd w:val="clear" w:color="auto" w:fill="auto"/>
            <w:vAlign w:val="bottom"/>
          </w:tcPr>
          <w:p w14:paraId="07DCD3D3" w14:textId="77777777" w:rsidR="00AE727E" w:rsidRDefault="00AE727E">
            <w:pPr>
              <w:rPr>
                <w:rFonts w:ascii="宋体"/>
              </w:rPr>
            </w:pPr>
          </w:p>
        </w:tc>
        <w:tc>
          <w:tcPr>
            <w:tcW w:w="136" w:type="pct"/>
            <w:shd w:val="clear" w:color="auto" w:fill="auto"/>
            <w:vAlign w:val="bottom"/>
          </w:tcPr>
          <w:p w14:paraId="07DCD3D4" w14:textId="77777777" w:rsidR="00AE727E" w:rsidRDefault="00AE727E">
            <w:pPr>
              <w:rPr>
                <w:rFonts w:ascii="宋体"/>
              </w:rPr>
            </w:pPr>
          </w:p>
        </w:tc>
        <w:tc>
          <w:tcPr>
            <w:tcW w:w="5" w:type="pct"/>
            <w:shd w:val="clear" w:color="auto" w:fill="auto"/>
            <w:vAlign w:val="bottom"/>
          </w:tcPr>
          <w:p w14:paraId="07DCD3D5" w14:textId="77777777" w:rsidR="00AE727E" w:rsidRDefault="00AE727E">
            <w:pPr>
              <w:rPr>
                <w:rFonts w:ascii="宋体"/>
              </w:rPr>
            </w:pPr>
          </w:p>
        </w:tc>
        <w:tc>
          <w:tcPr>
            <w:tcW w:w="50" w:type="pct"/>
            <w:shd w:val="clear" w:color="auto" w:fill="auto"/>
            <w:vAlign w:val="bottom"/>
          </w:tcPr>
          <w:p w14:paraId="07DCD3D6" w14:textId="77777777" w:rsidR="00AE727E" w:rsidRDefault="00AE727E">
            <w:pPr>
              <w:rPr>
                <w:rFonts w:ascii="宋体"/>
              </w:rPr>
            </w:pPr>
          </w:p>
        </w:tc>
        <w:tc>
          <w:tcPr>
            <w:tcW w:w="2371" w:type="pct"/>
            <w:shd w:val="clear" w:color="auto" w:fill="auto"/>
            <w:vAlign w:val="bottom"/>
          </w:tcPr>
          <w:p w14:paraId="07DCD3D7" w14:textId="77777777" w:rsidR="00AE727E" w:rsidRDefault="00AE727E">
            <w:pPr>
              <w:rPr>
                <w:rFonts w:ascii="宋体"/>
              </w:rPr>
            </w:pPr>
          </w:p>
        </w:tc>
        <w:tc>
          <w:tcPr>
            <w:tcW w:w="5" w:type="pct"/>
            <w:shd w:val="clear" w:color="auto" w:fill="auto"/>
            <w:vAlign w:val="bottom"/>
          </w:tcPr>
          <w:p w14:paraId="07DCD3D8" w14:textId="77777777" w:rsidR="00AE727E" w:rsidRDefault="00AE727E">
            <w:pPr>
              <w:rPr>
                <w:rFonts w:ascii="宋体"/>
              </w:rPr>
            </w:pPr>
          </w:p>
        </w:tc>
      </w:tr>
      <w:tr w:rsidR="00AE727E" w14:paraId="07DCD3DD" w14:textId="77777777">
        <w:tc>
          <w:tcPr>
            <w:tcW w:w="0" w:type="auto"/>
            <w:gridSpan w:val="3"/>
            <w:shd w:val="clear" w:color="auto" w:fill="auto"/>
            <w:tcMar>
              <w:top w:w="40" w:type="dxa"/>
              <w:left w:w="20" w:type="dxa"/>
              <w:bottom w:w="40" w:type="dxa"/>
              <w:right w:w="20" w:type="dxa"/>
            </w:tcMar>
            <w:vAlign w:val="bottom"/>
          </w:tcPr>
          <w:p w14:paraId="07DCD3DA" w14:textId="77777777" w:rsidR="00AE727E" w:rsidRDefault="008433E0">
            <w:pPr>
              <w:jc w:val="center"/>
              <w:textAlignment w:val="bottom"/>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07DCD3DB" w14:textId="77777777" w:rsidR="00AE727E" w:rsidRDefault="008433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DCD3DC" w14:textId="77777777" w:rsidR="00AE727E" w:rsidRDefault="008433E0">
            <w:pPr>
              <w:jc w:val="center"/>
              <w:textAlignment w:val="bottom"/>
            </w:pPr>
            <w:r>
              <w:rPr>
                <w:rFonts w:ascii="Times New Roman" w:eastAsia="宋体" w:hAnsi="Times New Roman"/>
                <w:b/>
                <w:bCs/>
                <w:color w:val="000000"/>
                <w:sz w:val="18"/>
                <w:szCs w:val="18"/>
              </w:rPr>
              <w:t>80-0890963</w:t>
            </w:r>
          </w:p>
        </w:tc>
      </w:tr>
      <w:tr w:rsidR="00AE727E" w14:paraId="07DCD3E1" w14:textId="77777777">
        <w:tc>
          <w:tcPr>
            <w:tcW w:w="0" w:type="auto"/>
            <w:gridSpan w:val="3"/>
            <w:shd w:val="clear" w:color="auto" w:fill="auto"/>
            <w:tcMar>
              <w:top w:w="40" w:type="dxa"/>
              <w:left w:w="20" w:type="dxa"/>
              <w:bottom w:w="40" w:type="dxa"/>
              <w:right w:w="20" w:type="dxa"/>
            </w:tcMar>
            <w:vAlign w:val="bottom"/>
          </w:tcPr>
          <w:p w14:paraId="07DCD3DE" w14:textId="77777777" w:rsidR="00AE727E" w:rsidRDefault="008433E0">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07DCD3DF" w14:textId="77777777" w:rsidR="00AE727E" w:rsidRDefault="008433E0">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07DCD3E0" w14:textId="77777777" w:rsidR="00AE727E" w:rsidRDefault="008433E0">
            <w:pPr>
              <w:jc w:val="center"/>
              <w:textAlignment w:val="bottom"/>
            </w:pPr>
            <w:r>
              <w:rPr>
                <w:rFonts w:ascii="Times New Roman" w:eastAsia="宋体" w:hAnsi="Times New Roman"/>
                <w:color w:val="000000"/>
                <w:sz w:val="18"/>
                <w:szCs w:val="18"/>
              </w:rPr>
              <w:t>(I.R.S. Employer Identification No.)</w:t>
            </w:r>
          </w:p>
        </w:tc>
      </w:tr>
    </w:tbl>
    <w:p w14:paraId="07DCD3E2" w14:textId="77777777" w:rsidR="00AE727E" w:rsidRDefault="008433E0">
      <w:pPr>
        <w:jc w:val="center"/>
      </w:pPr>
      <w:r>
        <w:rPr>
          <w:rFonts w:ascii="Times New Roman" w:eastAsia="宋体" w:hAnsi="Times New Roman"/>
          <w:b/>
          <w:bCs/>
          <w:color w:val="000000"/>
          <w:sz w:val="18"/>
          <w:szCs w:val="18"/>
        </w:rPr>
        <w:t xml:space="preserve">One Dell Way, Round Rock, Texas 78682 </w:t>
      </w:r>
    </w:p>
    <w:p w14:paraId="07DCD3E3" w14:textId="77777777" w:rsidR="00AE727E" w:rsidRDefault="008433E0">
      <w:pPr>
        <w:jc w:val="center"/>
      </w:pPr>
      <w:r>
        <w:rPr>
          <w:rFonts w:ascii="Times New Roman" w:eastAsia="宋体" w:hAnsi="Times New Roman"/>
          <w:color w:val="000000"/>
          <w:sz w:val="18"/>
          <w:szCs w:val="18"/>
        </w:rPr>
        <w:t>(Address of principal executive offices) (Zip Code)</w:t>
      </w:r>
    </w:p>
    <w:p w14:paraId="07DCD3E4" w14:textId="77777777" w:rsidR="00AE727E" w:rsidRDefault="00AE727E">
      <w:pPr>
        <w:jc w:val="center"/>
      </w:pPr>
    </w:p>
    <w:p w14:paraId="07DCD3E5" w14:textId="77777777" w:rsidR="00AE727E" w:rsidRDefault="008433E0">
      <w:pPr>
        <w:jc w:val="center"/>
      </w:pPr>
      <w:r>
        <w:rPr>
          <w:rFonts w:ascii="Times New Roman" w:eastAsia="宋体" w:hAnsi="Times New Roman"/>
          <w:b/>
          <w:bCs/>
          <w:color w:val="000000"/>
          <w:sz w:val="18"/>
          <w:szCs w:val="18"/>
        </w:rPr>
        <w:t>1-800-289-3355</w:t>
      </w:r>
      <w:r>
        <w:rPr>
          <w:rFonts w:ascii="Times New Roman" w:eastAsia="宋体" w:hAnsi="Times New Roman"/>
          <w:color w:val="000000"/>
          <w:sz w:val="18"/>
          <w:szCs w:val="18"/>
        </w:rPr>
        <w:t> </w:t>
      </w:r>
    </w:p>
    <w:p w14:paraId="07DCD3E6" w14:textId="77777777" w:rsidR="00AE727E" w:rsidRDefault="008433E0">
      <w:pPr>
        <w:jc w:val="center"/>
      </w:pPr>
      <w:r>
        <w:rPr>
          <w:rFonts w:ascii="Times New Roman" w:eastAsia="宋体" w:hAnsi="Times New Roman"/>
          <w:color w:val="000000"/>
          <w:sz w:val="18"/>
          <w:szCs w:val="18"/>
        </w:rPr>
        <w:t>(Registrant’s telephone number, including area code)</w:t>
      </w:r>
    </w:p>
    <w:p w14:paraId="07DCD3E7" w14:textId="77777777" w:rsidR="00AE727E" w:rsidRDefault="00AE727E">
      <w:pPr>
        <w:jc w:val="center"/>
      </w:pPr>
    </w:p>
    <w:p w14:paraId="07DCD3E8" w14:textId="77777777" w:rsidR="00AE727E" w:rsidRDefault="008433E0">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07"/>
        <w:gridCol w:w="37"/>
        <w:gridCol w:w="69"/>
        <w:gridCol w:w="1405"/>
        <w:gridCol w:w="36"/>
        <w:gridCol w:w="69"/>
        <w:gridCol w:w="3308"/>
        <w:gridCol w:w="36"/>
      </w:tblGrid>
      <w:tr w:rsidR="00AE727E" w14:paraId="07DCD3F2" w14:textId="77777777">
        <w:trPr>
          <w:jc w:val="center"/>
        </w:trPr>
        <w:tc>
          <w:tcPr>
            <w:tcW w:w="50" w:type="pct"/>
            <w:shd w:val="clear" w:color="auto" w:fill="auto"/>
            <w:vAlign w:val="bottom"/>
          </w:tcPr>
          <w:p w14:paraId="07DCD3E9" w14:textId="77777777" w:rsidR="00AE727E" w:rsidRDefault="00AE727E">
            <w:pPr>
              <w:rPr>
                <w:rFonts w:ascii="宋体"/>
              </w:rPr>
            </w:pPr>
          </w:p>
        </w:tc>
        <w:tc>
          <w:tcPr>
            <w:tcW w:w="1991" w:type="pct"/>
            <w:shd w:val="clear" w:color="auto" w:fill="auto"/>
            <w:vAlign w:val="bottom"/>
          </w:tcPr>
          <w:p w14:paraId="07DCD3EA" w14:textId="77777777" w:rsidR="00AE727E" w:rsidRDefault="00AE727E">
            <w:pPr>
              <w:rPr>
                <w:rFonts w:ascii="宋体"/>
              </w:rPr>
            </w:pPr>
          </w:p>
        </w:tc>
        <w:tc>
          <w:tcPr>
            <w:tcW w:w="5" w:type="pct"/>
            <w:shd w:val="clear" w:color="auto" w:fill="auto"/>
            <w:vAlign w:val="bottom"/>
          </w:tcPr>
          <w:p w14:paraId="07DCD3EB" w14:textId="77777777" w:rsidR="00AE727E" w:rsidRDefault="00AE727E">
            <w:pPr>
              <w:rPr>
                <w:rFonts w:ascii="宋体"/>
              </w:rPr>
            </w:pPr>
          </w:p>
        </w:tc>
        <w:tc>
          <w:tcPr>
            <w:tcW w:w="50" w:type="pct"/>
            <w:shd w:val="clear" w:color="auto" w:fill="auto"/>
            <w:vAlign w:val="bottom"/>
          </w:tcPr>
          <w:p w14:paraId="07DCD3EC" w14:textId="77777777" w:rsidR="00AE727E" w:rsidRDefault="00AE727E">
            <w:pPr>
              <w:rPr>
                <w:rFonts w:ascii="宋体"/>
              </w:rPr>
            </w:pPr>
          </w:p>
        </w:tc>
        <w:tc>
          <w:tcPr>
            <w:tcW w:w="851" w:type="pct"/>
            <w:shd w:val="clear" w:color="auto" w:fill="auto"/>
            <w:vAlign w:val="bottom"/>
          </w:tcPr>
          <w:p w14:paraId="07DCD3ED" w14:textId="77777777" w:rsidR="00AE727E" w:rsidRDefault="00AE727E">
            <w:pPr>
              <w:rPr>
                <w:rFonts w:ascii="宋体"/>
              </w:rPr>
            </w:pPr>
          </w:p>
        </w:tc>
        <w:tc>
          <w:tcPr>
            <w:tcW w:w="5" w:type="pct"/>
            <w:shd w:val="clear" w:color="auto" w:fill="auto"/>
            <w:vAlign w:val="bottom"/>
          </w:tcPr>
          <w:p w14:paraId="07DCD3EE" w14:textId="77777777" w:rsidR="00AE727E" w:rsidRDefault="00AE727E">
            <w:pPr>
              <w:rPr>
                <w:rFonts w:ascii="宋体"/>
              </w:rPr>
            </w:pPr>
          </w:p>
        </w:tc>
        <w:tc>
          <w:tcPr>
            <w:tcW w:w="50" w:type="pct"/>
            <w:shd w:val="clear" w:color="auto" w:fill="auto"/>
            <w:vAlign w:val="bottom"/>
          </w:tcPr>
          <w:p w14:paraId="07DCD3EF" w14:textId="77777777" w:rsidR="00AE727E" w:rsidRDefault="00AE727E">
            <w:pPr>
              <w:rPr>
                <w:rFonts w:ascii="宋体"/>
              </w:rPr>
            </w:pPr>
          </w:p>
        </w:tc>
        <w:tc>
          <w:tcPr>
            <w:tcW w:w="1991" w:type="pct"/>
            <w:shd w:val="clear" w:color="auto" w:fill="auto"/>
            <w:vAlign w:val="bottom"/>
          </w:tcPr>
          <w:p w14:paraId="07DCD3F0" w14:textId="77777777" w:rsidR="00AE727E" w:rsidRDefault="00AE727E">
            <w:pPr>
              <w:rPr>
                <w:rFonts w:ascii="宋体"/>
              </w:rPr>
            </w:pPr>
          </w:p>
        </w:tc>
        <w:tc>
          <w:tcPr>
            <w:tcW w:w="5" w:type="pct"/>
            <w:shd w:val="clear" w:color="auto" w:fill="auto"/>
            <w:vAlign w:val="bottom"/>
          </w:tcPr>
          <w:p w14:paraId="07DCD3F1" w14:textId="77777777" w:rsidR="00AE727E" w:rsidRDefault="00AE727E">
            <w:pPr>
              <w:rPr>
                <w:rFonts w:ascii="宋体"/>
              </w:rPr>
            </w:pPr>
          </w:p>
        </w:tc>
      </w:tr>
      <w:tr w:rsidR="00AE727E" w14:paraId="07DCD3F6" w14:textId="77777777">
        <w:trPr>
          <w:jc w:val="center"/>
        </w:trPr>
        <w:tc>
          <w:tcPr>
            <w:tcW w:w="0" w:type="auto"/>
            <w:gridSpan w:val="3"/>
            <w:shd w:val="clear" w:color="auto" w:fill="auto"/>
            <w:tcMar>
              <w:top w:w="40" w:type="dxa"/>
              <w:left w:w="20" w:type="dxa"/>
              <w:bottom w:w="40" w:type="dxa"/>
              <w:right w:w="20" w:type="dxa"/>
            </w:tcMar>
            <w:vAlign w:val="bottom"/>
          </w:tcPr>
          <w:p w14:paraId="07DCD3F3" w14:textId="77777777" w:rsidR="00AE727E" w:rsidRDefault="008433E0">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07DCD3F4" w14:textId="77777777" w:rsidR="00AE727E" w:rsidRDefault="008433E0">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07DCD3F5" w14:textId="77777777" w:rsidR="00AE727E" w:rsidRDefault="008433E0">
            <w:pPr>
              <w:jc w:val="center"/>
              <w:textAlignment w:val="bottom"/>
            </w:pPr>
            <w:r>
              <w:rPr>
                <w:rFonts w:ascii="Times New Roman" w:eastAsia="宋体" w:hAnsi="Times New Roman"/>
                <w:color w:val="000000"/>
                <w:sz w:val="18"/>
                <w:szCs w:val="18"/>
                <w:u w:val="single"/>
              </w:rPr>
              <w:t>Name of each exchange on which registered</w:t>
            </w:r>
          </w:p>
        </w:tc>
      </w:tr>
      <w:tr w:rsidR="00AE727E" w14:paraId="07DCD3FA" w14:textId="77777777">
        <w:trPr>
          <w:jc w:val="center"/>
        </w:trPr>
        <w:tc>
          <w:tcPr>
            <w:tcW w:w="0" w:type="auto"/>
            <w:gridSpan w:val="3"/>
            <w:shd w:val="clear" w:color="auto" w:fill="auto"/>
            <w:tcMar>
              <w:top w:w="40" w:type="dxa"/>
              <w:left w:w="20" w:type="dxa"/>
              <w:bottom w:w="40" w:type="dxa"/>
              <w:right w:w="20" w:type="dxa"/>
            </w:tcMar>
            <w:vAlign w:val="bottom"/>
          </w:tcPr>
          <w:p w14:paraId="07DCD3F7" w14:textId="77777777" w:rsidR="00AE727E" w:rsidRDefault="008433E0">
            <w:pPr>
              <w:jc w:val="center"/>
              <w:textAlignment w:val="bottom"/>
            </w:pPr>
            <w:r>
              <w:rPr>
                <w:rFonts w:ascii="Times New Roman" w:eastAsia="宋体" w:hAnsi="Times New Roman"/>
                <w:b/>
                <w:bCs/>
                <w:color w:val="000000"/>
                <w:sz w:val="18"/>
                <w:szCs w:val="18"/>
              </w:rPr>
              <w:t>Class C Common Stock, par value $0.01 per share</w:t>
            </w:r>
          </w:p>
        </w:tc>
        <w:tc>
          <w:tcPr>
            <w:tcW w:w="0" w:type="auto"/>
            <w:gridSpan w:val="3"/>
            <w:shd w:val="clear" w:color="auto" w:fill="auto"/>
            <w:tcMar>
              <w:top w:w="40" w:type="dxa"/>
              <w:left w:w="20" w:type="dxa"/>
              <w:bottom w:w="40" w:type="dxa"/>
              <w:right w:w="20" w:type="dxa"/>
            </w:tcMar>
            <w:vAlign w:val="bottom"/>
          </w:tcPr>
          <w:p w14:paraId="07DCD3F8" w14:textId="77777777" w:rsidR="00AE727E" w:rsidRDefault="008433E0">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07DCD3F9" w14:textId="77777777" w:rsidR="00AE727E" w:rsidRDefault="008433E0">
            <w:pPr>
              <w:jc w:val="center"/>
              <w:textAlignment w:val="bottom"/>
            </w:pPr>
            <w:r>
              <w:rPr>
                <w:rFonts w:ascii="Times New Roman" w:eastAsia="宋体" w:hAnsi="Times New Roman"/>
                <w:b/>
                <w:bCs/>
                <w:color w:val="000000"/>
                <w:sz w:val="18"/>
                <w:szCs w:val="18"/>
              </w:rPr>
              <w:t>New York Stock Exchange</w:t>
            </w:r>
          </w:p>
        </w:tc>
      </w:tr>
    </w:tbl>
    <w:p w14:paraId="07DCD3FB" w14:textId="77777777" w:rsidR="00AE727E" w:rsidRDefault="00AE727E">
      <w:pPr>
        <w:spacing w:after="60"/>
      </w:pPr>
    </w:p>
    <w:p w14:paraId="07DCD3FC" w14:textId="77777777" w:rsidR="00AE727E" w:rsidRDefault="008433E0">
      <w:pPr>
        <w:spacing w:after="60"/>
      </w:pPr>
      <w:r>
        <w:rPr>
          <w:rFonts w:ascii="Times New Roman" w:eastAsia="宋体" w:hAnsi="Times New Roman"/>
          <w:color w:val="000000"/>
          <w:sz w:val="18"/>
          <w:szCs w:val="18"/>
        </w:rPr>
        <w:t xml:space="preserve">Indicate by check mark whether the registrant (1) has filed all reports required to be filed by Section 13 or </w:t>
      </w:r>
      <w:r>
        <w:rPr>
          <w:rFonts w:ascii="Times New Roman" w:eastAsia="宋体" w:hAnsi="Times New Roman"/>
          <w:color w:val="000000"/>
          <w:sz w:val="18"/>
          <w:szCs w:val="18"/>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07DCD3FD" w14:textId="77777777" w:rsidR="00AE727E" w:rsidRDefault="00AE727E">
      <w:pPr>
        <w:spacing w:after="60"/>
      </w:pPr>
    </w:p>
    <w:p w14:paraId="07DCD3FE" w14:textId="77777777" w:rsidR="00AE727E" w:rsidRDefault="008433E0">
      <w:pPr>
        <w:spacing w:after="60"/>
      </w:pPr>
      <w:r>
        <w:rPr>
          <w:rFonts w:ascii="Times New Roman" w:eastAsia="宋体" w:hAnsi="Times New Roman"/>
          <w:color w:val="000000"/>
          <w:sz w:val="18"/>
          <w:szCs w:val="18"/>
        </w:rPr>
        <w:t xml:space="preserve">Indicate </w:t>
      </w:r>
      <w:r>
        <w:rPr>
          <w:rFonts w:ascii="Times New Roman" w:eastAsia="宋体" w:hAnsi="Times New Roman"/>
          <w:color w:val="000000"/>
          <w:sz w:val="18"/>
          <w:szCs w:val="18"/>
        </w:rPr>
        <w:t>by check mark whether the registrant has submitted electronically every Interactive Data File required to be submitted pursuant to Rule 405 of Regulation S-T during the preceding 12 months (or for such shorter period that the registrant was required to sub</w:t>
      </w:r>
      <w:r>
        <w:rPr>
          <w:rFonts w:ascii="Times New Roman" w:eastAsia="宋体" w:hAnsi="Times New Roman"/>
          <w:color w:val="000000"/>
          <w:sz w:val="18"/>
          <w:szCs w:val="18"/>
        </w:rPr>
        <w:t>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07DCD3FF" w14:textId="77777777" w:rsidR="00AE727E" w:rsidRDefault="00AE727E">
      <w:pPr>
        <w:spacing w:after="60"/>
      </w:pPr>
    </w:p>
    <w:p w14:paraId="07DCD400" w14:textId="77777777" w:rsidR="00AE727E" w:rsidRDefault="008433E0">
      <w:pPr>
        <w:spacing w:after="60"/>
      </w:pPr>
      <w:r>
        <w:rPr>
          <w:rFonts w:ascii="Times New Roman" w:eastAsia="宋体" w:hAnsi="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w:t>
      </w:r>
      <w:r>
        <w:rPr>
          <w:rFonts w:ascii="Times New Roman" w:eastAsia="宋体" w:hAnsi="Times New Roman"/>
          <w:color w:val="000000"/>
          <w:sz w:val="18"/>
          <w:szCs w:val="18"/>
        </w:rPr>
        <w:t xml:space="preserve">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70"/>
        <w:gridCol w:w="1339"/>
        <w:gridCol w:w="37"/>
        <w:gridCol w:w="37"/>
        <w:gridCol w:w="184"/>
        <w:gridCol w:w="36"/>
        <w:gridCol w:w="45"/>
        <w:gridCol w:w="4323"/>
        <w:gridCol w:w="36"/>
        <w:gridCol w:w="36"/>
        <w:gridCol w:w="205"/>
        <w:gridCol w:w="36"/>
        <w:gridCol w:w="61"/>
        <w:gridCol w:w="1592"/>
        <w:gridCol w:w="36"/>
        <w:gridCol w:w="61"/>
        <w:gridCol w:w="166"/>
        <w:gridCol w:w="36"/>
      </w:tblGrid>
      <w:tr w:rsidR="00AE727E" w14:paraId="07DCD413" w14:textId="77777777">
        <w:tc>
          <w:tcPr>
            <w:tcW w:w="50" w:type="pct"/>
            <w:shd w:val="clear" w:color="auto" w:fill="auto"/>
            <w:vAlign w:val="bottom"/>
          </w:tcPr>
          <w:p w14:paraId="07DCD401" w14:textId="77777777" w:rsidR="00AE727E" w:rsidRDefault="00AE727E">
            <w:pPr>
              <w:rPr>
                <w:rFonts w:ascii="宋体"/>
              </w:rPr>
            </w:pPr>
          </w:p>
        </w:tc>
        <w:tc>
          <w:tcPr>
            <w:tcW w:w="822" w:type="pct"/>
            <w:shd w:val="clear" w:color="auto" w:fill="auto"/>
            <w:vAlign w:val="bottom"/>
          </w:tcPr>
          <w:p w14:paraId="07DCD402" w14:textId="77777777" w:rsidR="00AE727E" w:rsidRDefault="00AE727E">
            <w:pPr>
              <w:rPr>
                <w:rFonts w:ascii="宋体"/>
              </w:rPr>
            </w:pPr>
          </w:p>
        </w:tc>
        <w:tc>
          <w:tcPr>
            <w:tcW w:w="5" w:type="pct"/>
            <w:shd w:val="clear" w:color="auto" w:fill="auto"/>
            <w:vAlign w:val="bottom"/>
          </w:tcPr>
          <w:p w14:paraId="07DCD403" w14:textId="77777777" w:rsidR="00AE727E" w:rsidRDefault="00AE727E">
            <w:pPr>
              <w:rPr>
                <w:rFonts w:ascii="宋体"/>
              </w:rPr>
            </w:pPr>
          </w:p>
        </w:tc>
        <w:tc>
          <w:tcPr>
            <w:tcW w:w="5" w:type="pct"/>
            <w:shd w:val="clear" w:color="auto" w:fill="auto"/>
            <w:vAlign w:val="bottom"/>
          </w:tcPr>
          <w:p w14:paraId="07DCD404" w14:textId="77777777" w:rsidR="00AE727E" w:rsidRDefault="00AE727E">
            <w:pPr>
              <w:rPr>
                <w:rFonts w:ascii="宋体"/>
              </w:rPr>
            </w:pPr>
          </w:p>
        </w:tc>
        <w:tc>
          <w:tcPr>
            <w:tcW w:w="114" w:type="pct"/>
            <w:shd w:val="clear" w:color="auto" w:fill="auto"/>
            <w:vAlign w:val="bottom"/>
          </w:tcPr>
          <w:p w14:paraId="07DCD405" w14:textId="77777777" w:rsidR="00AE727E" w:rsidRDefault="00AE727E">
            <w:pPr>
              <w:rPr>
                <w:rFonts w:ascii="宋体"/>
              </w:rPr>
            </w:pPr>
          </w:p>
        </w:tc>
        <w:tc>
          <w:tcPr>
            <w:tcW w:w="5" w:type="pct"/>
            <w:shd w:val="clear" w:color="auto" w:fill="auto"/>
            <w:vAlign w:val="bottom"/>
          </w:tcPr>
          <w:p w14:paraId="07DCD406" w14:textId="77777777" w:rsidR="00AE727E" w:rsidRDefault="00AE727E">
            <w:pPr>
              <w:rPr>
                <w:rFonts w:ascii="宋体"/>
              </w:rPr>
            </w:pPr>
          </w:p>
        </w:tc>
        <w:tc>
          <w:tcPr>
            <w:tcW w:w="50" w:type="pct"/>
            <w:shd w:val="clear" w:color="auto" w:fill="auto"/>
            <w:vAlign w:val="bottom"/>
          </w:tcPr>
          <w:p w14:paraId="07DCD407" w14:textId="77777777" w:rsidR="00AE727E" w:rsidRDefault="00AE727E">
            <w:pPr>
              <w:rPr>
                <w:rFonts w:ascii="宋体"/>
              </w:rPr>
            </w:pPr>
          </w:p>
        </w:tc>
        <w:tc>
          <w:tcPr>
            <w:tcW w:w="2605" w:type="pct"/>
            <w:shd w:val="clear" w:color="auto" w:fill="auto"/>
            <w:vAlign w:val="bottom"/>
          </w:tcPr>
          <w:p w14:paraId="07DCD408" w14:textId="77777777" w:rsidR="00AE727E" w:rsidRDefault="00AE727E">
            <w:pPr>
              <w:rPr>
                <w:rFonts w:ascii="宋体"/>
              </w:rPr>
            </w:pPr>
          </w:p>
        </w:tc>
        <w:tc>
          <w:tcPr>
            <w:tcW w:w="5" w:type="pct"/>
            <w:shd w:val="clear" w:color="auto" w:fill="auto"/>
            <w:vAlign w:val="bottom"/>
          </w:tcPr>
          <w:p w14:paraId="07DCD409" w14:textId="77777777" w:rsidR="00AE727E" w:rsidRDefault="00AE727E">
            <w:pPr>
              <w:rPr>
                <w:rFonts w:ascii="宋体"/>
              </w:rPr>
            </w:pPr>
          </w:p>
        </w:tc>
        <w:tc>
          <w:tcPr>
            <w:tcW w:w="5" w:type="pct"/>
            <w:shd w:val="clear" w:color="auto" w:fill="auto"/>
            <w:vAlign w:val="bottom"/>
          </w:tcPr>
          <w:p w14:paraId="07DCD40A" w14:textId="77777777" w:rsidR="00AE727E" w:rsidRDefault="00AE727E">
            <w:pPr>
              <w:rPr>
                <w:rFonts w:ascii="宋体"/>
              </w:rPr>
            </w:pPr>
          </w:p>
        </w:tc>
        <w:tc>
          <w:tcPr>
            <w:tcW w:w="136" w:type="pct"/>
            <w:shd w:val="clear" w:color="auto" w:fill="auto"/>
            <w:vAlign w:val="bottom"/>
          </w:tcPr>
          <w:p w14:paraId="07DCD40B" w14:textId="77777777" w:rsidR="00AE727E" w:rsidRDefault="00AE727E">
            <w:pPr>
              <w:rPr>
                <w:rFonts w:ascii="宋体"/>
              </w:rPr>
            </w:pPr>
          </w:p>
        </w:tc>
        <w:tc>
          <w:tcPr>
            <w:tcW w:w="5" w:type="pct"/>
            <w:shd w:val="clear" w:color="auto" w:fill="auto"/>
            <w:vAlign w:val="bottom"/>
          </w:tcPr>
          <w:p w14:paraId="07DCD40C" w14:textId="77777777" w:rsidR="00AE727E" w:rsidRDefault="00AE727E">
            <w:pPr>
              <w:rPr>
                <w:rFonts w:ascii="宋体"/>
              </w:rPr>
            </w:pPr>
          </w:p>
        </w:tc>
        <w:tc>
          <w:tcPr>
            <w:tcW w:w="50" w:type="pct"/>
            <w:shd w:val="clear" w:color="auto" w:fill="auto"/>
            <w:vAlign w:val="bottom"/>
          </w:tcPr>
          <w:p w14:paraId="07DCD40D" w14:textId="77777777" w:rsidR="00AE727E" w:rsidRDefault="00AE727E">
            <w:pPr>
              <w:rPr>
                <w:rFonts w:ascii="宋体"/>
              </w:rPr>
            </w:pPr>
          </w:p>
        </w:tc>
        <w:tc>
          <w:tcPr>
            <w:tcW w:w="968" w:type="pct"/>
            <w:shd w:val="clear" w:color="auto" w:fill="auto"/>
            <w:vAlign w:val="bottom"/>
          </w:tcPr>
          <w:p w14:paraId="07DCD40E" w14:textId="77777777" w:rsidR="00AE727E" w:rsidRDefault="00AE727E">
            <w:pPr>
              <w:rPr>
                <w:rFonts w:ascii="宋体"/>
              </w:rPr>
            </w:pPr>
          </w:p>
        </w:tc>
        <w:tc>
          <w:tcPr>
            <w:tcW w:w="5" w:type="pct"/>
            <w:shd w:val="clear" w:color="auto" w:fill="auto"/>
            <w:vAlign w:val="bottom"/>
          </w:tcPr>
          <w:p w14:paraId="07DCD40F" w14:textId="77777777" w:rsidR="00AE727E" w:rsidRDefault="00AE727E">
            <w:pPr>
              <w:rPr>
                <w:rFonts w:ascii="宋体"/>
              </w:rPr>
            </w:pPr>
          </w:p>
        </w:tc>
        <w:tc>
          <w:tcPr>
            <w:tcW w:w="50" w:type="pct"/>
            <w:shd w:val="clear" w:color="auto" w:fill="auto"/>
            <w:vAlign w:val="bottom"/>
          </w:tcPr>
          <w:p w14:paraId="07DCD410" w14:textId="77777777" w:rsidR="00AE727E" w:rsidRDefault="00AE727E">
            <w:pPr>
              <w:rPr>
                <w:rFonts w:ascii="宋体"/>
              </w:rPr>
            </w:pPr>
          </w:p>
        </w:tc>
        <w:tc>
          <w:tcPr>
            <w:tcW w:w="113" w:type="pct"/>
            <w:shd w:val="clear" w:color="auto" w:fill="auto"/>
            <w:vAlign w:val="bottom"/>
          </w:tcPr>
          <w:p w14:paraId="07DCD411" w14:textId="77777777" w:rsidR="00AE727E" w:rsidRDefault="00AE727E">
            <w:pPr>
              <w:rPr>
                <w:rFonts w:ascii="宋体"/>
              </w:rPr>
            </w:pPr>
          </w:p>
        </w:tc>
        <w:tc>
          <w:tcPr>
            <w:tcW w:w="5" w:type="pct"/>
            <w:shd w:val="clear" w:color="auto" w:fill="auto"/>
            <w:vAlign w:val="bottom"/>
          </w:tcPr>
          <w:p w14:paraId="07DCD412" w14:textId="77777777" w:rsidR="00AE727E" w:rsidRDefault="00AE727E">
            <w:pPr>
              <w:rPr>
                <w:rFonts w:ascii="宋体"/>
              </w:rPr>
            </w:pPr>
          </w:p>
        </w:tc>
      </w:tr>
      <w:tr w:rsidR="00AE727E" w14:paraId="07DCD41A" w14:textId="77777777">
        <w:tc>
          <w:tcPr>
            <w:tcW w:w="0" w:type="auto"/>
            <w:gridSpan w:val="3"/>
            <w:shd w:val="clear" w:color="auto" w:fill="auto"/>
            <w:tcMar>
              <w:top w:w="40" w:type="dxa"/>
              <w:left w:w="20" w:type="dxa"/>
              <w:bottom w:w="40" w:type="dxa"/>
              <w:right w:w="20" w:type="dxa"/>
            </w:tcMar>
            <w:vAlign w:val="bottom"/>
          </w:tcPr>
          <w:p w14:paraId="07DCD414" w14:textId="77777777" w:rsidR="00AE727E" w:rsidRDefault="008433E0">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07DCD415" w14:textId="77777777" w:rsidR="00AE727E" w:rsidRDefault="008433E0">
            <w:pPr>
              <w:textAlignment w:val="bottom"/>
            </w:pPr>
            <w:r>
              <w:rPr>
                <w:rFonts w:ascii="Wingdings" w:eastAsia="宋体" w:hAnsi="Wingdings" w:cs="Wingdings"/>
                <w:color w:val="000000"/>
                <w:sz w:val="18"/>
                <w:szCs w:val="18"/>
              </w:rPr>
              <w:t>þ</w:t>
            </w:r>
          </w:p>
        </w:tc>
        <w:tc>
          <w:tcPr>
            <w:tcW w:w="0" w:type="auto"/>
            <w:gridSpan w:val="3"/>
            <w:shd w:val="clear" w:color="auto" w:fill="auto"/>
            <w:tcMar>
              <w:top w:w="0" w:type="dxa"/>
              <w:left w:w="20" w:type="dxa"/>
              <w:bottom w:w="0" w:type="dxa"/>
              <w:right w:w="20" w:type="dxa"/>
            </w:tcMar>
            <w:vAlign w:val="bottom"/>
          </w:tcPr>
          <w:p w14:paraId="07DCD416"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17" w14:textId="77777777" w:rsidR="00AE727E" w:rsidRDefault="008433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DCD418" w14:textId="77777777" w:rsidR="00AE727E" w:rsidRDefault="008433E0">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07DCD419" w14:textId="77777777" w:rsidR="00AE727E" w:rsidRDefault="008433E0">
            <w:pPr>
              <w:textAlignment w:val="bottom"/>
            </w:pPr>
            <w:r>
              <w:rPr>
                <w:rFonts w:ascii="Wingdings" w:eastAsia="宋体" w:hAnsi="Wingdings" w:cs="Wingdings"/>
                <w:color w:val="000000"/>
                <w:sz w:val="18"/>
                <w:szCs w:val="18"/>
              </w:rPr>
              <w:t>¨</w:t>
            </w:r>
          </w:p>
        </w:tc>
      </w:tr>
      <w:tr w:rsidR="00AE727E" w14:paraId="07DCD421" w14:textId="77777777">
        <w:tc>
          <w:tcPr>
            <w:tcW w:w="0" w:type="auto"/>
            <w:gridSpan w:val="3"/>
            <w:shd w:val="clear" w:color="auto" w:fill="auto"/>
            <w:tcMar>
              <w:top w:w="40" w:type="dxa"/>
              <w:left w:w="20" w:type="dxa"/>
              <w:bottom w:w="40" w:type="dxa"/>
              <w:right w:w="20" w:type="dxa"/>
            </w:tcMar>
            <w:vAlign w:val="bottom"/>
          </w:tcPr>
          <w:p w14:paraId="07DCD41B" w14:textId="77777777" w:rsidR="00AE727E" w:rsidRDefault="008433E0">
            <w:pPr>
              <w:textAlignment w:val="bottom"/>
            </w:pPr>
            <w:r>
              <w:rPr>
                <w:rFonts w:ascii="Times New Roman" w:eastAsia="宋体" w:hAnsi="Times New Roman"/>
                <w:color w:val="000000"/>
                <w:sz w:val="18"/>
                <w:szCs w:val="18"/>
              </w:rPr>
              <w:t xml:space="preserve">Non-accelerated </w:t>
            </w:r>
            <w:r>
              <w:rPr>
                <w:rFonts w:ascii="Times New Roman" w:eastAsia="宋体" w:hAnsi="Times New Roman"/>
                <w:color w:val="000000"/>
                <w:sz w:val="18"/>
                <w:szCs w:val="18"/>
              </w:rPr>
              <w:lastRenderedPageBreak/>
              <w:t>filer</w:t>
            </w:r>
          </w:p>
        </w:tc>
        <w:tc>
          <w:tcPr>
            <w:tcW w:w="0" w:type="auto"/>
            <w:gridSpan w:val="3"/>
            <w:shd w:val="clear" w:color="auto" w:fill="auto"/>
            <w:tcMar>
              <w:top w:w="40" w:type="dxa"/>
              <w:left w:w="20" w:type="dxa"/>
              <w:bottom w:w="40" w:type="dxa"/>
              <w:right w:w="20" w:type="dxa"/>
            </w:tcMar>
            <w:vAlign w:val="bottom"/>
          </w:tcPr>
          <w:p w14:paraId="07DCD41C" w14:textId="77777777" w:rsidR="00AE727E" w:rsidRDefault="008433E0">
            <w:pPr>
              <w:textAlignment w:val="bottom"/>
            </w:pPr>
            <w:r>
              <w:rPr>
                <w:rFonts w:ascii="Wingdings" w:eastAsia="宋体" w:hAnsi="Wingdings" w:cs="Wingdings"/>
                <w:color w:val="000000"/>
                <w:sz w:val="18"/>
                <w:szCs w:val="18"/>
              </w:rPr>
              <w:lastRenderedPageBreak/>
              <w:t>¨</w:t>
            </w:r>
          </w:p>
        </w:tc>
        <w:tc>
          <w:tcPr>
            <w:tcW w:w="0" w:type="auto"/>
            <w:gridSpan w:val="3"/>
            <w:shd w:val="clear" w:color="auto" w:fill="auto"/>
            <w:tcMar>
              <w:top w:w="0" w:type="dxa"/>
              <w:left w:w="20" w:type="dxa"/>
              <w:bottom w:w="0" w:type="dxa"/>
              <w:right w:w="20" w:type="dxa"/>
            </w:tcMar>
            <w:vAlign w:val="bottom"/>
          </w:tcPr>
          <w:p w14:paraId="07DCD41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1E" w14:textId="77777777" w:rsidR="00AE727E" w:rsidRDefault="008433E0">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DCD41F" w14:textId="77777777" w:rsidR="00AE727E" w:rsidRDefault="008433E0">
            <w:pPr>
              <w:textAlignment w:val="bottom"/>
            </w:pPr>
            <w:r>
              <w:rPr>
                <w:rFonts w:ascii="Times New Roman" w:eastAsia="宋体" w:hAnsi="Times New Roman"/>
                <w:color w:val="000000"/>
                <w:sz w:val="18"/>
                <w:szCs w:val="18"/>
              </w:rPr>
              <w:t xml:space="preserve">Smaller reporting </w:t>
            </w:r>
            <w:r>
              <w:rPr>
                <w:rFonts w:ascii="Times New Roman" w:eastAsia="宋体" w:hAnsi="Times New Roman"/>
                <w:color w:val="000000"/>
                <w:sz w:val="18"/>
                <w:szCs w:val="18"/>
              </w:rPr>
              <w:lastRenderedPageBreak/>
              <w:t>company</w:t>
            </w:r>
          </w:p>
        </w:tc>
        <w:tc>
          <w:tcPr>
            <w:tcW w:w="0" w:type="auto"/>
            <w:gridSpan w:val="3"/>
            <w:shd w:val="clear" w:color="auto" w:fill="auto"/>
            <w:tcMar>
              <w:top w:w="40" w:type="dxa"/>
              <w:left w:w="20" w:type="dxa"/>
              <w:bottom w:w="40" w:type="dxa"/>
              <w:right w:w="20" w:type="dxa"/>
            </w:tcMar>
            <w:vAlign w:val="bottom"/>
          </w:tcPr>
          <w:p w14:paraId="07DCD420" w14:textId="77777777" w:rsidR="00AE727E" w:rsidRDefault="008433E0">
            <w:pPr>
              <w:textAlignment w:val="bottom"/>
            </w:pPr>
            <w:r>
              <w:rPr>
                <w:rFonts w:ascii="Arial Unicode MS" w:eastAsia="Arial Unicode MS" w:hAnsi="Arial Unicode MS" w:cs="Arial Unicode MS" w:hint="eastAsia"/>
                <w:color w:val="000000"/>
                <w:sz w:val="18"/>
                <w:szCs w:val="18"/>
              </w:rPr>
              <w:lastRenderedPageBreak/>
              <w:t>☐</w:t>
            </w:r>
          </w:p>
        </w:tc>
      </w:tr>
      <w:tr w:rsidR="00AE727E" w14:paraId="07DCD428" w14:textId="77777777">
        <w:tc>
          <w:tcPr>
            <w:tcW w:w="0" w:type="auto"/>
            <w:gridSpan w:val="3"/>
            <w:shd w:val="clear" w:color="auto" w:fill="auto"/>
            <w:tcMar>
              <w:top w:w="0" w:type="dxa"/>
              <w:left w:w="20" w:type="dxa"/>
              <w:bottom w:w="0" w:type="dxa"/>
              <w:right w:w="20" w:type="dxa"/>
            </w:tcMar>
            <w:vAlign w:val="bottom"/>
          </w:tcPr>
          <w:p w14:paraId="07DCD42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42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42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42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26" w14:textId="77777777" w:rsidR="00AE727E" w:rsidRDefault="008433E0">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07DCD427" w14:textId="77777777" w:rsidR="00AE727E" w:rsidRDefault="008433E0">
            <w:pPr>
              <w:textAlignment w:val="bottom"/>
            </w:pPr>
            <w:r>
              <w:rPr>
                <w:rFonts w:ascii="Arial Unicode MS" w:eastAsia="Arial Unicode MS" w:hAnsi="Arial Unicode MS" w:cs="Arial Unicode MS" w:hint="eastAsia"/>
                <w:color w:val="000000"/>
                <w:sz w:val="18"/>
                <w:szCs w:val="18"/>
              </w:rPr>
              <w:t>☐</w:t>
            </w:r>
          </w:p>
        </w:tc>
      </w:tr>
    </w:tbl>
    <w:p w14:paraId="07DCD429" w14:textId="77777777" w:rsidR="00AE727E" w:rsidRDefault="008433E0">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8"/>
          <w:szCs w:val="18"/>
          <w:shd w:val="clear" w:color="auto" w:fill="FFFFFF"/>
        </w:rPr>
        <w:t>¨</w:t>
      </w:r>
    </w:p>
    <w:p w14:paraId="07DCD42A" w14:textId="77777777" w:rsidR="00AE727E" w:rsidRDefault="00AE727E"/>
    <w:p w14:paraId="07DCD42B" w14:textId="77777777" w:rsidR="00AE727E" w:rsidRDefault="008433E0">
      <w:r>
        <w:rPr>
          <w:rFonts w:ascii="Times New Roman" w:eastAsia="宋体" w:hAnsi="Times New Roman"/>
          <w:color w:val="000000"/>
          <w:sz w:val="18"/>
          <w:szCs w:val="18"/>
          <w:shd w:val="clear" w:color="auto" w:fill="FFFFFF"/>
        </w:rPr>
        <w:t>In</w:t>
      </w:r>
      <w:r>
        <w:rPr>
          <w:rFonts w:ascii="Times New Roman" w:eastAsia="宋体" w:hAnsi="Times New Roman"/>
          <w:color w:val="000000"/>
          <w:sz w:val="18"/>
          <w:szCs w:val="18"/>
          <w:shd w:val="clear" w:color="auto" w:fill="FFFFFF"/>
        </w:rPr>
        <w:t>dicate by check mark whether the registrant is a shell company (as defined in Rule 12b-2 of the Exchang</w:t>
      </w:r>
      <w:r>
        <w:rPr>
          <w:rFonts w:ascii="Times New Roman" w:eastAsia="宋体" w:hAnsi="Times New Roman"/>
          <w:color w:val="000000"/>
          <w:sz w:val="18"/>
          <w:szCs w:val="18"/>
        </w:rPr>
        <w:t>e Act). Yes </w:t>
      </w:r>
      <w:r>
        <w:rPr>
          <w:rFonts w:ascii="Arial Unicode MS" w:eastAsia="Arial Unicode MS" w:hAnsi="Arial Unicode MS" w:cs="Arial Unicode MS" w:hint="eastAsia"/>
          <w:color w:val="000000"/>
          <w:sz w:val="18"/>
          <w:szCs w:val="18"/>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þ</w:t>
      </w:r>
    </w:p>
    <w:p w14:paraId="07DCD42C" w14:textId="77777777" w:rsidR="00AE727E" w:rsidRDefault="00AE727E"/>
    <w:p w14:paraId="07DCD42D" w14:textId="77777777" w:rsidR="00AE727E" w:rsidRDefault="008433E0">
      <w:r>
        <w:rPr>
          <w:rFonts w:ascii="Times New Roman" w:eastAsia="宋体" w:hAnsi="Times New Roman"/>
          <w:color w:val="000000"/>
          <w:sz w:val="18"/>
          <w:szCs w:val="18"/>
        </w:rPr>
        <w:t>As of November 30, 2021, there were 763,884,923 shares of the registrant’s common stock outstanding, consisting of 289,981,446 outsta</w:t>
      </w:r>
      <w:r>
        <w:rPr>
          <w:rFonts w:ascii="Times New Roman" w:eastAsia="宋体" w:hAnsi="Times New Roman"/>
          <w:color w:val="000000"/>
          <w:sz w:val="18"/>
          <w:szCs w:val="18"/>
        </w:rPr>
        <w:t>nding shares of Class C Common Stock, 378,553,250 outstanding shares of Class A Common Stock, and 95,350,227 outstanding shares of Class B Common Stock.</w:t>
      </w:r>
    </w:p>
    <w:p w14:paraId="07DCD42E" w14:textId="77777777" w:rsidR="00AE727E" w:rsidRDefault="00AE727E">
      <w:pPr>
        <w:jc w:val="center"/>
      </w:pPr>
    </w:p>
    <w:p w14:paraId="07DCD42F" w14:textId="77777777" w:rsidR="00AE727E" w:rsidRDefault="008433E0">
      <w:pPr>
        <w:jc w:val="center"/>
      </w:pPr>
      <w:r>
        <w:rPr>
          <w:rFonts w:ascii="Times New Roman" w:eastAsia="宋体" w:hAnsi="Times New Roman"/>
          <w:color w:val="000000"/>
          <w:sz w:val="20"/>
          <w:szCs w:val="20"/>
        </w:rPr>
        <w:t>1</w:t>
      </w:r>
    </w:p>
    <w:p w14:paraId="07DCD430" w14:textId="77777777" w:rsidR="00AE727E" w:rsidRDefault="00AE727E">
      <w:pPr>
        <w:jc w:val="center"/>
      </w:pPr>
    </w:p>
    <w:p w14:paraId="07DCD431" w14:textId="77777777" w:rsidR="00AE727E" w:rsidRDefault="008433E0">
      <w:r>
        <w:pict w14:anchorId="07DD18D1">
          <v:rect id="_x0000_i1025" style="width:415.3pt;height:1.5pt" o:hralign="center" o:hrstd="t" o:hr="t" fillcolor="#a0a0a0" stroked="f"/>
        </w:pict>
      </w:r>
    </w:p>
    <w:p w14:paraId="07DCD432" w14:textId="77777777" w:rsidR="00AE727E" w:rsidRDefault="008433E0">
      <w:hyperlink r:id="rId6" w:anchor="i1c8279be622a460ea19600488436f115_10" w:history="1">
        <w:r>
          <w:rPr>
            <w:rStyle w:val="a5"/>
            <w:rFonts w:ascii="Times New Roman" w:eastAsia="宋体" w:hAnsi="Times New Roman"/>
            <w:sz w:val="20"/>
            <w:szCs w:val="20"/>
          </w:rPr>
          <w:t>Table of Contents</w:t>
        </w:r>
      </w:hyperlink>
    </w:p>
    <w:p w14:paraId="07DCD433" w14:textId="77777777" w:rsidR="00AE727E" w:rsidRDefault="008433E0">
      <w:pPr>
        <w:spacing w:after="120"/>
        <w:jc w:val="center"/>
      </w:pPr>
      <w:r>
        <w:rPr>
          <w:rFonts w:ascii="Times New Roman" w:eastAsia="宋体" w:hAnsi="Times New Roman"/>
          <w:b/>
          <w:bCs/>
          <w:color w:val="000000"/>
          <w:sz w:val="20"/>
          <w:szCs w:val="20"/>
        </w:rPr>
        <w:t>CAUTIONARY NOTE REGARDING FORWARD-LOOKING STATEMENTS</w:t>
      </w:r>
    </w:p>
    <w:p w14:paraId="07DCD434" w14:textId="77777777" w:rsidR="00AE727E" w:rsidRDefault="008433E0">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w:t>
      </w:r>
      <w:r>
        <w:rPr>
          <w:rFonts w:ascii="Times New Roman" w:eastAsia="宋体" w:hAnsi="Times New Roman"/>
          <w:color w:val="000000"/>
          <w:sz w:val="20"/>
          <w:szCs w:val="20"/>
        </w:rPr>
        <w:t xml:space="preserve"> us or our management are intended to identify these forward-looking statements. All statements by us regarding our expected financial position, revenues, cash flows and other operating results, business strategy, legal proceedings, future responses to and</w:t>
      </w:r>
      <w:r>
        <w:rPr>
          <w:rFonts w:ascii="Times New Roman" w:eastAsia="宋体" w:hAnsi="Times New Roman"/>
          <w:color w:val="000000"/>
          <w:sz w:val="20"/>
          <w:szCs w:val="20"/>
        </w:rPr>
        <w:t xml:space="preserve"> effects of the coronavirus disease 2019 (“COVID-19”), and similar matters are forward-looking statements. Our expectations expressed or implied in these forward-looking statements may not turn out to be correct. Our results could be materially different f</w:t>
      </w:r>
      <w:r>
        <w:rPr>
          <w:rFonts w:ascii="Times New Roman" w:eastAsia="宋体" w:hAnsi="Times New Roman"/>
          <w:color w:val="000000"/>
          <w:sz w:val="20"/>
          <w:szCs w:val="20"/>
        </w:rPr>
        <w:t>rom our expectations because of various risks, including the risks discussed in “Part I — Item 1A — Risk Factors” in our Annual Report on Form 10-K for the fiscal year ended January 29, 2021, in this report and in our other periodic and current reports fil</w:t>
      </w:r>
      <w:r>
        <w:rPr>
          <w:rFonts w:ascii="Times New Roman" w:eastAsia="宋体" w:hAnsi="Times New Roman"/>
          <w:color w:val="000000"/>
          <w:sz w:val="20"/>
          <w:szCs w:val="20"/>
        </w:rPr>
        <w:t>ed with the Securities and Exchange Commission (“SEC”). Any forward-looking statement speaks only as of the date as of which such statement is made, and, except as required by law, we undertake no obligation to update any forward-looking statement after th</w:t>
      </w:r>
      <w:r>
        <w:rPr>
          <w:rFonts w:ascii="Times New Roman" w:eastAsia="宋体" w:hAnsi="Times New Roman"/>
          <w:color w:val="000000"/>
          <w:sz w:val="20"/>
          <w:szCs w:val="20"/>
        </w:rPr>
        <w:t>e date as of which such statement was made, whether to reflect changes in circumstances or our expectations, the occurrence of unanticipated events, or otherwise.</w:t>
      </w:r>
    </w:p>
    <w:p w14:paraId="07DCD435" w14:textId="77777777" w:rsidR="00AE727E" w:rsidRDefault="00AE727E"/>
    <w:p w14:paraId="07DCD436" w14:textId="77777777" w:rsidR="00AE727E" w:rsidRDefault="00AE727E">
      <w:pPr>
        <w:jc w:val="center"/>
      </w:pPr>
    </w:p>
    <w:p w14:paraId="07DCD437" w14:textId="77777777" w:rsidR="00AE727E" w:rsidRDefault="008433E0">
      <w:pPr>
        <w:jc w:val="center"/>
      </w:pPr>
      <w:r>
        <w:rPr>
          <w:rFonts w:ascii="Times New Roman" w:eastAsia="宋体" w:hAnsi="Times New Roman"/>
          <w:color w:val="000000"/>
          <w:sz w:val="20"/>
          <w:szCs w:val="20"/>
        </w:rPr>
        <w:t>2</w:t>
      </w:r>
    </w:p>
    <w:p w14:paraId="07DCD438" w14:textId="77777777" w:rsidR="00AE727E" w:rsidRDefault="00AE727E">
      <w:pPr>
        <w:jc w:val="center"/>
      </w:pPr>
    </w:p>
    <w:p w14:paraId="07DCD439" w14:textId="77777777" w:rsidR="00AE727E" w:rsidRDefault="008433E0">
      <w:r>
        <w:pict w14:anchorId="07DD18D2">
          <v:rect id="_x0000_i1026" style="width:415.3pt;height:1.5pt" o:hralign="center" o:hrstd="t" o:hr="t" fillcolor="#a0a0a0" stroked="f"/>
        </w:pict>
      </w:r>
    </w:p>
    <w:p w14:paraId="07DCD43A" w14:textId="77777777" w:rsidR="00AE727E" w:rsidRDefault="008433E0">
      <w:hyperlink r:id="rId7" w:anchor="i1c8279be622a460ea19600488436f115_10" w:history="1">
        <w:r>
          <w:rPr>
            <w:rStyle w:val="a5"/>
            <w:rFonts w:ascii="Times New Roman" w:eastAsia="宋体" w:hAnsi="Times New Roman"/>
            <w:sz w:val="20"/>
            <w:szCs w:val="20"/>
          </w:rPr>
          <w:t>Table of Contents</w:t>
        </w:r>
      </w:hyperlink>
    </w:p>
    <w:p w14:paraId="07DCD43B" w14:textId="77777777" w:rsidR="00AE727E" w:rsidRDefault="008433E0">
      <w:pPr>
        <w:jc w:val="center"/>
      </w:pPr>
      <w:r>
        <w:rPr>
          <w:rFonts w:ascii="Times New Roman" w:eastAsia="宋体" w:hAnsi="Times New Roman"/>
          <w:b/>
          <w:bCs/>
          <w:color w:val="000000"/>
          <w:sz w:val="20"/>
          <w:szCs w:val="20"/>
        </w:rPr>
        <w:t>DELL TECHNOLOGIES INC.</w:t>
      </w:r>
    </w:p>
    <w:p w14:paraId="07DCD43C" w14:textId="77777777" w:rsidR="00AE727E" w:rsidRDefault="00AE727E">
      <w:pPr>
        <w:jc w:val="center"/>
      </w:pPr>
    </w:p>
    <w:p w14:paraId="07DCD43D" w14:textId="77777777" w:rsidR="00AE727E" w:rsidRDefault="008433E0">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188"/>
        <w:gridCol w:w="38"/>
        <w:gridCol w:w="59"/>
        <w:gridCol w:w="6478"/>
        <w:gridCol w:w="36"/>
        <w:gridCol w:w="86"/>
        <w:gridCol w:w="357"/>
        <w:gridCol w:w="36"/>
      </w:tblGrid>
      <w:tr w:rsidR="00AE727E" w14:paraId="07DCD447" w14:textId="77777777">
        <w:trPr>
          <w:jc w:val="center"/>
        </w:trPr>
        <w:tc>
          <w:tcPr>
            <w:tcW w:w="50" w:type="pct"/>
            <w:shd w:val="clear" w:color="auto" w:fill="auto"/>
            <w:vAlign w:val="bottom"/>
          </w:tcPr>
          <w:p w14:paraId="07DCD43E" w14:textId="77777777" w:rsidR="00AE727E" w:rsidRDefault="00AE727E">
            <w:pPr>
              <w:rPr>
                <w:rFonts w:ascii="宋体"/>
              </w:rPr>
            </w:pPr>
          </w:p>
        </w:tc>
        <w:tc>
          <w:tcPr>
            <w:tcW w:w="727" w:type="pct"/>
            <w:shd w:val="clear" w:color="auto" w:fill="auto"/>
            <w:vAlign w:val="bottom"/>
          </w:tcPr>
          <w:p w14:paraId="07DCD43F" w14:textId="77777777" w:rsidR="00AE727E" w:rsidRDefault="00AE727E">
            <w:pPr>
              <w:rPr>
                <w:rFonts w:ascii="宋体"/>
              </w:rPr>
            </w:pPr>
          </w:p>
        </w:tc>
        <w:tc>
          <w:tcPr>
            <w:tcW w:w="5" w:type="pct"/>
            <w:shd w:val="clear" w:color="auto" w:fill="auto"/>
            <w:vAlign w:val="bottom"/>
          </w:tcPr>
          <w:p w14:paraId="07DCD440" w14:textId="77777777" w:rsidR="00AE727E" w:rsidRDefault="00AE727E">
            <w:pPr>
              <w:rPr>
                <w:rFonts w:ascii="宋体"/>
              </w:rPr>
            </w:pPr>
          </w:p>
        </w:tc>
        <w:tc>
          <w:tcPr>
            <w:tcW w:w="50" w:type="pct"/>
            <w:shd w:val="clear" w:color="auto" w:fill="auto"/>
            <w:vAlign w:val="bottom"/>
          </w:tcPr>
          <w:p w14:paraId="07DCD441" w14:textId="77777777" w:rsidR="00AE727E" w:rsidRDefault="00AE727E">
            <w:pPr>
              <w:rPr>
                <w:rFonts w:ascii="宋体"/>
              </w:rPr>
            </w:pPr>
          </w:p>
        </w:tc>
        <w:tc>
          <w:tcPr>
            <w:tcW w:w="3899" w:type="pct"/>
            <w:shd w:val="clear" w:color="auto" w:fill="auto"/>
            <w:vAlign w:val="bottom"/>
          </w:tcPr>
          <w:p w14:paraId="07DCD442" w14:textId="77777777" w:rsidR="00AE727E" w:rsidRDefault="00AE727E">
            <w:pPr>
              <w:rPr>
                <w:rFonts w:ascii="宋体"/>
              </w:rPr>
            </w:pPr>
          </w:p>
        </w:tc>
        <w:tc>
          <w:tcPr>
            <w:tcW w:w="5" w:type="pct"/>
            <w:shd w:val="clear" w:color="auto" w:fill="auto"/>
            <w:vAlign w:val="bottom"/>
          </w:tcPr>
          <w:p w14:paraId="07DCD443" w14:textId="77777777" w:rsidR="00AE727E" w:rsidRDefault="00AE727E">
            <w:pPr>
              <w:rPr>
                <w:rFonts w:ascii="宋体"/>
              </w:rPr>
            </w:pPr>
          </w:p>
        </w:tc>
        <w:tc>
          <w:tcPr>
            <w:tcW w:w="50" w:type="pct"/>
            <w:shd w:val="clear" w:color="auto" w:fill="auto"/>
            <w:vAlign w:val="bottom"/>
          </w:tcPr>
          <w:p w14:paraId="07DCD444" w14:textId="77777777" w:rsidR="00AE727E" w:rsidRDefault="00AE727E">
            <w:pPr>
              <w:rPr>
                <w:rFonts w:ascii="宋体"/>
              </w:rPr>
            </w:pPr>
          </w:p>
        </w:tc>
        <w:tc>
          <w:tcPr>
            <w:tcW w:w="208" w:type="pct"/>
            <w:shd w:val="clear" w:color="auto" w:fill="auto"/>
            <w:vAlign w:val="bottom"/>
          </w:tcPr>
          <w:p w14:paraId="07DCD445" w14:textId="77777777" w:rsidR="00AE727E" w:rsidRDefault="00AE727E">
            <w:pPr>
              <w:rPr>
                <w:rFonts w:ascii="宋体"/>
              </w:rPr>
            </w:pPr>
          </w:p>
        </w:tc>
        <w:tc>
          <w:tcPr>
            <w:tcW w:w="5" w:type="pct"/>
            <w:shd w:val="clear" w:color="auto" w:fill="auto"/>
            <w:vAlign w:val="bottom"/>
          </w:tcPr>
          <w:p w14:paraId="07DCD446" w14:textId="77777777" w:rsidR="00AE727E" w:rsidRDefault="00AE727E">
            <w:pPr>
              <w:rPr>
                <w:rFonts w:ascii="宋体"/>
              </w:rPr>
            </w:pPr>
          </w:p>
        </w:tc>
      </w:tr>
      <w:tr w:rsidR="00AE727E" w14:paraId="07DCD44B" w14:textId="77777777">
        <w:trPr>
          <w:jc w:val="center"/>
        </w:trPr>
        <w:tc>
          <w:tcPr>
            <w:tcW w:w="0" w:type="auto"/>
            <w:gridSpan w:val="3"/>
            <w:shd w:val="clear" w:color="auto" w:fill="auto"/>
            <w:tcMar>
              <w:top w:w="0" w:type="dxa"/>
              <w:left w:w="20" w:type="dxa"/>
              <w:bottom w:w="0" w:type="dxa"/>
              <w:right w:w="20" w:type="dxa"/>
            </w:tcMar>
            <w:vAlign w:val="bottom"/>
          </w:tcPr>
          <w:p w14:paraId="07DCD44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44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4A" w14:textId="77777777" w:rsidR="00AE727E" w:rsidRDefault="008433E0">
            <w:pPr>
              <w:jc w:val="center"/>
              <w:textAlignment w:val="bottom"/>
            </w:pPr>
            <w:r>
              <w:rPr>
                <w:rFonts w:ascii="Times New Roman" w:eastAsia="宋体" w:hAnsi="Times New Roman"/>
                <w:b/>
                <w:bCs/>
                <w:color w:val="000000"/>
                <w:sz w:val="20"/>
                <w:szCs w:val="20"/>
              </w:rPr>
              <w:t>Page</w:t>
            </w:r>
          </w:p>
        </w:tc>
      </w:tr>
      <w:tr w:rsidR="00AE727E" w14:paraId="07DCD44D" w14:textId="77777777">
        <w:trPr>
          <w:jc w:val="center"/>
        </w:trPr>
        <w:tc>
          <w:tcPr>
            <w:tcW w:w="0" w:type="auto"/>
            <w:gridSpan w:val="9"/>
            <w:shd w:val="clear" w:color="auto" w:fill="auto"/>
            <w:tcMar>
              <w:top w:w="40" w:type="dxa"/>
              <w:left w:w="20" w:type="dxa"/>
              <w:bottom w:w="40" w:type="dxa"/>
              <w:right w:w="20" w:type="dxa"/>
            </w:tcMar>
            <w:vAlign w:val="bottom"/>
          </w:tcPr>
          <w:p w14:paraId="07DCD44C" w14:textId="77777777" w:rsidR="00AE727E" w:rsidRDefault="008433E0">
            <w:pPr>
              <w:jc w:val="center"/>
              <w:textAlignment w:val="bottom"/>
            </w:pPr>
            <w:hyperlink r:id="rId8" w:anchor="i1c8279be622a460ea19600488436f115_13" w:history="1">
              <w:r>
                <w:rPr>
                  <w:rStyle w:val="a5"/>
                  <w:rFonts w:ascii="Times New Roman" w:eastAsia="宋体" w:hAnsi="Times New Roman"/>
                  <w:b/>
                  <w:bCs/>
                  <w:sz w:val="20"/>
                  <w:szCs w:val="20"/>
                </w:rPr>
                <w:t>PART I — FINANCIAL INFORMATION</w:t>
              </w:r>
            </w:hyperlink>
          </w:p>
        </w:tc>
      </w:tr>
      <w:tr w:rsidR="00AE727E" w14:paraId="07DCD451" w14:textId="77777777">
        <w:trPr>
          <w:jc w:val="center"/>
        </w:trPr>
        <w:tc>
          <w:tcPr>
            <w:tcW w:w="0" w:type="auto"/>
            <w:gridSpan w:val="3"/>
            <w:shd w:val="clear" w:color="auto" w:fill="auto"/>
            <w:tcMar>
              <w:top w:w="40" w:type="dxa"/>
              <w:left w:w="20" w:type="dxa"/>
              <w:bottom w:w="40" w:type="dxa"/>
              <w:right w:w="20" w:type="dxa"/>
            </w:tcMar>
            <w:vAlign w:val="bottom"/>
          </w:tcPr>
          <w:p w14:paraId="07DCD44E" w14:textId="77777777" w:rsidR="00AE727E" w:rsidRDefault="008433E0">
            <w:pPr>
              <w:textAlignment w:val="bottom"/>
            </w:pPr>
            <w:hyperlink r:id="rId9" w:anchor="i1c8279be622a460ea19600488436f115_1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07DCD44F" w14:textId="77777777" w:rsidR="00AE727E" w:rsidRDefault="008433E0">
            <w:pPr>
              <w:textAlignment w:val="bottom"/>
            </w:pPr>
            <w:hyperlink r:id="rId10" w:anchor="i1c8279be622a460ea19600488436f115_16" w:history="1">
              <w:r>
                <w:rPr>
                  <w:rStyle w:val="a5"/>
                  <w:rFonts w:ascii="Times New Roman" w:eastAsia="宋体" w:hAnsi="Times New Roman"/>
                  <w:sz w:val="20"/>
                  <w:szCs w:val="20"/>
                </w:rPr>
                <w:t>Financial Sta</w:t>
              </w:r>
              <w:r>
                <w:rPr>
                  <w:rStyle w:val="a5"/>
                  <w:rFonts w:ascii="Times New Roman" w:eastAsia="宋体" w:hAnsi="Times New Roman"/>
                  <w:sz w:val="20"/>
                  <w:szCs w:val="20"/>
                </w:rPr>
                <w:t>tements (unaudited)</w:t>
              </w:r>
            </w:hyperlink>
          </w:p>
        </w:tc>
        <w:tc>
          <w:tcPr>
            <w:tcW w:w="0" w:type="auto"/>
            <w:gridSpan w:val="3"/>
            <w:shd w:val="clear" w:color="auto" w:fill="auto"/>
            <w:tcMar>
              <w:top w:w="40" w:type="dxa"/>
              <w:left w:w="20" w:type="dxa"/>
              <w:bottom w:w="40" w:type="dxa"/>
              <w:right w:w="20" w:type="dxa"/>
            </w:tcMar>
            <w:vAlign w:val="bottom"/>
          </w:tcPr>
          <w:p w14:paraId="07DCD450" w14:textId="77777777" w:rsidR="00AE727E" w:rsidRDefault="008433E0">
            <w:pPr>
              <w:jc w:val="center"/>
              <w:textAlignment w:val="bottom"/>
            </w:pPr>
            <w:hyperlink r:id="rId11" w:anchor="i1c8279be622a460ea19600488436f115_16" w:history="1">
              <w:r>
                <w:rPr>
                  <w:rStyle w:val="a5"/>
                  <w:rFonts w:ascii="Times New Roman" w:eastAsia="宋体" w:hAnsi="Times New Roman"/>
                  <w:sz w:val="20"/>
                  <w:szCs w:val="20"/>
                </w:rPr>
                <w:t>4</w:t>
              </w:r>
            </w:hyperlink>
          </w:p>
        </w:tc>
      </w:tr>
      <w:tr w:rsidR="00AE727E" w14:paraId="07DCD455" w14:textId="77777777">
        <w:trPr>
          <w:jc w:val="center"/>
        </w:trPr>
        <w:tc>
          <w:tcPr>
            <w:tcW w:w="0" w:type="auto"/>
            <w:gridSpan w:val="3"/>
            <w:shd w:val="clear" w:color="auto" w:fill="auto"/>
            <w:tcMar>
              <w:top w:w="40" w:type="dxa"/>
              <w:left w:w="20" w:type="dxa"/>
              <w:bottom w:w="40" w:type="dxa"/>
              <w:right w:w="20" w:type="dxa"/>
            </w:tcMar>
            <w:vAlign w:val="bottom"/>
          </w:tcPr>
          <w:p w14:paraId="07DCD452" w14:textId="77777777" w:rsidR="00AE727E" w:rsidRDefault="008433E0">
            <w:pPr>
              <w:textAlignment w:val="bottom"/>
            </w:pPr>
            <w:hyperlink r:id="rId12" w:anchor="i1c8279be622a460ea19600488436f115_109"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07DCD453" w14:textId="77777777" w:rsidR="00AE727E" w:rsidRDefault="008433E0">
            <w:pPr>
              <w:textAlignment w:val="bottom"/>
            </w:pPr>
            <w:hyperlink r:id="rId13" w:anchor="i1c8279be622a460ea19600488436f115_10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7DCD454" w14:textId="77777777" w:rsidR="00AE727E" w:rsidRDefault="008433E0">
            <w:pPr>
              <w:jc w:val="center"/>
              <w:textAlignment w:val="bottom"/>
            </w:pPr>
            <w:hyperlink r:id="rId14" w:anchor="i1c8279be622a460ea19600488436f115_109" w:history="1">
              <w:r>
                <w:rPr>
                  <w:rStyle w:val="a5"/>
                  <w:rFonts w:ascii="Times New Roman" w:eastAsia="宋体" w:hAnsi="Times New Roman"/>
                  <w:sz w:val="20"/>
                  <w:szCs w:val="20"/>
                </w:rPr>
                <w:t>60</w:t>
              </w:r>
            </w:hyperlink>
          </w:p>
        </w:tc>
      </w:tr>
      <w:tr w:rsidR="00AE727E" w14:paraId="07DCD459" w14:textId="77777777">
        <w:trPr>
          <w:jc w:val="center"/>
        </w:trPr>
        <w:tc>
          <w:tcPr>
            <w:tcW w:w="0" w:type="auto"/>
            <w:gridSpan w:val="3"/>
            <w:shd w:val="clear" w:color="auto" w:fill="auto"/>
            <w:tcMar>
              <w:top w:w="40" w:type="dxa"/>
              <w:left w:w="20" w:type="dxa"/>
              <w:bottom w:w="40" w:type="dxa"/>
              <w:right w:w="20" w:type="dxa"/>
            </w:tcMar>
            <w:vAlign w:val="bottom"/>
          </w:tcPr>
          <w:p w14:paraId="07DCD456" w14:textId="77777777" w:rsidR="00AE727E" w:rsidRDefault="008433E0">
            <w:pPr>
              <w:textAlignment w:val="bottom"/>
            </w:pPr>
            <w:hyperlink r:id="rId15" w:anchor="i1c8279be622a460ea19600488436f115_136"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vAlign w:val="bottom"/>
          </w:tcPr>
          <w:p w14:paraId="07DCD457" w14:textId="77777777" w:rsidR="00AE727E" w:rsidRDefault="008433E0">
            <w:pPr>
              <w:textAlignment w:val="bottom"/>
            </w:pPr>
            <w:hyperlink r:id="rId16" w:anchor="i1c8279be622a460ea19600488436f115_136" w:history="1">
              <w:r>
                <w:rPr>
                  <w:rStyle w:val="a5"/>
                  <w:rFonts w:ascii="Times New Roman" w:eastAsia="宋体" w:hAnsi="Times New Roman"/>
                  <w:sz w:val="20"/>
                  <w:szCs w:val="20"/>
                </w:rPr>
                <w:t>Quantitative and Qualitative Disclosur</w:t>
              </w:r>
              <w:r>
                <w:rPr>
                  <w:rStyle w:val="a5"/>
                  <w:rFonts w:ascii="Times New Roman" w:eastAsia="宋体" w:hAnsi="Times New Roman"/>
                  <w:sz w:val="20"/>
                  <w:szCs w:val="20"/>
                </w:rPr>
                <w:t>es About Market Risk</w:t>
              </w:r>
            </w:hyperlink>
          </w:p>
        </w:tc>
        <w:tc>
          <w:tcPr>
            <w:tcW w:w="0" w:type="auto"/>
            <w:gridSpan w:val="3"/>
            <w:shd w:val="clear" w:color="auto" w:fill="auto"/>
            <w:tcMar>
              <w:top w:w="40" w:type="dxa"/>
              <w:left w:w="20" w:type="dxa"/>
              <w:bottom w:w="40" w:type="dxa"/>
              <w:right w:w="20" w:type="dxa"/>
            </w:tcMar>
            <w:vAlign w:val="bottom"/>
          </w:tcPr>
          <w:p w14:paraId="07DCD458" w14:textId="77777777" w:rsidR="00AE727E" w:rsidRDefault="008433E0">
            <w:pPr>
              <w:jc w:val="center"/>
              <w:textAlignment w:val="bottom"/>
            </w:pPr>
            <w:hyperlink r:id="rId17" w:anchor="i1c8279be622a460ea19600488436f115_136" w:history="1">
              <w:r>
                <w:rPr>
                  <w:rStyle w:val="a5"/>
                  <w:rFonts w:ascii="Times New Roman" w:eastAsia="宋体" w:hAnsi="Times New Roman"/>
                  <w:sz w:val="20"/>
                  <w:szCs w:val="20"/>
                </w:rPr>
                <w:t>94</w:t>
              </w:r>
            </w:hyperlink>
          </w:p>
        </w:tc>
      </w:tr>
      <w:tr w:rsidR="00AE727E" w14:paraId="07DCD45D" w14:textId="77777777">
        <w:trPr>
          <w:jc w:val="center"/>
        </w:trPr>
        <w:tc>
          <w:tcPr>
            <w:tcW w:w="0" w:type="auto"/>
            <w:gridSpan w:val="3"/>
            <w:shd w:val="clear" w:color="auto" w:fill="auto"/>
            <w:tcMar>
              <w:top w:w="40" w:type="dxa"/>
              <w:left w:w="20" w:type="dxa"/>
              <w:bottom w:w="40" w:type="dxa"/>
              <w:right w:w="20" w:type="dxa"/>
            </w:tcMar>
            <w:vAlign w:val="bottom"/>
          </w:tcPr>
          <w:p w14:paraId="07DCD45A" w14:textId="77777777" w:rsidR="00AE727E" w:rsidRDefault="008433E0">
            <w:pPr>
              <w:textAlignment w:val="bottom"/>
            </w:pPr>
            <w:hyperlink r:id="rId18" w:anchor="i1c8279be622a460ea19600488436f115_139"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vAlign w:val="bottom"/>
          </w:tcPr>
          <w:p w14:paraId="07DCD45B" w14:textId="77777777" w:rsidR="00AE727E" w:rsidRDefault="008433E0">
            <w:pPr>
              <w:textAlignment w:val="bottom"/>
            </w:pPr>
            <w:hyperlink r:id="rId19" w:anchor="i1c8279be622a460ea19600488436f115_139" w:history="1">
              <w:r>
                <w:rPr>
                  <w:rStyle w:val="a5"/>
                  <w:rFonts w:ascii="Times New Roman" w:eastAsia="宋体" w:hAnsi="Times New Roman"/>
                  <w:sz w:val="20"/>
                  <w:szCs w:val="20"/>
                </w:rPr>
                <w:t>Controls and P</w:t>
              </w:r>
              <w:r>
                <w:rPr>
                  <w:rStyle w:val="a5"/>
                  <w:rFonts w:ascii="Times New Roman" w:eastAsia="宋体" w:hAnsi="Times New Roman"/>
                  <w:sz w:val="20"/>
                  <w:szCs w:val="20"/>
                </w:rPr>
                <w:t>rocedures</w:t>
              </w:r>
            </w:hyperlink>
          </w:p>
        </w:tc>
        <w:tc>
          <w:tcPr>
            <w:tcW w:w="0" w:type="auto"/>
            <w:gridSpan w:val="3"/>
            <w:shd w:val="clear" w:color="auto" w:fill="auto"/>
            <w:tcMar>
              <w:top w:w="40" w:type="dxa"/>
              <w:left w:w="20" w:type="dxa"/>
              <w:bottom w:w="40" w:type="dxa"/>
              <w:right w:w="20" w:type="dxa"/>
            </w:tcMar>
            <w:vAlign w:val="bottom"/>
          </w:tcPr>
          <w:p w14:paraId="07DCD45C" w14:textId="77777777" w:rsidR="00AE727E" w:rsidRDefault="008433E0">
            <w:pPr>
              <w:jc w:val="center"/>
              <w:textAlignment w:val="bottom"/>
            </w:pPr>
            <w:hyperlink r:id="rId20" w:anchor="i1c8279be622a460ea19600488436f115_139" w:history="1">
              <w:r>
                <w:rPr>
                  <w:rStyle w:val="a5"/>
                  <w:rFonts w:ascii="Times New Roman" w:eastAsia="宋体" w:hAnsi="Times New Roman"/>
                  <w:sz w:val="20"/>
                  <w:szCs w:val="20"/>
                </w:rPr>
                <w:t>94</w:t>
              </w:r>
            </w:hyperlink>
          </w:p>
        </w:tc>
      </w:tr>
      <w:tr w:rsidR="00AE727E" w14:paraId="07DCD45F" w14:textId="77777777">
        <w:trPr>
          <w:jc w:val="center"/>
        </w:trPr>
        <w:tc>
          <w:tcPr>
            <w:tcW w:w="0" w:type="auto"/>
            <w:gridSpan w:val="9"/>
            <w:shd w:val="clear" w:color="auto" w:fill="auto"/>
            <w:tcMar>
              <w:top w:w="40" w:type="dxa"/>
              <w:left w:w="20" w:type="dxa"/>
              <w:bottom w:w="40" w:type="dxa"/>
              <w:right w:w="20" w:type="dxa"/>
            </w:tcMar>
            <w:vAlign w:val="bottom"/>
          </w:tcPr>
          <w:p w14:paraId="07DCD45E" w14:textId="77777777" w:rsidR="00AE727E" w:rsidRDefault="008433E0">
            <w:pPr>
              <w:jc w:val="center"/>
              <w:textAlignment w:val="bottom"/>
            </w:pPr>
            <w:hyperlink r:id="rId21" w:anchor="i1c8279be622a460ea19600488436f115_142" w:history="1">
              <w:r>
                <w:rPr>
                  <w:rStyle w:val="a5"/>
                  <w:rFonts w:ascii="Times New Roman" w:eastAsia="宋体" w:hAnsi="Times New Roman"/>
                  <w:b/>
                  <w:bCs/>
                  <w:sz w:val="20"/>
                  <w:szCs w:val="20"/>
                </w:rPr>
                <w:t>PART II — OTHER INFORMATION</w:t>
              </w:r>
            </w:hyperlink>
          </w:p>
        </w:tc>
      </w:tr>
      <w:tr w:rsidR="00AE727E" w14:paraId="07DCD463" w14:textId="77777777">
        <w:trPr>
          <w:jc w:val="center"/>
        </w:trPr>
        <w:tc>
          <w:tcPr>
            <w:tcW w:w="0" w:type="auto"/>
            <w:gridSpan w:val="3"/>
            <w:shd w:val="clear" w:color="auto" w:fill="auto"/>
            <w:tcMar>
              <w:top w:w="40" w:type="dxa"/>
              <w:left w:w="20" w:type="dxa"/>
              <w:bottom w:w="40" w:type="dxa"/>
              <w:right w:w="20" w:type="dxa"/>
            </w:tcMar>
            <w:vAlign w:val="bottom"/>
          </w:tcPr>
          <w:p w14:paraId="07DCD460" w14:textId="77777777" w:rsidR="00AE727E" w:rsidRDefault="008433E0">
            <w:pPr>
              <w:textAlignment w:val="bottom"/>
            </w:pPr>
            <w:hyperlink r:id="rId22" w:anchor="i1c8279be622a460ea19600488436f115_145"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07DCD461" w14:textId="77777777" w:rsidR="00AE727E" w:rsidRDefault="008433E0">
            <w:pPr>
              <w:textAlignment w:val="bottom"/>
            </w:pPr>
            <w:hyperlink r:id="rId23" w:anchor="i1c8279be622a460ea19600488436f115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07DCD462" w14:textId="77777777" w:rsidR="00AE727E" w:rsidRDefault="008433E0">
            <w:pPr>
              <w:jc w:val="center"/>
              <w:textAlignment w:val="bottom"/>
            </w:pPr>
            <w:hyperlink r:id="rId24" w:anchor="i1c8279be622a460ea19600488436f115_145" w:history="1">
              <w:r>
                <w:rPr>
                  <w:rStyle w:val="a5"/>
                  <w:rFonts w:ascii="Times New Roman" w:eastAsia="宋体" w:hAnsi="Times New Roman"/>
                  <w:sz w:val="20"/>
                  <w:szCs w:val="20"/>
                </w:rPr>
                <w:t>95</w:t>
              </w:r>
            </w:hyperlink>
          </w:p>
        </w:tc>
      </w:tr>
      <w:tr w:rsidR="00AE727E" w14:paraId="07DCD467" w14:textId="77777777">
        <w:trPr>
          <w:jc w:val="center"/>
        </w:trPr>
        <w:tc>
          <w:tcPr>
            <w:tcW w:w="0" w:type="auto"/>
            <w:gridSpan w:val="3"/>
            <w:shd w:val="clear" w:color="auto" w:fill="auto"/>
            <w:tcMar>
              <w:top w:w="40" w:type="dxa"/>
              <w:left w:w="20" w:type="dxa"/>
              <w:bottom w:w="40" w:type="dxa"/>
              <w:right w:w="20" w:type="dxa"/>
            </w:tcMar>
            <w:vAlign w:val="bottom"/>
          </w:tcPr>
          <w:p w14:paraId="07DCD464" w14:textId="77777777" w:rsidR="00AE727E" w:rsidRDefault="008433E0">
            <w:pPr>
              <w:textAlignment w:val="bottom"/>
            </w:pPr>
            <w:hyperlink r:id="rId25" w:anchor="i1c8279be622a460ea19600488436f115_148"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vAlign w:val="bottom"/>
          </w:tcPr>
          <w:p w14:paraId="07DCD465" w14:textId="77777777" w:rsidR="00AE727E" w:rsidRDefault="008433E0">
            <w:pPr>
              <w:textAlignment w:val="bottom"/>
            </w:pPr>
            <w:hyperlink r:id="rId26" w:anchor="i1c8279be622a460ea19600488436f115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07DCD466" w14:textId="77777777" w:rsidR="00AE727E" w:rsidRDefault="008433E0">
            <w:pPr>
              <w:jc w:val="center"/>
              <w:textAlignment w:val="bottom"/>
            </w:pPr>
            <w:hyperlink r:id="rId27" w:anchor="i1c8279be622a460ea19600488436f115_148" w:history="1">
              <w:r>
                <w:rPr>
                  <w:rStyle w:val="a5"/>
                  <w:rFonts w:ascii="Times New Roman" w:eastAsia="宋体" w:hAnsi="Times New Roman"/>
                  <w:sz w:val="20"/>
                  <w:szCs w:val="20"/>
                </w:rPr>
                <w:t>95</w:t>
              </w:r>
            </w:hyperlink>
          </w:p>
        </w:tc>
      </w:tr>
      <w:tr w:rsidR="00AE727E" w14:paraId="07DCD46B" w14:textId="77777777">
        <w:trPr>
          <w:jc w:val="center"/>
        </w:trPr>
        <w:tc>
          <w:tcPr>
            <w:tcW w:w="0" w:type="auto"/>
            <w:gridSpan w:val="3"/>
            <w:shd w:val="clear" w:color="auto" w:fill="auto"/>
            <w:tcMar>
              <w:top w:w="40" w:type="dxa"/>
              <w:left w:w="20" w:type="dxa"/>
              <w:bottom w:w="40" w:type="dxa"/>
              <w:right w:w="20" w:type="dxa"/>
            </w:tcMar>
            <w:vAlign w:val="bottom"/>
          </w:tcPr>
          <w:p w14:paraId="07DCD468" w14:textId="77777777" w:rsidR="00AE727E" w:rsidRDefault="008433E0">
            <w:pPr>
              <w:textAlignment w:val="bottom"/>
            </w:pPr>
            <w:hyperlink r:id="rId28" w:anchor="i1c8279be622a460ea19600488436f115_151"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07DCD469" w14:textId="77777777" w:rsidR="00AE727E" w:rsidRDefault="008433E0">
            <w:pPr>
              <w:textAlignment w:val="bottom"/>
            </w:pPr>
            <w:hyperlink r:id="rId29" w:anchor="i1c8279be622a460ea19600488436f115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07DCD46A" w14:textId="77777777" w:rsidR="00AE727E" w:rsidRDefault="008433E0">
            <w:pPr>
              <w:jc w:val="center"/>
              <w:textAlignment w:val="bottom"/>
            </w:pPr>
            <w:hyperlink r:id="rId30" w:anchor="i1c8279be622a460ea19600488436f115_151" w:history="1">
              <w:r>
                <w:rPr>
                  <w:rStyle w:val="a5"/>
                  <w:rFonts w:ascii="Times New Roman" w:eastAsia="宋体" w:hAnsi="Times New Roman"/>
                  <w:sz w:val="20"/>
                  <w:szCs w:val="20"/>
                </w:rPr>
                <w:t>96</w:t>
              </w:r>
            </w:hyperlink>
          </w:p>
        </w:tc>
      </w:tr>
      <w:tr w:rsidR="00AE727E" w14:paraId="07DCD46F" w14:textId="77777777">
        <w:trPr>
          <w:jc w:val="center"/>
        </w:trPr>
        <w:tc>
          <w:tcPr>
            <w:tcW w:w="0" w:type="auto"/>
            <w:gridSpan w:val="3"/>
            <w:shd w:val="clear" w:color="auto" w:fill="auto"/>
            <w:tcMar>
              <w:top w:w="40" w:type="dxa"/>
              <w:left w:w="20" w:type="dxa"/>
              <w:bottom w:w="40" w:type="dxa"/>
              <w:right w:w="20" w:type="dxa"/>
            </w:tcMar>
            <w:vAlign w:val="bottom"/>
          </w:tcPr>
          <w:p w14:paraId="07DCD46C" w14:textId="77777777" w:rsidR="00AE727E" w:rsidRDefault="008433E0">
            <w:pPr>
              <w:textAlignment w:val="bottom"/>
            </w:pPr>
            <w:hyperlink r:id="rId31" w:anchor="i1c8279be622a460ea19600488436f115_154"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vAlign w:val="bottom"/>
          </w:tcPr>
          <w:p w14:paraId="07DCD46D" w14:textId="77777777" w:rsidR="00AE727E" w:rsidRDefault="008433E0">
            <w:pPr>
              <w:textAlignment w:val="bottom"/>
            </w:pPr>
            <w:hyperlink r:id="rId32" w:anchor="i1c8279be622a460ea19600488436f115_154"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07DCD46E" w14:textId="77777777" w:rsidR="00AE727E" w:rsidRDefault="008433E0">
            <w:pPr>
              <w:jc w:val="center"/>
              <w:textAlignment w:val="bottom"/>
            </w:pPr>
            <w:hyperlink r:id="rId33" w:anchor="i1c8279be622a460ea19600488436f115_154" w:history="1">
              <w:r>
                <w:rPr>
                  <w:rStyle w:val="a5"/>
                  <w:rFonts w:ascii="Times New Roman" w:eastAsia="宋体" w:hAnsi="Times New Roman"/>
                  <w:sz w:val="20"/>
                  <w:szCs w:val="20"/>
                </w:rPr>
                <w:t>96</w:t>
              </w:r>
            </w:hyperlink>
          </w:p>
        </w:tc>
      </w:tr>
      <w:tr w:rsidR="00AE727E" w14:paraId="07DCD473" w14:textId="77777777">
        <w:trPr>
          <w:jc w:val="center"/>
        </w:trPr>
        <w:tc>
          <w:tcPr>
            <w:tcW w:w="0" w:type="auto"/>
            <w:gridSpan w:val="3"/>
            <w:shd w:val="clear" w:color="auto" w:fill="auto"/>
            <w:tcMar>
              <w:top w:w="40" w:type="dxa"/>
              <w:left w:w="20" w:type="dxa"/>
              <w:bottom w:w="40" w:type="dxa"/>
              <w:right w:w="20" w:type="dxa"/>
            </w:tcMar>
            <w:vAlign w:val="bottom"/>
          </w:tcPr>
          <w:p w14:paraId="07DCD470" w14:textId="77777777" w:rsidR="00AE727E" w:rsidRDefault="008433E0">
            <w:pPr>
              <w:textAlignment w:val="bottom"/>
            </w:pPr>
            <w:hyperlink r:id="rId34" w:anchor="i1c8279be622a460ea19600488436f115_157"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vAlign w:val="bottom"/>
          </w:tcPr>
          <w:p w14:paraId="07DCD471" w14:textId="77777777" w:rsidR="00AE727E" w:rsidRDefault="008433E0">
            <w:pPr>
              <w:textAlignment w:val="bottom"/>
            </w:pPr>
            <w:hyperlink r:id="rId35" w:anchor="i1c8279be622a460ea19600488436f115_157"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07DCD472" w14:textId="77777777" w:rsidR="00AE727E" w:rsidRDefault="008433E0">
            <w:pPr>
              <w:jc w:val="center"/>
              <w:textAlignment w:val="bottom"/>
            </w:pPr>
            <w:hyperlink r:id="rId36" w:anchor="i1c8279be622a460ea19600488436f115_157" w:history="1">
              <w:r>
                <w:rPr>
                  <w:rStyle w:val="a5"/>
                  <w:rFonts w:ascii="Times New Roman" w:eastAsia="宋体" w:hAnsi="Times New Roman"/>
                  <w:sz w:val="20"/>
                  <w:szCs w:val="20"/>
                </w:rPr>
                <w:t>98</w:t>
              </w:r>
            </w:hyperlink>
          </w:p>
        </w:tc>
      </w:tr>
      <w:tr w:rsidR="00AE727E" w14:paraId="07DCD477" w14:textId="77777777">
        <w:trPr>
          <w:jc w:val="center"/>
        </w:trPr>
        <w:tc>
          <w:tcPr>
            <w:tcW w:w="0" w:type="auto"/>
            <w:gridSpan w:val="3"/>
            <w:shd w:val="clear" w:color="auto" w:fill="auto"/>
            <w:tcMar>
              <w:top w:w="40" w:type="dxa"/>
              <w:left w:w="20" w:type="dxa"/>
              <w:bottom w:w="40" w:type="dxa"/>
              <w:right w:w="20" w:type="dxa"/>
            </w:tcMar>
            <w:vAlign w:val="bottom"/>
          </w:tcPr>
          <w:p w14:paraId="07DCD474" w14:textId="77777777" w:rsidR="00AE727E" w:rsidRDefault="008433E0">
            <w:pPr>
              <w:textAlignment w:val="bottom"/>
            </w:pPr>
            <w:hyperlink r:id="rId37" w:anchor="i1c8279be622a460ea19600488436f115_160"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07DCD47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76" w14:textId="77777777" w:rsidR="00AE727E" w:rsidRDefault="008433E0">
            <w:pPr>
              <w:jc w:val="center"/>
              <w:textAlignment w:val="bottom"/>
            </w:pPr>
            <w:hyperlink r:id="rId38" w:anchor="i1c8279be622a460ea19600488436f115_160" w:history="1">
              <w:r>
                <w:rPr>
                  <w:rStyle w:val="a5"/>
                  <w:rFonts w:ascii="Times New Roman" w:eastAsia="宋体" w:hAnsi="Times New Roman"/>
                  <w:sz w:val="20"/>
                  <w:szCs w:val="20"/>
                </w:rPr>
                <w:t>99</w:t>
              </w:r>
            </w:hyperlink>
          </w:p>
        </w:tc>
      </w:tr>
    </w:tbl>
    <w:p w14:paraId="07DCD478" w14:textId="77777777" w:rsidR="00AE727E" w:rsidRDefault="00AE727E">
      <w:pPr>
        <w:jc w:val="center"/>
      </w:pPr>
    </w:p>
    <w:p w14:paraId="07DCD479" w14:textId="77777777" w:rsidR="00AE727E" w:rsidRDefault="00AE727E"/>
    <w:p w14:paraId="07DCD47A" w14:textId="77777777" w:rsidR="00AE727E" w:rsidRDefault="00AE727E">
      <w:pPr>
        <w:jc w:val="center"/>
      </w:pPr>
    </w:p>
    <w:p w14:paraId="07DCD47B" w14:textId="77777777" w:rsidR="00AE727E" w:rsidRDefault="008433E0">
      <w:pPr>
        <w:jc w:val="center"/>
      </w:pPr>
      <w:r>
        <w:rPr>
          <w:rFonts w:ascii="Times New Roman" w:eastAsia="宋体" w:hAnsi="Times New Roman"/>
          <w:color w:val="000000"/>
          <w:sz w:val="20"/>
          <w:szCs w:val="20"/>
        </w:rPr>
        <w:t>3</w:t>
      </w:r>
    </w:p>
    <w:p w14:paraId="07DCD47C" w14:textId="77777777" w:rsidR="00AE727E" w:rsidRDefault="00AE727E">
      <w:pPr>
        <w:jc w:val="center"/>
      </w:pPr>
    </w:p>
    <w:p w14:paraId="07DCD47D" w14:textId="77777777" w:rsidR="00AE727E" w:rsidRDefault="008433E0">
      <w:r>
        <w:pict w14:anchorId="07DD18D3">
          <v:rect id="_x0000_i1027" style="width:415.3pt;height:1.5pt" o:hralign="center" o:hrstd="t" o:hr="t" fillcolor="#a0a0a0" stroked="f"/>
        </w:pict>
      </w:r>
    </w:p>
    <w:p w14:paraId="07DCD47E" w14:textId="77777777" w:rsidR="00AE727E" w:rsidRDefault="008433E0">
      <w:hyperlink r:id="rId39" w:anchor="i1c8279be622a460ea19600488436f115_10" w:history="1">
        <w:r>
          <w:rPr>
            <w:rStyle w:val="a5"/>
            <w:rFonts w:ascii="Times New Roman" w:eastAsia="宋体" w:hAnsi="Times New Roman"/>
            <w:sz w:val="20"/>
            <w:szCs w:val="20"/>
          </w:rPr>
          <w:t>Table of Contents</w:t>
        </w:r>
      </w:hyperlink>
    </w:p>
    <w:p w14:paraId="07DCD47F" w14:textId="77777777" w:rsidR="00AE727E" w:rsidRDefault="00AE727E">
      <w:pPr>
        <w:jc w:val="center"/>
      </w:pPr>
    </w:p>
    <w:p w14:paraId="07DCD480" w14:textId="77777777" w:rsidR="00AE727E" w:rsidRDefault="008433E0">
      <w:pPr>
        <w:jc w:val="center"/>
      </w:pPr>
      <w:r>
        <w:rPr>
          <w:rFonts w:ascii="Times New Roman" w:eastAsia="宋体" w:hAnsi="Times New Roman"/>
          <w:b/>
          <w:bCs/>
          <w:color w:val="000000"/>
          <w:sz w:val="20"/>
          <w:szCs w:val="20"/>
        </w:rPr>
        <w:t>PART I — FINANCIAL INFORMATION</w:t>
      </w:r>
    </w:p>
    <w:p w14:paraId="07DCD481" w14:textId="77777777" w:rsidR="00AE727E" w:rsidRDefault="00AE727E">
      <w:pPr>
        <w:jc w:val="center"/>
      </w:pPr>
    </w:p>
    <w:p w14:paraId="07DCD482" w14:textId="77777777" w:rsidR="00AE727E" w:rsidRDefault="008433E0">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07DCD483" w14:textId="77777777" w:rsidR="00AE727E" w:rsidRDefault="00AE727E"/>
    <w:p w14:paraId="07DCD484" w14:textId="77777777" w:rsidR="00AE727E" w:rsidRDefault="008433E0">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7"/>
        <w:gridCol w:w="38"/>
        <w:gridCol w:w="72"/>
        <w:gridCol w:w="415"/>
        <w:gridCol w:w="36"/>
      </w:tblGrid>
      <w:tr w:rsidR="00AE727E" w14:paraId="07DCD48B" w14:textId="77777777">
        <w:trPr>
          <w:jc w:val="center"/>
        </w:trPr>
        <w:tc>
          <w:tcPr>
            <w:tcW w:w="50" w:type="pct"/>
            <w:shd w:val="clear" w:color="auto" w:fill="auto"/>
            <w:vAlign w:val="bottom"/>
          </w:tcPr>
          <w:p w14:paraId="07DCD485" w14:textId="77777777" w:rsidR="00AE727E" w:rsidRDefault="00AE727E">
            <w:pPr>
              <w:rPr>
                <w:rFonts w:ascii="宋体"/>
              </w:rPr>
            </w:pPr>
          </w:p>
        </w:tc>
        <w:tc>
          <w:tcPr>
            <w:tcW w:w="4630" w:type="pct"/>
            <w:shd w:val="clear" w:color="auto" w:fill="auto"/>
            <w:vAlign w:val="bottom"/>
          </w:tcPr>
          <w:p w14:paraId="07DCD486" w14:textId="77777777" w:rsidR="00AE727E" w:rsidRDefault="00AE727E">
            <w:pPr>
              <w:rPr>
                <w:rFonts w:ascii="宋体"/>
              </w:rPr>
            </w:pPr>
          </w:p>
        </w:tc>
        <w:tc>
          <w:tcPr>
            <w:tcW w:w="5" w:type="pct"/>
            <w:shd w:val="clear" w:color="auto" w:fill="auto"/>
            <w:vAlign w:val="bottom"/>
          </w:tcPr>
          <w:p w14:paraId="07DCD487" w14:textId="77777777" w:rsidR="00AE727E" w:rsidRDefault="00AE727E">
            <w:pPr>
              <w:rPr>
                <w:rFonts w:ascii="宋体"/>
              </w:rPr>
            </w:pPr>
          </w:p>
        </w:tc>
        <w:tc>
          <w:tcPr>
            <w:tcW w:w="50" w:type="pct"/>
            <w:shd w:val="clear" w:color="auto" w:fill="auto"/>
            <w:vAlign w:val="bottom"/>
          </w:tcPr>
          <w:p w14:paraId="07DCD488" w14:textId="77777777" w:rsidR="00AE727E" w:rsidRDefault="00AE727E">
            <w:pPr>
              <w:rPr>
                <w:rFonts w:ascii="宋体"/>
              </w:rPr>
            </w:pPr>
          </w:p>
        </w:tc>
        <w:tc>
          <w:tcPr>
            <w:tcW w:w="259" w:type="pct"/>
            <w:shd w:val="clear" w:color="auto" w:fill="auto"/>
            <w:vAlign w:val="bottom"/>
          </w:tcPr>
          <w:p w14:paraId="07DCD489" w14:textId="77777777" w:rsidR="00AE727E" w:rsidRDefault="00AE727E">
            <w:pPr>
              <w:rPr>
                <w:rFonts w:ascii="宋体"/>
              </w:rPr>
            </w:pPr>
          </w:p>
        </w:tc>
        <w:tc>
          <w:tcPr>
            <w:tcW w:w="5" w:type="pct"/>
            <w:shd w:val="clear" w:color="auto" w:fill="auto"/>
            <w:vAlign w:val="bottom"/>
          </w:tcPr>
          <w:p w14:paraId="07DCD48A" w14:textId="77777777" w:rsidR="00AE727E" w:rsidRDefault="00AE727E">
            <w:pPr>
              <w:rPr>
                <w:rFonts w:ascii="宋体"/>
              </w:rPr>
            </w:pPr>
          </w:p>
        </w:tc>
      </w:tr>
      <w:tr w:rsidR="00AE727E" w14:paraId="07DCD48E" w14:textId="77777777">
        <w:trPr>
          <w:jc w:val="center"/>
        </w:trPr>
        <w:tc>
          <w:tcPr>
            <w:tcW w:w="0" w:type="auto"/>
            <w:gridSpan w:val="3"/>
            <w:shd w:val="clear" w:color="auto" w:fill="auto"/>
            <w:tcMar>
              <w:top w:w="0" w:type="dxa"/>
              <w:left w:w="20" w:type="dxa"/>
              <w:bottom w:w="0" w:type="dxa"/>
              <w:right w:w="20" w:type="dxa"/>
            </w:tcMar>
            <w:vAlign w:val="bottom"/>
          </w:tcPr>
          <w:p w14:paraId="07DCD48C"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48D" w14:textId="77777777" w:rsidR="00AE727E" w:rsidRDefault="008433E0">
            <w:pPr>
              <w:jc w:val="center"/>
              <w:textAlignment w:val="bottom"/>
            </w:pPr>
            <w:r>
              <w:rPr>
                <w:rFonts w:ascii="Times New Roman" w:eastAsia="宋体" w:hAnsi="Times New Roman"/>
                <w:b/>
                <w:bCs/>
                <w:color w:val="000000"/>
                <w:sz w:val="20"/>
                <w:szCs w:val="20"/>
              </w:rPr>
              <w:t>Page</w:t>
            </w:r>
          </w:p>
        </w:tc>
      </w:tr>
      <w:tr w:rsidR="00AE727E" w14:paraId="07DCD491" w14:textId="77777777">
        <w:trPr>
          <w:jc w:val="center"/>
        </w:trPr>
        <w:tc>
          <w:tcPr>
            <w:tcW w:w="0" w:type="auto"/>
            <w:gridSpan w:val="3"/>
            <w:shd w:val="clear" w:color="auto" w:fill="auto"/>
            <w:tcMar>
              <w:top w:w="40" w:type="dxa"/>
              <w:left w:w="20" w:type="dxa"/>
              <w:bottom w:w="40" w:type="dxa"/>
              <w:right w:w="20" w:type="dxa"/>
            </w:tcMar>
            <w:vAlign w:val="bottom"/>
          </w:tcPr>
          <w:p w14:paraId="07DCD48F" w14:textId="77777777" w:rsidR="00AE727E" w:rsidRDefault="008433E0">
            <w:pPr>
              <w:textAlignment w:val="bottom"/>
            </w:pPr>
            <w:hyperlink r:id="rId40" w:anchor="i1c8279be622a460ea19600488436f115_19" w:history="1">
              <w:r>
                <w:rPr>
                  <w:rStyle w:val="a5"/>
                  <w:rFonts w:ascii="Times New Roman" w:eastAsia="宋体" w:hAnsi="Times New Roman"/>
                  <w:sz w:val="20"/>
                  <w:szCs w:val="20"/>
                </w:rPr>
                <w:t xml:space="preserve">Condensed Consolidated Statements of Financial Position as of </w:t>
              </w:r>
            </w:hyperlink>
            <w:hyperlink r:id="rId41" w:anchor="i1c8279be622a460ea19600488436f115_19" w:history="1">
              <w:r>
                <w:rPr>
                  <w:rStyle w:val="a5"/>
                  <w:rFonts w:ascii="Times New Roman" w:eastAsia="宋体" w:hAnsi="Times New Roman"/>
                  <w:sz w:val="20"/>
                  <w:szCs w:val="20"/>
                </w:rPr>
                <w:t xml:space="preserve">October </w:t>
              </w:r>
            </w:hyperlink>
            <w:hyperlink r:id="rId42" w:anchor="i1c8279be622a460ea19600488436f115_19" w:history="1">
              <w:r>
                <w:rPr>
                  <w:rStyle w:val="a5"/>
                  <w:rFonts w:ascii="Times New Roman" w:eastAsia="宋体" w:hAnsi="Times New Roman"/>
                  <w:sz w:val="20"/>
                  <w:szCs w:val="20"/>
                </w:rPr>
                <w:t>29</w:t>
              </w:r>
            </w:hyperlink>
            <w:hyperlink r:id="rId43" w:anchor="i1c8279be622a460ea19600488436f115_19" w:history="1">
              <w:r>
                <w:rPr>
                  <w:rStyle w:val="a5"/>
                  <w:rFonts w:ascii="Times New Roman" w:eastAsia="宋体" w:hAnsi="Times New Roman"/>
                  <w:sz w:val="20"/>
                  <w:szCs w:val="20"/>
                </w:rPr>
                <w:t>, 2021 and January 29, 2021</w:t>
              </w:r>
            </w:hyperlink>
          </w:p>
        </w:tc>
        <w:tc>
          <w:tcPr>
            <w:tcW w:w="0" w:type="auto"/>
            <w:gridSpan w:val="3"/>
            <w:shd w:val="clear" w:color="auto" w:fill="auto"/>
            <w:tcMar>
              <w:top w:w="40" w:type="dxa"/>
              <w:left w:w="20" w:type="dxa"/>
              <w:bottom w:w="40" w:type="dxa"/>
              <w:right w:w="20" w:type="dxa"/>
            </w:tcMar>
            <w:vAlign w:val="bottom"/>
          </w:tcPr>
          <w:p w14:paraId="07DCD490" w14:textId="77777777" w:rsidR="00AE727E" w:rsidRDefault="008433E0">
            <w:pPr>
              <w:jc w:val="center"/>
              <w:textAlignment w:val="bottom"/>
            </w:pPr>
            <w:hyperlink r:id="rId44" w:anchor="i1c8279be622a460ea19600488436f115_19" w:history="1">
              <w:r>
                <w:rPr>
                  <w:rStyle w:val="a5"/>
                  <w:rFonts w:ascii="Times New Roman" w:eastAsia="宋体" w:hAnsi="Times New Roman"/>
                  <w:sz w:val="20"/>
                  <w:szCs w:val="20"/>
                </w:rPr>
                <w:t>5</w:t>
              </w:r>
            </w:hyperlink>
          </w:p>
        </w:tc>
      </w:tr>
      <w:tr w:rsidR="00AE727E" w14:paraId="07DCD494" w14:textId="77777777">
        <w:trPr>
          <w:jc w:val="center"/>
        </w:trPr>
        <w:tc>
          <w:tcPr>
            <w:tcW w:w="0" w:type="auto"/>
            <w:gridSpan w:val="3"/>
            <w:shd w:val="clear" w:color="auto" w:fill="auto"/>
            <w:tcMar>
              <w:top w:w="40" w:type="dxa"/>
              <w:left w:w="20" w:type="dxa"/>
              <w:bottom w:w="40" w:type="dxa"/>
              <w:right w:w="20" w:type="dxa"/>
            </w:tcMar>
            <w:vAlign w:val="bottom"/>
          </w:tcPr>
          <w:p w14:paraId="07DCD492" w14:textId="77777777" w:rsidR="00AE727E" w:rsidRDefault="008433E0">
            <w:pPr>
              <w:textAlignment w:val="bottom"/>
            </w:pPr>
            <w:hyperlink r:id="rId45" w:anchor="i1c8279be622a460ea19600488436f115_22" w:history="1">
              <w:r>
                <w:rPr>
                  <w:rStyle w:val="a5"/>
                  <w:rFonts w:ascii="Times New Roman" w:eastAsia="宋体" w:hAnsi="Times New Roman"/>
                  <w:sz w:val="20"/>
                  <w:szCs w:val="20"/>
                </w:rPr>
                <w:t xml:space="preserve">Condensed Consolidated Statements of Income for the three and </w:t>
              </w:r>
            </w:hyperlink>
            <w:hyperlink r:id="rId46" w:anchor="i1c8279be622a460ea19600488436f115_22" w:history="1">
              <w:r>
                <w:rPr>
                  <w:rStyle w:val="a5"/>
                  <w:rFonts w:ascii="Times New Roman" w:eastAsia="宋体" w:hAnsi="Times New Roman"/>
                  <w:sz w:val="20"/>
                  <w:szCs w:val="20"/>
                </w:rPr>
                <w:t xml:space="preserve">nine </w:t>
              </w:r>
            </w:hyperlink>
            <w:hyperlink r:id="rId47" w:anchor="i1c8279be622a460ea19600488436f115_22" w:history="1">
              <w:r>
                <w:rPr>
                  <w:rStyle w:val="a5"/>
                  <w:rFonts w:ascii="Times New Roman" w:eastAsia="宋体" w:hAnsi="Times New Roman"/>
                  <w:sz w:val="20"/>
                  <w:szCs w:val="20"/>
                </w:rPr>
                <w:t xml:space="preserve">months ended </w:t>
              </w:r>
            </w:hyperlink>
            <w:hyperlink r:id="rId48" w:anchor="i1c8279be622a460ea19600488436f115_22" w:history="1">
              <w:r>
                <w:rPr>
                  <w:rStyle w:val="a5"/>
                  <w:rFonts w:ascii="Times New Roman" w:eastAsia="宋体" w:hAnsi="Times New Roman"/>
                  <w:sz w:val="20"/>
                  <w:szCs w:val="20"/>
                </w:rPr>
                <w:t>October</w:t>
              </w:r>
            </w:hyperlink>
            <w:hyperlink r:id="rId49" w:anchor="i1c8279be622a460ea19600488436f115_22" w:history="1">
              <w:r>
                <w:rPr>
                  <w:rStyle w:val="a5"/>
                  <w:rFonts w:ascii="Times New Roman" w:eastAsia="宋体" w:hAnsi="Times New Roman"/>
                  <w:sz w:val="20"/>
                  <w:szCs w:val="20"/>
                </w:rPr>
                <w:t xml:space="preserve"> </w:t>
              </w:r>
            </w:hyperlink>
            <w:hyperlink r:id="rId50" w:anchor="i1c8279be622a460ea19600488436f115_22" w:history="1">
              <w:r>
                <w:rPr>
                  <w:rStyle w:val="a5"/>
                  <w:rFonts w:ascii="Times New Roman" w:eastAsia="宋体" w:hAnsi="Times New Roman"/>
                  <w:sz w:val="20"/>
                  <w:szCs w:val="20"/>
                </w:rPr>
                <w:t>29</w:t>
              </w:r>
            </w:hyperlink>
            <w:hyperlink r:id="rId51" w:anchor="i1c8279be622a460ea19600488436f115_22" w:history="1">
              <w:r>
                <w:rPr>
                  <w:rStyle w:val="a5"/>
                  <w:rFonts w:ascii="Times New Roman" w:eastAsia="宋体" w:hAnsi="Times New Roman"/>
                  <w:sz w:val="20"/>
                  <w:szCs w:val="20"/>
                </w:rPr>
                <w:t xml:space="preserve">, 2021 and </w:t>
              </w:r>
            </w:hyperlink>
            <w:hyperlink r:id="rId52" w:anchor="i1c8279be622a460ea19600488436f115_22" w:history="1">
              <w:r>
                <w:rPr>
                  <w:rStyle w:val="a5"/>
                  <w:rFonts w:ascii="Times New Roman" w:eastAsia="宋体" w:hAnsi="Times New Roman"/>
                  <w:sz w:val="20"/>
                  <w:szCs w:val="20"/>
                </w:rPr>
                <w:t xml:space="preserve">October </w:t>
              </w:r>
            </w:hyperlink>
            <w:hyperlink r:id="rId53" w:anchor="i1c8279be622a460ea19600488436f115_22" w:history="1">
              <w:r>
                <w:rPr>
                  <w:rStyle w:val="a5"/>
                  <w:rFonts w:ascii="Times New Roman" w:eastAsia="宋体" w:hAnsi="Times New Roman"/>
                  <w:sz w:val="20"/>
                  <w:szCs w:val="20"/>
                </w:rPr>
                <w:t>3</w:t>
              </w:r>
            </w:hyperlink>
            <w:hyperlink r:id="rId54" w:anchor="i1c8279be622a460ea19600488436f115_22" w:history="1">
              <w:r>
                <w:rPr>
                  <w:rStyle w:val="a5"/>
                  <w:rFonts w:ascii="Times New Roman" w:eastAsia="宋体" w:hAnsi="Times New Roman"/>
                  <w:sz w:val="20"/>
                  <w:szCs w:val="20"/>
                </w:rPr>
                <w:t>0</w:t>
              </w:r>
            </w:hyperlink>
            <w:hyperlink r:id="rId55" w:anchor="i1c8279be622a460ea19600488436f115_22" w:history="1">
              <w:r>
                <w:rPr>
                  <w:rStyle w:val="a5"/>
                  <w:rFonts w:ascii="Times New Roman" w:eastAsia="宋体" w:hAnsi="Times New Roman"/>
                  <w:sz w:val="20"/>
                  <w:szCs w:val="20"/>
                </w:rPr>
                <w:t>, 2020</w:t>
              </w:r>
            </w:hyperlink>
          </w:p>
        </w:tc>
        <w:tc>
          <w:tcPr>
            <w:tcW w:w="0" w:type="auto"/>
            <w:gridSpan w:val="3"/>
            <w:shd w:val="clear" w:color="auto" w:fill="auto"/>
            <w:tcMar>
              <w:top w:w="40" w:type="dxa"/>
              <w:left w:w="20" w:type="dxa"/>
              <w:bottom w:w="40" w:type="dxa"/>
              <w:right w:w="20" w:type="dxa"/>
            </w:tcMar>
            <w:vAlign w:val="bottom"/>
          </w:tcPr>
          <w:p w14:paraId="07DCD493" w14:textId="77777777" w:rsidR="00AE727E" w:rsidRDefault="008433E0">
            <w:pPr>
              <w:jc w:val="center"/>
              <w:textAlignment w:val="bottom"/>
            </w:pPr>
            <w:hyperlink r:id="rId56" w:anchor="i1c8279be622a460ea19600488436f115_22" w:history="1">
              <w:r>
                <w:rPr>
                  <w:rStyle w:val="a5"/>
                  <w:rFonts w:ascii="Times New Roman" w:eastAsia="宋体" w:hAnsi="Times New Roman"/>
                  <w:sz w:val="20"/>
                  <w:szCs w:val="20"/>
                </w:rPr>
                <w:t>6</w:t>
              </w:r>
            </w:hyperlink>
          </w:p>
        </w:tc>
      </w:tr>
      <w:tr w:rsidR="00AE727E" w14:paraId="07DCD497" w14:textId="77777777">
        <w:trPr>
          <w:jc w:val="center"/>
        </w:trPr>
        <w:tc>
          <w:tcPr>
            <w:tcW w:w="0" w:type="auto"/>
            <w:gridSpan w:val="3"/>
            <w:shd w:val="clear" w:color="auto" w:fill="auto"/>
            <w:tcMar>
              <w:top w:w="40" w:type="dxa"/>
              <w:left w:w="20" w:type="dxa"/>
              <w:bottom w:w="40" w:type="dxa"/>
              <w:right w:w="20" w:type="dxa"/>
            </w:tcMar>
            <w:vAlign w:val="bottom"/>
          </w:tcPr>
          <w:p w14:paraId="07DCD495" w14:textId="77777777" w:rsidR="00AE727E" w:rsidRDefault="008433E0">
            <w:pPr>
              <w:textAlignment w:val="bottom"/>
            </w:pPr>
            <w:hyperlink r:id="rId57" w:anchor="i1c8279be622a460ea19600488436f115_25" w:history="1">
              <w:r>
                <w:rPr>
                  <w:rStyle w:val="a5"/>
                  <w:rFonts w:ascii="Times New Roman" w:eastAsia="宋体" w:hAnsi="Times New Roman"/>
                  <w:sz w:val="20"/>
                  <w:szCs w:val="20"/>
                </w:rPr>
                <w:t>Condensed Consolid</w:t>
              </w:r>
              <w:r>
                <w:rPr>
                  <w:rStyle w:val="a5"/>
                  <w:rFonts w:ascii="Times New Roman" w:eastAsia="宋体" w:hAnsi="Times New Roman"/>
                  <w:sz w:val="20"/>
                  <w:szCs w:val="20"/>
                </w:rPr>
                <w:t>ated Statements of Comprehensive Income</w:t>
              </w:r>
            </w:hyperlink>
            <w:hyperlink r:id="rId58" w:anchor="i1c8279be622a460ea19600488436f115_25" w:history="1">
              <w:r>
                <w:rPr>
                  <w:rStyle w:val="a5"/>
                  <w:rFonts w:ascii="Times New Roman" w:eastAsia="宋体" w:hAnsi="Times New Roman"/>
                  <w:sz w:val="20"/>
                  <w:szCs w:val="20"/>
                </w:rPr>
                <w:t xml:space="preserve"> for the three and </w:t>
              </w:r>
            </w:hyperlink>
            <w:hyperlink r:id="rId59" w:anchor="i1c8279be622a460ea19600488436f115_25" w:history="1">
              <w:r>
                <w:rPr>
                  <w:rStyle w:val="a5"/>
                  <w:rFonts w:ascii="Times New Roman" w:eastAsia="宋体" w:hAnsi="Times New Roman"/>
                  <w:sz w:val="20"/>
                  <w:szCs w:val="20"/>
                </w:rPr>
                <w:t>nine</w:t>
              </w:r>
            </w:hyperlink>
            <w:hyperlink r:id="rId60" w:anchor="i1c8279be622a460ea19600488436f115_25" w:history="1">
              <w:r>
                <w:rPr>
                  <w:rStyle w:val="a5"/>
                  <w:rFonts w:ascii="Times New Roman" w:eastAsia="宋体" w:hAnsi="Times New Roman"/>
                  <w:sz w:val="20"/>
                  <w:szCs w:val="20"/>
                </w:rPr>
                <w:t xml:space="preserve"> months ended </w:t>
              </w:r>
            </w:hyperlink>
            <w:hyperlink r:id="rId61" w:anchor="i1c8279be622a460ea19600488436f115_25" w:history="1">
              <w:r>
                <w:rPr>
                  <w:rStyle w:val="a5"/>
                  <w:rFonts w:ascii="Times New Roman" w:eastAsia="宋体" w:hAnsi="Times New Roman"/>
                  <w:sz w:val="20"/>
                  <w:szCs w:val="20"/>
                </w:rPr>
                <w:t xml:space="preserve">October </w:t>
              </w:r>
            </w:hyperlink>
            <w:hyperlink r:id="rId62" w:anchor="i1c8279be622a460ea19600488436f115_25" w:history="1">
              <w:r>
                <w:rPr>
                  <w:rStyle w:val="a5"/>
                  <w:rFonts w:ascii="Times New Roman" w:eastAsia="宋体" w:hAnsi="Times New Roman"/>
                  <w:sz w:val="20"/>
                  <w:szCs w:val="20"/>
                </w:rPr>
                <w:t>29</w:t>
              </w:r>
            </w:hyperlink>
            <w:hyperlink r:id="rId63" w:anchor="i1c8279be622a460ea19600488436f115_25" w:history="1">
              <w:r>
                <w:rPr>
                  <w:rStyle w:val="a5"/>
                  <w:rFonts w:ascii="Times New Roman" w:eastAsia="宋体" w:hAnsi="Times New Roman"/>
                  <w:sz w:val="20"/>
                  <w:szCs w:val="20"/>
                </w:rPr>
                <w:t xml:space="preserve">, 2021 and </w:t>
              </w:r>
            </w:hyperlink>
            <w:hyperlink r:id="rId64" w:anchor="i1c8279be622a460ea19600488436f115_25" w:history="1">
              <w:r>
                <w:rPr>
                  <w:rStyle w:val="a5"/>
                  <w:rFonts w:ascii="Times New Roman" w:eastAsia="宋体" w:hAnsi="Times New Roman"/>
                  <w:sz w:val="20"/>
                  <w:szCs w:val="20"/>
                </w:rPr>
                <w:t>October 30</w:t>
              </w:r>
            </w:hyperlink>
            <w:hyperlink r:id="rId65" w:anchor="i1c8279be622a460ea19600488436f115_25" w:history="1">
              <w:r>
                <w:rPr>
                  <w:rStyle w:val="a5"/>
                  <w:rFonts w:ascii="Times New Roman" w:eastAsia="宋体" w:hAnsi="Times New Roman"/>
                  <w:sz w:val="20"/>
                  <w:szCs w:val="20"/>
                </w:rPr>
                <w:t>, 2020</w:t>
              </w:r>
            </w:hyperlink>
          </w:p>
        </w:tc>
        <w:tc>
          <w:tcPr>
            <w:tcW w:w="0" w:type="auto"/>
            <w:gridSpan w:val="3"/>
            <w:shd w:val="clear" w:color="auto" w:fill="auto"/>
            <w:tcMar>
              <w:top w:w="40" w:type="dxa"/>
              <w:left w:w="20" w:type="dxa"/>
              <w:bottom w:w="40" w:type="dxa"/>
              <w:right w:w="20" w:type="dxa"/>
            </w:tcMar>
            <w:vAlign w:val="bottom"/>
          </w:tcPr>
          <w:p w14:paraId="07DCD496" w14:textId="77777777" w:rsidR="00AE727E" w:rsidRDefault="008433E0">
            <w:pPr>
              <w:jc w:val="center"/>
              <w:textAlignment w:val="bottom"/>
            </w:pPr>
            <w:hyperlink r:id="rId66" w:anchor="i1c8279be622a460ea19600488436f115_25" w:history="1">
              <w:r>
                <w:rPr>
                  <w:rStyle w:val="a5"/>
                  <w:rFonts w:ascii="Times New Roman" w:eastAsia="宋体" w:hAnsi="Times New Roman"/>
                  <w:sz w:val="20"/>
                  <w:szCs w:val="20"/>
                </w:rPr>
                <w:t>7</w:t>
              </w:r>
            </w:hyperlink>
          </w:p>
        </w:tc>
      </w:tr>
      <w:tr w:rsidR="00AE727E" w14:paraId="07DCD49A" w14:textId="77777777">
        <w:trPr>
          <w:jc w:val="center"/>
        </w:trPr>
        <w:tc>
          <w:tcPr>
            <w:tcW w:w="0" w:type="auto"/>
            <w:gridSpan w:val="3"/>
            <w:shd w:val="clear" w:color="auto" w:fill="auto"/>
            <w:tcMar>
              <w:top w:w="40" w:type="dxa"/>
              <w:left w:w="20" w:type="dxa"/>
              <w:bottom w:w="40" w:type="dxa"/>
              <w:right w:w="20" w:type="dxa"/>
            </w:tcMar>
            <w:vAlign w:val="bottom"/>
          </w:tcPr>
          <w:p w14:paraId="07DCD498" w14:textId="77777777" w:rsidR="00AE727E" w:rsidRDefault="008433E0">
            <w:pPr>
              <w:textAlignment w:val="bottom"/>
            </w:pPr>
            <w:hyperlink r:id="rId67" w:anchor="i1c8279be622a460ea19600488436f115_28" w:history="1">
              <w:r>
                <w:rPr>
                  <w:rStyle w:val="a5"/>
                  <w:rFonts w:ascii="Times New Roman" w:eastAsia="宋体" w:hAnsi="Times New Roman"/>
                  <w:sz w:val="20"/>
                  <w:szCs w:val="20"/>
                </w:rPr>
                <w:t xml:space="preserve">Condensed Consolidated Statements of Cash Flows for the </w:t>
              </w:r>
            </w:hyperlink>
            <w:hyperlink r:id="rId68" w:anchor="i1c8279be622a460ea19600488436f115_28" w:history="1">
              <w:r>
                <w:rPr>
                  <w:rStyle w:val="a5"/>
                  <w:rFonts w:ascii="Times New Roman" w:eastAsia="宋体" w:hAnsi="Times New Roman"/>
                  <w:sz w:val="20"/>
                  <w:szCs w:val="20"/>
                </w:rPr>
                <w:t xml:space="preserve">nine </w:t>
              </w:r>
            </w:hyperlink>
            <w:hyperlink r:id="rId69" w:anchor="i1c8279be622a460ea19600488436f115_28" w:history="1">
              <w:r>
                <w:rPr>
                  <w:rStyle w:val="a5"/>
                  <w:rFonts w:ascii="Times New Roman" w:eastAsia="宋体" w:hAnsi="Times New Roman"/>
                  <w:sz w:val="20"/>
                  <w:szCs w:val="20"/>
                </w:rPr>
                <w:t xml:space="preserve">months ended </w:t>
              </w:r>
            </w:hyperlink>
            <w:hyperlink r:id="rId70" w:anchor="i1c8279be622a460ea19600488436f115_28" w:history="1">
              <w:r>
                <w:rPr>
                  <w:rStyle w:val="a5"/>
                  <w:rFonts w:ascii="Times New Roman" w:eastAsia="宋体" w:hAnsi="Times New Roman"/>
                  <w:sz w:val="20"/>
                  <w:szCs w:val="20"/>
                </w:rPr>
                <w:t>October</w:t>
              </w:r>
            </w:hyperlink>
            <w:hyperlink r:id="rId71" w:anchor="i1c8279be622a460ea19600488436f115_28" w:history="1">
              <w:r>
                <w:rPr>
                  <w:rStyle w:val="a5"/>
                  <w:rFonts w:ascii="Times New Roman" w:eastAsia="宋体" w:hAnsi="Times New Roman"/>
                  <w:sz w:val="20"/>
                  <w:szCs w:val="20"/>
                </w:rPr>
                <w:t xml:space="preserve"> </w:t>
              </w:r>
            </w:hyperlink>
            <w:hyperlink r:id="rId72" w:anchor="i1c8279be622a460ea19600488436f115_28" w:history="1">
              <w:r>
                <w:rPr>
                  <w:rStyle w:val="a5"/>
                  <w:rFonts w:ascii="Times New Roman" w:eastAsia="宋体" w:hAnsi="Times New Roman"/>
                  <w:sz w:val="20"/>
                  <w:szCs w:val="20"/>
                </w:rPr>
                <w:t>29,</w:t>
              </w:r>
            </w:hyperlink>
            <w:hyperlink r:id="rId73" w:anchor="i1c8279be622a460ea19600488436f115_28" w:history="1">
              <w:r>
                <w:rPr>
                  <w:rStyle w:val="a5"/>
                  <w:rFonts w:ascii="Times New Roman" w:eastAsia="宋体" w:hAnsi="Times New Roman"/>
                  <w:sz w:val="20"/>
                  <w:szCs w:val="20"/>
                </w:rPr>
                <w:t xml:space="preserve"> 2021 and </w:t>
              </w:r>
            </w:hyperlink>
            <w:hyperlink r:id="rId74" w:anchor="i1c8279be622a460ea19600488436f115_28" w:history="1">
              <w:r>
                <w:rPr>
                  <w:rStyle w:val="a5"/>
                  <w:rFonts w:ascii="Times New Roman" w:eastAsia="宋体" w:hAnsi="Times New Roman"/>
                  <w:sz w:val="20"/>
                  <w:szCs w:val="20"/>
                </w:rPr>
                <w:t>October 3</w:t>
              </w:r>
            </w:hyperlink>
            <w:hyperlink r:id="rId75" w:anchor="i1c8279be622a460ea19600488436f115_28" w:history="1">
              <w:r>
                <w:rPr>
                  <w:rStyle w:val="a5"/>
                  <w:rFonts w:ascii="Times New Roman" w:eastAsia="宋体" w:hAnsi="Times New Roman"/>
                  <w:sz w:val="20"/>
                  <w:szCs w:val="20"/>
                </w:rPr>
                <w:t>0</w:t>
              </w:r>
            </w:hyperlink>
            <w:hyperlink r:id="rId76" w:anchor="i1c8279be622a460ea19600488436f115_28" w:history="1">
              <w:r>
                <w:rPr>
                  <w:rStyle w:val="a5"/>
                  <w:rFonts w:ascii="Times New Roman" w:eastAsia="宋体" w:hAnsi="Times New Roman"/>
                  <w:sz w:val="20"/>
                  <w:szCs w:val="20"/>
                </w:rPr>
                <w:t>, 2020</w:t>
              </w:r>
            </w:hyperlink>
          </w:p>
        </w:tc>
        <w:tc>
          <w:tcPr>
            <w:tcW w:w="0" w:type="auto"/>
            <w:gridSpan w:val="3"/>
            <w:shd w:val="clear" w:color="auto" w:fill="auto"/>
            <w:tcMar>
              <w:top w:w="40" w:type="dxa"/>
              <w:left w:w="20" w:type="dxa"/>
              <w:bottom w:w="40" w:type="dxa"/>
              <w:right w:w="20" w:type="dxa"/>
            </w:tcMar>
            <w:vAlign w:val="bottom"/>
          </w:tcPr>
          <w:p w14:paraId="07DCD499" w14:textId="77777777" w:rsidR="00AE727E" w:rsidRDefault="008433E0">
            <w:pPr>
              <w:jc w:val="center"/>
              <w:textAlignment w:val="bottom"/>
            </w:pPr>
            <w:hyperlink r:id="rId77" w:anchor="i1c8279be622a460ea19600488436f115_28" w:history="1">
              <w:r>
                <w:rPr>
                  <w:rStyle w:val="a5"/>
                  <w:rFonts w:ascii="Times New Roman" w:eastAsia="宋体" w:hAnsi="Times New Roman"/>
                  <w:sz w:val="20"/>
                  <w:szCs w:val="20"/>
                </w:rPr>
                <w:t>8</w:t>
              </w:r>
            </w:hyperlink>
          </w:p>
        </w:tc>
      </w:tr>
      <w:tr w:rsidR="00AE727E" w14:paraId="07DCD49D" w14:textId="77777777">
        <w:trPr>
          <w:jc w:val="center"/>
        </w:trPr>
        <w:tc>
          <w:tcPr>
            <w:tcW w:w="0" w:type="auto"/>
            <w:gridSpan w:val="3"/>
            <w:shd w:val="clear" w:color="auto" w:fill="auto"/>
            <w:tcMar>
              <w:top w:w="40" w:type="dxa"/>
              <w:left w:w="20" w:type="dxa"/>
              <w:bottom w:w="40" w:type="dxa"/>
              <w:right w:w="20" w:type="dxa"/>
            </w:tcMar>
            <w:vAlign w:val="bottom"/>
          </w:tcPr>
          <w:p w14:paraId="07DCD49B" w14:textId="77777777" w:rsidR="00AE727E" w:rsidRDefault="008433E0">
            <w:pPr>
              <w:textAlignment w:val="bottom"/>
            </w:pPr>
            <w:hyperlink r:id="rId78" w:anchor="i1c8279be622a460ea19600488436f115_31" w:history="1">
              <w:r>
                <w:rPr>
                  <w:rStyle w:val="a5"/>
                  <w:rFonts w:ascii="Times New Roman" w:eastAsia="宋体" w:hAnsi="Times New Roman"/>
                  <w:sz w:val="20"/>
                  <w:szCs w:val="20"/>
                </w:rPr>
                <w:t>Condensed Consolidated Statements of Stockholders’ Equity (Deficit) for t</w:t>
              </w:r>
              <w:r>
                <w:rPr>
                  <w:rStyle w:val="a5"/>
                  <w:rFonts w:ascii="Times New Roman" w:eastAsia="宋体" w:hAnsi="Times New Roman"/>
                  <w:sz w:val="20"/>
                  <w:szCs w:val="20"/>
                </w:rPr>
                <w:t xml:space="preserve">he three and </w:t>
              </w:r>
            </w:hyperlink>
            <w:hyperlink r:id="rId79" w:anchor="i1c8279be622a460ea19600488436f115_31" w:history="1">
              <w:r>
                <w:rPr>
                  <w:rStyle w:val="a5"/>
                  <w:rFonts w:ascii="Times New Roman" w:eastAsia="宋体" w:hAnsi="Times New Roman"/>
                  <w:sz w:val="20"/>
                  <w:szCs w:val="20"/>
                </w:rPr>
                <w:t>nine</w:t>
              </w:r>
            </w:hyperlink>
            <w:hyperlink r:id="rId80" w:anchor="i1c8279be622a460ea19600488436f115_31" w:history="1">
              <w:r>
                <w:rPr>
                  <w:rStyle w:val="a5"/>
                  <w:rFonts w:ascii="Times New Roman" w:eastAsia="宋体" w:hAnsi="Times New Roman"/>
                  <w:sz w:val="20"/>
                  <w:szCs w:val="20"/>
                </w:rPr>
                <w:t xml:space="preserve"> months ended </w:t>
              </w:r>
            </w:hyperlink>
            <w:hyperlink r:id="rId81" w:anchor="i1c8279be622a460ea19600488436f115_31" w:history="1">
              <w:r>
                <w:rPr>
                  <w:rStyle w:val="a5"/>
                  <w:rFonts w:ascii="Times New Roman" w:eastAsia="宋体" w:hAnsi="Times New Roman"/>
                  <w:sz w:val="20"/>
                  <w:szCs w:val="20"/>
                </w:rPr>
                <w:t>October 29</w:t>
              </w:r>
            </w:hyperlink>
            <w:hyperlink r:id="rId82" w:anchor="i1c8279be622a460ea19600488436f115_31" w:history="1">
              <w:r>
                <w:rPr>
                  <w:rStyle w:val="a5"/>
                  <w:rFonts w:ascii="Times New Roman" w:eastAsia="宋体" w:hAnsi="Times New Roman"/>
                  <w:sz w:val="20"/>
                  <w:szCs w:val="20"/>
                </w:rPr>
                <w:t xml:space="preserve">, 2021 and </w:t>
              </w:r>
            </w:hyperlink>
            <w:hyperlink r:id="rId83" w:anchor="i1c8279be622a460ea19600488436f115_31" w:history="1">
              <w:r>
                <w:rPr>
                  <w:rStyle w:val="a5"/>
                  <w:rFonts w:ascii="Times New Roman" w:eastAsia="宋体" w:hAnsi="Times New Roman"/>
                  <w:sz w:val="20"/>
                  <w:szCs w:val="20"/>
                </w:rPr>
                <w:t xml:space="preserve">October </w:t>
              </w:r>
            </w:hyperlink>
            <w:hyperlink r:id="rId84" w:anchor="i1c8279be622a460ea19600488436f115_31" w:history="1">
              <w:r>
                <w:rPr>
                  <w:rStyle w:val="a5"/>
                  <w:rFonts w:ascii="Times New Roman" w:eastAsia="宋体" w:hAnsi="Times New Roman"/>
                  <w:sz w:val="20"/>
                  <w:szCs w:val="20"/>
                </w:rPr>
                <w:t>3</w:t>
              </w:r>
            </w:hyperlink>
            <w:hyperlink r:id="rId85" w:anchor="i1c8279be622a460ea19600488436f115_31" w:history="1">
              <w:r>
                <w:rPr>
                  <w:rStyle w:val="a5"/>
                  <w:rFonts w:ascii="Times New Roman" w:eastAsia="宋体" w:hAnsi="Times New Roman"/>
                  <w:sz w:val="20"/>
                  <w:szCs w:val="20"/>
                </w:rPr>
                <w:t>0</w:t>
              </w:r>
            </w:hyperlink>
            <w:hyperlink r:id="rId86" w:anchor="i1c8279be622a460ea19600488436f115_31" w:history="1">
              <w:r>
                <w:rPr>
                  <w:rStyle w:val="a5"/>
                  <w:rFonts w:ascii="Times New Roman" w:eastAsia="宋体" w:hAnsi="Times New Roman"/>
                  <w:sz w:val="20"/>
                  <w:szCs w:val="20"/>
                </w:rPr>
                <w:t>, 2020</w:t>
              </w:r>
            </w:hyperlink>
          </w:p>
        </w:tc>
        <w:tc>
          <w:tcPr>
            <w:tcW w:w="0" w:type="auto"/>
            <w:gridSpan w:val="3"/>
            <w:shd w:val="clear" w:color="auto" w:fill="auto"/>
            <w:tcMar>
              <w:top w:w="40" w:type="dxa"/>
              <w:left w:w="20" w:type="dxa"/>
              <w:bottom w:w="40" w:type="dxa"/>
              <w:right w:w="20" w:type="dxa"/>
            </w:tcMar>
            <w:vAlign w:val="bottom"/>
          </w:tcPr>
          <w:p w14:paraId="07DCD49C" w14:textId="77777777" w:rsidR="00AE727E" w:rsidRDefault="008433E0">
            <w:pPr>
              <w:jc w:val="center"/>
              <w:textAlignment w:val="bottom"/>
            </w:pPr>
            <w:hyperlink r:id="rId87" w:anchor="i1c8279be622a460ea19600488436f115_31" w:history="1">
              <w:r>
                <w:rPr>
                  <w:rStyle w:val="a5"/>
                  <w:rFonts w:ascii="Times New Roman" w:eastAsia="宋体" w:hAnsi="Times New Roman"/>
                  <w:sz w:val="20"/>
                  <w:szCs w:val="20"/>
                </w:rPr>
                <w:t>9</w:t>
              </w:r>
            </w:hyperlink>
          </w:p>
        </w:tc>
      </w:tr>
      <w:tr w:rsidR="00AE727E" w14:paraId="07DCD4A0" w14:textId="77777777">
        <w:trPr>
          <w:jc w:val="center"/>
        </w:trPr>
        <w:tc>
          <w:tcPr>
            <w:tcW w:w="0" w:type="auto"/>
            <w:gridSpan w:val="3"/>
            <w:shd w:val="clear" w:color="auto" w:fill="auto"/>
            <w:tcMar>
              <w:top w:w="40" w:type="dxa"/>
              <w:left w:w="20" w:type="dxa"/>
              <w:bottom w:w="40" w:type="dxa"/>
              <w:right w:w="20" w:type="dxa"/>
            </w:tcMar>
            <w:vAlign w:val="bottom"/>
          </w:tcPr>
          <w:p w14:paraId="07DCD49E" w14:textId="77777777" w:rsidR="00AE727E" w:rsidRDefault="008433E0">
            <w:pPr>
              <w:textAlignment w:val="bottom"/>
            </w:pPr>
            <w:hyperlink r:id="rId88" w:anchor="i1c8279be622a460ea19600488436f115_34" w:history="1">
              <w:r>
                <w:rPr>
                  <w:rStyle w:val="a5"/>
                  <w:rFonts w:ascii="Times New Roman" w:eastAsia="宋体" w:hAnsi="Times New Roman"/>
                  <w:sz w:val="20"/>
                  <w:szCs w:val="20"/>
                </w:rPr>
                <w:t>Notes to the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07DCD49F" w14:textId="77777777" w:rsidR="00AE727E" w:rsidRDefault="008433E0">
            <w:pPr>
              <w:jc w:val="center"/>
              <w:textAlignment w:val="bottom"/>
            </w:pPr>
            <w:hyperlink r:id="rId89" w:anchor="i1c8279be622a460ea19600488436f115_34" w:history="1">
              <w:r>
                <w:rPr>
                  <w:rStyle w:val="a5"/>
                  <w:rFonts w:ascii="Times New Roman" w:eastAsia="宋体" w:hAnsi="Times New Roman"/>
                  <w:sz w:val="20"/>
                  <w:szCs w:val="20"/>
                </w:rPr>
                <w:t>11</w:t>
              </w:r>
            </w:hyperlink>
          </w:p>
        </w:tc>
      </w:tr>
      <w:tr w:rsidR="00AE727E" w14:paraId="07DCD4A3" w14:textId="77777777">
        <w:trPr>
          <w:jc w:val="center"/>
        </w:trPr>
        <w:tc>
          <w:tcPr>
            <w:tcW w:w="0" w:type="auto"/>
            <w:gridSpan w:val="3"/>
            <w:shd w:val="clear" w:color="auto" w:fill="auto"/>
            <w:tcMar>
              <w:top w:w="40" w:type="dxa"/>
              <w:left w:w="20" w:type="dxa"/>
              <w:bottom w:w="40" w:type="dxa"/>
              <w:right w:w="20" w:type="dxa"/>
            </w:tcMar>
            <w:vAlign w:val="bottom"/>
          </w:tcPr>
          <w:p w14:paraId="07DCD4A1" w14:textId="77777777" w:rsidR="00AE727E" w:rsidRDefault="008433E0">
            <w:pPr>
              <w:textAlignment w:val="bottom"/>
            </w:pPr>
            <w:hyperlink r:id="rId90" w:anchor="i1c8279be622a460ea19600488436f115_37" w:history="1">
              <w:r>
                <w:rPr>
                  <w:rStyle w:val="a5"/>
                  <w:rFonts w:ascii="Times New Roman" w:eastAsia="宋体" w:hAnsi="Times New Roman"/>
                  <w:sz w:val="20"/>
                  <w:szCs w:val="20"/>
                </w:rPr>
                <w:t xml:space="preserve">Note 1 — </w:t>
              </w:r>
            </w:hyperlink>
            <w:hyperlink r:id="rId91" w:anchor="i1c8279be622a460ea19600488436f115_37" w:history="1">
              <w:r>
                <w:rPr>
                  <w:rStyle w:val="a5"/>
                  <w:rFonts w:ascii="Times New Roman" w:eastAsia="宋体" w:hAnsi="Times New Roman"/>
                  <w:sz w:val="20"/>
                  <w:szCs w:val="20"/>
                </w:rPr>
                <w:t>Overv</w:t>
              </w:r>
            </w:hyperlink>
            <w:hyperlink r:id="rId92" w:anchor="i1c8279be622a460ea19600488436f115_37" w:history="1">
              <w:r>
                <w:rPr>
                  <w:rStyle w:val="a5"/>
                  <w:rFonts w:ascii="Times New Roman" w:eastAsia="宋体" w:hAnsi="Times New Roman"/>
                  <w:sz w:val="20"/>
                  <w:szCs w:val="20"/>
                </w:rPr>
                <w:t>i</w:t>
              </w:r>
              <w:r>
                <w:rPr>
                  <w:rStyle w:val="a5"/>
                  <w:rFonts w:ascii="Times New Roman" w:eastAsia="宋体" w:hAnsi="Times New Roman"/>
                  <w:sz w:val="20"/>
                  <w:szCs w:val="20"/>
                </w:rPr>
                <w:t xml:space="preserve">ew and </w:t>
              </w:r>
            </w:hyperlink>
            <w:hyperlink r:id="rId93" w:anchor="i1c8279be622a460ea19600488436f115_37" w:history="1">
              <w:r>
                <w:rPr>
                  <w:rStyle w:val="a5"/>
                  <w:rFonts w:ascii="Times New Roman" w:eastAsia="宋体" w:hAnsi="Times New Roman"/>
                  <w:sz w:val="20"/>
                  <w:szCs w:val="20"/>
                </w:rPr>
                <w:t>Basis of Presentation</w:t>
              </w:r>
            </w:hyperlink>
          </w:p>
        </w:tc>
        <w:tc>
          <w:tcPr>
            <w:tcW w:w="0" w:type="auto"/>
            <w:gridSpan w:val="3"/>
            <w:shd w:val="clear" w:color="auto" w:fill="auto"/>
            <w:tcMar>
              <w:top w:w="40" w:type="dxa"/>
              <w:left w:w="20" w:type="dxa"/>
              <w:bottom w:w="40" w:type="dxa"/>
              <w:right w:w="20" w:type="dxa"/>
            </w:tcMar>
            <w:vAlign w:val="bottom"/>
          </w:tcPr>
          <w:p w14:paraId="07DCD4A2" w14:textId="77777777" w:rsidR="00AE727E" w:rsidRDefault="008433E0">
            <w:pPr>
              <w:jc w:val="center"/>
              <w:textAlignment w:val="bottom"/>
            </w:pPr>
            <w:hyperlink r:id="rId94" w:anchor="i1c8279be622a460ea19600488436f115_37" w:history="1">
              <w:r>
                <w:rPr>
                  <w:rStyle w:val="a5"/>
                  <w:rFonts w:ascii="Times New Roman" w:eastAsia="宋体" w:hAnsi="Times New Roman"/>
                  <w:sz w:val="20"/>
                  <w:szCs w:val="20"/>
                </w:rPr>
                <w:t>11</w:t>
              </w:r>
            </w:hyperlink>
          </w:p>
        </w:tc>
      </w:tr>
      <w:tr w:rsidR="00AE727E" w14:paraId="07DCD4A6" w14:textId="77777777">
        <w:trPr>
          <w:jc w:val="center"/>
          <w:hidden/>
        </w:trPr>
        <w:tc>
          <w:tcPr>
            <w:tcW w:w="0" w:type="auto"/>
            <w:gridSpan w:val="3"/>
            <w:shd w:val="clear" w:color="auto" w:fill="auto"/>
            <w:vAlign w:val="bottom"/>
          </w:tcPr>
          <w:p w14:paraId="07DCD4A4" w14:textId="77777777" w:rsidR="00AE727E" w:rsidRDefault="00AE727E">
            <w:pPr>
              <w:rPr>
                <w:rFonts w:ascii="宋体"/>
                <w:vanish/>
              </w:rPr>
            </w:pPr>
          </w:p>
        </w:tc>
        <w:tc>
          <w:tcPr>
            <w:tcW w:w="0" w:type="auto"/>
            <w:gridSpan w:val="3"/>
            <w:shd w:val="clear" w:color="auto" w:fill="auto"/>
            <w:vAlign w:val="bottom"/>
          </w:tcPr>
          <w:p w14:paraId="07DCD4A5" w14:textId="77777777" w:rsidR="00AE727E" w:rsidRDefault="00AE727E">
            <w:pPr>
              <w:rPr>
                <w:rFonts w:ascii="宋体"/>
                <w:vanish/>
              </w:rPr>
            </w:pPr>
          </w:p>
        </w:tc>
      </w:tr>
      <w:tr w:rsidR="00AE727E" w14:paraId="07DCD4A9" w14:textId="77777777">
        <w:trPr>
          <w:jc w:val="center"/>
        </w:trPr>
        <w:tc>
          <w:tcPr>
            <w:tcW w:w="0" w:type="auto"/>
            <w:gridSpan w:val="3"/>
            <w:shd w:val="clear" w:color="auto" w:fill="auto"/>
            <w:tcMar>
              <w:top w:w="40" w:type="dxa"/>
              <w:left w:w="20" w:type="dxa"/>
              <w:bottom w:w="40" w:type="dxa"/>
              <w:right w:w="20" w:type="dxa"/>
            </w:tcMar>
            <w:vAlign w:val="bottom"/>
          </w:tcPr>
          <w:p w14:paraId="07DCD4A7" w14:textId="77777777" w:rsidR="00AE727E" w:rsidRDefault="008433E0">
            <w:pPr>
              <w:textAlignment w:val="bottom"/>
            </w:pPr>
            <w:hyperlink r:id="rId95" w:anchor="i1c8279be622a460ea19600488436f115_43" w:history="1">
              <w:r>
                <w:rPr>
                  <w:rStyle w:val="a5"/>
                  <w:rFonts w:ascii="Times New Roman" w:eastAsia="宋体" w:hAnsi="Times New Roman"/>
                  <w:sz w:val="20"/>
                  <w:szCs w:val="20"/>
                </w:rPr>
                <w:t>Note 2 — Fair Value Measurements and Investments</w:t>
              </w:r>
            </w:hyperlink>
          </w:p>
        </w:tc>
        <w:tc>
          <w:tcPr>
            <w:tcW w:w="0" w:type="auto"/>
            <w:gridSpan w:val="3"/>
            <w:shd w:val="clear" w:color="auto" w:fill="auto"/>
            <w:tcMar>
              <w:top w:w="40" w:type="dxa"/>
              <w:left w:w="20" w:type="dxa"/>
              <w:bottom w:w="40" w:type="dxa"/>
              <w:right w:w="20" w:type="dxa"/>
            </w:tcMar>
            <w:vAlign w:val="bottom"/>
          </w:tcPr>
          <w:p w14:paraId="07DCD4A8" w14:textId="77777777" w:rsidR="00AE727E" w:rsidRDefault="008433E0">
            <w:pPr>
              <w:jc w:val="center"/>
              <w:textAlignment w:val="bottom"/>
            </w:pPr>
            <w:hyperlink r:id="rId96" w:anchor="i1c8279be622a460ea19600488436f115_43" w:history="1">
              <w:r>
                <w:rPr>
                  <w:rStyle w:val="a5"/>
                  <w:rFonts w:ascii="Times New Roman" w:eastAsia="宋体" w:hAnsi="Times New Roman"/>
                  <w:sz w:val="20"/>
                  <w:szCs w:val="20"/>
                </w:rPr>
                <w:t>14</w:t>
              </w:r>
            </w:hyperlink>
          </w:p>
        </w:tc>
      </w:tr>
      <w:tr w:rsidR="00AE727E" w14:paraId="07DCD4AC" w14:textId="77777777">
        <w:trPr>
          <w:jc w:val="center"/>
        </w:trPr>
        <w:tc>
          <w:tcPr>
            <w:tcW w:w="0" w:type="auto"/>
            <w:gridSpan w:val="3"/>
            <w:shd w:val="clear" w:color="auto" w:fill="auto"/>
            <w:tcMar>
              <w:top w:w="40" w:type="dxa"/>
              <w:left w:w="20" w:type="dxa"/>
              <w:bottom w:w="40" w:type="dxa"/>
              <w:right w:w="20" w:type="dxa"/>
            </w:tcMar>
            <w:vAlign w:val="bottom"/>
          </w:tcPr>
          <w:p w14:paraId="07DCD4AA" w14:textId="77777777" w:rsidR="00AE727E" w:rsidRDefault="008433E0">
            <w:pPr>
              <w:textAlignment w:val="bottom"/>
            </w:pPr>
            <w:hyperlink r:id="rId97" w:anchor="i1c8279be622a460ea19600488436f115_46" w:history="1">
              <w:r>
                <w:rPr>
                  <w:rStyle w:val="a5"/>
                  <w:rFonts w:ascii="Times New Roman" w:eastAsia="宋体" w:hAnsi="Times New Roman"/>
                  <w:sz w:val="20"/>
                  <w:szCs w:val="20"/>
                </w:rPr>
                <w:t>Note 3 — Financial Services</w:t>
              </w:r>
            </w:hyperlink>
          </w:p>
        </w:tc>
        <w:tc>
          <w:tcPr>
            <w:tcW w:w="0" w:type="auto"/>
            <w:gridSpan w:val="3"/>
            <w:shd w:val="clear" w:color="auto" w:fill="auto"/>
            <w:tcMar>
              <w:top w:w="40" w:type="dxa"/>
              <w:left w:w="20" w:type="dxa"/>
              <w:bottom w:w="40" w:type="dxa"/>
              <w:right w:w="20" w:type="dxa"/>
            </w:tcMar>
            <w:vAlign w:val="bottom"/>
          </w:tcPr>
          <w:p w14:paraId="07DCD4AB" w14:textId="77777777" w:rsidR="00AE727E" w:rsidRDefault="008433E0">
            <w:pPr>
              <w:jc w:val="center"/>
              <w:textAlignment w:val="bottom"/>
            </w:pPr>
            <w:hyperlink r:id="rId98" w:anchor="i1c8279be622a460ea19600488436f115_46" w:history="1">
              <w:r>
                <w:rPr>
                  <w:rStyle w:val="a5"/>
                  <w:rFonts w:ascii="Times New Roman" w:eastAsia="宋体" w:hAnsi="Times New Roman"/>
                  <w:sz w:val="20"/>
                  <w:szCs w:val="20"/>
                </w:rPr>
                <w:t>17</w:t>
              </w:r>
            </w:hyperlink>
          </w:p>
        </w:tc>
      </w:tr>
      <w:tr w:rsidR="00AE727E" w14:paraId="07DCD4AF" w14:textId="77777777">
        <w:trPr>
          <w:jc w:val="center"/>
        </w:trPr>
        <w:tc>
          <w:tcPr>
            <w:tcW w:w="0" w:type="auto"/>
            <w:gridSpan w:val="3"/>
            <w:shd w:val="clear" w:color="auto" w:fill="auto"/>
            <w:tcMar>
              <w:top w:w="40" w:type="dxa"/>
              <w:left w:w="20" w:type="dxa"/>
              <w:bottom w:w="40" w:type="dxa"/>
              <w:right w:w="20" w:type="dxa"/>
            </w:tcMar>
            <w:vAlign w:val="bottom"/>
          </w:tcPr>
          <w:p w14:paraId="07DCD4AD" w14:textId="77777777" w:rsidR="00AE727E" w:rsidRDefault="008433E0">
            <w:pPr>
              <w:textAlignment w:val="bottom"/>
            </w:pPr>
            <w:hyperlink r:id="rId99" w:anchor="i1c8279be622a460ea19600488436f115_52" w:history="1">
              <w:r>
                <w:rPr>
                  <w:rStyle w:val="a5"/>
                  <w:rFonts w:ascii="Times New Roman" w:eastAsia="宋体" w:hAnsi="Times New Roman"/>
                  <w:sz w:val="20"/>
                  <w:szCs w:val="20"/>
                </w:rPr>
                <w:t>Note 4 — Leases</w:t>
              </w:r>
            </w:hyperlink>
          </w:p>
        </w:tc>
        <w:tc>
          <w:tcPr>
            <w:tcW w:w="0" w:type="auto"/>
            <w:gridSpan w:val="3"/>
            <w:shd w:val="clear" w:color="auto" w:fill="auto"/>
            <w:tcMar>
              <w:top w:w="40" w:type="dxa"/>
              <w:left w:w="20" w:type="dxa"/>
              <w:bottom w:w="40" w:type="dxa"/>
              <w:right w:w="20" w:type="dxa"/>
            </w:tcMar>
            <w:vAlign w:val="bottom"/>
          </w:tcPr>
          <w:p w14:paraId="07DCD4AE" w14:textId="77777777" w:rsidR="00AE727E" w:rsidRDefault="008433E0">
            <w:pPr>
              <w:jc w:val="center"/>
              <w:textAlignment w:val="bottom"/>
            </w:pPr>
            <w:hyperlink r:id="rId100" w:anchor="i1c8279be622a460ea19600488436f115_52" w:history="1">
              <w:r>
                <w:rPr>
                  <w:rStyle w:val="a5"/>
                  <w:rFonts w:ascii="Times New Roman" w:eastAsia="宋体" w:hAnsi="Times New Roman"/>
                  <w:sz w:val="20"/>
                  <w:szCs w:val="20"/>
                </w:rPr>
                <w:t>26</w:t>
              </w:r>
            </w:hyperlink>
          </w:p>
        </w:tc>
      </w:tr>
      <w:tr w:rsidR="00AE727E" w14:paraId="07DCD4B2" w14:textId="77777777">
        <w:trPr>
          <w:jc w:val="center"/>
        </w:trPr>
        <w:tc>
          <w:tcPr>
            <w:tcW w:w="0" w:type="auto"/>
            <w:gridSpan w:val="3"/>
            <w:shd w:val="clear" w:color="auto" w:fill="auto"/>
            <w:tcMar>
              <w:top w:w="40" w:type="dxa"/>
              <w:left w:w="20" w:type="dxa"/>
              <w:bottom w:w="40" w:type="dxa"/>
              <w:right w:w="20" w:type="dxa"/>
            </w:tcMar>
            <w:vAlign w:val="bottom"/>
          </w:tcPr>
          <w:p w14:paraId="07DCD4B0" w14:textId="77777777" w:rsidR="00AE727E" w:rsidRDefault="008433E0">
            <w:pPr>
              <w:textAlignment w:val="bottom"/>
            </w:pPr>
            <w:hyperlink r:id="rId101" w:anchor="i1c8279be622a460ea19600488436f115_58" w:history="1">
              <w:r>
                <w:rPr>
                  <w:rStyle w:val="a5"/>
                  <w:rFonts w:ascii="Times New Roman" w:eastAsia="宋体" w:hAnsi="Times New Roman"/>
                  <w:sz w:val="20"/>
                  <w:szCs w:val="20"/>
                </w:rPr>
                <w:t>Note 5 — Debt</w:t>
              </w:r>
            </w:hyperlink>
          </w:p>
        </w:tc>
        <w:tc>
          <w:tcPr>
            <w:tcW w:w="0" w:type="auto"/>
            <w:gridSpan w:val="3"/>
            <w:shd w:val="clear" w:color="auto" w:fill="auto"/>
            <w:tcMar>
              <w:top w:w="40" w:type="dxa"/>
              <w:left w:w="20" w:type="dxa"/>
              <w:bottom w:w="40" w:type="dxa"/>
              <w:right w:w="20" w:type="dxa"/>
            </w:tcMar>
            <w:vAlign w:val="bottom"/>
          </w:tcPr>
          <w:p w14:paraId="07DCD4B1" w14:textId="77777777" w:rsidR="00AE727E" w:rsidRDefault="008433E0">
            <w:pPr>
              <w:jc w:val="center"/>
              <w:textAlignment w:val="bottom"/>
            </w:pPr>
            <w:hyperlink r:id="rId102" w:anchor="i1c8279be622a460ea19600488436f115_58" w:history="1">
              <w:r>
                <w:rPr>
                  <w:rStyle w:val="a5"/>
                  <w:rFonts w:ascii="Times New Roman" w:eastAsia="宋体" w:hAnsi="Times New Roman"/>
                  <w:sz w:val="20"/>
                  <w:szCs w:val="20"/>
                </w:rPr>
                <w:t>28</w:t>
              </w:r>
            </w:hyperlink>
          </w:p>
        </w:tc>
      </w:tr>
      <w:tr w:rsidR="00AE727E" w14:paraId="07DCD4B5" w14:textId="77777777">
        <w:trPr>
          <w:jc w:val="center"/>
        </w:trPr>
        <w:tc>
          <w:tcPr>
            <w:tcW w:w="0" w:type="auto"/>
            <w:gridSpan w:val="3"/>
            <w:shd w:val="clear" w:color="auto" w:fill="auto"/>
            <w:tcMar>
              <w:top w:w="40" w:type="dxa"/>
              <w:left w:w="20" w:type="dxa"/>
              <w:bottom w:w="40" w:type="dxa"/>
              <w:right w:w="20" w:type="dxa"/>
            </w:tcMar>
            <w:vAlign w:val="bottom"/>
          </w:tcPr>
          <w:p w14:paraId="07DCD4B3" w14:textId="77777777" w:rsidR="00AE727E" w:rsidRDefault="008433E0">
            <w:pPr>
              <w:textAlignment w:val="bottom"/>
            </w:pPr>
            <w:hyperlink r:id="rId103" w:anchor="i1c8279be622a460ea19600488436f115_61" w:history="1">
              <w:r>
                <w:rPr>
                  <w:rStyle w:val="a5"/>
                  <w:rFonts w:ascii="Times New Roman" w:eastAsia="宋体" w:hAnsi="Times New Roman"/>
                  <w:sz w:val="20"/>
                  <w:szCs w:val="20"/>
                </w:rPr>
                <w:t>Note 6 — Derivative Instruments and Hedging Activities</w:t>
              </w:r>
            </w:hyperlink>
          </w:p>
        </w:tc>
        <w:tc>
          <w:tcPr>
            <w:tcW w:w="0" w:type="auto"/>
            <w:gridSpan w:val="3"/>
            <w:shd w:val="clear" w:color="auto" w:fill="auto"/>
            <w:tcMar>
              <w:top w:w="40" w:type="dxa"/>
              <w:left w:w="20" w:type="dxa"/>
              <w:bottom w:w="40" w:type="dxa"/>
              <w:right w:w="20" w:type="dxa"/>
            </w:tcMar>
            <w:vAlign w:val="bottom"/>
          </w:tcPr>
          <w:p w14:paraId="07DCD4B4" w14:textId="77777777" w:rsidR="00AE727E" w:rsidRDefault="008433E0">
            <w:pPr>
              <w:jc w:val="center"/>
              <w:textAlignment w:val="bottom"/>
            </w:pPr>
            <w:hyperlink r:id="rId104" w:anchor="i1c8279be622a460ea19600488436f115_61" w:history="1">
              <w:r>
                <w:rPr>
                  <w:rStyle w:val="a5"/>
                  <w:rFonts w:ascii="Times New Roman" w:eastAsia="宋体" w:hAnsi="Times New Roman"/>
                  <w:sz w:val="20"/>
                  <w:szCs w:val="20"/>
                </w:rPr>
                <w:t>34</w:t>
              </w:r>
            </w:hyperlink>
          </w:p>
        </w:tc>
      </w:tr>
      <w:tr w:rsidR="00AE727E" w14:paraId="07DCD4B8" w14:textId="77777777">
        <w:trPr>
          <w:jc w:val="center"/>
        </w:trPr>
        <w:tc>
          <w:tcPr>
            <w:tcW w:w="0" w:type="auto"/>
            <w:gridSpan w:val="3"/>
            <w:shd w:val="clear" w:color="auto" w:fill="auto"/>
            <w:tcMar>
              <w:top w:w="40" w:type="dxa"/>
              <w:left w:w="20" w:type="dxa"/>
              <w:bottom w:w="40" w:type="dxa"/>
              <w:right w:w="20" w:type="dxa"/>
            </w:tcMar>
            <w:vAlign w:val="bottom"/>
          </w:tcPr>
          <w:p w14:paraId="07DCD4B6" w14:textId="77777777" w:rsidR="00AE727E" w:rsidRDefault="008433E0">
            <w:pPr>
              <w:textAlignment w:val="bottom"/>
            </w:pPr>
            <w:hyperlink r:id="rId105" w:anchor="i1c8279be622a460ea19600488436f115_64" w:history="1">
              <w:r>
                <w:rPr>
                  <w:rStyle w:val="a5"/>
                  <w:rFonts w:ascii="Times New Roman" w:eastAsia="宋体" w:hAnsi="Times New Roman"/>
                  <w:sz w:val="20"/>
                  <w:szCs w:val="20"/>
                </w:rPr>
                <w:t>Note 7 — Goodwill and Intangible Assets</w:t>
              </w:r>
            </w:hyperlink>
          </w:p>
        </w:tc>
        <w:tc>
          <w:tcPr>
            <w:tcW w:w="0" w:type="auto"/>
            <w:gridSpan w:val="3"/>
            <w:shd w:val="clear" w:color="auto" w:fill="auto"/>
            <w:tcMar>
              <w:top w:w="40" w:type="dxa"/>
              <w:left w:w="20" w:type="dxa"/>
              <w:bottom w:w="40" w:type="dxa"/>
              <w:right w:w="20" w:type="dxa"/>
            </w:tcMar>
            <w:vAlign w:val="bottom"/>
          </w:tcPr>
          <w:p w14:paraId="07DCD4B7" w14:textId="77777777" w:rsidR="00AE727E" w:rsidRDefault="008433E0">
            <w:pPr>
              <w:jc w:val="center"/>
              <w:textAlignment w:val="bottom"/>
            </w:pPr>
            <w:hyperlink r:id="rId106" w:anchor="i1c8279be622a460ea19600488436f115_64" w:history="1">
              <w:r>
                <w:rPr>
                  <w:rStyle w:val="a5"/>
                  <w:rFonts w:ascii="Times New Roman" w:eastAsia="宋体" w:hAnsi="Times New Roman"/>
                  <w:sz w:val="20"/>
                  <w:szCs w:val="20"/>
                </w:rPr>
                <w:t>39</w:t>
              </w:r>
            </w:hyperlink>
          </w:p>
        </w:tc>
      </w:tr>
      <w:tr w:rsidR="00AE727E" w14:paraId="07DCD4BB" w14:textId="77777777">
        <w:trPr>
          <w:jc w:val="center"/>
        </w:trPr>
        <w:tc>
          <w:tcPr>
            <w:tcW w:w="0" w:type="auto"/>
            <w:gridSpan w:val="3"/>
            <w:shd w:val="clear" w:color="auto" w:fill="auto"/>
            <w:tcMar>
              <w:top w:w="40" w:type="dxa"/>
              <w:left w:w="20" w:type="dxa"/>
              <w:bottom w:w="40" w:type="dxa"/>
              <w:right w:w="20" w:type="dxa"/>
            </w:tcMar>
            <w:vAlign w:val="bottom"/>
          </w:tcPr>
          <w:p w14:paraId="07DCD4B9" w14:textId="77777777" w:rsidR="00AE727E" w:rsidRDefault="008433E0">
            <w:pPr>
              <w:textAlignment w:val="bottom"/>
            </w:pPr>
            <w:hyperlink r:id="rId107" w:anchor="i1c8279be622a460ea19600488436f115_67" w:history="1">
              <w:r>
                <w:rPr>
                  <w:rStyle w:val="a5"/>
                  <w:rFonts w:ascii="Times New Roman" w:eastAsia="宋体" w:hAnsi="Times New Roman"/>
                  <w:sz w:val="20"/>
                  <w:szCs w:val="20"/>
                </w:rPr>
                <w:t>Note 8 — Deferred Revenue</w:t>
              </w:r>
            </w:hyperlink>
          </w:p>
        </w:tc>
        <w:tc>
          <w:tcPr>
            <w:tcW w:w="0" w:type="auto"/>
            <w:gridSpan w:val="3"/>
            <w:shd w:val="clear" w:color="auto" w:fill="auto"/>
            <w:tcMar>
              <w:top w:w="40" w:type="dxa"/>
              <w:left w:w="20" w:type="dxa"/>
              <w:bottom w:w="40" w:type="dxa"/>
              <w:right w:w="20" w:type="dxa"/>
            </w:tcMar>
            <w:vAlign w:val="bottom"/>
          </w:tcPr>
          <w:p w14:paraId="07DCD4BA" w14:textId="77777777" w:rsidR="00AE727E" w:rsidRDefault="008433E0">
            <w:pPr>
              <w:jc w:val="center"/>
              <w:textAlignment w:val="bottom"/>
            </w:pPr>
            <w:hyperlink r:id="rId108" w:anchor="i1c8279be622a460ea19600488436f115_67" w:history="1">
              <w:r>
                <w:rPr>
                  <w:rStyle w:val="a5"/>
                  <w:rFonts w:ascii="Times New Roman" w:eastAsia="宋体" w:hAnsi="Times New Roman"/>
                  <w:sz w:val="20"/>
                  <w:szCs w:val="20"/>
                </w:rPr>
                <w:t>41</w:t>
              </w:r>
            </w:hyperlink>
          </w:p>
        </w:tc>
      </w:tr>
      <w:tr w:rsidR="00AE727E" w14:paraId="07DCD4BE" w14:textId="77777777">
        <w:trPr>
          <w:jc w:val="center"/>
        </w:trPr>
        <w:tc>
          <w:tcPr>
            <w:tcW w:w="0" w:type="auto"/>
            <w:gridSpan w:val="3"/>
            <w:shd w:val="clear" w:color="auto" w:fill="auto"/>
            <w:tcMar>
              <w:top w:w="40" w:type="dxa"/>
              <w:left w:w="20" w:type="dxa"/>
              <w:bottom w:w="40" w:type="dxa"/>
              <w:right w:w="20" w:type="dxa"/>
            </w:tcMar>
            <w:vAlign w:val="bottom"/>
          </w:tcPr>
          <w:p w14:paraId="07DCD4BC" w14:textId="77777777" w:rsidR="00AE727E" w:rsidRDefault="008433E0">
            <w:pPr>
              <w:textAlignment w:val="bottom"/>
            </w:pPr>
            <w:hyperlink r:id="rId109" w:anchor="i1c8279be622a460ea19600488436f115_70" w:history="1">
              <w:r>
                <w:rPr>
                  <w:rStyle w:val="a5"/>
                  <w:rFonts w:ascii="Times New Roman" w:eastAsia="宋体" w:hAnsi="Times New Roman"/>
                  <w:sz w:val="20"/>
                  <w:szCs w:val="20"/>
                </w:rPr>
                <w:t>Note 9 — Commitments and Contingencies</w:t>
              </w:r>
            </w:hyperlink>
          </w:p>
        </w:tc>
        <w:tc>
          <w:tcPr>
            <w:tcW w:w="0" w:type="auto"/>
            <w:gridSpan w:val="3"/>
            <w:shd w:val="clear" w:color="auto" w:fill="auto"/>
            <w:tcMar>
              <w:top w:w="40" w:type="dxa"/>
              <w:left w:w="20" w:type="dxa"/>
              <w:bottom w:w="40" w:type="dxa"/>
              <w:right w:w="20" w:type="dxa"/>
            </w:tcMar>
            <w:vAlign w:val="bottom"/>
          </w:tcPr>
          <w:p w14:paraId="07DCD4BD" w14:textId="77777777" w:rsidR="00AE727E" w:rsidRDefault="008433E0">
            <w:pPr>
              <w:jc w:val="center"/>
              <w:textAlignment w:val="bottom"/>
            </w:pPr>
            <w:hyperlink r:id="rId110" w:anchor="i1c8279be622a460ea19600488436f115_70" w:history="1">
              <w:r>
                <w:rPr>
                  <w:rStyle w:val="a5"/>
                  <w:rFonts w:ascii="Times New Roman" w:eastAsia="宋体" w:hAnsi="Times New Roman"/>
                  <w:sz w:val="20"/>
                  <w:szCs w:val="20"/>
                </w:rPr>
                <w:t>42</w:t>
              </w:r>
            </w:hyperlink>
          </w:p>
        </w:tc>
      </w:tr>
      <w:tr w:rsidR="00AE727E" w14:paraId="07DCD4C1" w14:textId="77777777">
        <w:trPr>
          <w:jc w:val="center"/>
        </w:trPr>
        <w:tc>
          <w:tcPr>
            <w:tcW w:w="0" w:type="auto"/>
            <w:gridSpan w:val="3"/>
            <w:shd w:val="clear" w:color="auto" w:fill="auto"/>
            <w:tcMar>
              <w:top w:w="40" w:type="dxa"/>
              <w:left w:w="20" w:type="dxa"/>
              <w:bottom w:w="40" w:type="dxa"/>
              <w:right w:w="20" w:type="dxa"/>
            </w:tcMar>
            <w:vAlign w:val="bottom"/>
          </w:tcPr>
          <w:p w14:paraId="07DCD4BF" w14:textId="77777777" w:rsidR="00AE727E" w:rsidRDefault="008433E0">
            <w:pPr>
              <w:textAlignment w:val="bottom"/>
            </w:pPr>
            <w:hyperlink r:id="rId111" w:anchor="i1c8279be622a460ea19600488436f115_73" w:history="1">
              <w:r>
                <w:rPr>
                  <w:rStyle w:val="a5"/>
                  <w:rFonts w:ascii="Times New Roman" w:eastAsia="宋体" w:hAnsi="Times New Roman"/>
                  <w:sz w:val="20"/>
                  <w:szCs w:val="20"/>
                </w:rPr>
                <w:t>Note 10 — Income and Other Taxes</w:t>
              </w:r>
            </w:hyperlink>
          </w:p>
        </w:tc>
        <w:tc>
          <w:tcPr>
            <w:tcW w:w="0" w:type="auto"/>
            <w:gridSpan w:val="3"/>
            <w:shd w:val="clear" w:color="auto" w:fill="auto"/>
            <w:tcMar>
              <w:top w:w="40" w:type="dxa"/>
              <w:left w:w="20" w:type="dxa"/>
              <w:bottom w:w="40" w:type="dxa"/>
              <w:right w:w="20" w:type="dxa"/>
            </w:tcMar>
            <w:vAlign w:val="bottom"/>
          </w:tcPr>
          <w:p w14:paraId="07DCD4C0" w14:textId="77777777" w:rsidR="00AE727E" w:rsidRDefault="008433E0">
            <w:pPr>
              <w:jc w:val="center"/>
              <w:textAlignment w:val="bottom"/>
            </w:pPr>
            <w:hyperlink r:id="rId112" w:anchor="i1c8279be622a460ea19600488436f115_73" w:history="1">
              <w:r>
                <w:rPr>
                  <w:rStyle w:val="a5"/>
                  <w:rFonts w:ascii="Times New Roman" w:eastAsia="宋体" w:hAnsi="Times New Roman"/>
                  <w:sz w:val="20"/>
                  <w:szCs w:val="20"/>
                </w:rPr>
                <w:t>44</w:t>
              </w:r>
            </w:hyperlink>
          </w:p>
        </w:tc>
      </w:tr>
      <w:tr w:rsidR="00AE727E" w14:paraId="07DCD4C4" w14:textId="77777777">
        <w:trPr>
          <w:jc w:val="center"/>
        </w:trPr>
        <w:tc>
          <w:tcPr>
            <w:tcW w:w="0" w:type="auto"/>
            <w:gridSpan w:val="3"/>
            <w:shd w:val="clear" w:color="auto" w:fill="auto"/>
            <w:tcMar>
              <w:top w:w="40" w:type="dxa"/>
              <w:left w:w="20" w:type="dxa"/>
              <w:bottom w:w="40" w:type="dxa"/>
              <w:right w:w="20" w:type="dxa"/>
            </w:tcMar>
            <w:vAlign w:val="bottom"/>
          </w:tcPr>
          <w:p w14:paraId="07DCD4C2" w14:textId="77777777" w:rsidR="00AE727E" w:rsidRDefault="008433E0">
            <w:pPr>
              <w:textAlignment w:val="bottom"/>
            </w:pPr>
            <w:hyperlink r:id="rId113" w:anchor="i1c8279be622a460ea19600488436f115_76" w:history="1">
              <w:r>
                <w:rPr>
                  <w:rStyle w:val="a5"/>
                  <w:rFonts w:ascii="Times New Roman" w:eastAsia="宋体" w:hAnsi="Times New Roman"/>
                  <w:sz w:val="20"/>
                  <w:szCs w:val="20"/>
                </w:rPr>
                <w:t>Note 11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07DCD4C3" w14:textId="77777777" w:rsidR="00AE727E" w:rsidRDefault="008433E0">
            <w:pPr>
              <w:jc w:val="center"/>
              <w:textAlignment w:val="bottom"/>
            </w:pPr>
            <w:hyperlink r:id="rId114" w:anchor="i1c8279be622a460ea19600488436f115_76" w:history="1">
              <w:r>
                <w:rPr>
                  <w:rStyle w:val="a5"/>
                  <w:rFonts w:ascii="Times New Roman" w:eastAsia="宋体" w:hAnsi="Times New Roman"/>
                  <w:sz w:val="20"/>
                  <w:szCs w:val="20"/>
                </w:rPr>
                <w:t>45</w:t>
              </w:r>
            </w:hyperlink>
          </w:p>
        </w:tc>
      </w:tr>
      <w:tr w:rsidR="00AE727E" w14:paraId="07DCD4C7" w14:textId="77777777">
        <w:trPr>
          <w:jc w:val="center"/>
        </w:trPr>
        <w:tc>
          <w:tcPr>
            <w:tcW w:w="0" w:type="auto"/>
            <w:gridSpan w:val="3"/>
            <w:shd w:val="clear" w:color="auto" w:fill="auto"/>
            <w:tcMar>
              <w:top w:w="40" w:type="dxa"/>
              <w:left w:w="20" w:type="dxa"/>
              <w:bottom w:w="40" w:type="dxa"/>
              <w:right w:w="20" w:type="dxa"/>
            </w:tcMar>
            <w:vAlign w:val="bottom"/>
          </w:tcPr>
          <w:p w14:paraId="07DCD4C5" w14:textId="77777777" w:rsidR="00AE727E" w:rsidRDefault="008433E0">
            <w:pPr>
              <w:textAlignment w:val="bottom"/>
            </w:pPr>
            <w:hyperlink r:id="rId115" w:anchor="i1c8279be622a460ea19600488436f115_79" w:history="1">
              <w:r>
                <w:rPr>
                  <w:rStyle w:val="a5"/>
                  <w:rFonts w:ascii="Times New Roman" w:eastAsia="宋体" w:hAnsi="Times New Roman"/>
                  <w:sz w:val="20"/>
                  <w:szCs w:val="20"/>
                </w:rPr>
                <w:t>Note 12 — Non-Controlling Interests</w:t>
              </w:r>
            </w:hyperlink>
          </w:p>
        </w:tc>
        <w:tc>
          <w:tcPr>
            <w:tcW w:w="0" w:type="auto"/>
            <w:gridSpan w:val="3"/>
            <w:shd w:val="clear" w:color="auto" w:fill="auto"/>
            <w:tcMar>
              <w:top w:w="40" w:type="dxa"/>
              <w:left w:w="20" w:type="dxa"/>
              <w:bottom w:w="40" w:type="dxa"/>
              <w:right w:w="20" w:type="dxa"/>
            </w:tcMar>
            <w:vAlign w:val="bottom"/>
          </w:tcPr>
          <w:p w14:paraId="07DCD4C6" w14:textId="77777777" w:rsidR="00AE727E" w:rsidRDefault="008433E0">
            <w:pPr>
              <w:jc w:val="center"/>
              <w:textAlignment w:val="bottom"/>
            </w:pPr>
            <w:hyperlink r:id="rId116" w:anchor="i1c8279be622a460ea19600488436f115_79" w:history="1">
              <w:r>
                <w:rPr>
                  <w:rStyle w:val="a5"/>
                  <w:rFonts w:ascii="Times New Roman" w:eastAsia="宋体" w:hAnsi="Times New Roman"/>
                  <w:sz w:val="20"/>
                  <w:szCs w:val="20"/>
                </w:rPr>
                <w:t>47</w:t>
              </w:r>
            </w:hyperlink>
          </w:p>
        </w:tc>
      </w:tr>
      <w:tr w:rsidR="00AE727E" w14:paraId="07DCD4CA" w14:textId="77777777">
        <w:trPr>
          <w:jc w:val="center"/>
        </w:trPr>
        <w:tc>
          <w:tcPr>
            <w:tcW w:w="0" w:type="auto"/>
            <w:gridSpan w:val="3"/>
            <w:shd w:val="clear" w:color="auto" w:fill="auto"/>
            <w:tcMar>
              <w:top w:w="40" w:type="dxa"/>
              <w:left w:w="20" w:type="dxa"/>
              <w:bottom w:w="40" w:type="dxa"/>
              <w:right w:w="20" w:type="dxa"/>
            </w:tcMar>
            <w:vAlign w:val="bottom"/>
          </w:tcPr>
          <w:p w14:paraId="07DCD4C8" w14:textId="77777777" w:rsidR="00AE727E" w:rsidRDefault="008433E0">
            <w:pPr>
              <w:textAlignment w:val="bottom"/>
            </w:pPr>
            <w:hyperlink r:id="rId117" w:anchor="i1c8279be622a460ea19600488436f115_82" w:history="1">
              <w:r>
                <w:rPr>
                  <w:rStyle w:val="a5"/>
                  <w:rFonts w:ascii="Times New Roman" w:eastAsia="宋体" w:hAnsi="Times New Roman"/>
                  <w:sz w:val="20"/>
                  <w:szCs w:val="20"/>
                </w:rPr>
                <w:t>Note 13 — Cap</w:t>
              </w:r>
              <w:r>
                <w:rPr>
                  <w:rStyle w:val="a5"/>
                  <w:rFonts w:ascii="Times New Roman" w:eastAsia="宋体" w:hAnsi="Times New Roman"/>
                  <w:sz w:val="20"/>
                  <w:szCs w:val="20"/>
                </w:rPr>
                <w:t>italization</w:t>
              </w:r>
            </w:hyperlink>
          </w:p>
        </w:tc>
        <w:tc>
          <w:tcPr>
            <w:tcW w:w="0" w:type="auto"/>
            <w:gridSpan w:val="3"/>
            <w:shd w:val="clear" w:color="auto" w:fill="auto"/>
            <w:tcMar>
              <w:top w:w="40" w:type="dxa"/>
              <w:left w:w="20" w:type="dxa"/>
              <w:bottom w:w="40" w:type="dxa"/>
              <w:right w:w="20" w:type="dxa"/>
            </w:tcMar>
            <w:vAlign w:val="bottom"/>
          </w:tcPr>
          <w:p w14:paraId="07DCD4C9" w14:textId="77777777" w:rsidR="00AE727E" w:rsidRDefault="008433E0">
            <w:pPr>
              <w:jc w:val="center"/>
              <w:textAlignment w:val="bottom"/>
            </w:pPr>
            <w:hyperlink r:id="rId118" w:anchor="i1c8279be622a460ea19600488436f115_82" w:history="1">
              <w:r>
                <w:rPr>
                  <w:rStyle w:val="a5"/>
                  <w:rFonts w:ascii="Times New Roman" w:eastAsia="宋体" w:hAnsi="Times New Roman"/>
                  <w:sz w:val="20"/>
                  <w:szCs w:val="20"/>
                </w:rPr>
                <w:t>48</w:t>
              </w:r>
            </w:hyperlink>
          </w:p>
        </w:tc>
      </w:tr>
      <w:tr w:rsidR="00AE727E" w14:paraId="07DCD4CD" w14:textId="77777777">
        <w:trPr>
          <w:jc w:val="center"/>
        </w:trPr>
        <w:tc>
          <w:tcPr>
            <w:tcW w:w="0" w:type="auto"/>
            <w:gridSpan w:val="3"/>
            <w:shd w:val="clear" w:color="auto" w:fill="auto"/>
            <w:tcMar>
              <w:top w:w="40" w:type="dxa"/>
              <w:left w:w="20" w:type="dxa"/>
              <w:bottom w:w="40" w:type="dxa"/>
              <w:right w:w="20" w:type="dxa"/>
            </w:tcMar>
            <w:vAlign w:val="bottom"/>
          </w:tcPr>
          <w:p w14:paraId="07DCD4CB" w14:textId="77777777" w:rsidR="00AE727E" w:rsidRDefault="008433E0">
            <w:pPr>
              <w:textAlignment w:val="bottom"/>
            </w:pPr>
            <w:hyperlink r:id="rId119" w:anchor="i1c8279be622a460ea19600488436f115_85" w:history="1">
              <w:r>
                <w:rPr>
                  <w:rStyle w:val="a5"/>
                  <w:rFonts w:ascii="Times New Roman" w:eastAsia="宋体" w:hAnsi="Times New Roman"/>
                  <w:sz w:val="20"/>
                  <w:szCs w:val="20"/>
                </w:rPr>
                <w:t>Note 14 — Earnings Per Share</w:t>
              </w:r>
            </w:hyperlink>
          </w:p>
        </w:tc>
        <w:tc>
          <w:tcPr>
            <w:tcW w:w="0" w:type="auto"/>
            <w:gridSpan w:val="3"/>
            <w:shd w:val="clear" w:color="auto" w:fill="auto"/>
            <w:tcMar>
              <w:top w:w="40" w:type="dxa"/>
              <w:left w:w="20" w:type="dxa"/>
              <w:bottom w:w="40" w:type="dxa"/>
              <w:right w:w="20" w:type="dxa"/>
            </w:tcMar>
            <w:vAlign w:val="bottom"/>
          </w:tcPr>
          <w:p w14:paraId="07DCD4CC" w14:textId="77777777" w:rsidR="00AE727E" w:rsidRDefault="008433E0">
            <w:pPr>
              <w:jc w:val="center"/>
              <w:textAlignment w:val="bottom"/>
            </w:pPr>
            <w:hyperlink r:id="rId120" w:anchor="i1c8279be622a460ea19600488436f115_85" w:history="1">
              <w:r>
                <w:rPr>
                  <w:rStyle w:val="a5"/>
                  <w:rFonts w:ascii="Times New Roman" w:eastAsia="宋体" w:hAnsi="Times New Roman"/>
                  <w:sz w:val="20"/>
                  <w:szCs w:val="20"/>
                </w:rPr>
                <w:t>50</w:t>
              </w:r>
            </w:hyperlink>
          </w:p>
        </w:tc>
      </w:tr>
      <w:tr w:rsidR="00AE727E" w14:paraId="07DCD4D0" w14:textId="77777777">
        <w:trPr>
          <w:jc w:val="center"/>
        </w:trPr>
        <w:tc>
          <w:tcPr>
            <w:tcW w:w="0" w:type="auto"/>
            <w:gridSpan w:val="3"/>
            <w:shd w:val="clear" w:color="auto" w:fill="auto"/>
            <w:tcMar>
              <w:top w:w="40" w:type="dxa"/>
              <w:left w:w="20" w:type="dxa"/>
              <w:bottom w:w="40" w:type="dxa"/>
              <w:right w:w="20" w:type="dxa"/>
            </w:tcMar>
            <w:vAlign w:val="bottom"/>
          </w:tcPr>
          <w:p w14:paraId="07DCD4CE" w14:textId="77777777" w:rsidR="00AE727E" w:rsidRDefault="008433E0">
            <w:pPr>
              <w:textAlignment w:val="bottom"/>
            </w:pPr>
            <w:hyperlink r:id="rId121" w:anchor="i1c8279be622a460ea19600488436f115_94" w:history="1">
              <w:r>
                <w:rPr>
                  <w:rStyle w:val="a5"/>
                  <w:rFonts w:ascii="Times New Roman" w:eastAsia="宋体" w:hAnsi="Times New Roman"/>
                  <w:sz w:val="20"/>
                  <w:szCs w:val="20"/>
                </w:rPr>
                <w:t>Note 15 — Redeemable Shares</w:t>
              </w:r>
            </w:hyperlink>
          </w:p>
        </w:tc>
        <w:tc>
          <w:tcPr>
            <w:tcW w:w="0" w:type="auto"/>
            <w:gridSpan w:val="3"/>
            <w:shd w:val="clear" w:color="auto" w:fill="auto"/>
            <w:tcMar>
              <w:top w:w="40" w:type="dxa"/>
              <w:left w:w="20" w:type="dxa"/>
              <w:bottom w:w="40" w:type="dxa"/>
              <w:right w:w="20" w:type="dxa"/>
            </w:tcMar>
            <w:vAlign w:val="bottom"/>
          </w:tcPr>
          <w:p w14:paraId="07DCD4CF" w14:textId="77777777" w:rsidR="00AE727E" w:rsidRDefault="008433E0">
            <w:pPr>
              <w:jc w:val="center"/>
              <w:textAlignment w:val="bottom"/>
            </w:pPr>
            <w:hyperlink r:id="rId122" w:anchor="i1c8279be622a460ea19600488436f115_94" w:history="1">
              <w:r>
                <w:rPr>
                  <w:rStyle w:val="a5"/>
                  <w:rFonts w:ascii="Times New Roman" w:eastAsia="宋体" w:hAnsi="Times New Roman"/>
                  <w:sz w:val="20"/>
                  <w:szCs w:val="20"/>
                </w:rPr>
                <w:t>51</w:t>
              </w:r>
            </w:hyperlink>
          </w:p>
        </w:tc>
      </w:tr>
      <w:tr w:rsidR="00AE727E" w14:paraId="07DCD4D3" w14:textId="77777777">
        <w:trPr>
          <w:jc w:val="center"/>
        </w:trPr>
        <w:tc>
          <w:tcPr>
            <w:tcW w:w="0" w:type="auto"/>
            <w:gridSpan w:val="3"/>
            <w:shd w:val="clear" w:color="auto" w:fill="auto"/>
            <w:tcMar>
              <w:top w:w="40" w:type="dxa"/>
              <w:left w:w="20" w:type="dxa"/>
              <w:bottom w:w="40" w:type="dxa"/>
              <w:right w:w="20" w:type="dxa"/>
            </w:tcMar>
            <w:vAlign w:val="bottom"/>
          </w:tcPr>
          <w:p w14:paraId="07DCD4D1" w14:textId="77777777" w:rsidR="00AE727E" w:rsidRDefault="008433E0">
            <w:pPr>
              <w:textAlignment w:val="bottom"/>
            </w:pPr>
            <w:hyperlink r:id="rId123" w:anchor="i1c8279be622a460ea19600488436f115_97" w:history="1">
              <w:r>
                <w:rPr>
                  <w:rStyle w:val="a5"/>
                  <w:rFonts w:ascii="Times New Roman" w:eastAsia="宋体" w:hAnsi="Times New Roman"/>
                  <w:sz w:val="20"/>
                  <w:szCs w:val="20"/>
                </w:rPr>
                <w:t>Note 16 — Segment I</w:t>
              </w:r>
              <w:r>
                <w:rPr>
                  <w:rStyle w:val="a5"/>
                  <w:rFonts w:ascii="Times New Roman" w:eastAsia="宋体" w:hAnsi="Times New Roman"/>
                  <w:sz w:val="20"/>
                  <w:szCs w:val="20"/>
                </w:rPr>
                <w:t>nformation</w:t>
              </w:r>
            </w:hyperlink>
          </w:p>
        </w:tc>
        <w:tc>
          <w:tcPr>
            <w:tcW w:w="0" w:type="auto"/>
            <w:gridSpan w:val="3"/>
            <w:shd w:val="clear" w:color="auto" w:fill="auto"/>
            <w:tcMar>
              <w:top w:w="40" w:type="dxa"/>
              <w:left w:w="20" w:type="dxa"/>
              <w:bottom w:w="40" w:type="dxa"/>
              <w:right w:w="20" w:type="dxa"/>
            </w:tcMar>
            <w:vAlign w:val="bottom"/>
          </w:tcPr>
          <w:p w14:paraId="07DCD4D2" w14:textId="77777777" w:rsidR="00AE727E" w:rsidRDefault="008433E0">
            <w:pPr>
              <w:jc w:val="center"/>
              <w:textAlignment w:val="bottom"/>
            </w:pPr>
            <w:hyperlink r:id="rId124" w:anchor="i1c8279be622a460ea19600488436f115_97" w:history="1">
              <w:r>
                <w:rPr>
                  <w:rStyle w:val="a5"/>
                  <w:rFonts w:ascii="Times New Roman" w:eastAsia="宋体" w:hAnsi="Times New Roman"/>
                  <w:sz w:val="20"/>
                  <w:szCs w:val="20"/>
                </w:rPr>
                <w:t>52</w:t>
              </w:r>
            </w:hyperlink>
          </w:p>
        </w:tc>
      </w:tr>
      <w:tr w:rsidR="00AE727E" w14:paraId="07DCD4D6" w14:textId="77777777">
        <w:trPr>
          <w:jc w:val="center"/>
        </w:trPr>
        <w:tc>
          <w:tcPr>
            <w:tcW w:w="0" w:type="auto"/>
            <w:gridSpan w:val="3"/>
            <w:shd w:val="clear" w:color="auto" w:fill="auto"/>
            <w:tcMar>
              <w:top w:w="40" w:type="dxa"/>
              <w:left w:w="20" w:type="dxa"/>
              <w:bottom w:w="40" w:type="dxa"/>
              <w:right w:w="20" w:type="dxa"/>
            </w:tcMar>
            <w:vAlign w:val="bottom"/>
          </w:tcPr>
          <w:p w14:paraId="07DCD4D4" w14:textId="77777777" w:rsidR="00AE727E" w:rsidRDefault="008433E0">
            <w:pPr>
              <w:textAlignment w:val="bottom"/>
            </w:pPr>
            <w:hyperlink r:id="rId125" w:anchor="i1c8279be622a460ea19600488436f115_100" w:history="1">
              <w:r>
                <w:rPr>
                  <w:rStyle w:val="a5"/>
                  <w:rFonts w:ascii="Times New Roman" w:eastAsia="宋体" w:hAnsi="Times New Roman"/>
                  <w:sz w:val="20"/>
                  <w:szCs w:val="20"/>
                </w:rPr>
                <w:t>Note 17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07DCD4D5" w14:textId="77777777" w:rsidR="00AE727E" w:rsidRDefault="008433E0">
            <w:pPr>
              <w:jc w:val="center"/>
              <w:textAlignment w:val="bottom"/>
            </w:pPr>
            <w:hyperlink r:id="rId126" w:anchor="i1c8279be622a460ea19600488436f115_100" w:history="1">
              <w:r>
                <w:rPr>
                  <w:rStyle w:val="a5"/>
                  <w:rFonts w:ascii="Times New Roman" w:eastAsia="宋体" w:hAnsi="Times New Roman"/>
                  <w:sz w:val="20"/>
                  <w:szCs w:val="20"/>
                </w:rPr>
                <w:t>55</w:t>
              </w:r>
            </w:hyperlink>
          </w:p>
        </w:tc>
      </w:tr>
      <w:tr w:rsidR="00AE727E" w14:paraId="07DCD4D9" w14:textId="77777777">
        <w:trPr>
          <w:jc w:val="center"/>
        </w:trPr>
        <w:tc>
          <w:tcPr>
            <w:tcW w:w="0" w:type="auto"/>
            <w:gridSpan w:val="3"/>
            <w:shd w:val="clear" w:color="auto" w:fill="auto"/>
            <w:tcMar>
              <w:top w:w="40" w:type="dxa"/>
              <w:left w:w="20" w:type="dxa"/>
              <w:bottom w:w="40" w:type="dxa"/>
              <w:right w:w="20" w:type="dxa"/>
            </w:tcMar>
            <w:vAlign w:val="bottom"/>
          </w:tcPr>
          <w:p w14:paraId="07DCD4D7" w14:textId="77777777" w:rsidR="00AE727E" w:rsidRDefault="008433E0">
            <w:pPr>
              <w:textAlignment w:val="bottom"/>
            </w:pPr>
            <w:hyperlink r:id="rId127" w:anchor="i1c8279be622a460ea19600488436f115_106" w:history="1">
              <w:r>
                <w:rPr>
                  <w:rStyle w:val="a5"/>
                  <w:rFonts w:ascii="Times New Roman" w:eastAsia="宋体" w:hAnsi="Times New Roman"/>
                  <w:sz w:val="20"/>
                  <w:szCs w:val="20"/>
                </w:rPr>
                <w:t>Note 18 — Subsequent Events</w:t>
              </w:r>
            </w:hyperlink>
          </w:p>
        </w:tc>
        <w:tc>
          <w:tcPr>
            <w:tcW w:w="0" w:type="auto"/>
            <w:gridSpan w:val="3"/>
            <w:shd w:val="clear" w:color="auto" w:fill="auto"/>
            <w:tcMar>
              <w:top w:w="40" w:type="dxa"/>
              <w:left w:w="20" w:type="dxa"/>
              <w:bottom w:w="40" w:type="dxa"/>
              <w:right w:w="20" w:type="dxa"/>
            </w:tcMar>
            <w:vAlign w:val="bottom"/>
          </w:tcPr>
          <w:p w14:paraId="07DCD4D8" w14:textId="77777777" w:rsidR="00AE727E" w:rsidRDefault="008433E0">
            <w:pPr>
              <w:jc w:val="center"/>
              <w:textAlignment w:val="bottom"/>
            </w:pPr>
            <w:hyperlink r:id="rId128" w:anchor="i1c8279be622a460ea19600488436f115_106" w:history="1">
              <w:r>
                <w:rPr>
                  <w:rStyle w:val="a5"/>
                  <w:rFonts w:ascii="Times New Roman" w:eastAsia="宋体" w:hAnsi="Times New Roman"/>
                  <w:sz w:val="20"/>
                  <w:szCs w:val="20"/>
                </w:rPr>
                <w:t>58</w:t>
              </w:r>
            </w:hyperlink>
          </w:p>
        </w:tc>
      </w:tr>
    </w:tbl>
    <w:p w14:paraId="07DCD4DA" w14:textId="77777777" w:rsidR="00AE727E" w:rsidRDefault="00AE727E"/>
    <w:p w14:paraId="07DCD4DB" w14:textId="77777777" w:rsidR="00AE727E" w:rsidRDefault="00AE727E">
      <w:pPr>
        <w:jc w:val="center"/>
      </w:pPr>
    </w:p>
    <w:p w14:paraId="07DCD4DC" w14:textId="77777777" w:rsidR="00AE727E" w:rsidRDefault="008433E0">
      <w:pPr>
        <w:jc w:val="center"/>
      </w:pPr>
      <w:r>
        <w:rPr>
          <w:rFonts w:ascii="Times New Roman" w:eastAsia="宋体" w:hAnsi="Times New Roman"/>
          <w:color w:val="000000"/>
          <w:sz w:val="20"/>
          <w:szCs w:val="20"/>
        </w:rPr>
        <w:t>4</w:t>
      </w:r>
    </w:p>
    <w:p w14:paraId="07DCD4DD" w14:textId="77777777" w:rsidR="00AE727E" w:rsidRDefault="00AE727E">
      <w:pPr>
        <w:jc w:val="center"/>
      </w:pPr>
    </w:p>
    <w:p w14:paraId="07DCD4DE" w14:textId="77777777" w:rsidR="00AE727E" w:rsidRDefault="008433E0">
      <w:r>
        <w:pict w14:anchorId="07DD18D4">
          <v:rect id="_x0000_i1028" style="width:415.3pt;height:1.5pt" o:hralign="center" o:hrstd="t" o:hr="t" fillcolor="#a0a0a0" stroked="f"/>
        </w:pict>
      </w:r>
    </w:p>
    <w:p w14:paraId="07DCD4DF" w14:textId="77777777" w:rsidR="00AE727E" w:rsidRDefault="008433E0">
      <w:hyperlink r:id="rId129" w:anchor="i1c8279be622a460ea19600488436f115_10"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07DCD4E0"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4E1" w14:textId="77777777" w:rsidR="00AE727E" w:rsidRDefault="008433E0">
      <w:pPr>
        <w:spacing w:after="60"/>
        <w:jc w:val="center"/>
      </w:pPr>
      <w:r>
        <w:rPr>
          <w:rFonts w:ascii="Times New Roman" w:eastAsia="宋体" w:hAnsi="Times New Roman"/>
          <w:b/>
          <w:bCs/>
          <w:color w:val="000000"/>
          <w:sz w:val="20"/>
          <w:szCs w:val="20"/>
        </w:rPr>
        <w:t>CONDENSED CONSOLIDATED STATEMENTS OF FINANCIAL POSITION</w:t>
      </w:r>
    </w:p>
    <w:p w14:paraId="07DCD4E2" w14:textId="77777777" w:rsidR="00AE727E" w:rsidRDefault="008433E0">
      <w:pPr>
        <w:jc w:val="center"/>
      </w:pPr>
      <w:r>
        <w:rPr>
          <w:rFonts w:ascii="Times New Roman" w:eastAsia="宋体" w:hAnsi="Times New Roman"/>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3"/>
        <w:gridCol w:w="40"/>
        <w:gridCol w:w="120"/>
        <w:gridCol w:w="1206"/>
        <w:gridCol w:w="36"/>
        <w:gridCol w:w="36"/>
        <w:gridCol w:w="36"/>
        <w:gridCol w:w="36"/>
        <w:gridCol w:w="120"/>
        <w:gridCol w:w="1206"/>
        <w:gridCol w:w="36"/>
      </w:tblGrid>
      <w:tr w:rsidR="00AE727E" w14:paraId="07DCD4EF" w14:textId="77777777">
        <w:trPr>
          <w:jc w:val="center"/>
        </w:trPr>
        <w:tc>
          <w:tcPr>
            <w:tcW w:w="50" w:type="pct"/>
            <w:shd w:val="clear" w:color="auto" w:fill="auto"/>
            <w:vAlign w:val="bottom"/>
          </w:tcPr>
          <w:p w14:paraId="07DCD4E3" w14:textId="77777777" w:rsidR="00AE727E" w:rsidRDefault="00AE727E">
            <w:pPr>
              <w:rPr>
                <w:rFonts w:ascii="宋体"/>
              </w:rPr>
            </w:pPr>
          </w:p>
        </w:tc>
        <w:tc>
          <w:tcPr>
            <w:tcW w:w="3292" w:type="pct"/>
            <w:shd w:val="clear" w:color="auto" w:fill="auto"/>
            <w:vAlign w:val="bottom"/>
          </w:tcPr>
          <w:p w14:paraId="07DCD4E4" w14:textId="77777777" w:rsidR="00AE727E" w:rsidRDefault="00AE727E">
            <w:pPr>
              <w:rPr>
                <w:rFonts w:ascii="宋体"/>
              </w:rPr>
            </w:pPr>
          </w:p>
        </w:tc>
        <w:tc>
          <w:tcPr>
            <w:tcW w:w="5" w:type="pct"/>
            <w:shd w:val="clear" w:color="auto" w:fill="auto"/>
            <w:vAlign w:val="bottom"/>
          </w:tcPr>
          <w:p w14:paraId="07DCD4E5" w14:textId="77777777" w:rsidR="00AE727E" w:rsidRDefault="00AE727E">
            <w:pPr>
              <w:rPr>
                <w:rFonts w:ascii="宋体"/>
              </w:rPr>
            </w:pPr>
          </w:p>
        </w:tc>
        <w:tc>
          <w:tcPr>
            <w:tcW w:w="50" w:type="pct"/>
            <w:shd w:val="clear" w:color="auto" w:fill="auto"/>
            <w:vAlign w:val="bottom"/>
          </w:tcPr>
          <w:p w14:paraId="07DCD4E6" w14:textId="77777777" w:rsidR="00AE727E" w:rsidRDefault="00AE727E">
            <w:pPr>
              <w:rPr>
                <w:rFonts w:ascii="宋体"/>
              </w:rPr>
            </w:pPr>
          </w:p>
        </w:tc>
        <w:tc>
          <w:tcPr>
            <w:tcW w:w="756" w:type="pct"/>
            <w:shd w:val="clear" w:color="auto" w:fill="auto"/>
            <w:vAlign w:val="bottom"/>
          </w:tcPr>
          <w:p w14:paraId="07DCD4E7" w14:textId="77777777" w:rsidR="00AE727E" w:rsidRDefault="00AE727E">
            <w:pPr>
              <w:rPr>
                <w:rFonts w:ascii="宋体"/>
              </w:rPr>
            </w:pPr>
          </w:p>
        </w:tc>
        <w:tc>
          <w:tcPr>
            <w:tcW w:w="5" w:type="pct"/>
            <w:shd w:val="clear" w:color="auto" w:fill="auto"/>
            <w:vAlign w:val="bottom"/>
          </w:tcPr>
          <w:p w14:paraId="07DCD4E8" w14:textId="77777777" w:rsidR="00AE727E" w:rsidRDefault="00AE727E">
            <w:pPr>
              <w:rPr>
                <w:rFonts w:ascii="宋体"/>
              </w:rPr>
            </w:pPr>
          </w:p>
        </w:tc>
        <w:tc>
          <w:tcPr>
            <w:tcW w:w="5" w:type="pct"/>
            <w:shd w:val="clear" w:color="auto" w:fill="auto"/>
            <w:vAlign w:val="bottom"/>
          </w:tcPr>
          <w:p w14:paraId="07DCD4E9" w14:textId="77777777" w:rsidR="00AE727E" w:rsidRDefault="00AE727E">
            <w:pPr>
              <w:rPr>
                <w:rFonts w:ascii="宋体"/>
              </w:rPr>
            </w:pPr>
          </w:p>
        </w:tc>
        <w:tc>
          <w:tcPr>
            <w:tcW w:w="19" w:type="pct"/>
            <w:shd w:val="clear" w:color="auto" w:fill="auto"/>
            <w:vAlign w:val="bottom"/>
          </w:tcPr>
          <w:p w14:paraId="07DCD4EA" w14:textId="77777777" w:rsidR="00AE727E" w:rsidRDefault="00AE727E">
            <w:pPr>
              <w:rPr>
                <w:rFonts w:ascii="宋体"/>
              </w:rPr>
            </w:pPr>
          </w:p>
        </w:tc>
        <w:tc>
          <w:tcPr>
            <w:tcW w:w="5" w:type="pct"/>
            <w:shd w:val="clear" w:color="auto" w:fill="auto"/>
            <w:vAlign w:val="bottom"/>
          </w:tcPr>
          <w:p w14:paraId="07DCD4EB" w14:textId="77777777" w:rsidR="00AE727E" w:rsidRDefault="00AE727E">
            <w:pPr>
              <w:rPr>
                <w:rFonts w:ascii="宋体"/>
              </w:rPr>
            </w:pPr>
          </w:p>
        </w:tc>
        <w:tc>
          <w:tcPr>
            <w:tcW w:w="50" w:type="pct"/>
            <w:shd w:val="clear" w:color="auto" w:fill="auto"/>
            <w:vAlign w:val="bottom"/>
          </w:tcPr>
          <w:p w14:paraId="07DCD4EC" w14:textId="77777777" w:rsidR="00AE727E" w:rsidRDefault="00AE727E">
            <w:pPr>
              <w:rPr>
                <w:rFonts w:ascii="宋体"/>
              </w:rPr>
            </w:pPr>
          </w:p>
        </w:tc>
        <w:tc>
          <w:tcPr>
            <w:tcW w:w="756" w:type="pct"/>
            <w:shd w:val="clear" w:color="auto" w:fill="auto"/>
            <w:vAlign w:val="bottom"/>
          </w:tcPr>
          <w:p w14:paraId="07DCD4ED" w14:textId="77777777" w:rsidR="00AE727E" w:rsidRDefault="00AE727E">
            <w:pPr>
              <w:rPr>
                <w:rFonts w:ascii="宋体"/>
              </w:rPr>
            </w:pPr>
          </w:p>
        </w:tc>
        <w:tc>
          <w:tcPr>
            <w:tcW w:w="5" w:type="pct"/>
            <w:shd w:val="clear" w:color="auto" w:fill="auto"/>
            <w:vAlign w:val="bottom"/>
          </w:tcPr>
          <w:p w14:paraId="07DCD4EE" w14:textId="77777777" w:rsidR="00AE727E" w:rsidRDefault="00AE727E">
            <w:pPr>
              <w:rPr>
                <w:rFonts w:ascii="宋体"/>
              </w:rPr>
            </w:pPr>
          </w:p>
        </w:tc>
      </w:tr>
      <w:tr w:rsidR="00AE727E" w14:paraId="07DCD4F4" w14:textId="77777777">
        <w:trPr>
          <w:jc w:val="center"/>
        </w:trPr>
        <w:tc>
          <w:tcPr>
            <w:tcW w:w="0" w:type="auto"/>
            <w:gridSpan w:val="3"/>
            <w:shd w:val="clear" w:color="auto" w:fill="auto"/>
            <w:tcMar>
              <w:top w:w="0" w:type="dxa"/>
              <w:left w:w="20" w:type="dxa"/>
              <w:bottom w:w="0" w:type="dxa"/>
              <w:right w:w="20" w:type="dxa"/>
            </w:tcMar>
            <w:vAlign w:val="bottom"/>
          </w:tcPr>
          <w:p w14:paraId="07DCD4F0"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D4F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D4F2"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D4F3"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D4F6" w14:textId="77777777">
        <w:trPr>
          <w:jc w:val="center"/>
        </w:trPr>
        <w:tc>
          <w:tcPr>
            <w:tcW w:w="0" w:type="auto"/>
            <w:gridSpan w:val="12"/>
            <w:shd w:val="clear" w:color="auto" w:fill="auto"/>
            <w:tcMar>
              <w:top w:w="40" w:type="dxa"/>
              <w:left w:w="20" w:type="dxa"/>
              <w:bottom w:w="40" w:type="dxa"/>
              <w:right w:w="20" w:type="dxa"/>
            </w:tcMar>
            <w:vAlign w:val="bottom"/>
          </w:tcPr>
          <w:p w14:paraId="07DCD4F5" w14:textId="77777777" w:rsidR="00AE727E" w:rsidRDefault="008433E0">
            <w:pPr>
              <w:jc w:val="center"/>
              <w:textAlignment w:val="bottom"/>
            </w:pPr>
            <w:r>
              <w:rPr>
                <w:rFonts w:ascii="Times New Roman" w:eastAsia="宋体" w:hAnsi="Times New Roman"/>
                <w:b/>
                <w:bCs/>
                <w:color w:val="000000"/>
                <w:sz w:val="20"/>
                <w:szCs w:val="20"/>
              </w:rPr>
              <w:t>ASSETS</w:t>
            </w:r>
          </w:p>
        </w:tc>
      </w:tr>
      <w:tr w:rsidR="00AE727E" w14:paraId="07DCD4FB" w14:textId="77777777">
        <w:trPr>
          <w:jc w:val="center"/>
        </w:trPr>
        <w:tc>
          <w:tcPr>
            <w:tcW w:w="0" w:type="auto"/>
            <w:gridSpan w:val="3"/>
            <w:shd w:val="clear" w:color="auto" w:fill="CCEEFF"/>
            <w:tcMar>
              <w:top w:w="40" w:type="dxa"/>
              <w:left w:w="20" w:type="dxa"/>
              <w:bottom w:w="40" w:type="dxa"/>
              <w:right w:w="20" w:type="dxa"/>
            </w:tcMar>
            <w:vAlign w:val="bottom"/>
          </w:tcPr>
          <w:p w14:paraId="07DCD4F7" w14:textId="77777777" w:rsidR="00AE727E" w:rsidRDefault="008433E0">
            <w:pPr>
              <w:textAlignment w:val="bottom"/>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bottom"/>
          </w:tcPr>
          <w:p w14:paraId="07DCD4F8" w14:textId="77777777" w:rsidR="00AE727E" w:rsidRDefault="008433E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D4F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D4FA" w14:textId="77777777" w:rsidR="00AE727E" w:rsidRDefault="008433E0">
            <w:pPr>
              <w:jc w:val="right"/>
              <w:textAlignment w:val="bottom"/>
            </w:pPr>
            <w:r>
              <w:rPr>
                <w:rFonts w:ascii="Times New Roman" w:eastAsia="宋体" w:hAnsi="Times New Roman"/>
                <w:color w:val="000000"/>
                <w:sz w:val="20"/>
                <w:szCs w:val="20"/>
              </w:rPr>
              <w:t> </w:t>
            </w:r>
          </w:p>
        </w:tc>
      </w:tr>
      <w:tr w:rsidR="00AE727E" w14:paraId="07DCD504" w14:textId="77777777">
        <w:trPr>
          <w:jc w:val="center"/>
        </w:trPr>
        <w:tc>
          <w:tcPr>
            <w:tcW w:w="0" w:type="auto"/>
            <w:gridSpan w:val="3"/>
            <w:shd w:val="clear" w:color="auto" w:fill="FFFFFF"/>
            <w:tcMar>
              <w:top w:w="40" w:type="dxa"/>
              <w:left w:w="245" w:type="dxa"/>
              <w:bottom w:w="40" w:type="dxa"/>
              <w:right w:w="20" w:type="dxa"/>
            </w:tcMar>
            <w:vAlign w:val="bottom"/>
          </w:tcPr>
          <w:p w14:paraId="07DCD4FC" w14:textId="77777777" w:rsidR="00AE727E" w:rsidRDefault="008433E0">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DCD4F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4FE" w14:textId="77777777" w:rsidR="00AE727E" w:rsidRDefault="008433E0">
            <w:pPr>
              <w:jc w:val="right"/>
              <w:textAlignment w:val="bottom"/>
            </w:pPr>
            <w:r>
              <w:rPr>
                <w:rFonts w:ascii="Times New Roman" w:eastAsia="宋体" w:hAnsi="Times New Roman"/>
                <w:color w:val="000000"/>
                <w:sz w:val="20"/>
                <w:szCs w:val="20"/>
              </w:rPr>
              <w:t>22,406 </w:t>
            </w:r>
          </w:p>
        </w:tc>
        <w:tc>
          <w:tcPr>
            <w:tcW w:w="0" w:type="auto"/>
            <w:shd w:val="clear" w:color="auto" w:fill="FFFFFF"/>
            <w:tcMar>
              <w:top w:w="40" w:type="dxa"/>
              <w:left w:w="0" w:type="dxa"/>
              <w:bottom w:w="40" w:type="dxa"/>
              <w:right w:w="20" w:type="dxa"/>
            </w:tcMar>
            <w:vAlign w:val="bottom"/>
          </w:tcPr>
          <w:p w14:paraId="07DCD4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0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D50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502" w14:textId="77777777" w:rsidR="00AE727E" w:rsidRDefault="008433E0">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07DCD503" w14:textId="77777777" w:rsidR="00AE727E" w:rsidRDefault="00AE727E">
            <w:pPr>
              <w:jc w:val="right"/>
              <w:rPr>
                <w:rFonts w:ascii="宋体"/>
              </w:rPr>
            </w:pPr>
          </w:p>
        </w:tc>
      </w:tr>
      <w:tr w:rsidR="00AE727E" w14:paraId="07DCD509" w14:textId="77777777">
        <w:trPr>
          <w:jc w:val="center"/>
          <w:hidden/>
        </w:trPr>
        <w:tc>
          <w:tcPr>
            <w:tcW w:w="0" w:type="auto"/>
            <w:gridSpan w:val="3"/>
            <w:shd w:val="clear" w:color="auto" w:fill="auto"/>
            <w:vAlign w:val="bottom"/>
          </w:tcPr>
          <w:p w14:paraId="07DCD505" w14:textId="77777777" w:rsidR="00AE727E" w:rsidRDefault="00AE727E">
            <w:pPr>
              <w:rPr>
                <w:rFonts w:ascii="宋体"/>
                <w:vanish/>
              </w:rPr>
            </w:pPr>
          </w:p>
        </w:tc>
        <w:tc>
          <w:tcPr>
            <w:tcW w:w="0" w:type="auto"/>
            <w:gridSpan w:val="3"/>
            <w:shd w:val="clear" w:color="auto" w:fill="auto"/>
            <w:vAlign w:val="bottom"/>
          </w:tcPr>
          <w:p w14:paraId="07DCD506" w14:textId="77777777" w:rsidR="00AE727E" w:rsidRDefault="00AE727E">
            <w:pPr>
              <w:rPr>
                <w:rFonts w:ascii="宋体"/>
                <w:vanish/>
              </w:rPr>
            </w:pPr>
          </w:p>
        </w:tc>
        <w:tc>
          <w:tcPr>
            <w:tcW w:w="0" w:type="auto"/>
            <w:gridSpan w:val="3"/>
            <w:shd w:val="clear" w:color="auto" w:fill="auto"/>
            <w:vAlign w:val="bottom"/>
          </w:tcPr>
          <w:p w14:paraId="07DCD507" w14:textId="77777777" w:rsidR="00AE727E" w:rsidRDefault="00AE727E">
            <w:pPr>
              <w:rPr>
                <w:rFonts w:ascii="宋体"/>
                <w:vanish/>
              </w:rPr>
            </w:pPr>
          </w:p>
        </w:tc>
        <w:tc>
          <w:tcPr>
            <w:tcW w:w="0" w:type="auto"/>
            <w:gridSpan w:val="3"/>
            <w:shd w:val="clear" w:color="auto" w:fill="auto"/>
            <w:vAlign w:val="bottom"/>
          </w:tcPr>
          <w:p w14:paraId="07DCD508" w14:textId="77777777" w:rsidR="00AE727E" w:rsidRDefault="00AE727E">
            <w:pPr>
              <w:rPr>
                <w:rFonts w:ascii="宋体"/>
                <w:vanish/>
              </w:rPr>
            </w:pPr>
          </w:p>
        </w:tc>
      </w:tr>
      <w:tr w:rsidR="00AE727E" w14:paraId="07DCD510" w14:textId="77777777">
        <w:trPr>
          <w:jc w:val="center"/>
        </w:trPr>
        <w:tc>
          <w:tcPr>
            <w:tcW w:w="0" w:type="auto"/>
            <w:gridSpan w:val="3"/>
            <w:shd w:val="clear" w:color="auto" w:fill="CCEEFF"/>
            <w:tcMar>
              <w:top w:w="40" w:type="dxa"/>
              <w:left w:w="20" w:type="dxa"/>
              <w:bottom w:w="40" w:type="dxa"/>
              <w:right w:w="20" w:type="dxa"/>
            </w:tcMar>
            <w:vAlign w:val="bottom"/>
          </w:tcPr>
          <w:p w14:paraId="07DCD50A" w14:textId="77777777" w:rsidR="00AE727E" w:rsidRDefault="008433E0">
            <w:pPr>
              <w:textAlignment w:val="bottom"/>
            </w:pPr>
            <w:r>
              <w:rPr>
                <w:rFonts w:ascii="Times New Roman" w:eastAsia="宋体" w:hAnsi="Times New Roman"/>
                <w:color w:val="000000"/>
                <w:sz w:val="20"/>
                <w:szCs w:val="20"/>
              </w:rPr>
              <w:t>Accounts receivable, net of allowance of $100 and $104 (Note 17)</w:t>
            </w:r>
          </w:p>
        </w:tc>
        <w:tc>
          <w:tcPr>
            <w:tcW w:w="0" w:type="auto"/>
            <w:gridSpan w:val="2"/>
            <w:shd w:val="clear" w:color="auto" w:fill="CCEEFF"/>
            <w:tcMar>
              <w:top w:w="40" w:type="dxa"/>
              <w:left w:w="20" w:type="dxa"/>
              <w:bottom w:w="40" w:type="dxa"/>
              <w:right w:w="0" w:type="dxa"/>
            </w:tcMar>
            <w:vAlign w:val="bottom"/>
          </w:tcPr>
          <w:p w14:paraId="07DCD50B" w14:textId="77777777" w:rsidR="00AE727E" w:rsidRDefault="008433E0">
            <w:pPr>
              <w:jc w:val="right"/>
              <w:textAlignment w:val="bottom"/>
            </w:pPr>
            <w:r>
              <w:rPr>
                <w:rFonts w:ascii="Times New Roman" w:eastAsia="宋体" w:hAnsi="Times New Roman"/>
                <w:color w:val="000000"/>
                <w:sz w:val="20"/>
                <w:szCs w:val="20"/>
              </w:rPr>
              <w:t>14,177 </w:t>
            </w:r>
          </w:p>
        </w:tc>
        <w:tc>
          <w:tcPr>
            <w:tcW w:w="0" w:type="auto"/>
            <w:shd w:val="clear" w:color="auto" w:fill="CCEEFF"/>
            <w:tcMar>
              <w:top w:w="40" w:type="dxa"/>
              <w:left w:w="0" w:type="dxa"/>
              <w:bottom w:w="40" w:type="dxa"/>
              <w:right w:w="20" w:type="dxa"/>
            </w:tcMar>
            <w:vAlign w:val="bottom"/>
          </w:tcPr>
          <w:p w14:paraId="07DCD5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0E" w14:textId="77777777" w:rsidR="00AE727E" w:rsidRDefault="008433E0">
            <w:pPr>
              <w:jc w:val="right"/>
              <w:textAlignment w:val="bottom"/>
            </w:pPr>
            <w:r>
              <w:rPr>
                <w:rFonts w:ascii="Times New Roman" w:eastAsia="宋体" w:hAnsi="Times New Roman"/>
                <w:color w:val="000000"/>
                <w:sz w:val="20"/>
                <w:szCs w:val="20"/>
              </w:rPr>
              <w:t>12,788 </w:t>
            </w:r>
          </w:p>
        </w:tc>
        <w:tc>
          <w:tcPr>
            <w:tcW w:w="0" w:type="auto"/>
            <w:shd w:val="clear" w:color="auto" w:fill="CCEEFF"/>
            <w:tcMar>
              <w:top w:w="40" w:type="dxa"/>
              <w:left w:w="0" w:type="dxa"/>
              <w:bottom w:w="40" w:type="dxa"/>
              <w:right w:w="20" w:type="dxa"/>
            </w:tcMar>
            <w:vAlign w:val="bottom"/>
          </w:tcPr>
          <w:p w14:paraId="07DCD50F" w14:textId="77777777" w:rsidR="00AE727E" w:rsidRDefault="00AE727E">
            <w:pPr>
              <w:jc w:val="right"/>
              <w:rPr>
                <w:rFonts w:ascii="宋体"/>
              </w:rPr>
            </w:pPr>
          </w:p>
        </w:tc>
      </w:tr>
      <w:tr w:rsidR="00AE727E" w14:paraId="07DCD517" w14:textId="77777777">
        <w:trPr>
          <w:jc w:val="center"/>
        </w:trPr>
        <w:tc>
          <w:tcPr>
            <w:tcW w:w="0" w:type="auto"/>
            <w:gridSpan w:val="3"/>
            <w:shd w:val="clear" w:color="auto" w:fill="FFFFFF"/>
            <w:tcMar>
              <w:top w:w="40" w:type="dxa"/>
              <w:left w:w="20" w:type="dxa"/>
              <w:bottom w:w="40" w:type="dxa"/>
              <w:right w:w="20" w:type="dxa"/>
            </w:tcMar>
            <w:vAlign w:val="bottom"/>
          </w:tcPr>
          <w:p w14:paraId="07DCD511" w14:textId="77777777" w:rsidR="00AE727E" w:rsidRDefault="008433E0">
            <w:pPr>
              <w:textAlignment w:val="bottom"/>
            </w:pPr>
            <w:r>
              <w:rPr>
                <w:rFonts w:ascii="Times New Roman" w:eastAsia="宋体" w:hAnsi="Times New Roman"/>
                <w:color w:val="000000"/>
                <w:sz w:val="20"/>
                <w:szCs w:val="20"/>
              </w:rPr>
              <w:t>Short-term financing receivables, net of allowance of $164 and $228 (Note 3)</w:t>
            </w:r>
          </w:p>
        </w:tc>
        <w:tc>
          <w:tcPr>
            <w:tcW w:w="0" w:type="auto"/>
            <w:gridSpan w:val="2"/>
            <w:shd w:val="clear" w:color="auto" w:fill="FFFFFF"/>
            <w:tcMar>
              <w:top w:w="40" w:type="dxa"/>
              <w:left w:w="20" w:type="dxa"/>
              <w:bottom w:w="40" w:type="dxa"/>
              <w:right w:w="0" w:type="dxa"/>
            </w:tcMar>
            <w:vAlign w:val="bottom"/>
          </w:tcPr>
          <w:p w14:paraId="07DCD512" w14:textId="77777777" w:rsidR="00AE727E" w:rsidRDefault="008433E0">
            <w:pPr>
              <w:jc w:val="right"/>
              <w:textAlignment w:val="bottom"/>
            </w:pPr>
            <w:r>
              <w:rPr>
                <w:rFonts w:ascii="Times New Roman" w:eastAsia="宋体" w:hAnsi="Times New Roman"/>
                <w:color w:val="000000"/>
                <w:sz w:val="20"/>
                <w:szCs w:val="20"/>
              </w:rPr>
              <w:t>4,970 </w:t>
            </w:r>
          </w:p>
        </w:tc>
        <w:tc>
          <w:tcPr>
            <w:tcW w:w="0" w:type="auto"/>
            <w:shd w:val="clear" w:color="auto" w:fill="FFFFFF"/>
            <w:tcMar>
              <w:top w:w="40" w:type="dxa"/>
              <w:left w:w="0" w:type="dxa"/>
              <w:bottom w:w="40" w:type="dxa"/>
              <w:right w:w="20" w:type="dxa"/>
            </w:tcMar>
            <w:vAlign w:val="bottom"/>
          </w:tcPr>
          <w:p w14:paraId="07DCD5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1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15" w14:textId="77777777" w:rsidR="00AE727E" w:rsidRDefault="008433E0">
            <w:pPr>
              <w:jc w:val="right"/>
              <w:textAlignment w:val="bottom"/>
            </w:pPr>
            <w:r>
              <w:rPr>
                <w:rFonts w:ascii="Times New Roman" w:eastAsia="宋体" w:hAnsi="Times New Roman"/>
                <w:color w:val="000000"/>
                <w:sz w:val="20"/>
                <w:szCs w:val="20"/>
              </w:rPr>
              <w:t>5,155 </w:t>
            </w:r>
          </w:p>
        </w:tc>
        <w:tc>
          <w:tcPr>
            <w:tcW w:w="0" w:type="auto"/>
            <w:shd w:val="clear" w:color="auto" w:fill="FFFFFF"/>
            <w:tcMar>
              <w:top w:w="40" w:type="dxa"/>
              <w:left w:w="0" w:type="dxa"/>
              <w:bottom w:w="40" w:type="dxa"/>
              <w:right w:w="20" w:type="dxa"/>
            </w:tcMar>
            <w:vAlign w:val="bottom"/>
          </w:tcPr>
          <w:p w14:paraId="07DCD516" w14:textId="77777777" w:rsidR="00AE727E" w:rsidRDefault="00AE727E">
            <w:pPr>
              <w:jc w:val="right"/>
              <w:rPr>
                <w:rFonts w:ascii="宋体"/>
              </w:rPr>
            </w:pPr>
          </w:p>
        </w:tc>
      </w:tr>
      <w:tr w:rsidR="00AE727E" w14:paraId="07DCD51E" w14:textId="77777777">
        <w:trPr>
          <w:jc w:val="center"/>
        </w:trPr>
        <w:tc>
          <w:tcPr>
            <w:tcW w:w="0" w:type="auto"/>
            <w:gridSpan w:val="3"/>
            <w:shd w:val="clear" w:color="auto" w:fill="CCEEFF"/>
            <w:tcMar>
              <w:top w:w="40" w:type="dxa"/>
              <w:left w:w="260" w:type="dxa"/>
              <w:bottom w:w="40" w:type="dxa"/>
              <w:right w:w="20" w:type="dxa"/>
            </w:tcMar>
            <w:vAlign w:val="bottom"/>
          </w:tcPr>
          <w:p w14:paraId="07DCD518" w14:textId="77777777" w:rsidR="00AE727E" w:rsidRDefault="008433E0">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07DCD519" w14:textId="77777777" w:rsidR="00AE727E" w:rsidRDefault="008433E0">
            <w:pPr>
              <w:jc w:val="right"/>
              <w:textAlignment w:val="bottom"/>
            </w:pPr>
            <w:r>
              <w:rPr>
                <w:rFonts w:ascii="Times New Roman" w:eastAsia="宋体" w:hAnsi="Times New Roman"/>
                <w:color w:val="000000"/>
                <w:sz w:val="20"/>
                <w:szCs w:val="20"/>
              </w:rPr>
              <w:t>5,442 </w:t>
            </w:r>
          </w:p>
        </w:tc>
        <w:tc>
          <w:tcPr>
            <w:tcW w:w="0" w:type="auto"/>
            <w:shd w:val="clear" w:color="auto" w:fill="CCEEFF"/>
            <w:tcMar>
              <w:top w:w="40" w:type="dxa"/>
              <w:left w:w="0" w:type="dxa"/>
              <w:bottom w:w="40" w:type="dxa"/>
              <w:right w:w="20" w:type="dxa"/>
            </w:tcMar>
            <w:vAlign w:val="bottom"/>
          </w:tcPr>
          <w:p w14:paraId="07DCD51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1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1C" w14:textId="77777777" w:rsidR="00AE727E" w:rsidRDefault="008433E0">
            <w:pPr>
              <w:jc w:val="right"/>
              <w:textAlignment w:val="bottom"/>
            </w:pPr>
            <w:r>
              <w:rPr>
                <w:rFonts w:ascii="Times New Roman" w:eastAsia="宋体" w:hAnsi="Times New Roman"/>
                <w:color w:val="000000"/>
                <w:sz w:val="20"/>
                <w:szCs w:val="20"/>
              </w:rPr>
              <w:t>3,402 </w:t>
            </w:r>
          </w:p>
        </w:tc>
        <w:tc>
          <w:tcPr>
            <w:tcW w:w="0" w:type="auto"/>
            <w:shd w:val="clear" w:color="auto" w:fill="CCEEFF"/>
            <w:tcMar>
              <w:top w:w="40" w:type="dxa"/>
              <w:left w:w="0" w:type="dxa"/>
              <w:bottom w:w="40" w:type="dxa"/>
              <w:right w:w="20" w:type="dxa"/>
            </w:tcMar>
            <w:vAlign w:val="bottom"/>
          </w:tcPr>
          <w:p w14:paraId="07DCD51D" w14:textId="77777777" w:rsidR="00AE727E" w:rsidRDefault="00AE727E">
            <w:pPr>
              <w:jc w:val="right"/>
              <w:rPr>
                <w:rFonts w:ascii="宋体"/>
              </w:rPr>
            </w:pPr>
          </w:p>
        </w:tc>
      </w:tr>
      <w:tr w:rsidR="00AE727E" w14:paraId="07DCD525" w14:textId="77777777">
        <w:trPr>
          <w:jc w:val="center"/>
        </w:trPr>
        <w:tc>
          <w:tcPr>
            <w:tcW w:w="0" w:type="auto"/>
            <w:gridSpan w:val="3"/>
            <w:shd w:val="clear" w:color="auto" w:fill="FFFFFF"/>
            <w:tcMar>
              <w:top w:w="40" w:type="dxa"/>
              <w:left w:w="245" w:type="dxa"/>
              <w:bottom w:w="40" w:type="dxa"/>
              <w:right w:w="20" w:type="dxa"/>
            </w:tcMar>
            <w:vAlign w:val="bottom"/>
          </w:tcPr>
          <w:p w14:paraId="07DCD51F" w14:textId="77777777" w:rsidR="00AE727E" w:rsidRDefault="008433E0">
            <w:pPr>
              <w:textAlignment w:val="bottom"/>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bottom"/>
          </w:tcPr>
          <w:p w14:paraId="07DCD520" w14:textId="77777777" w:rsidR="00AE727E" w:rsidRDefault="008433E0">
            <w:pPr>
              <w:jc w:val="right"/>
              <w:textAlignment w:val="bottom"/>
            </w:pPr>
            <w:r>
              <w:rPr>
                <w:rFonts w:ascii="Times New Roman" w:eastAsia="宋体" w:hAnsi="Times New Roman"/>
                <w:color w:val="000000"/>
                <w:sz w:val="20"/>
                <w:szCs w:val="20"/>
              </w:rPr>
              <w:t>10,184 </w:t>
            </w:r>
          </w:p>
        </w:tc>
        <w:tc>
          <w:tcPr>
            <w:tcW w:w="0" w:type="auto"/>
            <w:shd w:val="clear" w:color="auto" w:fill="FFFFFF"/>
            <w:tcMar>
              <w:top w:w="40" w:type="dxa"/>
              <w:left w:w="0" w:type="dxa"/>
              <w:bottom w:w="40" w:type="dxa"/>
              <w:right w:w="20" w:type="dxa"/>
            </w:tcMar>
            <w:vAlign w:val="bottom"/>
          </w:tcPr>
          <w:p w14:paraId="07DCD52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2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23" w14:textId="77777777" w:rsidR="00AE727E" w:rsidRDefault="008433E0">
            <w:pPr>
              <w:jc w:val="right"/>
              <w:textAlignment w:val="bottom"/>
            </w:pPr>
            <w:r>
              <w:rPr>
                <w:rFonts w:ascii="Times New Roman" w:eastAsia="宋体" w:hAnsi="Times New Roman"/>
                <w:color w:val="000000"/>
                <w:sz w:val="20"/>
                <w:szCs w:val="20"/>
              </w:rPr>
              <w:t>8,021 </w:t>
            </w:r>
          </w:p>
        </w:tc>
        <w:tc>
          <w:tcPr>
            <w:tcW w:w="0" w:type="auto"/>
            <w:shd w:val="clear" w:color="auto" w:fill="FFFFFF"/>
            <w:tcMar>
              <w:top w:w="40" w:type="dxa"/>
              <w:left w:w="0" w:type="dxa"/>
              <w:bottom w:w="40" w:type="dxa"/>
              <w:right w:w="20" w:type="dxa"/>
            </w:tcMar>
            <w:vAlign w:val="bottom"/>
          </w:tcPr>
          <w:p w14:paraId="07DCD524" w14:textId="77777777" w:rsidR="00AE727E" w:rsidRDefault="00AE727E">
            <w:pPr>
              <w:jc w:val="right"/>
              <w:rPr>
                <w:rFonts w:ascii="宋体"/>
              </w:rPr>
            </w:pPr>
          </w:p>
        </w:tc>
      </w:tr>
      <w:tr w:rsidR="00AE727E" w14:paraId="07DCD52A" w14:textId="77777777">
        <w:trPr>
          <w:jc w:val="center"/>
          <w:hidden/>
        </w:trPr>
        <w:tc>
          <w:tcPr>
            <w:tcW w:w="0" w:type="auto"/>
            <w:gridSpan w:val="3"/>
            <w:shd w:val="clear" w:color="auto" w:fill="auto"/>
            <w:vAlign w:val="bottom"/>
          </w:tcPr>
          <w:p w14:paraId="07DCD526" w14:textId="77777777" w:rsidR="00AE727E" w:rsidRDefault="00AE727E">
            <w:pPr>
              <w:rPr>
                <w:rFonts w:ascii="宋体"/>
                <w:vanish/>
              </w:rPr>
            </w:pPr>
          </w:p>
        </w:tc>
        <w:tc>
          <w:tcPr>
            <w:tcW w:w="0" w:type="auto"/>
            <w:gridSpan w:val="3"/>
            <w:shd w:val="clear" w:color="auto" w:fill="auto"/>
            <w:vAlign w:val="bottom"/>
          </w:tcPr>
          <w:p w14:paraId="07DCD527" w14:textId="77777777" w:rsidR="00AE727E" w:rsidRDefault="00AE727E">
            <w:pPr>
              <w:rPr>
                <w:rFonts w:ascii="宋体"/>
                <w:vanish/>
              </w:rPr>
            </w:pPr>
          </w:p>
        </w:tc>
        <w:tc>
          <w:tcPr>
            <w:tcW w:w="0" w:type="auto"/>
            <w:gridSpan w:val="3"/>
            <w:shd w:val="clear" w:color="auto" w:fill="auto"/>
            <w:vAlign w:val="bottom"/>
          </w:tcPr>
          <w:p w14:paraId="07DCD528" w14:textId="77777777" w:rsidR="00AE727E" w:rsidRDefault="00AE727E">
            <w:pPr>
              <w:rPr>
                <w:rFonts w:ascii="宋体"/>
                <w:vanish/>
              </w:rPr>
            </w:pPr>
          </w:p>
        </w:tc>
        <w:tc>
          <w:tcPr>
            <w:tcW w:w="0" w:type="auto"/>
            <w:gridSpan w:val="3"/>
            <w:shd w:val="clear" w:color="auto" w:fill="auto"/>
            <w:vAlign w:val="bottom"/>
          </w:tcPr>
          <w:p w14:paraId="07DCD529" w14:textId="77777777" w:rsidR="00AE727E" w:rsidRDefault="00AE727E">
            <w:pPr>
              <w:rPr>
                <w:rFonts w:ascii="宋体"/>
                <w:vanish/>
              </w:rPr>
            </w:pPr>
          </w:p>
        </w:tc>
      </w:tr>
      <w:tr w:rsidR="00AE727E" w14:paraId="07DCD531" w14:textId="77777777">
        <w:trPr>
          <w:jc w:val="center"/>
        </w:trPr>
        <w:tc>
          <w:tcPr>
            <w:tcW w:w="0" w:type="auto"/>
            <w:gridSpan w:val="3"/>
            <w:shd w:val="clear" w:color="auto" w:fill="CCEEFF"/>
            <w:tcMar>
              <w:top w:w="40" w:type="dxa"/>
              <w:left w:w="365" w:type="dxa"/>
              <w:bottom w:w="40" w:type="dxa"/>
              <w:right w:w="20" w:type="dxa"/>
            </w:tcMar>
            <w:vAlign w:val="bottom"/>
          </w:tcPr>
          <w:p w14:paraId="07DCD52B" w14:textId="77777777" w:rsidR="00AE727E" w:rsidRDefault="008433E0">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2C" w14:textId="77777777" w:rsidR="00AE727E" w:rsidRDefault="008433E0">
            <w:pPr>
              <w:jc w:val="right"/>
              <w:textAlignment w:val="bottom"/>
            </w:pPr>
            <w:r>
              <w:rPr>
                <w:rFonts w:ascii="Times New Roman" w:eastAsia="宋体" w:hAnsi="Times New Roman"/>
                <w:color w:val="000000"/>
                <w:sz w:val="20"/>
                <w:szCs w:val="20"/>
              </w:rPr>
              <w:t>57,179 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2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2E"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2F" w14:textId="77777777" w:rsidR="00AE727E" w:rsidRDefault="008433E0">
            <w:pPr>
              <w:jc w:val="right"/>
              <w:textAlignment w:val="bottom"/>
            </w:pPr>
            <w:r>
              <w:rPr>
                <w:rFonts w:ascii="Times New Roman" w:eastAsia="宋体" w:hAnsi="Times New Roman"/>
                <w:color w:val="000000"/>
                <w:sz w:val="20"/>
                <w:szCs w:val="20"/>
              </w:rPr>
              <w:t>43,567 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30" w14:textId="77777777" w:rsidR="00AE727E" w:rsidRDefault="00AE727E">
            <w:pPr>
              <w:jc w:val="right"/>
              <w:rPr>
                <w:rFonts w:ascii="宋体"/>
              </w:rPr>
            </w:pPr>
          </w:p>
        </w:tc>
      </w:tr>
      <w:tr w:rsidR="00AE727E" w14:paraId="07DCD538" w14:textId="77777777">
        <w:trPr>
          <w:jc w:val="center"/>
        </w:trPr>
        <w:tc>
          <w:tcPr>
            <w:tcW w:w="0" w:type="auto"/>
            <w:gridSpan w:val="3"/>
            <w:shd w:val="clear" w:color="auto" w:fill="FFFFFF"/>
            <w:tcMar>
              <w:top w:w="40" w:type="dxa"/>
              <w:left w:w="20" w:type="dxa"/>
              <w:bottom w:w="40" w:type="dxa"/>
              <w:right w:w="20" w:type="dxa"/>
            </w:tcMar>
            <w:vAlign w:val="bottom"/>
          </w:tcPr>
          <w:p w14:paraId="07DCD532" w14:textId="77777777" w:rsidR="00AE727E" w:rsidRDefault="008433E0">
            <w:pPr>
              <w:textAlignment w:val="bottom"/>
            </w:pPr>
            <w:r>
              <w:rPr>
                <w:rFonts w:ascii="Times New Roman" w:eastAsia="宋体" w:hAnsi="Times New Roman"/>
                <w:color w:val="000000"/>
                <w:sz w:val="20"/>
                <w:szCs w:val="20"/>
              </w:rPr>
              <w:t>Property, plant, and equipment, net</w:t>
            </w:r>
          </w:p>
        </w:tc>
        <w:tc>
          <w:tcPr>
            <w:tcW w:w="0" w:type="auto"/>
            <w:gridSpan w:val="2"/>
            <w:shd w:val="clear" w:color="auto" w:fill="FFFFFF"/>
            <w:tcMar>
              <w:top w:w="40" w:type="dxa"/>
              <w:left w:w="20" w:type="dxa"/>
              <w:bottom w:w="40" w:type="dxa"/>
              <w:right w:w="0" w:type="dxa"/>
            </w:tcMar>
            <w:vAlign w:val="bottom"/>
          </w:tcPr>
          <w:p w14:paraId="07DCD533" w14:textId="77777777" w:rsidR="00AE727E" w:rsidRDefault="008433E0">
            <w:pPr>
              <w:jc w:val="right"/>
              <w:textAlignment w:val="bottom"/>
            </w:pPr>
            <w:r>
              <w:rPr>
                <w:rFonts w:ascii="Times New Roman" w:eastAsia="宋体" w:hAnsi="Times New Roman"/>
                <w:color w:val="000000"/>
                <w:sz w:val="20"/>
                <w:szCs w:val="20"/>
              </w:rPr>
              <w:t>6,925 </w:t>
            </w:r>
          </w:p>
        </w:tc>
        <w:tc>
          <w:tcPr>
            <w:tcW w:w="0" w:type="auto"/>
            <w:shd w:val="clear" w:color="auto" w:fill="FFFFFF"/>
            <w:tcMar>
              <w:top w:w="40" w:type="dxa"/>
              <w:left w:w="0" w:type="dxa"/>
              <w:bottom w:w="40" w:type="dxa"/>
              <w:right w:w="20" w:type="dxa"/>
            </w:tcMar>
            <w:vAlign w:val="bottom"/>
          </w:tcPr>
          <w:p w14:paraId="07DCD5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3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36" w14:textId="77777777" w:rsidR="00AE727E" w:rsidRDefault="008433E0">
            <w:pPr>
              <w:jc w:val="right"/>
              <w:textAlignment w:val="bottom"/>
            </w:pPr>
            <w:r>
              <w:rPr>
                <w:rFonts w:ascii="Times New Roman" w:eastAsia="宋体" w:hAnsi="Times New Roman"/>
                <w:color w:val="000000"/>
                <w:sz w:val="20"/>
                <w:szCs w:val="20"/>
              </w:rPr>
              <w:t>6,431 </w:t>
            </w:r>
          </w:p>
        </w:tc>
        <w:tc>
          <w:tcPr>
            <w:tcW w:w="0" w:type="auto"/>
            <w:shd w:val="clear" w:color="auto" w:fill="FFFFFF"/>
            <w:tcMar>
              <w:top w:w="40" w:type="dxa"/>
              <w:left w:w="0" w:type="dxa"/>
              <w:bottom w:w="40" w:type="dxa"/>
              <w:right w:w="20" w:type="dxa"/>
            </w:tcMar>
            <w:vAlign w:val="bottom"/>
          </w:tcPr>
          <w:p w14:paraId="07DCD537" w14:textId="77777777" w:rsidR="00AE727E" w:rsidRDefault="00AE727E">
            <w:pPr>
              <w:jc w:val="right"/>
              <w:rPr>
                <w:rFonts w:ascii="宋体"/>
              </w:rPr>
            </w:pPr>
          </w:p>
        </w:tc>
      </w:tr>
      <w:tr w:rsidR="00AE727E" w14:paraId="07DCD53F" w14:textId="77777777">
        <w:trPr>
          <w:jc w:val="center"/>
        </w:trPr>
        <w:tc>
          <w:tcPr>
            <w:tcW w:w="0" w:type="auto"/>
            <w:gridSpan w:val="3"/>
            <w:shd w:val="clear" w:color="auto" w:fill="CCEEFF"/>
            <w:tcMar>
              <w:top w:w="40" w:type="dxa"/>
              <w:left w:w="20" w:type="dxa"/>
              <w:bottom w:w="40" w:type="dxa"/>
              <w:right w:w="20" w:type="dxa"/>
            </w:tcMar>
            <w:vAlign w:val="bottom"/>
          </w:tcPr>
          <w:p w14:paraId="07DCD539" w14:textId="77777777" w:rsidR="00AE727E" w:rsidRDefault="008433E0">
            <w:pPr>
              <w:textAlignment w:val="bottom"/>
            </w:pPr>
            <w:r>
              <w:rPr>
                <w:rFonts w:ascii="Times New Roman" w:eastAsia="宋体" w:hAnsi="Times New Roman"/>
                <w:color w:val="000000"/>
                <w:sz w:val="20"/>
                <w:szCs w:val="20"/>
              </w:rPr>
              <w:t>Long-term investments</w:t>
            </w:r>
          </w:p>
        </w:tc>
        <w:tc>
          <w:tcPr>
            <w:tcW w:w="0" w:type="auto"/>
            <w:gridSpan w:val="2"/>
            <w:shd w:val="clear" w:color="auto" w:fill="CCEEFF"/>
            <w:tcMar>
              <w:top w:w="40" w:type="dxa"/>
              <w:left w:w="20" w:type="dxa"/>
              <w:bottom w:w="40" w:type="dxa"/>
              <w:right w:w="0" w:type="dxa"/>
            </w:tcMar>
            <w:vAlign w:val="bottom"/>
          </w:tcPr>
          <w:p w14:paraId="07DCD53A" w14:textId="77777777" w:rsidR="00AE727E" w:rsidRDefault="008433E0">
            <w:pPr>
              <w:jc w:val="right"/>
              <w:textAlignment w:val="bottom"/>
            </w:pPr>
            <w:r>
              <w:rPr>
                <w:rFonts w:ascii="Times New Roman" w:eastAsia="宋体" w:hAnsi="Times New Roman"/>
                <w:color w:val="000000"/>
                <w:sz w:val="20"/>
                <w:szCs w:val="20"/>
              </w:rPr>
              <w:t>1,827 </w:t>
            </w:r>
          </w:p>
        </w:tc>
        <w:tc>
          <w:tcPr>
            <w:tcW w:w="0" w:type="auto"/>
            <w:shd w:val="clear" w:color="auto" w:fill="CCEEFF"/>
            <w:tcMar>
              <w:top w:w="40" w:type="dxa"/>
              <w:left w:w="0" w:type="dxa"/>
              <w:bottom w:w="40" w:type="dxa"/>
              <w:right w:w="20" w:type="dxa"/>
            </w:tcMar>
            <w:vAlign w:val="bottom"/>
          </w:tcPr>
          <w:p w14:paraId="07DCD53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3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3D" w14:textId="77777777" w:rsidR="00AE727E" w:rsidRDefault="008433E0">
            <w:pPr>
              <w:jc w:val="right"/>
              <w:textAlignment w:val="bottom"/>
            </w:pPr>
            <w:r>
              <w:rPr>
                <w:rFonts w:ascii="Times New Roman" w:eastAsia="宋体" w:hAnsi="Times New Roman"/>
                <w:color w:val="000000"/>
                <w:sz w:val="20"/>
                <w:szCs w:val="20"/>
              </w:rPr>
              <w:t>1,624 </w:t>
            </w:r>
          </w:p>
        </w:tc>
        <w:tc>
          <w:tcPr>
            <w:tcW w:w="0" w:type="auto"/>
            <w:shd w:val="clear" w:color="auto" w:fill="CCEEFF"/>
            <w:tcMar>
              <w:top w:w="40" w:type="dxa"/>
              <w:left w:w="0" w:type="dxa"/>
              <w:bottom w:w="40" w:type="dxa"/>
              <w:right w:w="20" w:type="dxa"/>
            </w:tcMar>
            <w:vAlign w:val="bottom"/>
          </w:tcPr>
          <w:p w14:paraId="07DCD53E" w14:textId="77777777" w:rsidR="00AE727E" w:rsidRDefault="00AE727E">
            <w:pPr>
              <w:jc w:val="right"/>
              <w:rPr>
                <w:rFonts w:ascii="宋体"/>
              </w:rPr>
            </w:pPr>
          </w:p>
        </w:tc>
      </w:tr>
      <w:tr w:rsidR="00AE727E" w14:paraId="07DCD546" w14:textId="77777777">
        <w:trPr>
          <w:jc w:val="center"/>
        </w:trPr>
        <w:tc>
          <w:tcPr>
            <w:tcW w:w="0" w:type="auto"/>
            <w:gridSpan w:val="3"/>
            <w:shd w:val="clear" w:color="auto" w:fill="FFFFFF"/>
            <w:tcMar>
              <w:top w:w="40" w:type="dxa"/>
              <w:left w:w="20" w:type="dxa"/>
              <w:bottom w:w="40" w:type="dxa"/>
              <w:right w:w="20" w:type="dxa"/>
            </w:tcMar>
            <w:vAlign w:val="bottom"/>
          </w:tcPr>
          <w:p w14:paraId="07DCD540" w14:textId="77777777" w:rsidR="00AE727E" w:rsidRDefault="008433E0">
            <w:pPr>
              <w:textAlignment w:val="bottom"/>
            </w:pPr>
            <w:r>
              <w:rPr>
                <w:rFonts w:ascii="Times New Roman" w:eastAsia="宋体" w:hAnsi="Times New Roman"/>
                <w:color w:val="000000"/>
                <w:sz w:val="20"/>
                <w:szCs w:val="20"/>
              </w:rPr>
              <w:t>Long-term financing receivables, net of allowance of $61 and $93 (Note 3)</w:t>
            </w:r>
          </w:p>
        </w:tc>
        <w:tc>
          <w:tcPr>
            <w:tcW w:w="0" w:type="auto"/>
            <w:gridSpan w:val="2"/>
            <w:shd w:val="clear" w:color="auto" w:fill="FFFFFF"/>
            <w:tcMar>
              <w:top w:w="40" w:type="dxa"/>
              <w:left w:w="20" w:type="dxa"/>
              <w:bottom w:w="40" w:type="dxa"/>
              <w:right w:w="0" w:type="dxa"/>
            </w:tcMar>
            <w:vAlign w:val="bottom"/>
          </w:tcPr>
          <w:p w14:paraId="07DCD541" w14:textId="77777777" w:rsidR="00AE727E" w:rsidRDefault="008433E0">
            <w:pPr>
              <w:jc w:val="right"/>
              <w:textAlignment w:val="bottom"/>
            </w:pPr>
            <w:r>
              <w:rPr>
                <w:rFonts w:ascii="Times New Roman" w:eastAsia="宋体" w:hAnsi="Times New Roman"/>
                <w:color w:val="000000"/>
                <w:sz w:val="20"/>
                <w:szCs w:val="20"/>
              </w:rPr>
              <w:t>5,270 </w:t>
            </w:r>
          </w:p>
        </w:tc>
        <w:tc>
          <w:tcPr>
            <w:tcW w:w="0" w:type="auto"/>
            <w:shd w:val="clear" w:color="auto" w:fill="FFFFFF"/>
            <w:tcMar>
              <w:top w:w="40" w:type="dxa"/>
              <w:left w:w="0" w:type="dxa"/>
              <w:bottom w:w="40" w:type="dxa"/>
              <w:right w:w="20" w:type="dxa"/>
            </w:tcMar>
            <w:vAlign w:val="bottom"/>
          </w:tcPr>
          <w:p w14:paraId="07DCD5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4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44" w14:textId="77777777" w:rsidR="00AE727E" w:rsidRDefault="008433E0">
            <w:pPr>
              <w:jc w:val="right"/>
              <w:textAlignment w:val="bottom"/>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bottom"/>
          </w:tcPr>
          <w:p w14:paraId="07DCD545" w14:textId="77777777" w:rsidR="00AE727E" w:rsidRDefault="00AE727E">
            <w:pPr>
              <w:jc w:val="right"/>
              <w:rPr>
                <w:rFonts w:ascii="宋体"/>
              </w:rPr>
            </w:pPr>
          </w:p>
        </w:tc>
      </w:tr>
      <w:tr w:rsidR="00AE727E" w14:paraId="07DCD54D" w14:textId="77777777">
        <w:trPr>
          <w:jc w:val="center"/>
        </w:trPr>
        <w:tc>
          <w:tcPr>
            <w:tcW w:w="0" w:type="auto"/>
            <w:gridSpan w:val="3"/>
            <w:shd w:val="clear" w:color="auto" w:fill="CCEEFF"/>
            <w:tcMar>
              <w:top w:w="40" w:type="dxa"/>
              <w:left w:w="20" w:type="dxa"/>
              <w:bottom w:w="40" w:type="dxa"/>
              <w:right w:w="20" w:type="dxa"/>
            </w:tcMar>
            <w:vAlign w:val="bottom"/>
          </w:tcPr>
          <w:p w14:paraId="07DCD547" w14:textId="77777777" w:rsidR="00AE727E" w:rsidRDefault="008433E0">
            <w:pPr>
              <w:textAlignment w:val="bottom"/>
            </w:pPr>
            <w:r>
              <w:rPr>
                <w:rFonts w:ascii="Times New Roman" w:eastAsia="宋体" w:hAnsi="Times New Roman"/>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07DCD548" w14:textId="77777777" w:rsidR="00AE727E" w:rsidRDefault="008433E0">
            <w:pPr>
              <w:jc w:val="right"/>
              <w:textAlignment w:val="bottom"/>
            </w:pPr>
            <w:r>
              <w:rPr>
                <w:rFonts w:ascii="Times New Roman" w:eastAsia="宋体" w:hAnsi="Times New Roman"/>
                <w:color w:val="000000"/>
                <w:sz w:val="20"/>
                <w:szCs w:val="20"/>
              </w:rPr>
              <w:t>40,701 </w:t>
            </w:r>
          </w:p>
        </w:tc>
        <w:tc>
          <w:tcPr>
            <w:tcW w:w="0" w:type="auto"/>
            <w:shd w:val="clear" w:color="auto" w:fill="CCEEFF"/>
            <w:tcMar>
              <w:top w:w="40" w:type="dxa"/>
              <w:left w:w="0" w:type="dxa"/>
              <w:bottom w:w="40" w:type="dxa"/>
              <w:right w:w="20" w:type="dxa"/>
            </w:tcMar>
            <w:vAlign w:val="bottom"/>
          </w:tcPr>
          <w:p w14:paraId="07DCD54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4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4B" w14:textId="77777777" w:rsidR="00AE727E" w:rsidRDefault="008433E0">
            <w:pPr>
              <w:jc w:val="right"/>
              <w:textAlignment w:val="bottom"/>
            </w:pPr>
            <w:r>
              <w:rPr>
                <w:rFonts w:ascii="Times New Roman" w:eastAsia="宋体" w:hAnsi="Times New Roman"/>
                <w:color w:val="000000"/>
                <w:sz w:val="20"/>
                <w:szCs w:val="20"/>
              </w:rPr>
              <w:t>40,829 </w:t>
            </w:r>
          </w:p>
        </w:tc>
        <w:tc>
          <w:tcPr>
            <w:tcW w:w="0" w:type="auto"/>
            <w:shd w:val="clear" w:color="auto" w:fill="CCEEFF"/>
            <w:tcMar>
              <w:top w:w="40" w:type="dxa"/>
              <w:left w:w="0" w:type="dxa"/>
              <w:bottom w:w="40" w:type="dxa"/>
              <w:right w:w="20" w:type="dxa"/>
            </w:tcMar>
            <w:vAlign w:val="bottom"/>
          </w:tcPr>
          <w:p w14:paraId="07DCD54C" w14:textId="77777777" w:rsidR="00AE727E" w:rsidRDefault="00AE727E">
            <w:pPr>
              <w:jc w:val="right"/>
              <w:rPr>
                <w:rFonts w:ascii="宋体"/>
              </w:rPr>
            </w:pPr>
          </w:p>
        </w:tc>
      </w:tr>
      <w:tr w:rsidR="00AE727E" w14:paraId="07DCD554" w14:textId="77777777">
        <w:trPr>
          <w:jc w:val="center"/>
        </w:trPr>
        <w:tc>
          <w:tcPr>
            <w:tcW w:w="0" w:type="auto"/>
            <w:gridSpan w:val="3"/>
            <w:shd w:val="clear" w:color="auto" w:fill="FFFFFF"/>
            <w:tcMar>
              <w:top w:w="40" w:type="dxa"/>
              <w:left w:w="20" w:type="dxa"/>
              <w:bottom w:w="40" w:type="dxa"/>
              <w:right w:w="20" w:type="dxa"/>
            </w:tcMar>
            <w:vAlign w:val="bottom"/>
          </w:tcPr>
          <w:p w14:paraId="07DCD54E" w14:textId="77777777" w:rsidR="00AE727E" w:rsidRDefault="008433E0">
            <w:pPr>
              <w:textAlignment w:val="bottom"/>
            </w:pPr>
            <w:r>
              <w:rPr>
                <w:rFonts w:ascii="Times New Roman" w:eastAsia="宋体" w:hAnsi="Times New Roman"/>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07DCD54F" w14:textId="77777777" w:rsidR="00AE727E" w:rsidRDefault="008433E0">
            <w:pPr>
              <w:jc w:val="right"/>
              <w:textAlignment w:val="bottom"/>
            </w:pPr>
            <w:r>
              <w:rPr>
                <w:rFonts w:ascii="Times New Roman" w:eastAsia="宋体" w:hAnsi="Times New Roman"/>
                <w:color w:val="000000"/>
                <w:sz w:val="20"/>
                <w:szCs w:val="20"/>
              </w:rPr>
              <w:t>12,319 </w:t>
            </w:r>
          </w:p>
        </w:tc>
        <w:tc>
          <w:tcPr>
            <w:tcW w:w="0" w:type="auto"/>
            <w:shd w:val="clear" w:color="auto" w:fill="FFFFFF"/>
            <w:tcMar>
              <w:top w:w="40" w:type="dxa"/>
              <w:left w:w="0" w:type="dxa"/>
              <w:bottom w:w="40" w:type="dxa"/>
              <w:right w:w="20" w:type="dxa"/>
            </w:tcMar>
            <w:vAlign w:val="bottom"/>
          </w:tcPr>
          <w:p w14:paraId="07DCD55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5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52" w14:textId="77777777" w:rsidR="00AE727E" w:rsidRDefault="008433E0">
            <w:pPr>
              <w:jc w:val="right"/>
              <w:textAlignment w:val="bottom"/>
            </w:pPr>
            <w:r>
              <w:rPr>
                <w:rFonts w:ascii="Times New Roman" w:eastAsia="宋体" w:hAnsi="Times New Roman"/>
                <w:color w:val="000000"/>
                <w:sz w:val="20"/>
                <w:szCs w:val="20"/>
              </w:rPr>
              <w:t>14,429 </w:t>
            </w:r>
          </w:p>
        </w:tc>
        <w:tc>
          <w:tcPr>
            <w:tcW w:w="0" w:type="auto"/>
            <w:shd w:val="clear" w:color="auto" w:fill="FFFFFF"/>
            <w:tcMar>
              <w:top w:w="40" w:type="dxa"/>
              <w:left w:w="0" w:type="dxa"/>
              <w:bottom w:w="40" w:type="dxa"/>
              <w:right w:w="20" w:type="dxa"/>
            </w:tcMar>
            <w:vAlign w:val="bottom"/>
          </w:tcPr>
          <w:p w14:paraId="07DCD553" w14:textId="77777777" w:rsidR="00AE727E" w:rsidRDefault="00AE727E">
            <w:pPr>
              <w:jc w:val="right"/>
              <w:rPr>
                <w:rFonts w:ascii="宋体"/>
              </w:rPr>
            </w:pPr>
          </w:p>
        </w:tc>
      </w:tr>
      <w:tr w:rsidR="00AE727E" w14:paraId="07DCD55B" w14:textId="77777777">
        <w:trPr>
          <w:jc w:val="center"/>
        </w:trPr>
        <w:tc>
          <w:tcPr>
            <w:tcW w:w="0" w:type="auto"/>
            <w:gridSpan w:val="3"/>
            <w:shd w:val="clear" w:color="auto" w:fill="CCEEFF"/>
            <w:tcMar>
              <w:top w:w="40" w:type="dxa"/>
              <w:left w:w="20" w:type="dxa"/>
              <w:bottom w:w="40" w:type="dxa"/>
              <w:right w:w="20" w:type="dxa"/>
            </w:tcMar>
            <w:vAlign w:val="bottom"/>
          </w:tcPr>
          <w:p w14:paraId="07DCD555" w14:textId="77777777" w:rsidR="00AE727E" w:rsidRDefault="008433E0">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07DCD556" w14:textId="77777777" w:rsidR="00AE727E" w:rsidRDefault="008433E0">
            <w:pPr>
              <w:jc w:val="right"/>
              <w:textAlignment w:val="bottom"/>
            </w:pPr>
            <w:r>
              <w:rPr>
                <w:rFonts w:ascii="Times New Roman" w:eastAsia="宋体" w:hAnsi="Times New Roman"/>
                <w:color w:val="000000"/>
                <w:sz w:val="20"/>
                <w:szCs w:val="20"/>
              </w:rPr>
              <w:t>11,456 </w:t>
            </w:r>
          </w:p>
        </w:tc>
        <w:tc>
          <w:tcPr>
            <w:tcW w:w="0" w:type="auto"/>
            <w:shd w:val="clear" w:color="auto" w:fill="CCEEFF"/>
            <w:tcMar>
              <w:top w:w="40" w:type="dxa"/>
              <w:left w:w="0" w:type="dxa"/>
              <w:bottom w:w="40" w:type="dxa"/>
              <w:right w:w="20" w:type="dxa"/>
            </w:tcMar>
            <w:vAlign w:val="bottom"/>
          </w:tcPr>
          <w:p w14:paraId="07DCD55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5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59" w14:textId="77777777" w:rsidR="00AE727E" w:rsidRDefault="008433E0">
            <w:pPr>
              <w:jc w:val="right"/>
              <w:textAlignment w:val="bottom"/>
            </w:pPr>
            <w:r>
              <w:rPr>
                <w:rFonts w:ascii="Times New Roman" w:eastAsia="宋体" w:hAnsi="Times New Roman"/>
                <w:color w:val="000000"/>
                <w:sz w:val="20"/>
                <w:szCs w:val="20"/>
              </w:rPr>
              <w:t>11,196 </w:t>
            </w:r>
          </w:p>
        </w:tc>
        <w:tc>
          <w:tcPr>
            <w:tcW w:w="0" w:type="auto"/>
            <w:shd w:val="clear" w:color="auto" w:fill="CCEEFF"/>
            <w:tcMar>
              <w:top w:w="40" w:type="dxa"/>
              <w:left w:w="0" w:type="dxa"/>
              <w:bottom w:w="40" w:type="dxa"/>
              <w:right w:w="20" w:type="dxa"/>
            </w:tcMar>
            <w:vAlign w:val="bottom"/>
          </w:tcPr>
          <w:p w14:paraId="07DCD55A" w14:textId="77777777" w:rsidR="00AE727E" w:rsidRDefault="00AE727E">
            <w:pPr>
              <w:jc w:val="right"/>
              <w:rPr>
                <w:rFonts w:ascii="宋体"/>
              </w:rPr>
            </w:pPr>
          </w:p>
        </w:tc>
      </w:tr>
      <w:tr w:rsidR="00AE727E" w14:paraId="07DCD564" w14:textId="77777777">
        <w:trPr>
          <w:jc w:val="center"/>
        </w:trPr>
        <w:tc>
          <w:tcPr>
            <w:tcW w:w="0" w:type="auto"/>
            <w:gridSpan w:val="3"/>
            <w:shd w:val="clear" w:color="auto" w:fill="FFFFFF"/>
            <w:tcMar>
              <w:top w:w="40" w:type="dxa"/>
              <w:left w:w="605" w:type="dxa"/>
              <w:bottom w:w="40" w:type="dxa"/>
              <w:right w:w="20" w:type="dxa"/>
            </w:tcMar>
            <w:vAlign w:val="bottom"/>
          </w:tcPr>
          <w:p w14:paraId="07DCD55C" w14:textId="77777777" w:rsidR="00AE727E" w:rsidRDefault="008433E0">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55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55E" w14:textId="77777777" w:rsidR="00AE727E" w:rsidRDefault="008433E0">
            <w:pPr>
              <w:jc w:val="right"/>
              <w:textAlignment w:val="bottom"/>
            </w:pPr>
            <w:r>
              <w:rPr>
                <w:rFonts w:ascii="Times New Roman" w:eastAsia="宋体" w:hAnsi="Times New Roman"/>
                <w:color w:val="000000"/>
                <w:sz w:val="20"/>
                <w:szCs w:val="20"/>
              </w:rPr>
              <w:t>135,677 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55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60"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56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562" w14:textId="77777777" w:rsidR="00AE727E" w:rsidRDefault="008433E0">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563" w14:textId="77777777" w:rsidR="00AE727E" w:rsidRDefault="00AE727E">
            <w:pPr>
              <w:jc w:val="right"/>
              <w:rPr>
                <w:rFonts w:ascii="宋体"/>
              </w:rPr>
            </w:pPr>
          </w:p>
        </w:tc>
      </w:tr>
      <w:tr w:rsidR="00AE727E" w14:paraId="07DCD566" w14:textId="77777777">
        <w:trPr>
          <w:jc w:val="center"/>
        </w:trPr>
        <w:tc>
          <w:tcPr>
            <w:tcW w:w="0" w:type="auto"/>
            <w:gridSpan w:val="12"/>
            <w:shd w:val="clear" w:color="auto" w:fill="CCEEFF"/>
            <w:tcMar>
              <w:top w:w="40" w:type="dxa"/>
              <w:left w:w="20" w:type="dxa"/>
              <w:bottom w:w="40" w:type="dxa"/>
              <w:right w:w="20" w:type="dxa"/>
            </w:tcMar>
            <w:vAlign w:val="bottom"/>
          </w:tcPr>
          <w:p w14:paraId="07DCD565" w14:textId="77777777" w:rsidR="00AE727E" w:rsidRDefault="008433E0">
            <w:pPr>
              <w:jc w:val="center"/>
              <w:textAlignment w:val="bottom"/>
            </w:pPr>
            <w:r>
              <w:rPr>
                <w:rFonts w:ascii="Times New Roman" w:eastAsia="宋体" w:hAnsi="Times New Roman"/>
                <w:b/>
                <w:bCs/>
                <w:color w:val="000000"/>
                <w:sz w:val="20"/>
                <w:szCs w:val="20"/>
              </w:rPr>
              <w:t>LIABILITIES, REDEEMABLE SHARES, AND STOCKHOLDERS’ EQUITY</w:t>
            </w:r>
          </w:p>
        </w:tc>
      </w:tr>
      <w:tr w:rsidR="00AE727E" w14:paraId="07DCD56B" w14:textId="77777777">
        <w:trPr>
          <w:jc w:val="center"/>
        </w:trPr>
        <w:tc>
          <w:tcPr>
            <w:tcW w:w="0" w:type="auto"/>
            <w:gridSpan w:val="3"/>
            <w:shd w:val="clear" w:color="auto" w:fill="FFFFFF"/>
            <w:tcMar>
              <w:top w:w="40" w:type="dxa"/>
              <w:left w:w="20" w:type="dxa"/>
              <w:bottom w:w="40" w:type="dxa"/>
              <w:right w:w="20" w:type="dxa"/>
            </w:tcMar>
            <w:vAlign w:val="bottom"/>
          </w:tcPr>
          <w:p w14:paraId="07DCD567" w14:textId="77777777" w:rsidR="00AE727E" w:rsidRDefault="008433E0">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07DCD568"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D569"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D56A" w14:textId="77777777" w:rsidR="00AE727E" w:rsidRDefault="008433E0">
            <w:pPr>
              <w:jc w:val="right"/>
              <w:textAlignment w:val="bottom"/>
            </w:pPr>
            <w:r>
              <w:rPr>
                <w:rFonts w:ascii="Times New Roman" w:eastAsia="宋体" w:hAnsi="Times New Roman"/>
                <w:color w:val="000000"/>
                <w:sz w:val="20"/>
                <w:szCs w:val="20"/>
              </w:rPr>
              <w:t> </w:t>
            </w:r>
          </w:p>
        </w:tc>
      </w:tr>
      <w:tr w:rsidR="00AE727E" w14:paraId="07DCD574" w14:textId="77777777">
        <w:trPr>
          <w:jc w:val="center"/>
        </w:trPr>
        <w:tc>
          <w:tcPr>
            <w:tcW w:w="0" w:type="auto"/>
            <w:gridSpan w:val="3"/>
            <w:shd w:val="clear" w:color="auto" w:fill="CCEEFF"/>
            <w:tcMar>
              <w:top w:w="40" w:type="dxa"/>
              <w:left w:w="245" w:type="dxa"/>
              <w:bottom w:w="40" w:type="dxa"/>
              <w:right w:w="20" w:type="dxa"/>
            </w:tcMar>
            <w:vAlign w:val="bottom"/>
          </w:tcPr>
          <w:p w14:paraId="07DCD56C" w14:textId="77777777" w:rsidR="00AE727E" w:rsidRDefault="008433E0">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07DCD56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D56E" w14:textId="77777777" w:rsidR="00AE727E" w:rsidRDefault="008433E0">
            <w:pPr>
              <w:jc w:val="right"/>
              <w:textAlignment w:val="bottom"/>
            </w:pPr>
            <w:r>
              <w:rPr>
                <w:rFonts w:ascii="Times New Roman" w:eastAsia="宋体" w:hAnsi="Times New Roman"/>
                <w:color w:val="000000"/>
                <w:sz w:val="20"/>
                <w:szCs w:val="20"/>
              </w:rPr>
              <w:t>16,280 </w:t>
            </w:r>
          </w:p>
        </w:tc>
        <w:tc>
          <w:tcPr>
            <w:tcW w:w="0" w:type="auto"/>
            <w:shd w:val="clear" w:color="auto" w:fill="CCEEFF"/>
            <w:tcMar>
              <w:top w:w="40" w:type="dxa"/>
              <w:left w:w="0" w:type="dxa"/>
              <w:bottom w:w="40" w:type="dxa"/>
              <w:right w:w="20" w:type="dxa"/>
            </w:tcMar>
            <w:vAlign w:val="bottom"/>
          </w:tcPr>
          <w:p w14:paraId="07DCD56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70"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D57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D572" w14:textId="77777777" w:rsidR="00AE727E" w:rsidRDefault="008433E0">
            <w:pPr>
              <w:jc w:val="right"/>
              <w:textAlignment w:val="bottom"/>
            </w:pPr>
            <w:r>
              <w:rPr>
                <w:rFonts w:ascii="Times New Roman" w:eastAsia="宋体" w:hAnsi="Times New Roman"/>
                <w:color w:val="000000"/>
                <w:sz w:val="20"/>
                <w:szCs w:val="20"/>
              </w:rPr>
              <w:t>6,362 </w:t>
            </w:r>
          </w:p>
        </w:tc>
        <w:tc>
          <w:tcPr>
            <w:tcW w:w="0" w:type="auto"/>
            <w:shd w:val="clear" w:color="auto" w:fill="CCEEFF"/>
            <w:tcMar>
              <w:top w:w="40" w:type="dxa"/>
              <w:left w:w="0" w:type="dxa"/>
              <w:bottom w:w="40" w:type="dxa"/>
              <w:right w:w="20" w:type="dxa"/>
            </w:tcMar>
            <w:vAlign w:val="bottom"/>
          </w:tcPr>
          <w:p w14:paraId="07DCD573" w14:textId="77777777" w:rsidR="00AE727E" w:rsidRDefault="00AE727E">
            <w:pPr>
              <w:jc w:val="right"/>
              <w:rPr>
                <w:rFonts w:ascii="宋体"/>
              </w:rPr>
            </w:pPr>
          </w:p>
        </w:tc>
      </w:tr>
      <w:tr w:rsidR="00AE727E" w14:paraId="07DCD57B" w14:textId="77777777">
        <w:trPr>
          <w:jc w:val="center"/>
        </w:trPr>
        <w:tc>
          <w:tcPr>
            <w:tcW w:w="0" w:type="auto"/>
            <w:gridSpan w:val="3"/>
            <w:shd w:val="clear" w:color="auto" w:fill="FFFFFF"/>
            <w:tcMar>
              <w:top w:w="40" w:type="dxa"/>
              <w:left w:w="245" w:type="dxa"/>
              <w:bottom w:w="40" w:type="dxa"/>
              <w:right w:w="20" w:type="dxa"/>
            </w:tcMar>
            <w:vAlign w:val="bottom"/>
          </w:tcPr>
          <w:p w14:paraId="07DCD575" w14:textId="77777777" w:rsidR="00AE727E" w:rsidRDefault="008433E0">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07DCD576" w14:textId="77777777" w:rsidR="00AE727E" w:rsidRDefault="008433E0">
            <w:pPr>
              <w:jc w:val="right"/>
              <w:textAlignment w:val="bottom"/>
            </w:pPr>
            <w:r>
              <w:rPr>
                <w:rFonts w:ascii="Times New Roman" w:eastAsia="宋体" w:hAnsi="Times New Roman"/>
                <w:color w:val="000000"/>
                <w:sz w:val="20"/>
                <w:szCs w:val="20"/>
              </w:rPr>
              <w:t>26,772 </w:t>
            </w:r>
          </w:p>
        </w:tc>
        <w:tc>
          <w:tcPr>
            <w:tcW w:w="0" w:type="auto"/>
            <w:shd w:val="clear" w:color="auto" w:fill="FFFFFF"/>
            <w:tcMar>
              <w:top w:w="40" w:type="dxa"/>
              <w:left w:w="0" w:type="dxa"/>
              <w:bottom w:w="40" w:type="dxa"/>
              <w:right w:w="20" w:type="dxa"/>
            </w:tcMar>
            <w:vAlign w:val="bottom"/>
          </w:tcPr>
          <w:p w14:paraId="07DCD5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7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79" w14:textId="77777777" w:rsidR="00AE727E" w:rsidRDefault="008433E0">
            <w:pPr>
              <w:jc w:val="right"/>
              <w:textAlignment w:val="bottom"/>
            </w:pPr>
            <w:r>
              <w:rPr>
                <w:rFonts w:ascii="Times New Roman" w:eastAsia="宋体" w:hAnsi="Times New Roman"/>
                <w:color w:val="000000"/>
                <w:sz w:val="20"/>
                <w:szCs w:val="20"/>
              </w:rPr>
              <w:t>21,696 </w:t>
            </w:r>
          </w:p>
        </w:tc>
        <w:tc>
          <w:tcPr>
            <w:tcW w:w="0" w:type="auto"/>
            <w:shd w:val="clear" w:color="auto" w:fill="FFFFFF"/>
            <w:tcMar>
              <w:top w:w="40" w:type="dxa"/>
              <w:left w:w="0" w:type="dxa"/>
              <w:bottom w:w="40" w:type="dxa"/>
              <w:right w:w="20" w:type="dxa"/>
            </w:tcMar>
            <w:vAlign w:val="bottom"/>
          </w:tcPr>
          <w:p w14:paraId="07DCD57A" w14:textId="77777777" w:rsidR="00AE727E" w:rsidRDefault="00AE727E">
            <w:pPr>
              <w:jc w:val="right"/>
              <w:rPr>
                <w:rFonts w:ascii="宋体"/>
              </w:rPr>
            </w:pPr>
          </w:p>
        </w:tc>
      </w:tr>
      <w:tr w:rsidR="00AE727E" w14:paraId="07DCD582" w14:textId="77777777">
        <w:trPr>
          <w:jc w:val="center"/>
        </w:trPr>
        <w:tc>
          <w:tcPr>
            <w:tcW w:w="0" w:type="auto"/>
            <w:gridSpan w:val="3"/>
            <w:shd w:val="clear" w:color="auto" w:fill="CCEEFF"/>
            <w:tcMar>
              <w:top w:w="40" w:type="dxa"/>
              <w:left w:w="245" w:type="dxa"/>
              <w:bottom w:w="40" w:type="dxa"/>
              <w:right w:w="20" w:type="dxa"/>
            </w:tcMar>
            <w:vAlign w:val="bottom"/>
          </w:tcPr>
          <w:p w14:paraId="07DCD57C" w14:textId="77777777" w:rsidR="00AE727E" w:rsidRDefault="008433E0">
            <w:pPr>
              <w:textAlignment w:val="bottom"/>
            </w:pPr>
            <w:r>
              <w:rPr>
                <w:rFonts w:ascii="Times New Roman" w:eastAsia="宋体" w:hAnsi="Times New Roman"/>
                <w:color w:val="000000"/>
                <w:sz w:val="20"/>
                <w:szCs w:val="20"/>
              </w:rPr>
              <w:t>Accrued and other</w:t>
            </w:r>
          </w:p>
        </w:tc>
        <w:tc>
          <w:tcPr>
            <w:tcW w:w="0" w:type="auto"/>
            <w:gridSpan w:val="2"/>
            <w:shd w:val="clear" w:color="auto" w:fill="CCEEFF"/>
            <w:tcMar>
              <w:top w:w="40" w:type="dxa"/>
              <w:left w:w="20" w:type="dxa"/>
              <w:bottom w:w="40" w:type="dxa"/>
              <w:right w:w="0" w:type="dxa"/>
            </w:tcMar>
            <w:vAlign w:val="bottom"/>
          </w:tcPr>
          <w:p w14:paraId="07DCD57D" w14:textId="77777777" w:rsidR="00AE727E" w:rsidRDefault="008433E0">
            <w:pPr>
              <w:jc w:val="right"/>
              <w:textAlignment w:val="bottom"/>
            </w:pPr>
            <w:r>
              <w:rPr>
                <w:rFonts w:ascii="Times New Roman" w:eastAsia="宋体" w:hAnsi="Times New Roman"/>
                <w:color w:val="000000"/>
                <w:sz w:val="20"/>
                <w:szCs w:val="20"/>
              </w:rPr>
              <w:t>10,081 </w:t>
            </w:r>
          </w:p>
        </w:tc>
        <w:tc>
          <w:tcPr>
            <w:tcW w:w="0" w:type="auto"/>
            <w:shd w:val="clear" w:color="auto" w:fill="CCEEFF"/>
            <w:tcMar>
              <w:top w:w="40" w:type="dxa"/>
              <w:left w:w="0" w:type="dxa"/>
              <w:bottom w:w="40" w:type="dxa"/>
              <w:right w:w="20" w:type="dxa"/>
            </w:tcMar>
            <w:vAlign w:val="bottom"/>
          </w:tcPr>
          <w:p w14:paraId="07DCD57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7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80" w14:textId="77777777" w:rsidR="00AE727E" w:rsidRDefault="008433E0">
            <w:pPr>
              <w:jc w:val="right"/>
              <w:textAlignment w:val="bottom"/>
            </w:pPr>
            <w:r>
              <w:rPr>
                <w:rFonts w:ascii="Times New Roman" w:eastAsia="宋体" w:hAnsi="Times New Roman"/>
                <w:color w:val="000000"/>
                <w:sz w:val="20"/>
                <w:szCs w:val="20"/>
              </w:rPr>
              <w:t>9,549 </w:t>
            </w:r>
          </w:p>
        </w:tc>
        <w:tc>
          <w:tcPr>
            <w:tcW w:w="0" w:type="auto"/>
            <w:shd w:val="clear" w:color="auto" w:fill="CCEEFF"/>
            <w:tcMar>
              <w:top w:w="40" w:type="dxa"/>
              <w:left w:w="0" w:type="dxa"/>
              <w:bottom w:w="40" w:type="dxa"/>
              <w:right w:w="20" w:type="dxa"/>
            </w:tcMar>
            <w:vAlign w:val="bottom"/>
          </w:tcPr>
          <w:p w14:paraId="07DCD581" w14:textId="77777777" w:rsidR="00AE727E" w:rsidRDefault="00AE727E">
            <w:pPr>
              <w:jc w:val="right"/>
              <w:rPr>
                <w:rFonts w:ascii="宋体"/>
              </w:rPr>
            </w:pPr>
          </w:p>
        </w:tc>
      </w:tr>
      <w:tr w:rsidR="00AE727E" w14:paraId="07DCD589" w14:textId="77777777">
        <w:trPr>
          <w:jc w:val="center"/>
        </w:trPr>
        <w:tc>
          <w:tcPr>
            <w:tcW w:w="0" w:type="auto"/>
            <w:gridSpan w:val="3"/>
            <w:shd w:val="clear" w:color="auto" w:fill="FFFFFF"/>
            <w:tcMar>
              <w:top w:w="40" w:type="dxa"/>
              <w:left w:w="245" w:type="dxa"/>
              <w:bottom w:w="40" w:type="dxa"/>
              <w:right w:w="20" w:type="dxa"/>
            </w:tcMar>
            <w:vAlign w:val="bottom"/>
          </w:tcPr>
          <w:p w14:paraId="07DCD583" w14:textId="77777777" w:rsidR="00AE727E" w:rsidRDefault="008433E0">
            <w:pPr>
              <w:textAlignment w:val="bottom"/>
            </w:pPr>
            <w:r>
              <w:rPr>
                <w:rFonts w:ascii="Times New Roman" w:eastAsia="宋体" w:hAnsi="Times New Roman"/>
                <w:color w:val="000000"/>
                <w:sz w:val="20"/>
                <w:szCs w:val="20"/>
              </w:rPr>
              <w:t>Short-term deferred revenue</w:t>
            </w:r>
          </w:p>
        </w:tc>
        <w:tc>
          <w:tcPr>
            <w:tcW w:w="0" w:type="auto"/>
            <w:gridSpan w:val="2"/>
            <w:shd w:val="clear" w:color="auto" w:fill="FFFFFF"/>
            <w:tcMar>
              <w:top w:w="40" w:type="dxa"/>
              <w:left w:w="20" w:type="dxa"/>
              <w:bottom w:w="40" w:type="dxa"/>
              <w:right w:w="0" w:type="dxa"/>
            </w:tcMar>
            <w:vAlign w:val="bottom"/>
          </w:tcPr>
          <w:p w14:paraId="07DCD584" w14:textId="77777777" w:rsidR="00AE727E" w:rsidRDefault="008433E0">
            <w:pPr>
              <w:jc w:val="right"/>
              <w:textAlignment w:val="bottom"/>
            </w:pPr>
            <w:r>
              <w:rPr>
                <w:rFonts w:ascii="Times New Roman" w:eastAsia="宋体" w:hAnsi="Times New Roman"/>
                <w:color w:val="000000"/>
                <w:sz w:val="20"/>
                <w:szCs w:val="20"/>
              </w:rPr>
              <w:t>16,569 </w:t>
            </w:r>
          </w:p>
        </w:tc>
        <w:tc>
          <w:tcPr>
            <w:tcW w:w="0" w:type="auto"/>
            <w:shd w:val="clear" w:color="auto" w:fill="FFFFFF"/>
            <w:tcMar>
              <w:top w:w="40" w:type="dxa"/>
              <w:left w:w="0" w:type="dxa"/>
              <w:bottom w:w="40" w:type="dxa"/>
              <w:right w:w="20" w:type="dxa"/>
            </w:tcMar>
            <w:vAlign w:val="bottom"/>
          </w:tcPr>
          <w:p w14:paraId="07DCD5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8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87" w14:textId="77777777" w:rsidR="00AE727E" w:rsidRDefault="008433E0">
            <w:pPr>
              <w:jc w:val="right"/>
              <w:textAlignment w:val="bottom"/>
            </w:pPr>
            <w:r>
              <w:rPr>
                <w:rFonts w:ascii="Times New Roman" w:eastAsia="宋体" w:hAnsi="Times New Roman"/>
                <w:color w:val="000000"/>
                <w:sz w:val="20"/>
                <w:szCs w:val="20"/>
              </w:rPr>
              <w:t>16,525 </w:t>
            </w:r>
          </w:p>
        </w:tc>
        <w:tc>
          <w:tcPr>
            <w:tcW w:w="0" w:type="auto"/>
            <w:shd w:val="clear" w:color="auto" w:fill="FFFFFF"/>
            <w:tcMar>
              <w:top w:w="40" w:type="dxa"/>
              <w:left w:w="0" w:type="dxa"/>
              <w:bottom w:w="40" w:type="dxa"/>
              <w:right w:w="20" w:type="dxa"/>
            </w:tcMar>
            <w:vAlign w:val="bottom"/>
          </w:tcPr>
          <w:p w14:paraId="07DCD588" w14:textId="77777777" w:rsidR="00AE727E" w:rsidRDefault="00AE727E">
            <w:pPr>
              <w:jc w:val="right"/>
              <w:rPr>
                <w:rFonts w:ascii="宋体"/>
              </w:rPr>
            </w:pPr>
          </w:p>
        </w:tc>
      </w:tr>
      <w:tr w:rsidR="00AE727E" w14:paraId="07DCD58E" w14:textId="77777777">
        <w:trPr>
          <w:jc w:val="center"/>
          <w:hidden/>
        </w:trPr>
        <w:tc>
          <w:tcPr>
            <w:tcW w:w="0" w:type="auto"/>
            <w:gridSpan w:val="3"/>
            <w:shd w:val="clear" w:color="auto" w:fill="auto"/>
            <w:vAlign w:val="bottom"/>
          </w:tcPr>
          <w:p w14:paraId="07DCD58A" w14:textId="77777777" w:rsidR="00AE727E" w:rsidRDefault="00AE727E">
            <w:pPr>
              <w:rPr>
                <w:rFonts w:ascii="宋体"/>
                <w:vanish/>
              </w:rPr>
            </w:pPr>
          </w:p>
        </w:tc>
        <w:tc>
          <w:tcPr>
            <w:tcW w:w="0" w:type="auto"/>
            <w:gridSpan w:val="3"/>
            <w:shd w:val="clear" w:color="auto" w:fill="auto"/>
            <w:vAlign w:val="bottom"/>
          </w:tcPr>
          <w:p w14:paraId="07DCD58B" w14:textId="77777777" w:rsidR="00AE727E" w:rsidRDefault="00AE727E">
            <w:pPr>
              <w:rPr>
                <w:rFonts w:ascii="宋体"/>
                <w:vanish/>
              </w:rPr>
            </w:pPr>
          </w:p>
        </w:tc>
        <w:tc>
          <w:tcPr>
            <w:tcW w:w="0" w:type="auto"/>
            <w:gridSpan w:val="3"/>
            <w:shd w:val="clear" w:color="auto" w:fill="auto"/>
            <w:vAlign w:val="bottom"/>
          </w:tcPr>
          <w:p w14:paraId="07DCD58C" w14:textId="77777777" w:rsidR="00AE727E" w:rsidRDefault="00AE727E">
            <w:pPr>
              <w:rPr>
                <w:rFonts w:ascii="宋体"/>
                <w:vanish/>
              </w:rPr>
            </w:pPr>
          </w:p>
        </w:tc>
        <w:tc>
          <w:tcPr>
            <w:tcW w:w="0" w:type="auto"/>
            <w:gridSpan w:val="3"/>
            <w:shd w:val="clear" w:color="auto" w:fill="auto"/>
            <w:vAlign w:val="bottom"/>
          </w:tcPr>
          <w:p w14:paraId="07DCD58D" w14:textId="77777777" w:rsidR="00AE727E" w:rsidRDefault="00AE727E">
            <w:pPr>
              <w:rPr>
                <w:rFonts w:ascii="宋体"/>
                <w:vanish/>
              </w:rPr>
            </w:pPr>
          </w:p>
        </w:tc>
      </w:tr>
      <w:tr w:rsidR="00AE727E" w14:paraId="07DCD595" w14:textId="77777777">
        <w:trPr>
          <w:jc w:val="center"/>
        </w:trPr>
        <w:tc>
          <w:tcPr>
            <w:tcW w:w="0" w:type="auto"/>
            <w:gridSpan w:val="3"/>
            <w:shd w:val="clear" w:color="auto" w:fill="CCEEFF"/>
            <w:tcMar>
              <w:top w:w="40" w:type="dxa"/>
              <w:left w:w="365" w:type="dxa"/>
              <w:bottom w:w="40" w:type="dxa"/>
              <w:right w:w="20" w:type="dxa"/>
            </w:tcMar>
            <w:vAlign w:val="bottom"/>
          </w:tcPr>
          <w:p w14:paraId="07DCD58F" w14:textId="77777777" w:rsidR="00AE727E" w:rsidRDefault="008433E0">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90" w14:textId="77777777" w:rsidR="00AE727E" w:rsidRDefault="008433E0">
            <w:pPr>
              <w:jc w:val="right"/>
              <w:textAlignment w:val="bottom"/>
            </w:pPr>
            <w:r>
              <w:rPr>
                <w:rFonts w:ascii="Times New Roman" w:eastAsia="宋体" w:hAnsi="Times New Roman"/>
                <w:color w:val="000000"/>
                <w:sz w:val="20"/>
                <w:szCs w:val="20"/>
              </w:rPr>
              <w:t>69,702 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9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92"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93" w14:textId="77777777" w:rsidR="00AE727E" w:rsidRDefault="008433E0">
            <w:pPr>
              <w:jc w:val="right"/>
              <w:textAlignment w:val="bottom"/>
            </w:pPr>
            <w:r>
              <w:rPr>
                <w:rFonts w:ascii="Times New Roman" w:eastAsia="宋体" w:hAnsi="Times New Roman"/>
                <w:color w:val="000000"/>
                <w:sz w:val="20"/>
                <w:szCs w:val="20"/>
              </w:rPr>
              <w:t>54,132 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94" w14:textId="77777777" w:rsidR="00AE727E" w:rsidRDefault="00AE727E">
            <w:pPr>
              <w:jc w:val="right"/>
              <w:rPr>
                <w:rFonts w:ascii="宋体"/>
              </w:rPr>
            </w:pPr>
          </w:p>
        </w:tc>
      </w:tr>
      <w:tr w:rsidR="00AE727E" w14:paraId="07DCD59C" w14:textId="77777777">
        <w:trPr>
          <w:jc w:val="center"/>
        </w:trPr>
        <w:tc>
          <w:tcPr>
            <w:tcW w:w="0" w:type="auto"/>
            <w:gridSpan w:val="3"/>
            <w:shd w:val="clear" w:color="auto" w:fill="FFFFFF"/>
            <w:tcMar>
              <w:top w:w="40" w:type="dxa"/>
              <w:left w:w="20" w:type="dxa"/>
              <w:bottom w:w="40" w:type="dxa"/>
              <w:right w:w="20" w:type="dxa"/>
            </w:tcMar>
            <w:vAlign w:val="bottom"/>
          </w:tcPr>
          <w:p w14:paraId="07DCD596" w14:textId="77777777" w:rsidR="00AE727E" w:rsidRDefault="008433E0">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07DCD597" w14:textId="77777777" w:rsidR="00AE727E" w:rsidRDefault="008433E0">
            <w:pPr>
              <w:jc w:val="right"/>
              <w:textAlignment w:val="bottom"/>
            </w:pPr>
            <w:r>
              <w:rPr>
                <w:rFonts w:ascii="Times New Roman" w:eastAsia="宋体" w:hAnsi="Times New Roman"/>
                <w:color w:val="000000"/>
                <w:sz w:val="20"/>
                <w:szCs w:val="20"/>
              </w:rPr>
              <w:t>31,699 </w:t>
            </w:r>
          </w:p>
        </w:tc>
        <w:tc>
          <w:tcPr>
            <w:tcW w:w="0" w:type="auto"/>
            <w:shd w:val="clear" w:color="auto" w:fill="FFFFFF"/>
            <w:tcMar>
              <w:top w:w="40" w:type="dxa"/>
              <w:left w:w="0" w:type="dxa"/>
              <w:bottom w:w="40" w:type="dxa"/>
              <w:right w:w="20" w:type="dxa"/>
            </w:tcMar>
            <w:vAlign w:val="bottom"/>
          </w:tcPr>
          <w:p w14:paraId="07DCD59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9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9A" w14:textId="77777777" w:rsidR="00AE727E" w:rsidRDefault="008433E0">
            <w:pPr>
              <w:jc w:val="right"/>
              <w:textAlignment w:val="bottom"/>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bottom"/>
          </w:tcPr>
          <w:p w14:paraId="07DCD59B" w14:textId="77777777" w:rsidR="00AE727E" w:rsidRDefault="00AE727E">
            <w:pPr>
              <w:jc w:val="right"/>
              <w:rPr>
                <w:rFonts w:ascii="宋体"/>
              </w:rPr>
            </w:pPr>
          </w:p>
        </w:tc>
      </w:tr>
      <w:tr w:rsidR="00AE727E" w14:paraId="07DCD5A3" w14:textId="77777777">
        <w:trPr>
          <w:jc w:val="center"/>
        </w:trPr>
        <w:tc>
          <w:tcPr>
            <w:tcW w:w="0" w:type="auto"/>
            <w:gridSpan w:val="3"/>
            <w:shd w:val="clear" w:color="auto" w:fill="CCEEFF"/>
            <w:tcMar>
              <w:top w:w="40" w:type="dxa"/>
              <w:left w:w="20" w:type="dxa"/>
              <w:bottom w:w="40" w:type="dxa"/>
              <w:right w:w="20" w:type="dxa"/>
            </w:tcMar>
            <w:vAlign w:val="bottom"/>
          </w:tcPr>
          <w:p w14:paraId="07DCD59D" w14:textId="77777777" w:rsidR="00AE727E" w:rsidRDefault="008433E0">
            <w:pPr>
              <w:textAlignment w:val="bottom"/>
            </w:pPr>
            <w:r>
              <w:rPr>
                <w:rFonts w:ascii="Times New Roman" w:eastAsia="宋体" w:hAnsi="Times New Roman"/>
                <w:color w:val="000000"/>
                <w:sz w:val="20"/>
                <w:szCs w:val="20"/>
              </w:rPr>
              <w:t>Long-term deferred revenue</w:t>
            </w:r>
          </w:p>
        </w:tc>
        <w:tc>
          <w:tcPr>
            <w:tcW w:w="0" w:type="auto"/>
            <w:gridSpan w:val="2"/>
            <w:shd w:val="clear" w:color="auto" w:fill="CCEEFF"/>
            <w:tcMar>
              <w:top w:w="40" w:type="dxa"/>
              <w:left w:w="20" w:type="dxa"/>
              <w:bottom w:w="40" w:type="dxa"/>
              <w:right w:w="0" w:type="dxa"/>
            </w:tcMar>
            <w:vAlign w:val="bottom"/>
          </w:tcPr>
          <w:p w14:paraId="07DCD59E" w14:textId="77777777" w:rsidR="00AE727E" w:rsidRDefault="008433E0">
            <w:pPr>
              <w:jc w:val="right"/>
              <w:textAlignment w:val="bottom"/>
            </w:pPr>
            <w:r>
              <w:rPr>
                <w:rFonts w:ascii="Times New Roman" w:eastAsia="宋体" w:hAnsi="Times New Roman"/>
                <w:color w:val="000000"/>
                <w:sz w:val="20"/>
                <w:szCs w:val="20"/>
              </w:rPr>
              <w:t>14,885 </w:t>
            </w:r>
          </w:p>
        </w:tc>
        <w:tc>
          <w:tcPr>
            <w:tcW w:w="0" w:type="auto"/>
            <w:shd w:val="clear" w:color="auto" w:fill="CCEEFF"/>
            <w:tcMar>
              <w:top w:w="40" w:type="dxa"/>
              <w:left w:w="0" w:type="dxa"/>
              <w:bottom w:w="40" w:type="dxa"/>
              <w:right w:w="20" w:type="dxa"/>
            </w:tcMar>
            <w:vAlign w:val="bottom"/>
          </w:tcPr>
          <w:p w14:paraId="07DCD59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A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A1" w14:textId="77777777" w:rsidR="00AE727E" w:rsidRDefault="008433E0">
            <w:pPr>
              <w:jc w:val="right"/>
              <w:textAlignment w:val="bottom"/>
            </w:pPr>
            <w:r>
              <w:rPr>
                <w:rFonts w:ascii="Times New Roman" w:eastAsia="宋体" w:hAnsi="Times New Roman"/>
                <w:color w:val="000000"/>
                <w:sz w:val="20"/>
                <w:szCs w:val="20"/>
              </w:rPr>
              <w:t>14,276 </w:t>
            </w:r>
          </w:p>
        </w:tc>
        <w:tc>
          <w:tcPr>
            <w:tcW w:w="0" w:type="auto"/>
            <w:shd w:val="clear" w:color="auto" w:fill="CCEEFF"/>
            <w:tcMar>
              <w:top w:w="40" w:type="dxa"/>
              <w:left w:w="0" w:type="dxa"/>
              <w:bottom w:w="40" w:type="dxa"/>
              <w:right w:w="20" w:type="dxa"/>
            </w:tcMar>
            <w:vAlign w:val="bottom"/>
          </w:tcPr>
          <w:p w14:paraId="07DCD5A2" w14:textId="77777777" w:rsidR="00AE727E" w:rsidRDefault="00AE727E">
            <w:pPr>
              <w:jc w:val="right"/>
              <w:rPr>
                <w:rFonts w:ascii="宋体"/>
              </w:rPr>
            </w:pPr>
          </w:p>
        </w:tc>
      </w:tr>
      <w:tr w:rsidR="00AE727E" w14:paraId="07DCD5AA" w14:textId="77777777">
        <w:trPr>
          <w:jc w:val="center"/>
        </w:trPr>
        <w:tc>
          <w:tcPr>
            <w:tcW w:w="0" w:type="auto"/>
            <w:gridSpan w:val="3"/>
            <w:shd w:val="clear" w:color="auto" w:fill="FFFFFF"/>
            <w:tcMar>
              <w:top w:w="40" w:type="dxa"/>
              <w:left w:w="20" w:type="dxa"/>
              <w:bottom w:w="40" w:type="dxa"/>
              <w:right w:w="20" w:type="dxa"/>
            </w:tcMar>
            <w:vAlign w:val="bottom"/>
          </w:tcPr>
          <w:p w14:paraId="07DCD5A4" w14:textId="77777777" w:rsidR="00AE727E" w:rsidRDefault="008433E0">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07DCD5A5" w14:textId="77777777" w:rsidR="00AE727E" w:rsidRDefault="008433E0">
            <w:pPr>
              <w:jc w:val="right"/>
              <w:textAlignment w:val="bottom"/>
            </w:pPr>
            <w:r>
              <w:rPr>
                <w:rFonts w:ascii="Times New Roman" w:eastAsia="宋体" w:hAnsi="Times New Roman"/>
                <w:color w:val="000000"/>
                <w:sz w:val="20"/>
                <w:szCs w:val="20"/>
              </w:rPr>
              <w:t>5,197 </w:t>
            </w:r>
          </w:p>
        </w:tc>
        <w:tc>
          <w:tcPr>
            <w:tcW w:w="0" w:type="auto"/>
            <w:shd w:val="clear" w:color="auto" w:fill="FFFFFF"/>
            <w:tcMar>
              <w:top w:w="40" w:type="dxa"/>
              <w:left w:w="0" w:type="dxa"/>
              <w:bottom w:w="40" w:type="dxa"/>
              <w:right w:w="20" w:type="dxa"/>
            </w:tcMar>
            <w:vAlign w:val="bottom"/>
          </w:tcPr>
          <w:p w14:paraId="07DCD5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A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A8" w14:textId="77777777" w:rsidR="00AE727E" w:rsidRDefault="008433E0">
            <w:pPr>
              <w:jc w:val="right"/>
              <w:textAlignment w:val="bottom"/>
            </w:pPr>
            <w:r>
              <w:rPr>
                <w:rFonts w:ascii="Times New Roman" w:eastAsia="宋体" w:hAnsi="Times New Roman"/>
                <w:color w:val="000000"/>
                <w:sz w:val="20"/>
                <w:szCs w:val="20"/>
              </w:rPr>
              <w:t>5,360 </w:t>
            </w:r>
          </w:p>
        </w:tc>
        <w:tc>
          <w:tcPr>
            <w:tcW w:w="0" w:type="auto"/>
            <w:shd w:val="clear" w:color="auto" w:fill="FFFFFF"/>
            <w:tcMar>
              <w:top w:w="40" w:type="dxa"/>
              <w:left w:w="0" w:type="dxa"/>
              <w:bottom w:w="40" w:type="dxa"/>
              <w:right w:w="20" w:type="dxa"/>
            </w:tcMar>
            <w:vAlign w:val="bottom"/>
          </w:tcPr>
          <w:p w14:paraId="07DCD5A9" w14:textId="77777777" w:rsidR="00AE727E" w:rsidRDefault="00AE727E">
            <w:pPr>
              <w:jc w:val="right"/>
              <w:rPr>
                <w:rFonts w:ascii="宋体"/>
              </w:rPr>
            </w:pPr>
          </w:p>
        </w:tc>
      </w:tr>
      <w:tr w:rsidR="00AE727E" w14:paraId="07DCD5B1" w14:textId="77777777">
        <w:trPr>
          <w:jc w:val="center"/>
        </w:trPr>
        <w:tc>
          <w:tcPr>
            <w:tcW w:w="0" w:type="auto"/>
            <w:gridSpan w:val="3"/>
            <w:shd w:val="clear" w:color="auto" w:fill="CCEEFF"/>
            <w:tcMar>
              <w:top w:w="40" w:type="dxa"/>
              <w:left w:w="605" w:type="dxa"/>
              <w:bottom w:w="40" w:type="dxa"/>
              <w:right w:w="20" w:type="dxa"/>
            </w:tcMar>
            <w:vAlign w:val="bottom"/>
          </w:tcPr>
          <w:p w14:paraId="07DCD5AB" w14:textId="77777777" w:rsidR="00AE727E" w:rsidRDefault="008433E0">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AC" w14:textId="77777777" w:rsidR="00AE727E" w:rsidRDefault="008433E0">
            <w:pPr>
              <w:jc w:val="right"/>
              <w:textAlignment w:val="bottom"/>
            </w:pPr>
            <w:r>
              <w:rPr>
                <w:rFonts w:ascii="Times New Roman" w:eastAsia="宋体" w:hAnsi="Times New Roman"/>
                <w:color w:val="000000"/>
                <w:sz w:val="20"/>
                <w:szCs w:val="20"/>
              </w:rPr>
              <w:t>121,483 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A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AE"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AF" w14:textId="77777777" w:rsidR="00AE727E" w:rsidRDefault="008433E0">
            <w:pPr>
              <w:jc w:val="right"/>
              <w:textAlignment w:val="bottom"/>
            </w:pPr>
            <w:r>
              <w:rPr>
                <w:rFonts w:ascii="Times New Roman" w:eastAsia="宋体" w:hAnsi="Times New Roman"/>
                <w:color w:val="000000"/>
                <w:sz w:val="20"/>
                <w:szCs w:val="20"/>
              </w:rPr>
              <w:t>115,390 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B0" w14:textId="77777777" w:rsidR="00AE727E" w:rsidRDefault="00AE727E">
            <w:pPr>
              <w:jc w:val="right"/>
              <w:rPr>
                <w:rFonts w:ascii="宋体"/>
              </w:rPr>
            </w:pPr>
          </w:p>
        </w:tc>
      </w:tr>
      <w:tr w:rsidR="00AE727E" w14:paraId="07DCD5B6" w14:textId="77777777">
        <w:trPr>
          <w:jc w:val="center"/>
        </w:trPr>
        <w:tc>
          <w:tcPr>
            <w:tcW w:w="0" w:type="auto"/>
            <w:gridSpan w:val="3"/>
            <w:shd w:val="clear" w:color="auto" w:fill="FFFFFF"/>
            <w:tcMar>
              <w:top w:w="40" w:type="dxa"/>
              <w:left w:w="20" w:type="dxa"/>
              <w:bottom w:w="40" w:type="dxa"/>
              <w:right w:w="20" w:type="dxa"/>
            </w:tcMar>
            <w:vAlign w:val="bottom"/>
          </w:tcPr>
          <w:p w14:paraId="07DCD5B2" w14:textId="77777777" w:rsidR="00AE727E" w:rsidRDefault="008433E0">
            <w:pPr>
              <w:textAlignment w:val="bottom"/>
            </w:pPr>
            <w:r>
              <w:rPr>
                <w:rFonts w:ascii="Times New Roman" w:eastAsia="宋体" w:hAnsi="Times New Roman"/>
                <w:color w:val="000000"/>
                <w:sz w:val="20"/>
                <w:szCs w:val="20"/>
              </w:rPr>
              <w:t>Commitments and contingencies (Note 9)</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5B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5B4"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5B5" w14:textId="77777777" w:rsidR="00AE727E" w:rsidRDefault="00AE727E">
            <w:pPr>
              <w:rPr>
                <w:rFonts w:ascii="宋体"/>
              </w:rPr>
            </w:pPr>
          </w:p>
        </w:tc>
      </w:tr>
      <w:tr w:rsidR="00AE727E" w14:paraId="07DCD5BD" w14:textId="77777777">
        <w:trPr>
          <w:jc w:val="center"/>
        </w:trPr>
        <w:tc>
          <w:tcPr>
            <w:tcW w:w="0" w:type="auto"/>
            <w:gridSpan w:val="3"/>
            <w:shd w:val="clear" w:color="auto" w:fill="CCEEFF"/>
            <w:tcMar>
              <w:top w:w="40" w:type="dxa"/>
              <w:left w:w="20" w:type="dxa"/>
              <w:bottom w:w="40" w:type="dxa"/>
              <w:right w:w="20" w:type="dxa"/>
            </w:tcMar>
            <w:vAlign w:val="bottom"/>
          </w:tcPr>
          <w:p w14:paraId="07DCD5B7" w14:textId="77777777" w:rsidR="00AE727E" w:rsidRDefault="008433E0">
            <w:pPr>
              <w:textAlignment w:val="bottom"/>
            </w:pPr>
            <w:r>
              <w:rPr>
                <w:rFonts w:ascii="Times New Roman" w:eastAsia="宋体" w:hAnsi="Times New Roman"/>
                <w:color w:val="000000"/>
                <w:sz w:val="20"/>
                <w:szCs w:val="20"/>
              </w:rPr>
              <w:t>Redeemable shares (Note 15)</w:t>
            </w:r>
          </w:p>
        </w:tc>
        <w:tc>
          <w:tcPr>
            <w:tcW w:w="0" w:type="auto"/>
            <w:gridSpan w:val="2"/>
            <w:shd w:val="clear" w:color="auto" w:fill="CCEEFF"/>
            <w:tcMar>
              <w:top w:w="40" w:type="dxa"/>
              <w:left w:w="20" w:type="dxa"/>
              <w:bottom w:w="40" w:type="dxa"/>
              <w:right w:w="0" w:type="dxa"/>
            </w:tcMar>
            <w:vAlign w:val="bottom"/>
          </w:tcPr>
          <w:p w14:paraId="07DCD5B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D5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BB" w14:textId="77777777" w:rsidR="00AE727E" w:rsidRDefault="008433E0">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07DCD5BC" w14:textId="77777777" w:rsidR="00AE727E" w:rsidRDefault="00AE727E">
            <w:pPr>
              <w:jc w:val="right"/>
              <w:rPr>
                <w:rFonts w:ascii="宋体"/>
              </w:rPr>
            </w:pPr>
          </w:p>
        </w:tc>
      </w:tr>
      <w:tr w:rsidR="00AE727E" w14:paraId="07DCD5C2" w14:textId="77777777">
        <w:trPr>
          <w:jc w:val="center"/>
        </w:trPr>
        <w:tc>
          <w:tcPr>
            <w:tcW w:w="0" w:type="auto"/>
            <w:gridSpan w:val="3"/>
            <w:shd w:val="clear" w:color="auto" w:fill="FFFFFF"/>
            <w:tcMar>
              <w:top w:w="40" w:type="dxa"/>
              <w:left w:w="20" w:type="dxa"/>
              <w:bottom w:w="40" w:type="dxa"/>
              <w:right w:w="20" w:type="dxa"/>
            </w:tcMar>
            <w:vAlign w:val="bottom"/>
          </w:tcPr>
          <w:p w14:paraId="07DCD5BE" w14:textId="77777777" w:rsidR="00AE727E" w:rsidRDefault="008433E0">
            <w:pPr>
              <w:textAlignment w:val="bottom"/>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vAlign w:val="bottom"/>
          </w:tcPr>
          <w:p w14:paraId="07DCD5B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5C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5C1" w14:textId="77777777" w:rsidR="00AE727E" w:rsidRDefault="00AE727E">
            <w:pPr>
              <w:rPr>
                <w:rFonts w:ascii="宋体"/>
              </w:rPr>
            </w:pPr>
          </w:p>
        </w:tc>
      </w:tr>
      <w:tr w:rsidR="00AE727E" w14:paraId="07DCD5C9" w14:textId="77777777">
        <w:trPr>
          <w:jc w:val="center"/>
        </w:trPr>
        <w:tc>
          <w:tcPr>
            <w:tcW w:w="0" w:type="auto"/>
            <w:gridSpan w:val="3"/>
            <w:shd w:val="clear" w:color="auto" w:fill="CCEEFF"/>
            <w:tcMar>
              <w:top w:w="40" w:type="dxa"/>
              <w:left w:w="20" w:type="dxa"/>
              <w:bottom w:w="40" w:type="dxa"/>
              <w:right w:w="20" w:type="dxa"/>
            </w:tcMar>
            <w:vAlign w:val="bottom"/>
          </w:tcPr>
          <w:p w14:paraId="07DCD5C3" w14:textId="77777777" w:rsidR="00AE727E" w:rsidRDefault="008433E0">
            <w:pPr>
              <w:textAlignment w:val="bottom"/>
            </w:pPr>
            <w:r>
              <w:rPr>
                <w:rFonts w:ascii="Times New Roman" w:eastAsia="宋体" w:hAnsi="Times New Roman"/>
                <w:color w:val="000000"/>
                <w:sz w:val="20"/>
                <w:szCs w:val="20"/>
              </w:rPr>
              <w:t xml:space="preserve">Common stock and </w:t>
            </w:r>
            <w:r>
              <w:rPr>
                <w:rFonts w:ascii="Times New Roman" w:eastAsia="宋体" w:hAnsi="Times New Roman"/>
                <w:color w:val="000000"/>
                <w:sz w:val="20"/>
                <w:szCs w:val="20"/>
              </w:rPr>
              <w:t>capital in excess of $0.01 par value (Note 13)</w:t>
            </w:r>
          </w:p>
        </w:tc>
        <w:tc>
          <w:tcPr>
            <w:tcW w:w="0" w:type="auto"/>
            <w:gridSpan w:val="2"/>
            <w:shd w:val="clear" w:color="auto" w:fill="CCEEFF"/>
            <w:tcMar>
              <w:top w:w="40" w:type="dxa"/>
              <w:left w:w="20" w:type="dxa"/>
              <w:bottom w:w="40" w:type="dxa"/>
              <w:right w:w="0" w:type="dxa"/>
            </w:tcMar>
            <w:vAlign w:val="bottom"/>
          </w:tcPr>
          <w:p w14:paraId="07DCD5C4" w14:textId="77777777" w:rsidR="00AE727E" w:rsidRDefault="008433E0">
            <w:pPr>
              <w:jc w:val="right"/>
              <w:textAlignment w:val="bottom"/>
            </w:pPr>
            <w:r>
              <w:rPr>
                <w:rFonts w:ascii="Times New Roman" w:eastAsia="宋体" w:hAnsi="Times New Roman"/>
                <w:color w:val="000000"/>
                <w:sz w:val="20"/>
                <w:szCs w:val="20"/>
              </w:rPr>
              <w:t>17,843 </w:t>
            </w:r>
          </w:p>
        </w:tc>
        <w:tc>
          <w:tcPr>
            <w:tcW w:w="0" w:type="auto"/>
            <w:shd w:val="clear" w:color="auto" w:fill="CCEEFF"/>
            <w:tcMar>
              <w:top w:w="40" w:type="dxa"/>
              <w:left w:w="0" w:type="dxa"/>
              <w:bottom w:w="40" w:type="dxa"/>
              <w:right w:w="20" w:type="dxa"/>
            </w:tcMar>
            <w:vAlign w:val="bottom"/>
          </w:tcPr>
          <w:p w14:paraId="07DCD5C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C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C7" w14:textId="77777777" w:rsidR="00AE727E" w:rsidRDefault="008433E0">
            <w:pPr>
              <w:jc w:val="right"/>
              <w:textAlignment w:val="bottom"/>
            </w:pPr>
            <w:r>
              <w:rPr>
                <w:rFonts w:ascii="Times New Roman" w:eastAsia="宋体" w:hAnsi="Times New Roman"/>
                <w:color w:val="000000"/>
                <w:sz w:val="20"/>
                <w:szCs w:val="20"/>
              </w:rPr>
              <w:t>16,849 </w:t>
            </w:r>
          </w:p>
        </w:tc>
        <w:tc>
          <w:tcPr>
            <w:tcW w:w="0" w:type="auto"/>
            <w:shd w:val="clear" w:color="auto" w:fill="CCEEFF"/>
            <w:tcMar>
              <w:top w:w="40" w:type="dxa"/>
              <w:left w:w="0" w:type="dxa"/>
              <w:bottom w:w="40" w:type="dxa"/>
              <w:right w:w="20" w:type="dxa"/>
            </w:tcMar>
            <w:vAlign w:val="bottom"/>
          </w:tcPr>
          <w:p w14:paraId="07DCD5C8" w14:textId="77777777" w:rsidR="00AE727E" w:rsidRDefault="00AE727E">
            <w:pPr>
              <w:jc w:val="right"/>
              <w:rPr>
                <w:rFonts w:ascii="宋体"/>
              </w:rPr>
            </w:pPr>
          </w:p>
        </w:tc>
      </w:tr>
      <w:tr w:rsidR="00AE727E" w14:paraId="07DCD5D0" w14:textId="77777777">
        <w:trPr>
          <w:jc w:val="center"/>
        </w:trPr>
        <w:tc>
          <w:tcPr>
            <w:tcW w:w="0" w:type="auto"/>
            <w:gridSpan w:val="3"/>
            <w:shd w:val="clear" w:color="auto" w:fill="FFFFFF"/>
            <w:tcMar>
              <w:top w:w="40" w:type="dxa"/>
              <w:left w:w="260" w:type="dxa"/>
              <w:bottom w:w="40" w:type="dxa"/>
              <w:right w:w="20" w:type="dxa"/>
            </w:tcMar>
            <w:vAlign w:val="bottom"/>
          </w:tcPr>
          <w:p w14:paraId="07DCD5CA" w14:textId="77777777" w:rsidR="00AE727E" w:rsidRDefault="008433E0">
            <w:pPr>
              <w:textAlignment w:val="bottom"/>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07DCD5CB" w14:textId="77777777" w:rsidR="00AE727E" w:rsidRDefault="008433E0">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07DCD5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C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CE" w14:textId="77777777" w:rsidR="00AE727E" w:rsidRDefault="008433E0">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07DCD5CF" w14:textId="77777777" w:rsidR="00AE727E" w:rsidRDefault="00AE727E">
            <w:pPr>
              <w:jc w:val="right"/>
              <w:rPr>
                <w:rFonts w:ascii="宋体"/>
              </w:rPr>
            </w:pPr>
          </w:p>
        </w:tc>
      </w:tr>
      <w:tr w:rsidR="00AE727E" w14:paraId="07DCD5D7" w14:textId="77777777">
        <w:trPr>
          <w:jc w:val="center"/>
        </w:trPr>
        <w:tc>
          <w:tcPr>
            <w:tcW w:w="0" w:type="auto"/>
            <w:gridSpan w:val="3"/>
            <w:shd w:val="clear" w:color="auto" w:fill="CCEEFF"/>
            <w:tcMar>
              <w:top w:w="40" w:type="dxa"/>
              <w:left w:w="260" w:type="dxa"/>
              <w:bottom w:w="40" w:type="dxa"/>
              <w:right w:w="20" w:type="dxa"/>
            </w:tcMar>
            <w:vAlign w:val="bottom"/>
          </w:tcPr>
          <w:p w14:paraId="07DCD5D1" w14:textId="77777777" w:rsidR="00AE727E" w:rsidRDefault="008433E0">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07DCD5D2" w14:textId="77777777" w:rsidR="00AE727E" w:rsidRDefault="008433E0">
            <w:pPr>
              <w:jc w:val="right"/>
              <w:textAlignment w:val="bottom"/>
            </w:pPr>
            <w:r>
              <w:rPr>
                <w:rFonts w:ascii="Times New Roman" w:eastAsia="宋体" w:hAnsi="Times New Roman"/>
                <w:color w:val="000000"/>
                <w:sz w:val="20"/>
                <w:szCs w:val="20"/>
              </w:rPr>
              <w:t>(8,190)</w:t>
            </w:r>
          </w:p>
        </w:tc>
        <w:tc>
          <w:tcPr>
            <w:tcW w:w="0" w:type="auto"/>
            <w:shd w:val="clear" w:color="auto" w:fill="CCEEFF"/>
            <w:tcMar>
              <w:top w:w="40" w:type="dxa"/>
              <w:left w:w="0" w:type="dxa"/>
              <w:bottom w:w="40" w:type="dxa"/>
              <w:right w:w="20" w:type="dxa"/>
            </w:tcMar>
            <w:vAlign w:val="bottom"/>
          </w:tcPr>
          <w:p w14:paraId="07DCD5D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D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5D5" w14:textId="77777777" w:rsidR="00AE727E" w:rsidRDefault="008433E0">
            <w:pPr>
              <w:jc w:val="right"/>
              <w:textAlignment w:val="bottom"/>
            </w:pPr>
            <w:r>
              <w:rPr>
                <w:rFonts w:ascii="Times New Roman" w:eastAsia="宋体" w:hAnsi="Times New Roman"/>
                <w:color w:val="000000"/>
                <w:sz w:val="20"/>
                <w:szCs w:val="20"/>
              </w:rPr>
              <w:t>(13,751)</w:t>
            </w:r>
          </w:p>
        </w:tc>
        <w:tc>
          <w:tcPr>
            <w:tcW w:w="0" w:type="auto"/>
            <w:shd w:val="clear" w:color="auto" w:fill="CCEEFF"/>
            <w:tcMar>
              <w:top w:w="40" w:type="dxa"/>
              <w:left w:w="0" w:type="dxa"/>
              <w:bottom w:w="40" w:type="dxa"/>
              <w:right w:w="20" w:type="dxa"/>
            </w:tcMar>
            <w:vAlign w:val="bottom"/>
          </w:tcPr>
          <w:p w14:paraId="07DCD5D6" w14:textId="77777777" w:rsidR="00AE727E" w:rsidRDefault="00AE727E">
            <w:pPr>
              <w:jc w:val="right"/>
              <w:rPr>
                <w:rFonts w:ascii="宋体"/>
              </w:rPr>
            </w:pPr>
          </w:p>
        </w:tc>
      </w:tr>
      <w:tr w:rsidR="00AE727E" w14:paraId="07DCD5DE" w14:textId="77777777">
        <w:trPr>
          <w:jc w:val="center"/>
        </w:trPr>
        <w:tc>
          <w:tcPr>
            <w:tcW w:w="0" w:type="auto"/>
            <w:gridSpan w:val="3"/>
            <w:shd w:val="clear" w:color="auto" w:fill="FFFFFF"/>
            <w:tcMar>
              <w:top w:w="40" w:type="dxa"/>
              <w:left w:w="260" w:type="dxa"/>
              <w:bottom w:w="40" w:type="dxa"/>
              <w:right w:w="20" w:type="dxa"/>
            </w:tcMar>
            <w:vAlign w:val="bottom"/>
          </w:tcPr>
          <w:p w14:paraId="07DCD5D8" w14:textId="77777777" w:rsidR="00AE727E" w:rsidRDefault="008433E0">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07DCD5D9" w14:textId="77777777" w:rsidR="00AE727E" w:rsidRDefault="008433E0">
            <w:pPr>
              <w:jc w:val="right"/>
              <w:textAlignment w:val="bottom"/>
            </w:pPr>
            <w:r>
              <w:rPr>
                <w:rFonts w:ascii="Times New Roman" w:eastAsia="宋体" w:hAnsi="Times New Roman"/>
                <w:color w:val="000000"/>
                <w:sz w:val="20"/>
                <w:szCs w:val="20"/>
              </w:rPr>
              <w:t>(394)</w:t>
            </w:r>
          </w:p>
        </w:tc>
        <w:tc>
          <w:tcPr>
            <w:tcW w:w="0" w:type="auto"/>
            <w:shd w:val="clear" w:color="auto" w:fill="FFFFFF"/>
            <w:tcMar>
              <w:top w:w="40" w:type="dxa"/>
              <w:left w:w="0" w:type="dxa"/>
              <w:bottom w:w="40" w:type="dxa"/>
              <w:right w:w="20" w:type="dxa"/>
            </w:tcMar>
            <w:vAlign w:val="bottom"/>
          </w:tcPr>
          <w:p w14:paraId="07DCD5D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D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DC" w14:textId="77777777" w:rsidR="00AE727E" w:rsidRDefault="008433E0">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07DCD5DD" w14:textId="77777777" w:rsidR="00AE727E" w:rsidRDefault="00AE727E">
            <w:pPr>
              <w:jc w:val="right"/>
              <w:rPr>
                <w:rFonts w:ascii="宋体"/>
              </w:rPr>
            </w:pPr>
          </w:p>
        </w:tc>
      </w:tr>
      <w:tr w:rsidR="00AE727E" w14:paraId="07DCD5E5" w14:textId="77777777">
        <w:trPr>
          <w:jc w:val="center"/>
        </w:trPr>
        <w:tc>
          <w:tcPr>
            <w:tcW w:w="0" w:type="auto"/>
            <w:gridSpan w:val="3"/>
            <w:shd w:val="clear" w:color="auto" w:fill="CCEEFF"/>
            <w:tcMar>
              <w:top w:w="40" w:type="dxa"/>
              <w:left w:w="380" w:type="dxa"/>
              <w:bottom w:w="40" w:type="dxa"/>
              <w:right w:w="20" w:type="dxa"/>
            </w:tcMar>
            <w:vAlign w:val="bottom"/>
          </w:tcPr>
          <w:p w14:paraId="07DCD5DF" w14:textId="77777777" w:rsidR="00AE727E" w:rsidRDefault="008433E0">
            <w:pPr>
              <w:textAlignment w:val="bottom"/>
            </w:pPr>
            <w:r>
              <w:rPr>
                <w:rFonts w:ascii="Times New Roman" w:eastAsia="宋体" w:hAnsi="Times New Roman"/>
                <w:color w:val="000000"/>
                <w:sz w:val="20"/>
                <w:szCs w:val="20"/>
              </w:rPr>
              <w:t>Total Dell Technologies Inc.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E0" w14:textId="77777777" w:rsidR="00AE727E" w:rsidRDefault="008433E0">
            <w:pPr>
              <w:jc w:val="right"/>
              <w:textAlignment w:val="bottom"/>
            </w:pPr>
            <w:r>
              <w:rPr>
                <w:rFonts w:ascii="Times New Roman" w:eastAsia="宋体" w:hAnsi="Times New Roman"/>
                <w:color w:val="000000"/>
                <w:sz w:val="20"/>
                <w:szCs w:val="20"/>
              </w:rPr>
              <w:t>8,954 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E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E2"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E3" w14:textId="77777777" w:rsidR="00AE727E" w:rsidRDefault="008433E0">
            <w:pPr>
              <w:jc w:val="right"/>
              <w:textAlignment w:val="bottom"/>
            </w:pPr>
            <w:r>
              <w:rPr>
                <w:rFonts w:ascii="Times New Roman" w:eastAsia="宋体" w:hAnsi="Times New Roman"/>
                <w:color w:val="000000"/>
                <w:sz w:val="20"/>
                <w:szCs w:val="20"/>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E4" w14:textId="77777777" w:rsidR="00AE727E" w:rsidRDefault="00AE727E">
            <w:pPr>
              <w:jc w:val="right"/>
              <w:rPr>
                <w:rFonts w:ascii="宋体"/>
              </w:rPr>
            </w:pPr>
          </w:p>
        </w:tc>
      </w:tr>
      <w:tr w:rsidR="00AE727E" w14:paraId="07DCD5EC" w14:textId="77777777">
        <w:trPr>
          <w:jc w:val="center"/>
        </w:trPr>
        <w:tc>
          <w:tcPr>
            <w:tcW w:w="0" w:type="auto"/>
            <w:gridSpan w:val="3"/>
            <w:shd w:val="clear" w:color="auto" w:fill="FFFFFF"/>
            <w:tcMar>
              <w:top w:w="40" w:type="dxa"/>
              <w:left w:w="380" w:type="dxa"/>
              <w:bottom w:w="40" w:type="dxa"/>
              <w:right w:w="20" w:type="dxa"/>
            </w:tcMar>
            <w:vAlign w:val="bottom"/>
          </w:tcPr>
          <w:p w14:paraId="07DCD5E6" w14:textId="77777777" w:rsidR="00AE727E" w:rsidRDefault="008433E0">
            <w:pPr>
              <w:textAlignment w:val="bottom"/>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07DCD5E7" w14:textId="77777777" w:rsidR="00AE727E" w:rsidRDefault="008433E0">
            <w:pPr>
              <w:jc w:val="right"/>
              <w:textAlignment w:val="bottom"/>
            </w:pPr>
            <w:r>
              <w:rPr>
                <w:rFonts w:ascii="Times New Roman" w:eastAsia="宋体" w:hAnsi="Times New Roman"/>
                <w:color w:val="000000"/>
                <w:sz w:val="20"/>
                <w:szCs w:val="20"/>
              </w:rPr>
              <w:t>5,240 </w:t>
            </w:r>
          </w:p>
        </w:tc>
        <w:tc>
          <w:tcPr>
            <w:tcW w:w="0" w:type="auto"/>
            <w:shd w:val="clear" w:color="auto" w:fill="FFFFFF"/>
            <w:tcMar>
              <w:top w:w="40" w:type="dxa"/>
              <w:left w:w="0" w:type="dxa"/>
              <w:bottom w:w="40" w:type="dxa"/>
              <w:right w:w="20" w:type="dxa"/>
            </w:tcMar>
            <w:vAlign w:val="bottom"/>
          </w:tcPr>
          <w:p w14:paraId="07DCD5E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E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5EA" w14:textId="77777777" w:rsidR="00AE727E" w:rsidRDefault="008433E0">
            <w:pPr>
              <w:jc w:val="right"/>
              <w:textAlignment w:val="bottom"/>
            </w:pPr>
            <w:r>
              <w:rPr>
                <w:rFonts w:ascii="Times New Roman" w:eastAsia="宋体" w:hAnsi="Times New Roman"/>
                <w:color w:val="000000"/>
                <w:sz w:val="20"/>
                <w:szCs w:val="20"/>
              </w:rPr>
              <w:t>5,074 </w:t>
            </w:r>
          </w:p>
        </w:tc>
        <w:tc>
          <w:tcPr>
            <w:tcW w:w="0" w:type="auto"/>
            <w:shd w:val="clear" w:color="auto" w:fill="FFFFFF"/>
            <w:tcMar>
              <w:top w:w="40" w:type="dxa"/>
              <w:left w:w="0" w:type="dxa"/>
              <w:bottom w:w="40" w:type="dxa"/>
              <w:right w:w="20" w:type="dxa"/>
            </w:tcMar>
            <w:vAlign w:val="bottom"/>
          </w:tcPr>
          <w:p w14:paraId="07DCD5EB" w14:textId="77777777" w:rsidR="00AE727E" w:rsidRDefault="00AE727E">
            <w:pPr>
              <w:jc w:val="right"/>
              <w:rPr>
                <w:rFonts w:ascii="宋体"/>
              </w:rPr>
            </w:pPr>
          </w:p>
        </w:tc>
      </w:tr>
      <w:tr w:rsidR="00AE727E" w14:paraId="07DCD5F3" w14:textId="77777777">
        <w:trPr>
          <w:jc w:val="center"/>
        </w:trPr>
        <w:tc>
          <w:tcPr>
            <w:tcW w:w="0" w:type="auto"/>
            <w:gridSpan w:val="3"/>
            <w:shd w:val="clear" w:color="auto" w:fill="CCEEFF"/>
            <w:tcMar>
              <w:top w:w="40" w:type="dxa"/>
              <w:left w:w="605" w:type="dxa"/>
              <w:bottom w:w="40" w:type="dxa"/>
              <w:right w:w="20" w:type="dxa"/>
            </w:tcMar>
            <w:vAlign w:val="bottom"/>
          </w:tcPr>
          <w:p w14:paraId="07DCD5ED" w14:textId="77777777" w:rsidR="00AE727E" w:rsidRDefault="008433E0">
            <w:pPr>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EE" w14:textId="77777777" w:rsidR="00AE727E" w:rsidRDefault="008433E0">
            <w:pPr>
              <w:jc w:val="right"/>
              <w:textAlignment w:val="bottom"/>
            </w:pPr>
            <w:r>
              <w:rPr>
                <w:rFonts w:ascii="Times New Roman" w:eastAsia="宋体" w:hAnsi="Times New Roman"/>
                <w:color w:val="000000"/>
                <w:sz w:val="20"/>
                <w:szCs w:val="20"/>
              </w:rPr>
              <w:t>14,194 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E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5F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5F1" w14:textId="77777777" w:rsidR="00AE727E" w:rsidRDefault="008433E0">
            <w:pPr>
              <w:jc w:val="right"/>
              <w:textAlignment w:val="bottom"/>
            </w:pPr>
            <w:r>
              <w:rPr>
                <w:rFonts w:ascii="Times New Roman" w:eastAsia="宋体" w:hAnsi="Times New Roman"/>
                <w:color w:val="000000"/>
                <w:sz w:val="20"/>
                <w:szCs w:val="20"/>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5F2" w14:textId="77777777" w:rsidR="00AE727E" w:rsidRDefault="00AE727E">
            <w:pPr>
              <w:jc w:val="right"/>
              <w:rPr>
                <w:rFonts w:ascii="宋体"/>
              </w:rPr>
            </w:pPr>
          </w:p>
        </w:tc>
      </w:tr>
      <w:tr w:rsidR="00AE727E" w14:paraId="07DCD5FC" w14:textId="77777777">
        <w:trPr>
          <w:jc w:val="center"/>
        </w:trPr>
        <w:tc>
          <w:tcPr>
            <w:tcW w:w="0" w:type="auto"/>
            <w:gridSpan w:val="3"/>
            <w:shd w:val="clear" w:color="auto" w:fill="FFFFFF"/>
            <w:tcMar>
              <w:top w:w="40" w:type="dxa"/>
              <w:left w:w="605" w:type="dxa"/>
              <w:bottom w:w="40" w:type="dxa"/>
              <w:right w:w="20" w:type="dxa"/>
            </w:tcMar>
            <w:vAlign w:val="bottom"/>
          </w:tcPr>
          <w:p w14:paraId="07DCD5F4" w14:textId="77777777" w:rsidR="00AE727E" w:rsidRDefault="008433E0">
            <w:pPr>
              <w:textAlignment w:val="bottom"/>
            </w:pPr>
            <w:r>
              <w:rPr>
                <w:rFonts w:ascii="Times New Roman" w:eastAsia="宋体" w:hAnsi="Times New Roman"/>
                <w:color w:val="000000"/>
                <w:sz w:val="20"/>
                <w:szCs w:val="20"/>
              </w:rPr>
              <w:t>Total liabilities, redeemable shares,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5F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5F6" w14:textId="77777777" w:rsidR="00AE727E" w:rsidRDefault="008433E0">
            <w:pPr>
              <w:jc w:val="right"/>
              <w:textAlignment w:val="bottom"/>
            </w:pPr>
            <w:r>
              <w:rPr>
                <w:rFonts w:ascii="Times New Roman" w:eastAsia="宋体" w:hAnsi="Times New Roman"/>
                <w:color w:val="000000"/>
                <w:sz w:val="20"/>
                <w:szCs w:val="20"/>
              </w:rPr>
              <w:t>135,677 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5F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5F8"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5F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5FA" w14:textId="77777777" w:rsidR="00AE727E" w:rsidRDefault="008433E0">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5FB" w14:textId="77777777" w:rsidR="00AE727E" w:rsidRDefault="00AE727E">
            <w:pPr>
              <w:jc w:val="right"/>
              <w:rPr>
                <w:rFonts w:ascii="宋体"/>
              </w:rPr>
            </w:pPr>
          </w:p>
        </w:tc>
      </w:tr>
    </w:tbl>
    <w:p w14:paraId="07DCD5FD" w14:textId="77777777" w:rsidR="00AE727E" w:rsidRDefault="00AE727E">
      <w:pPr>
        <w:jc w:val="center"/>
      </w:pPr>
    </w:p>
    <w:p w14:paraId="07DCD5FE" w14:textId="77777777" w:rsidR="00AE727E" w:rsidRDefault="008433E0">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07DCD5FF" w14:textId="77777777" w:rsidR="00AE727E" w:rsidRDefault="00AE727E">
      <w:pPr>
        <w:jc w:val="center"/>
      </w:pPr>
    </w:p>
    <w:p w14:paraId="07DCD600" w14:textId="77777777" w:rsidR="00AE727E" w:rsidRDefault="008433E0">
      <w:pPr>
        <w:jc w:val="center"/>
      </w:pPr>
      <w:r>
        <w:rPr>
          <w:rFonts w:ascii="Times New Roman" w:eastAsia="宋体" w:hAnsi="Times New Roman"/>
          <w:color w:val="000000"/>
          <w:sz w:val="20"/>
          <w:szCs w:val="20"/>
        </w:rPr>
        <w:t>5</w:t>
      </w:r>
    </w:p>
    <w:p w14:paraId="07DCD601" w14:textId="77777777" w:rsidR="00AE727E" w:rsidRDefault="00AE727E">
      <w:pPr>
        <w:jc w:val="center"/>
      </w:pPr>
    </w:p>
    <w:p w14:paraId="07DCD602" w14:textId="77777777" w:rsidR="00AE727E" w:rsidRDefault="008433E0">
      <w:r>
        <w:pict w14:anchorId="07DD18D5">
          <v:rect id="_x0000_i1029" style="width:415.3pt;height:1.5pt" o:hralign="center" o:hrstd="t" o:hr="t" fillcolor="#a0a0a0" stroked="f"/>
        </w:pict>
      </w:r>
    </w:p>
    <w:p w14:paraId="07DCD603" w14:textId="77777777" w:rsidR="00AE727E" w:rsidRDefault="008433E0">
      <w:hyperlink r:id="rId130" w:anchor="i1c8279be622a460ea19600488436f115_10" w:history="1">
        <w:r>
          <w:rPr>
            <w:rStyle w:val="a5"/>
            <w:rFonts w:ascii="Times New Roman" w:eastAsia="宋体" w:hAnsi="Times New Roman"/>
            <w:sz w:val="20"/>
            <w:szCs w:val="20"/>
          </w:rPr>
          <w:t>Table of Contents</w:t>
        </w:r>
      </w:hyperlink>
    </w:p>
    <w:p w14:paraId="07DCD604"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605" w14:textId="77777777" w:rsidR="00AE727E" w:rsidRDefault="008433E0">
      <w:pPr>
        <w:spacing w:after="60"/>
        <w:jc w:val="center"/>
      </w:pPr>
      <w:r>
        <w:rPr>
          <w:rFonts w:ascii="Times New Roman" w:eastAsia="宋体" w:hAnsi="Times New Roman"/>
          <w:b/>
          <w:bCs/>
          <w:color w:val="000000"/>
          <w:sz w:val="20"/>
          <w:szCs w:val="20"/>
        </w:rPr>
        <w:t>CONDENSED CONSOLIDATED STATEMENTS OF INCOME</w:t>
      </w:r>
    </w:p>
    <w:p w14:paraId="07DCD606" w14:textId="77777777" w:rsidR="00AE727E" w:rsidRDefault="008433E0">
      <w:pPr>
        <w:jc w:val="center"/>
      </w:pPr>
      <w:r>
        <w:rPr>
          <w:rFonts w:ascii="Times New Roman" w:eastAsia="宋体" w:hAnsi="Times New Roman"/>
          <w:color w:val="000000"/>
          <w:sz w:val="20"/>
          <w:szCs w:val="20"/>
          <w:shd w:val="clear" w:color="auto" w:fill="FFFFFF"/>
        </w:rPr>
        <w:t>(in millions, exc</w:t>
      </w:r>
      <w:r>
        <w:rPr>
          <w:rFonts w:ascii="Times New Roman" w:eastAsia="宋体" w:hAnsi="Times New Roman"/>
          <w:color w:val="000000"/>
          <w:sz w:val="20"/>
          <w:szCs w:val="20"/>
          <w:shd w:val="clear" w:color="auto" w:fill="FFFFFF"/>
        </w:rPr>
        <w:t>ept per share amounts</w:t>
      </w:r>
      <w:r>
        <w:rPr>
          <w:rFonts w:ascii="Times New Roman" w:eastAsia="宋体" w:hAnsi="Times New Roman"/>
          <w:color w:val="000000"/>
          <w:sz w:val="20"/>
          <w:szCs w:val="20"/>
        </w:rPr>
        <w:t>;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8"/>
        <w:gridCol w:w="38"/>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2"/>
        <w:gridCol w:w="36"/>
      </w:tblGrid>
      <w:tr w:rsidR="00AE727E" w14:paraId="07DCD61F" w14:textId="77777777">
        <w:trPr>
          <w:jc w:val="center"/>
        </w:trPr>
        <w:tc>
          <w:tcPr>
            <w:tcW w:w="50" w:type="pct"/>
            <w:shd w:val="clear" w:color="auto" w:fill="auto"/>
            <w:vAlign w:val="bottom"/>
          </w:tcPr>
          <w:p w14:paraId="07DCD607" w14:textId="77777777" w:rsidR="00AE727E" w:rsidRDefault="00AE727E">
            <w:pPr>
              <w:rPr>
                <w:rFonts w:ascii="宋体"/>
              </w:rPr>
            </w:pPr>
          </w:p>
        </w:tc>
        <w:tc>
          <w:tcPr>
            <w:tcW w:w="2313" w:type="pct"/>
            <w:shd w:val="clear" w:color="auto" w:fill="auto"/>
            <w:vAlign w:val="bottom"/>
          </w:tcPr>
          <w:p w14:paraId="07DCD608" w14:textId="77777777" w:rsidR="00AE727E" w:rsidRDefault="00AE727E">
            <w:pPr>
              <w:rPr>
                <w:rFonts w:ascii="宋体"/>
              </w:rPr>
            </w:pPr>
          </w:p>
        </w:tc>
        <w:tc>
          <w:tcPr>
            <w:tcW w:w="5" w:type="pct"/>
            <w:shd w:val="clear" w:color="auto" w:fill="auto"/>
            <w:vAlign w:val="bottom"/>
          </w:tcPr>
          <w:p w14:paraId="07DCD609" w14:textId="77777777" w:rsidR="00AE727E" w:rsidRDefault="00AE727E">
            <w:pPr>
              <w:rPr>
                <w:rFonts w:ascii="宋体"/>
              </w:rPr>
            </w:pPr>
          </w:p>
        </w:tc>
        <w:tc>
          <w:tcPr>
            <w:tcW w:w="50" w:type="pct"/>
            <w:shd w:val="clear" w:color="auto" w:fill="auto"/>
            <w:vAlign w:val="bottom"/>
          </w:tcPr>
          <w:p w14:paraId="07DCD60A" w14:textId="77777777" w:rsidR="00AE727E" w:rsidRDefault="00AE727E">
            <w:pPr>
              <w:rPr>
                <w:rFonts w:ascii="宋体"/>
              </w:rPr>
            </w:pPr>
          </w:p>
        </w:tc>
        <w:tc>
          <w:tcPr>
            <w:tcW w:w="580" w:type="pct"/>
            <w:shd w:val="clear" w:color="auto" w:fill="auto"/>
            <w:vAlign w:val="bottom"/>
          </w:tcPr>
          <w:p w14:paraId="07DCD60B" w14:textId="77777777" w:rsidR="00AE727E" w:rsidRDefault="00AE727E">
            <w:pPr>
              <w:rPr>
                <w:rFonts w:ascii="宋体"/>
              </w:rPr>
            </w:pPr>
          </w:p>
        </w:tc>
        <w:tc>
          <w:tcPr>
            <w:tcW w:w="5" w:type="pct"/>
            <w:shd w:val="clear" w:color="auto" w:fill="auto"/>
            <w:vAlign w:val="bottom"/>
          </w:tcPr>
          <w:p w14:paraId="07DCD60C" w14:textId="77777777" w:rsidR="00AE727E" w:rsidRDefault="00AE727E">
            <w:pPr>
              <w:rPr>
                <w:rFonts w:ascii="宋体"/>
              </w:rPr>
            </w:pPr>
          </w:p>
        </w:tc>
        <w:tc>
          <w:tcPr>
            <w:tcW w:w="5" w:type="pct"/>
            <w:shd w:val="clear" w:color="auto" w:fill="auto"/>
            <w:vAlign w:val="bottom"/>
          </w:tcPr>
          <w:p w14:paraId="07DCD60D" w14:textId="77777777" w:rsidR="00AE727E" w:rsidRDefault="00AE727E">
            <w:pPr>
              <w:rPr>
                <w:rFonts w:ascii="宋体"/>
              </w:rPr>
            </w:pPr>
          </w:p>
        </w:tc>
        <w:tc>
          <w:tcPr>
            <w:tcW w:w="19" w:type="pct"/>
            <w:shd w:val="clear" w:color="auto" w:fill="auto"/>
            <w:vAlign w:val="bottom"/>
          </w:tcPr>
          <w:p w14:paraId="07DCD60E" w14:textId="77777777" w:rsidR="00AE727E" w:rsidRDefault="00AE727E">
            <w:pPr>
              <w:rPr>
                <w:rFonts w:ascii="宋体"/>
              </w:rPr>
            </w:pPr>
          </w:p>
        </w:tc>
        <w:tc>
          <w:tcPr>
            <w:tcW w:w="5" w:type="pct"/>
            <w:shd w:val="clear" w:color="auto" w:fill="auto"/>
            <w:vAlign w:val="bottom"/>
          </w:tcPr>
          <w:p w14:paraId="07DCD60F" w14:textId="77777777" w:rsidR="00AE727E" w:rsidRDefault="00AE727E">
            <w:pPr>
              <w:rPr>
                <w:rFonts w:ascii="宋体"/>
              </w:rPr>
            </w:pPr>
          </w:p>
        </w:tc>
        <w:tc>
          <w:tcPr>
            <w:tcW w:w="50" w:type="pct"/>
            <w:shd w:val="clear" w:color="auto" w:fill="auto"/>
            <w:vAlign w:val="bottom"/>
          </w:tcPr>
          <w:p w14:paraId="07DCD610" w14:textId="77777777" w:rsidR="00AE727E" w:rsidRDefault="00AE727E">
            <w:pPr>
              <w:rPr>
                <w:rFonts w:ascii="宋体"/>
              </w:rPr>
            </w:pPr>
          </w:p>
        </w:tc>
        <w:tc>
          <w:tcPr>
            <w:tcW w:w="580" w:type="pct"/>
            <w:shd w:val="clear" w:color="auto" w:fill="auto"/>
            <w:vAlign w:val="bottom"/>
          </w:tcPr>
          <w:p w14:paraId="07DCD611" w14:textId="77777777" w:rsidR="00AE727E" w:rsidRDefault="00AE727E">
            <w:pPr>
              <w:rPr>
                <w:rFonts w:ascii="宋体"/>
              </w:rPr>
            </w:pPr>
          </w:p>
        </w:tc>
        <w:tc>
          <w:tcPr>
            <w:tcW w:w="5" w:type="pct"/>
            <w:shd w:val="clear" w:color="auto" w:fill="auto"/>
            <w:vAlign w:val="bottom"/>
          </w:tcPr>
          <w:p w14:paraId="07DCD612" w14:textId="77777777" w:rsidR="00AE727E" w:rsidRDefault="00AE727E">
            <w:pPr>
              <w:rPr>
                <w:rFonts w:ascii="宋体"/>
              </w:rPr>
            </w:pPr>
          </w:p>
        </w:tc>
        <w:tc>
          <w:tcPr>
            <w:tcW w:w="5" w:type="pct"/>
            <w:shd w:val="clear" w:color="auto" w:fill="auto"/>
            <w:vAlign w:val="bottom"/>
          </w:tcPr>
          <w:p w14:paraId="07DCD613" w14:textId="77777777" w:rsidR="00AE727E" w:rsidRDefault="00AE727E">
            <w:pPr>
              <w:rPr>
                <w:rFonts w:ascii="宋体"/>
              </w:rPr>
            </w:pPr>
          </w:p>
        </w:tc>
        <w:tc>
          <w:tcPr>
            <w:tcW w:w="19" w:type="pct"/>
            <w:shd w:val="clear" w:color="auto" w:fill="auto"/>
            <w:vAlign w:val="bottom"/>
          </w:tcPr>
          <w:p w14:paraId="07DCD614" w14:textId="77777777" w:rsidR="00AE727E" w:rsidRDefault="00AE727E">
            <w:pPr>
              <w:rPr>
                <w:rFonts w:ascii="宋体"/>
              </w:rPr>
            </w:pPr>
          </w:p>
        </w:tc>
        <w:tc>
          <w:tcPr>
            <w:tcW w:w="5" w:type="pct"/>
            <w:shd w:val="clear" w:color="auto" w:fill="auto"/>
            <w:vAlign w:val="bottom"/>
          </w:tcPr>
          <w:p w14:paraId="07DCD615" w14:textId="77777777" w:rsidR="00AE727E" w:rsidRDefault="00AE727E">
            <w:pPr>
              <w:rPr>
                <w:rFonts w:ascii="宋体"/>
              </w:rPr>
            </w:pPr>
          </w:p>
        </w:tc>
        <w:tc>
          <w:tcPr>
            <w:tcW w:w="50" w:type="pct"/>
            <w:shd w:val="clear" w:color="auto" w:fill="auto"/>
            <w:vAlign w:val="bottom"/>
          </w:tcPr>
          <w:p w14:paraId="07DCD616" w14:textId="77777777" w:rsidR="00AE727E" w:rsidRDefault="00AE727E">
            <w:pPr>
              <w:rPr>
                <w:rFonts w:ascii="宋体"/>
              </w:rPr>
            </w:pPr>
          </w:p>
        </w:tc>
        <w:tc>
          <w:tcPr>
            <w:tcW w:w="580" w:type="pct"/>
            <w:shd w:val="clear" w:color="auto" w:fill="auto"/>
            <w:vAlign w:val="bottom"/>
          </w:tcPr>
          <w:p w14:paraId="07DCD617" w14:textId="77777777" w:rsidR="00AE727E" w:rsidRDefault="00AE727E">
            <w:pPr>
              <w:rPr>
                <w:rFonts w:ascii="宋体"/>
              </w:rPr>
            </w:pPr>
          </w:p>
        </w:tc>
        <w:tc>
          <w:tcPr>
            <w:tcW w:w="5" w:type="pct"/>
            <w:shd w:val="clear" w:color="auto" w:fill="auto"/>
            <w:vAlign w:val="bottom"/>
          </w:tcPr>
          <w:p w14:paraId="07DCD618" w14:textId="77777777" w:rsidR="00AE727E" w:rsidRDefault="00AE727E">
            <w:pPr>
              <w:rPr>
                <w:rFonts w:ascii="宋体"/>
              </w:rPr>
            </w:pPr>
          </w:p>
        </w:tc>
        <w:tc>
          <w:tcPr>
            <w:tcW w:w="5" w:type="pct"/>
            <w:shd w:val="clear" w:color="auto" w:fill="auto"/>
            <w:vAlign w:val="bottom"/>
          </w:tcPr>
          <w:p w14:paraId="07DCD619" w14:textId="77777777" w:rsidR="00AE727E" w:rsidRDefault="00AE727E">
            <w:pPr>
              <w:rPr>
                <w:rFonts w:ascii="宋体"/>
              </w:rPr>
            </w:pPr>
          </w:p>
        </w:tc>
        <w:tc>
          <w:tcPr>
            <w:tcW w:w="19" w:type="pct"/>
            <w:shd w:val="clear" w:color="auto" w:fill="auto"/>
            <w:vAlign w:val="bottom"/>
          </w:tcPr>
          <w:p w14:paraId="07DCD61A" w14:textId="77777777" w:rsidR="00AE727E" w:rsidRDefault="00AE727E">
            <w:pPr>
              <w:rPr>
                <w:rFonts w:ascii="宋体"/>
              </w:rPr>
            </w:pPr>
          </w:p>
        </w:tc>
        <w:tc>
          <w:tcPr>
            <w:tcW w:w="5" w:type="pct"/>
            <w:shd w:val="clear" w:color="auto" w:fill="auto"/>
            <w:vAlign w:val="bottom"/>
          </w:tcPr>
          <w:p w14:paraId="07DCD61B" w14:textId="77777777" w:rsidR="00AE727E" w:rsidRDefault="00AE727E">
            <w:pPr>
              <w:rPr>
                <w:rFonts w:ascii="宋体"/>
              </w:rPr>
            </w:pPr>
          </w:p>
        </w:tc>
        <w:tc>
          <w:tcPr>
            <w:tcW w:w="50" w:type="pct"/>
            <w:shd w:val="clear" w:color="auto" w:fill="auto"/>
            <w:vAlign w:val="bottom"/>
          </w:tcPr>
          <w:p w14:paraId="07DCD61C" w14:textId="77777777" w:rsidR="00AE727E" w:rsidRDefault="00AE727E">
            <w:pPr>
              <w:rPr>
                <w:rFonts w:ascii="宋体"/>
              </w:rPr>
            </w:pPr>
          </w:p>
        </w:tc>
        <w:tc>
          <w:tcPr>
            <w:tcW w:w="581" w:type="pct"/>
            <w:shd w:val="clear" w:color="auto" w:fill="auto"/>
            <w:vAlign w:val="bottom"/>
          </w:tcPr>
          <w:p w14:paraId="07DCD61D" w14:textId="77777777" w:rsidR="00AE727E" w:rsidRDefault="00AE727E">
            <w:pPr>
              <w:rPr>
                <w:rFonts w:ascii="宋体"/>
              </w:rPr>
            </w:pPr>
          </w:p>
        </w:tc>
        <w:tc>
          <w:tcPr>
            <w:tcW w:w="5" w:type="pct"/>
            <w:shd w:val="clear" w:color="auto" w:fill="auto"/>
            <w:vAlign w:val="bottom"/>
          </w:tcPr>
          <w:p w14:paraId="07DCD61E" w14:textId="77777777" w:rsidR="00AE727E" w:rsidRDefault="00AE727E">
            <w:pPr>
              <w:rPr>
                <w:rFonts w:ascii="宋体"/>
              </w:rPr>
            </w:pPr>
          </w:p>
        </w:tc>
      </w:tr>
      <w:tr w:rsidR="00AE727E" w14:paraId="07DCD624" w14:textId="77777777">
        <w:trPr>
          <w:jc w:val="center"/>
        </w:trPr>
        <w:tc>
          <w:tcPr>
            <w:tcW w:w="0" w:type="auto"/>
            <w:gridSpan w:val="3"/>
            <w:shd w:val="clear" w:color="auto" w:fill="auto"/>
            <w:tcMar>
              <w:top w:w="0" w:type="dxa"/>
              <w:left w:w="20" w:type="dxa"/>
              <w:bottom w:w="0" w:type="dxa"/>
              <w:right w:w="20" w:type="dxa"/>
            </w:tcMar>
            <w:vAlign w:val="bottom"/>
          </w:tcPr>
          <w:p w14:paraId="07DCD62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621"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D622"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center"/>
          </w:tcPr>
          <w:p w14:paraId="07DCD623" w14:textId="77777777" w:rsidR="00AE727E" w:rsidRDefault="008433E0">
            <w:pPr>
              <w:jc w:val="center"/>
              <w:textAlignment w:val="center"/>
            </w:pPr>
            <w:r>
              <w:rPr>
                <w:rFonts w:ascii="Times New Roman" w:eastAsia="宋体" w:hAnsi="Times New Roman"/>
                <w:b/>
                <w:bCs/>
                <w:color w:val="000000"/>
                <w:sz w:val="20"/>
                <w:szCs w:val="20"/>
              </w:rPr>
              <w:t>Nine Months Ended</w:t>
            </w:r>
          </w:p>
        </w:tc>
      </w:tr>
      <w:tr w:rsidR="00AE727E" w14:paraId="07DCD62D" w14:textId="77777777">
        <w:trPr>
          <w:jc w:val="center"/>
        </w:trPr>
        <w:tc>
          <w:tcPr>
            <w:tcW w:w="0" w:type="auto"/>
            <w:gridSpan w:val="3"/>
            <w:shd w:val="clear" w:color="auto" w:fill="auto"/>
            <w:tcMar>
              <w:top w:w="40" w:type="dxa"/>
              <w:left w:w="20" w:type="dxa"/>
              <w:bottom w:w="40" w:type="dxa"/>
              <w:right w:w="20" w:type="dxa"/>
            </w:tcMar>
            <w:vAlign w:val="bottom"/>
          </w:tcPr>
          <w:p w14:paraId="07DCD625"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62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627"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628"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D629"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62A"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62B"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62C"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D636" w14:textId="77777777">
        <w:trPr>
          <w:jc w:val="center"/>
        </w:trPr>
        <w:tc>
          <w:tcPr>
            <w:tcW w:w="0" w:type="auto"/>
            <w:gridSpan w:val="3"/>
            <w:shd w:val="clear" w:color="auto" w:fill="CCEEFF"/>
            <w:tcMar>
              <w:top w:w="40" w:type="dxa"/>
              <w:left w:w="20" w:type="dxa"/>
              <w:bottom w:w="40" w:type="dxa"/>
              <w:right w:w="20" w:type="dxa"/>
            </w:tcMar>
            <w:vAlign w:val="bottom"/>
          </w:tcPr>
          <w:p w14:paraId="07DCD62E" w14:textId="77777777" w:rsidR="00AE727E" w:rsidRDefault="008433E0">
            <w:pPr>
              <w:textAlignment w:val="bottom"/>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DCD62F"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D630"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3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632"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3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634"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35" w14:textId="77777777" w:rsidR="00AE727E" w:rsidRDefault="00AE727E">
            <w:pPr>
              <w:rPr>
                <w:rFonts w:ascii="宋体"/>
              </w:rPr>
            </w:pPr>
          </w:p>
        </w:tc>
      </w:tr>
      <w:tr w:rsidR="00AE727E" w14:paraId="07DCD647" w14:textId="77777777">
        <w:trPr>
          <w:jc w:val="center"/>
        </w:trPr>
        <w:tc>
          <w:tcPr>
            <w:tcW w:w="0" w:type="auto"/>
            <w:gridSpan w:val="3"/>
            <w:shd w:val="clear" w:color="auto" w:fill="FFFFFF"/>
            <w:tcMar>
              <w:top w:w="40" w:type="dxa"/>
              <w:left w:w="245" w:type="dxa"/>
              <w:bottom w:w="40" w:type="dxa"/>
              <w:right w:w="20" w:type="dxa"/>
            </w:tcMar>
            <w:vAlign w:val="bottom"/>
          </w:tcPr>
          <w:p w14:paraId="07DCD637" w14:textId="77777777" w:rsidR="00AE727E" w:rsidRDefault="008433E0">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07DCD63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639" w14:textId="77777777" w:rsidR="00AE727E" w:rsidRDefault="008433E0">
            <w:pPr>
              <w:jc w:val="right"/>
              <w:textAlignment w:val="bottom"/>
            </w:pPr>
            <w:r>
              <w:rPr>
                <w:rFonts w:ascii="Times New Roman" w:eastAsia="宋体" w:hAnsi="Times New Roman"/>
                <w:color w:val="000000"/>
                <w:sz w:val="20"/>
                <w:szCs w:val="20"/>
              </w:rPr>
              <w:t>21,540 </w:t>
            </w:r>
          </w:p>
        </w:tc>
        <w:tc>
          <w:tcPr>
            <w:tcW w:w="0" w:type="auto"/>
            <w:shd w:val="clear" w:color="auto" w:fill="FFFFFF"/>
            <w:tcMar>
              <w:top w:w="40" w:type="dxa"/>
              <w:left w:w="0" w:type="dxa"/>
              <w:bottom w:w="40" w:type="dxa"/>
              <w:right w:w="20" w:type="dxa"/>
            </w:tcMar>
            <w:vAlign w:val="bottom"/>
          </w:tcPr>
          <w:p w14:paraId="07DCD63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3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D63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63D" w14:textId="77777777" w:rsidR="00AE727E" w:rsidRDefault="008433E0">
            <w:pPr>
              <w:jc w:val="right"/>
              <w:textAlignment w:val="bottom"/>
            </w:pPr>
            <w:r>
              <w:rPr>
                <w:rFonts w:ascii="Times New Roman" w:eastAsia="宋体" w:hAnsi="Times New Roman"/>
                <w:color w:val="000000"/>
                <w:sz w:val="20"/>
                <w:szCs w:val="20"/>
              </w:rPr>
              <w:t>17,352 </w:t>
            </w:r>
          </w:p>
        </w:tc>
        <w:tc>
          <w:tcPr>
            <w:tcW w:w="0" w:type="auto"/>
            <w:shd w:val="clear" w:color="auto" w:fill="FFFFFF"/>
            <w:tcMar>
              <w:top w:w="40" w:type="dxa"/>
              <w:left w:w="0" w:type="dxa"/>
              <w:bottom w:w="40" w:type="dxa"/>
              <w:right w:w="20" w:type="dxa"/>
            </w:tcMar>
            <w:vAlign w:val="bottom"/>
          </w:tcPr>
          <w:p w14:paraId="07DCD63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3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D64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D641" w14:textId="77777777" w:rsidR="00AE727E" w:rsidRDefault="008433E0">
            <w:pPr>
              <w:jc w:val="right"/>
              <w:textAlignment w:val="center"/>
            </w:pPr>
            <w:r>
              <w:rPr>
                <w:rFonts w:ascii="Times New Roman" w:eastAsia="宋体" w:hAnsi="Times New Roman"/>
                <w:color w:val="000000"/>
                <w:sz w:val="20"/>
                <w:szCs w:val="20"/>
              </w:rPr>
              <w:t>58,968 </w:t>
            </w:r>
          </w:p>
        </w:tc>
        <w:tc>
          <w:tcPr>
            <w:tcW w:w="0" w:type="auto"/>
            <w:shd w:val="clear" w:color="auto" w:fill="FFFFFF"/>
            <w:tcMar>
              <w:top w:w="40" w:type="dxa"/>
              <w:left w:w="0" w:type="dxa"/>
              <w:bottom w:w="40" w:type="dxa"/>
              <w:right w:w="20" w:type="dxa"/>
            </w:tcMar>
            <w:vAlign w:val="center"/>
          </w:tcPr>
          <w:p w14:paraId="07DCD642"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43" w14:textId="77777777" w:rsidR="00AE727E" w:rsidRDefault="00AE727E">
            <w:pPr>
              <w:rPr>
                <w:rFonts w:ascii="宋体"/>
              </w:rPr>
            </w:pPr>
          </w:p>
        </w:tc>
        <w:tc>
          <w:tcPr>
            <w:tcW w:w="0" w:type="auto"/>
            <w:shd w:val="clear" w:color="auto" w:fill="auto"/>
            <w:tcMar>
              <w:top w:w="40" w:type="dxa"/>
              <w:left w:w="20" w:type="dxa"/>
              <w:bottom w:w="40" w:type="dxa"/>
              <w:right w:w="0" w:type="dxa"/>
            </w:tcMar>
            <w:vAlign w:val="center"/>
          </w:tcPr>
          <w:p w14:paraId="07DCD64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center"/>
          </w:tcPr>
          <w:p w14:paraId="07DCD645" w14:textId="77777777" w:rsidR="00AE727E" w:rsidRDefault="008433E0">
            <w:pPr>
              <w:jc w:val="right"/>
              <w:textAlignment w:val="center"/>
            </w:pPr>
            <w:r>
              <w:rPr>
                <w:rFonts w:ascii="Times New Roman" w:eastAsia="宋体" w:hAnsi="Times New Roman"/>
                <w:color w:val="000000"/>
                <w:sz w:val="20"/>
                <w:szCs w:val="20"/>
              </w:rPr>
              <w:t>50,127 </w:t>
            </w:r>
          </w:p>
        </w:tc>
        <w:tc>
          <w:tcPr>
            <w:tcW w:w="0" w:type="auto"/>
            <w:shd w:val="clear" w:color="auto" w:fill="auto"/>
            <w:tcMar>
              <w:top w:w="40" w:type="dxa"/>
              <w:left w:w="0" w:type="dxa"/>
              <w:bottom w:w="40" w:type="dxa"/>
              <w:right w:w="20" w:type="dxa"/>
            </w:tcMar>
            <w:vAlign w:val="center"/>
          </w:tcPr>
          <w:p w14:paraId="07DCD646" w14:textId="77777777" w:rsidR="00AE727E" w:rsidRDefault="00AE727E">
            <w:pPr>
              <w:jc w:val="right"/>
              <w:rPr>
                <w:rFonts w:ascii="宋体"/>
              </w:rPr>
            </w:pPr>
          </w:p>
        </w:tc>
      </w:tr>
      <w:tr w:rsidR="00AE727E" w14:paraId="07DCD654" w14:textId="77777777">
        <w:trPr>
          <w:jc w:val="center"/>
        </w:trPr>
        <w:tc>
          <w:tcPr>
            <w:tcW w:w="0" w:type="auto"/>
            <w:gridSpan w:val="3"/>
            <w:shd w:val="clear" w:color="auto" w:fill="CCEEFF"/>
            <w:tcMar>
              <w:top w:w="40" w:type="dxa"/>
              <w:left w:w="245" w:type="dxa"/>
              <w:bottom w:w="40" w:type="dxa"/>
              <w:right w:w="20" w:type="dxa"/>
            </w:tcMar>
            <w:vAlign w:val="bottom"/>
          </w:tcPr>
          <w:p w14:paraId="07DCD648" w14:textId="77777777" w:rsidR="00AE727E" w:rsidRDefault="008433E0">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07DCD649" w14:textId="77777777" w:rsidR="00AE727E" w:rsidRDefault="008433E0">
            <w:pPr>
              <w:jc w:val="right"/>
              <w:textAlignment w:val="bottom"/>
            </w:pPr>
            <w:r>
              <w:rPr>
                <w:rFonts w:ascii="Times New Roman" w:eastAsia="宋体" w:hAnsi="Times New Roman"/>
                <w:color w:val="000000"/>
                <w:sz w:val="20"/>
                <w:szCs w:val="20"/>
              </w:rPr>
              <w:t>6,854 </w:t>
            </w:r>
          </w:p>
        </w:tc>
        <w:tc>
          <w:tcPr>
            <w:tcW w:w="0" w:type="auto"/>
            <w:shd w:val="clear" w:color="auto" w:fill="CCEEFF"/>
            <w:tcMar>
              <w:top w:w="40" w:type="dxa"/>
              <w:left w:w="0" w:type="dxa"/>
              <w:bottom w:w="40" w:type="dxa"/>
              <w:right w:w="20" w:type="dxa"/>
            </w:tcMar>
            <w:vAlign w:val="bottom"/>
          </w:tcPr>
          <w:p w14:paraId="07DCD64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4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64C" w14:textId="77777777" w:rsidR="00AE727E" w:rsidRDefault="008433E0">
            <w:pPr>
              <w:jc w:val="right"/>
              <w:textAlignment w:val="bottom"/>
            </w:pPr>
            <w:r>
              <w:rPr>
                <w:rFonts w:ascii="Times New Roman" w:eastAsia="宋体" w:hAnsi="Times New Roman"/>
                <w:color w:val="000000"/>
                <w:sz w:val="20"/>
                <w:szCs w:val="20"/>
              </w:rPr>
              <w:t>6,130 </w:t>
            </w:r>
          </w:p>
        </w:tc>
        <w:tc>
          <w:tcPr>
            <w:tcW w:w="0" w:type="auto"/>
            <w:shd w:val="clear" w:color="auto" w:fill="CCEEFF"/>
            <w:tcMar>
              <w:top w:w="40" w:type="dxa"/>
              <w:left w:w="0" w:type="dxa"/>
              <w:bottom w:w="40" w:type="dxa"/>
              <w:right w:w="20" w:type="dxa"/>
            </w:tcMar>
            <w:vAlign w:val="bottom"/>
          </w:tcPr>
          <w:p w14:paraId="07DCD6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4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4F" w14:textId="77777777" w:rsidR="00AE727E" w:rsidRDefault="008433E0">
            <w:pPr>
              <w:jc w:val="right"/>
              <w:textAlignment w:val="center"/>
            </w:pPr>
            <w:r>
              <w:rPr>
                <w:rFonts w:ascii="Times New Roman" w:eastAsia="宋体" w:hAnsi="Times New Roman"/>
                <w:color w:val="000000"/>
                <w:sz w:val="20"/>
                <w:szCs w:val="20"/>
              </w:rPr>
              <w:t>20,035 </w:t>
            </w:r>
          </w:p>
        </w:tc>
        <w:tc>
          <w:tcPr>
            <w:tcW w:w="0" w:type="auto"/>
            <w:shd w:val="clear" w:color="auto" w:fill="CCEEFF"/>
            <w:tcMar>
              <w:top w:w="40" w:type="dxa"/>
              <w:left w:w="0" w:type="dxa"/>
              <w:bottom w:w="40" w:type="dxa"/>
              <w:right w:w="20" w:type="dxa"/>
            </w:tcMar>
            <w:vAlign w:val="center"/>
          </w:tcPr>
          <w:p w14:paraId="07DCD65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5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52" w14:textId="77777777" w:rsidR="00AE727E" w:rsidRDefault="008433E0">
            <w:pPr>
              <w:jc w:val="right"/>
              <w:textAlignment w:val="center"/>
            </w:pPr>
            <w:r>
              <w:rPr>
                <w:rFonts w:ascii="Times New Roman" w:eastAsia="宋体" w:hAnsi="Times New Roman"/>
                <w:color w:val="000000"/>
                <w:sz w:val="20"/>
                <w:szCs w:val="20"/>
              </w:rPr>
              <w:t>17,985 </w:t>
            </w:r>
          </w:p>
        </w:tc>
        <w:tc>
          <w:tcPr>
            <w:tcW w:w="0" w:type="auto"/>
            <w:shd w:val="clear" w:color="auto" w:fill="CCEEFF"/>
            <w:tcMar>
              <w:top w:w="40" w:type="dxa"/>
              <w:left w:w="0" w:type="dxa"/>
              <w:bottom w:w="40" w:type="dxa"/>
              <w:right w:w="20" w:type="dxa"/>
            </w:tcMar>
            <w:vAlign w:val="center"/>
          </w:tcPr>
          <w:p w14:paraId="07DCD653" w14:textId="77777777" w:rsidR="00AE727E" w:rsidRDefault="00AE727E">
            <w:pPr>
              <w:jc w:val="right"/>
              <w:rPr>
                <w:rFonts w:ascii="宋体"/>
              </w:rPr>
            </w:pPr>
          </w:p>
        </w:tc>
      </w:tr>
      <w:tr w:rsidR="00AE727E" w14:paraId="07DCD661" w14:textId="77777777">
        <w:trPr>
          <w:jc w:val="center"/>
        </w:trPr>
        <w:tc>
          <w:tcPr>
            <w:tcW w:w="0" w:type="auto"/>
            <w:gridSpan w:val="3"/>
            <w:shd w:val="clear" w:color="auto" w:fill="FFFFFF"/>
            <w:tcMar>
              <w:top w:w="40" w:type="dxa"/>
              <w:left w:w="515" w:type="dxa"/>
              <w:bottom w:w="40" w:type="dxa"/>
              <w:right w:w="20" w:type="dxa"/>
            </w:tcMar>
            <w:vAlign w:val="bottom"/>
          </w:tcPr>
          <w:p w14:paraId="07DCD655" w14:textId="77777777" w:rsidR="00AE727E" w:rsidRDefault="008433E0">
            <w:pPr>
              <w:textAlignment w:val="bottom"/>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56" w14:textId="77777777" w:rsidR="00AE727E" w:rsidRDefault="008433E0">
            <w:pPr>
              <w:jc w:val="right"/>
              <w:textAlignment w:val="bottom"/>
            </w:pPr>
            <w:r>
              <w:rPr>
                <w:rFonts w:ascii="Times New Roman" w:eastAsia="宋体" w:hAnsi="Times New Roman"/>
                <w:color w:val="000000"/>
                <w:sz w:val="20"/>
                <w:szCs w:val="20"/>
              </w:rPr>
              <w:t>28,394 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5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5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59" w14:textId="77777777" w:rsidR="00AE727E" w:rsidRDefault="008433E0">
            <w:pPr>
              <w:jc w:val="right"/>
              <w:textAlignment w:val="bottom"/>
            </w:pPr>
            <w:r>
              <w:rPr>
                <w:rFonts w:ascii="Times New Roman" w:eastAsia="宋体" w:hAnsi="Times New Roman"/>
                <w:color w:val="000000"/>
                <w:sz w:val="20"/>
                <w:szCs w:val="20"/>
              </w:rPr>
              <w:t>23,482 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5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5B"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D65C" w14:textId="77777777" w:rsidR="00AE727E" w:rsidRDefault="008433E0">
            <w:pPr>
              <w:jc w:val="right"/>
              <w:textAlignment w:val="center"/>
            </w:pPr>
            <w:r>
              <w:rPr>
                <w:rFonts w:ascii="Times New Roman" w:eastAsia="宋体" w:hAnsi="Times New Roman"/>
                <w:color w:val="000000"/>
                <w:sz w:val="20"/>
                <w:szCs w:val="20"/>
              </w:rPr>
              <w:t>79,003 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D65D"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5E"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CD65F" w14:textId="77777777" w:rsidR="00AE727E" w:rsidRDefault="008433E0">
            <w:pPr>
              <w:jc w:val="right"/>
              <w:textAlignment w:val="center"/>
            </w:pPr>
            <w:r>
              <w:rPr>
                <w:rFonts w:ascii="Times New Roman" w:eastAsia="宋体" w:hAnsi="Times New Roman"/>
                <w:color w:val="000000"/>
                <w:sz w:val="20"/>
                <w:szCs w:val="20"/>
              </w:rPr>
              <w:t>68,112 </w:t>
            </w:r>
          </w:p>
        </w:tc>
        <w:tc>
          <w:tcPr>
            <w:tcW w:w="0" w:type="auto"/>
            <w:tcBorders>
              <w:top w:val="single" w:sz="8" w:space="0" w:color="000000"/>
            </w:tcBorders>
            <w:shd w:val="clear" w:color="auto" w:fill="auto"/>
            <w:tcMar>
              <w:top w:w="40" w:type="dxa"/>
              <w:left w:w="0" w:type="dxa"/>
              <w:bottom w:w="40" w:type="dxa"/>
              <w:right w:w="20" w:type="dxa"/>
            </w:tcMar>
            <w:vAlign w:val="center"/>
          </w:tcPr>
          <w:p w14:paraId="07DCD660" w14:textId="77777777" w:rsidR="00AE727E" w:rsidRDefault="00AE727E">
            <w:pPr>
              <w:jc w:val="right"/>
              <w:rPr>
                <w:rFonts w:ascii="宋体"/>
              </w:rPr>
            </w:pPr>
          </w:p>
        </w:tc>
      </w:tr>
      <w:tr w:rsidR="00AE727E" w14:paraId="07DCD66A" w14:textId="77777777">
        <w:trPr>
          <w:jc w:val="center"/>
        </w:trPr>
        <w:tc>
          <w:tcPr>
            <w:tcW w:w="0" w:type="auto"/>
            <w:gridSpan w:val="3"/>
            <w:shd w:val="clear" w:color="auto" w:fill="CCEEFF"/>
            <w:tcMar>
              <w:top w:w="40" w:type="dxa"/>
              <w:left w:w="20" w:type="dxa"/>
              <w:bottom w:w="40" w:type="dxa"/>
              <w:right w:w="20" w:type="dxa"/>
            </w:tcMar>
            <w:vAlign w:val="bottom"/>
          </w:tcPr>
          <w:p w14:paraId="07DCD662" w14:textId="77777777" w:rsidR="00AE727E" w:rsidRDefault="008433E0">
            <w:pPr>
              <w:textAlignment w:val="bottom"/>
            </w:pPr>
            <w:r>
              <w:rPr>
                <w:rFonts w:ascii="Times New Roman" w:eastAsia="宋体" w:hAnsi="Times New Roman"/>
                <w:i/>
                <w:iCs/>
                <w:color w:val="000000"/>
                <w:sz w:val="20"/>
                <w:szCs w:val="20"/>
              </w:rPr>
              <w:t>Cost of net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6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664"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6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66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6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668"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669" w14:textId="77777777" w:rsidR="00AE727E" w:rsidRDefault="00AE727E">
            <w:pPr>
              <w:rPr>
                <w:rFonts w:ascii="宋体"/>
              </w:rPr>
            </w:pPr>
          </w:p>
        </w:tc>
      </w:tr>
      <w:tr w:rsidR="00AE727E" w14:paraId="07DCD677" w14:textId="77777777">
        <w:trPr>
          <w:jc w:val="center"/>
        </w:trPr>
        <w:tc>
          <w:tcPr>
            <w:tcW w:w="0" w:type="auto"/>
            <w:gridSpan w:val="3"/>
            <w:shd w:val="clear" w:color="auto" w:fill="FFFFFF"/>
            <w:tcMar>
              <w:top w:w="40" w:type="dxa"/>
              <w:left w:w="245" w:type="dxa"/>
              <w:bottom w:w="40" w:type="dxa"/>
              <w:right w:w="20" w:type="dxa"/>
            </w:tcMar>
            <w:vAlign w:val="bottom"/>
          </w:tcPr>
          <w:p w14:paraId="07DCD66B" w14:textId="77777777" w:rsidR="00AE727E" w:rsidRDefault="008433E0">
            <w:pPr>
              <w:textAlignment w:val="bottom"/>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bottom"/>
          </w:tcPr>
          <w:p w14:paraId="07DCD66C" w14:textId="77777777" w:rsidR="00AE727E" w:rsidRDefault="008433E0">
            <w:pPr>
              <w:jc w:val="right"/>
              <w:textAlignment w:val="bottom"/>
            </w:pPr>
            <w:r>
              <w:rPr>
                <w:rFonts w:ascii="Times New Roman" w:eastAsia="宋体" w:hAnsi="Times New Roman"/>
                <w:color w:val="000000"/>
                <w:sz w:val="20"/>
                <w:szCs w:val="20"/>
              </w:rPr>
              <w:t>17,552 </w:t>
            </w:r>
          </w:p>
        </w:tc>
        <w:tc>
          <w:tcPr>
            <w:tcW w:w="0" w:type="auto"/>
            <w:shd w:val="clear" w:color="auto" w:fill="FFFFFF"/>
            <w:tcMar>
              <w:top w:w="40" w:type="dxa"/>
              <w:left w:w="0" w:type="dxa"/>
              <w:bottom w:w="40" w:type="dxa"/>
              <w:right w:w="20" w:type="dxa"/>
            </w:tcMar>
            <w:vAlign w:val="bottom"/>
          </w:tcPr>
          <w:p w14:paraId="07DCD66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6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66F" w14:textId="77777777" w:rsidR="00AE727E" w:rsidRDefault="008433E0">
            <w:pPr>
              <w:jc w:val="right"/>
              <w:textAlignment w:val="bottom"/>
            </w:pPr>
            <w:r>
              <w:rPr>
                <w:rFonts w:ascii="Times New Roman" w:eastAsia="宋体" w:hAnsi="Times New Roman"/>
                <w:color w:val="000000"/>
                <w:sz w:val="20"/>
                <w:szCs w:val="20"/>
              </w:rPr>
              <w:t>13,789 </w:t>
            </w:r>
          </w:p>
        </w:tc>
        <w:tc>
          <w:tcPr>
            <w:tcW w:w="0" w:type="auto"/>
            <w:shd w:val="clear" w:color="auto" w:fill="FFFFFF"/>
            <w:tcMar>
              <w:top w:w="40" w:type="dxa"/>
              <w:left w:w="0" w:type="dxa"/>
              <w:bottom w:w="40" w:type="dxa"/>
              <w:right w:w="20" w:type="dxa"/>
            </w:tcMar>
            <w:vAlign w:val="bottom"/>
          </w:tcPr>
          <w:p w14:paraId="07DCD6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7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D672" w14:textId="77777777" w:rsidR="00AE727E" w:rsidRDefault="008433E0">
            <w:pPr>
              <w:jc w:val="right"/>
              <w:textAlignment w:val="center"/>
            </w:pPr>
            <w:r>
              <w:rPr>
                <w:rFonts w:ascii="Times New Roman" w:eastAsia="宋体" w:hAnsi="Times New Roman"/>
                <w:color w:val="000000"/>
                <w:sz w:val="20"/>
                <w:szCs w:val="20"/>
              </w:rPr>
              <w:t>47,137 </w:t>
            </w:r>
          </w:p>
        </w:tc>
        <w:tc>
          <w:tcPr>
            <w:tcW w:w="0" w:type="auto"/>
            <w:shd w:val="clear" w:color="auto" w:fill="FFFFFF"/>
            <w:tcMar>
              <w:top w:w="40" w:type="dxa"/>
              <w:left w:w="0" w:type="dxa"/>
              <w:bottom w:w="40" w:type="dxa"/>
              <w:right w:w="20" w:type="dxa"/>
            </w:tcMar>
            <w:vAlign w:val="center"/>
          </w:tcPr>
          <w:p w14:paraId="07DCD673"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74" w14:textId="77777777" w:rsidR="00AE727E" w:rsidRDefault="00AE727E">
            <w:pPr>
              <w:rPr>
                <w:rFonts w:ascii="宋体"/>
              </w:rPr>
            </w:pPr>
          </w:p>
        </w:tc>
        <w:tc>
          <w:tcPr>
            <w:tcW w:w="0" w:type="auto"/>
            <w:gridSpan w:val="2"/>
            <w:shd w:val="clear" w:color="auto" w:fill="auto"/>
            <w:tcMar>
              <w:top w:w="40" w:type="dxa"/>
              <w:left w:w="20" w:type="dxa"/>
              <w:bottom w:w="40" w:type="dxa"/>
              <w:right w:w="0" w:type="dxa"/>
            </w:tcMar>
            <w:vAlign w:val="center"/>
          </w:tcPr>
          <w:p w14:paraId="07DCD675" w14:textId="77777777" w:rsidR="00AE727E" w:rsidRDefault="008433E0">
            <w:pPr>
              <w:jc w:val="right"/>
              <w:textAlignment w:val="center"/>
            </w:pPr>
            <w:r>
              <w:rPr>
                <w:rFonts w:ascii="Times New Roman" w:eastAsia="宋体" w:hAnsi="Times New Roman"/>
                <w:color w:val="000000"/>
                <w:sz w:val="20"/>
                <w:szCs w:val="20"/>
              </w:rPr>
              <w:t>39,923 </w:t>
            </w:r>
          </w:p>
        </w:tc>
        <w:tc>
          <w:tcPr>
            <w:tcW w:w="0" w:type="auto"/>
            <w:shd w:val="clear" w:color="auto" w:fill="auto"/>
            <w:tcMar>
              <w:top w:w="40" w:type="dxa"/>
              <w:left w:w="0" w:type="dxa"/>
              <w:bottom w:w="40" w:type="dxa"/>
              <w:right w:w="20" w:type="dxa"/>
            </w:tcMar>
            <w:vAlign w:val="center"/>
          </w:tcPr>
          <w:p w14:paraId="07DCD676" w14:textId="77777777" w:rsidR="00AE727E" w:rsidRDefault="00AE727E">
            <w:pPr>
              <w:jc w:val="right"/>
              <w:rPr>
                <w:rFonts w:ascii="宋体"/>
              </w:rPr>
            </w:pPr>
          </w:p>
        </w:tc>
      </w:tr>
      <w:tr w:rsidR="00AE727E" w14:paraId="07DCD684" w14:textId="77777777">
        <w:trPr>
          <w:jc w:val="center"/>
        </w:trPr>
        <w:tc>
          <w:tcPr>
            <w:tcW w:w="0" w:type="auto"/>
            <w:gridSpan w:val="3"/>
            <w:shd w:val="clear" w:color="auto" w:fill="CCEEFF"/>
            <w:tcMar>
              <w:top w:w="40" w:type="dxa"/>
              <w:left w:w="245" w:type="dxa"/>
              <w:bottom w:w="40" w:type="dxa"/>
              <w:right w:w="20" w:type="dxa"/>
            </w:tcMar>
            <w:vAlign w:val="bottom"/>
          </w:tcPr>
          <w:p w14:paraId="07DCD678" w14:textId="77777777" w:rsidR="00AE727E" w:rsidRDefault="008433E0">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07DCD679" w14:textId="77777777" w:rsidR="00AE727E" w:rsidRDefault="008433E0">
            <w:pPr>
              <w:jc w:val="right"/>
              <w:textAlignment w:val="bottom"/>
            </w:pPr>
            <w:r>
              <w:rPr>
                <w:rFonts w:ascii="Times New Roman" w:eastAsia="宋体" w:hAnsi="Times New Roman"/>
                <w:color w:val="000000"/>
                <w:sz w:val="20"/>
                <w:szCs w:val="20"/>
              </w:rPr>
              <w:t>2,783 </w:t>
            </w:r>
          </w:p>
        </w:tc>
        <w:tc>
          <w:tcPr>
            <w:tcW w:w="0" w:type="auto"/>
            <w:shd w:val="clear" w:color="auto" w:fill="CCEEFF"/>
            <w:tcMar>
              <w:top w:w="40" w:type="dxa"/>
              <w:left w:w="0" w:type="dxa"/>
              <w:bottom w:w="40" w:type="dxa"/>
              <w:right w:w="20" w:type="dxa"/>
            </w:tcMar>
            <w:vAlign w:val="bottom"/>
          </w:tcPr>
          <w:p w14:paraId="07DCD67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7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67C" w14:textId="77777777" w:rsidR="00AE727E" w:rsidRDefault="008433E0">
            <w:pPr>
              <w:jc w:val="right"/>
              <w:textAlignment w:val="bottom"/>
            </w:pPr>
            <w:r>
              <w:rPr>
                <w:rFonts w:ascii="Times New Roman" w:eastAsia="宋体" w:hAnsi="Times New Roman"/>
                <w:color w:val="000000"/>
                <w:sz w:val="20"/>
                <w:szCs w:val="20"/>
              </w:rPr>
              <w:t>2,432 </w:t>
            </w:r>
          </w:p>
        </w:tc>
        <w:tc>
          <w:tcPr>
            <w:tcW w:w="0" w:type="auto"/>
            <w:shd w:val="clear" w:color="auto" w:fill="CCEEFF"/>
            <w:tcMar>
              <w:top w:w="40" w:type="dxa"/>
              <w:left w:w="0" w:type="dxa"/>
              <w:bottom w:w="40" w:type="dxa"/>
              <w:right w:w="20" w:type="dxa"/>
            </w:tcMar>
            <w:vAlign w:val="bottom"/>
          </w:tcPr>
          <w:p w14:paraId="07DCD67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7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7F" w14:textId="77777777" w:rsidR="00AE727E" w:rsidRDefault="008433E0">
            <w:pPr>
              <w:jc w:val="right"/>
              <w:textAlignment w:val="center"/>
            </w:pPr>
            <w:r>
              <w:rPr>
                <w:rFonts w:ascii="Times New Roman" w:eastAsia="宋体" w:hAnsi="Times New Roman"/>
                <w:color w:val="000000"/>
                <w:sz w:val="20"/>
                <w:szCs w:val="20"/>
              </w:rPr>
              <w:t>8,164 </w:t>
            </w:r>
          </w:p>
        </w:tc>
        <w:tc>
          <w:tcPr>
            <w:tcW w:w="0" w:type="auto"/>
            <w:shd w:val="clear" w:color="auto" w:fill="CCEEFF"/>
            <w:tcMar>
              <w:top w:w="40" w:type="dxa"/>
              <w:left w:w="0" w:type="dxa"/>
              <w:bottom w:w="40" w:type="dxa"/>
              <w:right w:w="20" w:type="dxa"/>
            </w:tcMar>
            <w:vAlign w:val="center"/>
          </w:tcPr>
          <w:p w14:paraId="07DCD68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8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82" w14:textId="77777777" w:rsidR="00AE727E" w:rsidRDefault="008433E0">
            <w:pPr>
              <w:jc w:val="right"/>
              <w:textAlignment w:val="center"/>
            </w:pPr>
            <w:r>
              <w:rPr>
                <w:rFonts w:ascii="Times New Roman" w:eastAsia="宋体" w:hAnsi="Times New Roman"/>
                <w:color w:val="000000"/>
                <w:sz w:val="20"/>
                <w:szCs w:val="20"/>
              </w:rPr>
              <w:t>6,919 </w:t>
            </w:r>
          </w:p>
        </w:tc>
        <w:tc>
          <w:tcPr>
            <w:tcW w:w="0" w:type="auto"/>
            <w:shd w:val="clear" w:color="auto" w:fill="CCEEFF"/>
            <w:tcMar>
              <w:top w:w="40" w:type="dxa"/>
              <w:left w:w="0" w:type="dxa"/>
              <w:bottom w:w="40" w:type="dxa"/>
              <w:right w:w="20" w:type="dxa"/>
            </w:tcMar>
            <w:vAlign w:val="center"/>
          </w:tcPr>
          <w:p w14:paraId="07DCD683" w14:textId="77777777" w:rsidR="00AE727E" w:rsidRDefault="00AE727E">
            <w:pPr>
              <w:jc w:val="right"/>
              <w:rPr>
                <w:rFonts w:ascii="宋体"/>
              </w:rPr>
            </w:pPr>
          </w:p>
        </w:tc>
      </w:tr>
      <w:tr w:rsidR="00AE727E" w14:paraId="07DCD691" w14:textId="77777777">
        <w:trPr>
          <w:jc w:val="center"/>
        </w:trPr>
        <w:tc>
          <w:tcPr>
            <w:tcW w:w="0" w:type="auto"/>
            <w:gridSpan w:val="3"/>
            <w:shd w:val="clear" w:color="auto" w:fill="FFFFFF"/>
            <w:tcMar>
              <w:top w:w="40" w:type="dxa"/>
              <w:left w:w="515" w:type="dxa"/>
              <w:bottom w:w="40" w:type="dxa"/>
              <w:right w:w="20" w:type="dxa"/>
            </w:tcMar>
            <w:vAlign w:val="bottom"/>
          </w:tcPr>
          <w:p w14:paraId="07DCD685" w14:textId="77777777" w:rsidR="00AE727E" w:rsidRDefault="008433E0">
            <w:pPr>
              <w:textAlignment w:val="bottom"/>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86" w14:textId="77777777" w:rsidR="00AE727E" w:rsidRDefault="008433E0">
            <w:pPr>
              <w:jc w:val="right"/>
              <w:textAlignment w:val="bottom"/>
            </w:pPr>
            <w:r>
              <w:rPr>
                <w:rFonts w:ascii="Times New Roman" w:eastAsia="宋体" w:hAnsi="Times New Roman"/>
                <w:color w:val="000000"/>
                <w:sz w:val="20"/>
                <w:szCs w:val="20"/>
              </w:rPr>
              <w:t>20,335 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8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8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89" w14:textId="77777777" w:rsidR="00AE727E" w:rsidRDefault="008433E0">
            <w:pPr>
              <w:jc w:val="right"/>
              <w:textAlignment w:val="bottom"/>
            </w:pPr>
            <w:r>
              <w:rPr>
                <w:rFonts w:ascii="Times New Roman" w:eastAsia="宋体" w:hAnsi="Times New Roman"/>
                <w:color w:val="000000"/>
                <w:sz w:val="20"/>
                <w:szCs w:val="20"/>
              </w:rPr>
              <w:t>16,221 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8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8B"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D68C" w14:textId="77777777" w:rsidR="00AE727E" w:rsidRDefault="008433E0">
            <w:pPr>
              <w:jc w:val="right"/>
              <w:textAlignment w:val="center"/>
            </w:pPr>
            <w:r>
              <w:rPr>
                <w:rFonts w:ascii="Times New Roman" w:eastAsia="宋体" w:hAnsi="Times New Roman"/>
                <w:color w:val="000000"/>
                <w:sz w:val="20"/>
                <w:szCs w:val="20"/>
              </w:rPr>
              <w:t>55,301 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D68D"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8E"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CD68F" w14:textId="77777777" w:rsidR="00AE727E" w:rsidRDefault="008433E0">
            <w:pPr>
              <w:jc w:val="right"/>
              <w:textAlignment w:val="center"/>
            </w:pPr>
            <w:r>
              <w:rPr>
                <w:rFonts w:ascii="Times New Roman" w:eastAsia="宋体" w:hAnsi="Times New Roman"/>
                <w:color w:val="000000"/>
                <w:sz w:val="20"/>
                <w:szCs w:val="20"/>
              </w:rPr>
              <w:t>46,842 </w:t>
            </w:r>
          </w:p>
        </w:tc>
        <w:tc>
          <w:tcPr>
            <w:tcW w:w="0" w:type="auto"/>
            <w:tcBorders>
              <w:top w:val="single" w:sz="8" w:space="0" w:color="000000"/>
            </w:tcBorders>
            <w:shd w:val="clear" w:color="auto" w:fill="auto"/>
            <w:tcMar>
              <w:top w:w="40" w:type="dxa"/>
              <w:left w:w="0" w:type="dxa"/>
              <w:bottom w:w="40" w:type="dxa"/>
              <w:right w:w="20" w:type="dxa"/>
            </w:tcMar>
            <w:vAlign w:val="center"/>
          </w:tcPr>
          <w:p w14:paraId="07DCD690" w14:textId="77777777" w:rsidR="00AE727E" w:rsidRDefault="00AE727E">
            <w:pPr>
              <w:jc w:val="right"/>
              <w:rPr>
                <w:rFonts w:ascii="宋体"/>
              </w:rPr>
            </w:pPr>
          </w:p>
        </w:tc>
      </w:tr>
      <w:tr w:rsidR="00AE727E" w14:paraId="07DCD69E" w14:textId="77777777">
        <w:trPr>
          <w:jc w:val="center"/>
        </w:trPr>
        <w:tc>
          <w:tcPr>
            <w:tcW w:w="0" w:type="auto"/>
            <w:gridSpan w:val="3"/>
            <w:shd w:val="clear" w:color="auto" w:fill="CCEEFF"/>
            <w:tcMar>
              <w:top w:w="40" w:type="dxa"/>
              <w:left w:w="20" w:type="dxa"/>
              <w:bottom w:w="40" w:type="dxa"/>
              <w:right w:w="20" w:type="dxa"/>
            </w:tcMar>
            <w:vAlign w:val="bottom"/>
          </w:tcPr>
          <w:p w14:paraId="07DCD692" w14:textId="77777777" w:rsidR="00AE727E" w:rsidRDefault="008433E0">
            <w:pPr>
              <w:textAlignment w:val="bottom"/>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693" w14:textId="77777777" w:rsidR="00AE727E" w:rsidRDefault="008433E0">
            <w:pPr>
              <w:jc w:val="right"/>
              <w:textAlignment w:val="bottom"/>
            </w:pPr>
            <w:r>
              <w:rPr>
                <w:rFonts w:ascii="Times New Roman" w:eastAsia="宋体" w:hAnsi="Times New Roman"/>
                <w:color w:val="000000"/>
                <w:sz w:val="20"/>
                <w:szCs w:val="20"/>
              </w:rPr>
              <w:t>8,059 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6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9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696" w14:textId="77777777" w:rsidR="00AE727E" w:rsidRDefault="008433E0">
            <w:pPr>
              <w:jc w:val="right"/>
              <w:textAlignment w:val="bottom"/>
            </w:pPr>
            <w:r>
              <w:rPr>
                <w:rFonts w:ascii="Times New Roman" w:eastAsia="宋体" w:hAnsi="Times New Roman"/>
                <w:color w:val="000000"/>
                <w:sz w:val="20"/>
                <w:szCs w:val="20"/>
              </w:rPr>
              <w:t>7,261 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69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98"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D699" w14:textId="77777777" w:rsidR="00AE727E" w:rsidRDefault="008433E0">
            <w:pPr>
              <w:jc w:val="right"/>
              <w:textAlignment w:val="center"/>
            </w:pPr>
            <w:r>
              <w:rPr>
                <w:rFonts w:ascii="Times New Roman" w:eastAsia="宋体" w:hAnsi="Times New Roman"/>
                <w:color w:val="000000"/>
                <w:sz w:val="20"/>
                <w:szCs w:val="20"/>
              </w:rPr>
              <w:t>23,702 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D69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9B"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D69C" w14:textId="77777777" w:rsidR="00AE727E" w:rsidRDefault="008433E0">
            <w:pPr>
              <w:jc w:val="right"/>
              <w:textAlignment w:val="center"/>
            </w:pPr>
            <w:r>
              <w:rPr>
                <w:rFonts w:ascii="Times New Roman" w:eastAsia="宋体" w:hAnsi="Times New Roman"/>
                <w:color w:val="000000"/>
                <w:sz w:val="20"/>
                <w:szCs w:val="20"/>
              </w:rPr>
              <w:t>21,270 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D69D" w14:textId="77777777" w:rsidR="00AE727E" w:rsidRDefault="00AE727E">
            <w:pPr>
              <w:jc w:val="right"/>
              <w:rPr>
                <w:rFonts w:ascii="宋体"/>
              </w:rPr>
            </w:pPr>
          </w:p>
        </w:tc>
      </w:tr>
      <w:tr w:rsidR="00AE727E" w14:paraId="07DCD6A7" w14:textId="77777777">
        <w:trPr>
          <w:jc w:val="center"/>
        </w:trPr>
        <w:tc>
          <w:tcPr>
            <w:tcW w:w="0" w:type="auto"/>
            <w:gridSpan w:val="3"/>
            <w:shd w:val="clear" w:color="auto" w:fill="FFFFFF"/>
            <w:tcMar>
              <w:top w:w="40" w:type="dxa"/>
              <w:left w:w="20" w:type="dxa"/>
              <w:bottom w:w="40" w:type="dxa"/>
              <w:right w:w="20" w:type="dxa"/>
            </w:tcMar>
            <w:vAlign w:val="bottom"/>
          </w:tcPr>
          <w:p w14:paraId="07DCD69F" w14:textId="77777777" w:rsidR="00AE727E" w:rsidRDefault="008433E0">
            <w:pPr>
              <w:textAlignment w:val="bottom"/>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6A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6A1"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6A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6A3"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6A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6A5"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6A6" w14:textId="77777777" w:rsidR="00AE727E" w:rsidRDefault="00AE727E">
            <w:pPr>
              <w:rPr>
                <w:rFonts w:ascii="宋体"/>
              </w:rPr>
            </w:pPr>
          </w:p>
        </w:tc>
      </w:tr>
      <w:tr w:rsidR="00AE727E" w14:paraId="07DCD6B4" w14:textId="77777777">
        <w:trPr>
          <w:jc w:val="center"/>
        </w:trPr>
        <w:tc>
          <w:tcPr>
            <w:tcW w:w="0" w:type="auto"/>
            <w:gridSpan w:val="3"/>
            <w:shd w:val="clear" w:color="auto" w:fill="CCEEFF"/>
            <w:tcMar>
              <w:top w:w="40" w:type="dxa"/>
              <w:left w:w="245" w:type="dxa"/>
              <w:bottom w:w="40" w:type="dxa"/>
              <w:right w:w="20" w:type="dxa"/>
            </w:tcMar>
            <w:vAlign w:val="bottom"/>
          </w:tcPr>
          <w:p w14:paraId="07DCD6A8" w14:textId="77777777" w:rsidR="00AE727E" w:rsidRDefault="008433E0">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07DCD6A9" w14:textId="77777777" w:rsidR="00AE727E" w:rsidRDefault="008433E0">
            <w:pPr>
              <w:jc w:val="right"/>
              <w:textAlignment w:val="bottom"/>
            </w:pPr>
            <w:r>
              <w:rPr>
                <w:rFonts w:ascii="Times New Roman" w:eastAsia="宋体" w:hAnsi="Times New Roman"/>
                <w:color w:val="000000"/>
                <w:sz w:val="20"/>
                <w:szCs w:val="20"/>
              </w:rPr>
              <w:t>5,293 </w:t>
            </w:r>
          </w:p>
        </w:tc>
        <w:tc>
          <w:tcPr>
            <w:tcW w:w="0" w:type="auto"/>
            <w:shd w:val="clear" w:color="auto" w:fill="CCEEFF"/>
            <w:tcMar>
              <w:top w:w="40" w:type="dxa"/>
              <w:left w:w="0" w:type="dxa"/>
              <w:bottom w:w="40" w:type="dxa"/>
              <w:right w:w="20" w:type="dxa"/>
            </w:tcMar>
            <w:vAlign w:val="bottom"/>
          </w:tcPr>
          <w:p w14:paraId="07DCD6A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A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6AC" w14:textId="77777777" w:rsidR="00AE727E" w:rsidRDefault="008433E0">
            <w:pPr>
              <w:jc w:val="right"/>
              <w:textAlignment w:val="bottom"/>
            </w:pPr>
            <w:r>
              <w:rPr>
                <w:rFonts w:ascii="Times New Roman" w:eastAsia="宋体" w:hAnsi="Times New Roman"/>
                <w:color w:val="000000"/>
                <w:sz w:val="20"/>
                <w:szCs w:val="20"/>
              </w:rPr>
              <w:t>4,772 </w:t>
            </w:r>
          </w:p>
        </w:tc>
        <w:tc>
          <w:tcPr>
            <w:tcW w:w="0" w:type="auto"/>
            <w:shd w:val="clear" w:color="auto" w:fill="CCEEFF"/>
            <w:tcMar>
              <w:top w:w="40" w:type="dxa"/>
              <w:left w:w="0" w:type="dxa"/>
              <w:bottom w:w="40" w:type="dxa"/>
              <w:right w:w="20" w:type="dxa"/>
            </w:tcMar>
            <w:vAlign w:val="bottom"/>
          </w:tcPr>
          <w:p w14:paraId="07DCD6A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A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AF" w14:textId="77777777" w:rsidR="00AE727E" w:rsidRDefault="008433E0">
            <w:pPr>
              <w:jc w:val="right"/>
              <w:textAlignment w:val="center"/>
            </w:pPr>
            <w:r>
              <w:rPr>
                <w:rFonts w:ascii="Times New Roman" w:eastAsia="宋体" w:hAnsi="Times New Roman"/>
                <w:color w:val="000000"/>
                <w:sz w:val="20"/>
                <w:szCs w:val="20"/>
              </w:rPr>
              <w:t>15,398 </w:t>
            </w:r>
          </w:p>
        </w:tc>
        <w:tc>
          <w:tcPr>
            <w:tcW w:w="0" w:type="auto"/>
            <w:shd w:val="clear" w:color="auto" w:fill="CCEEFF"/>
            <w:tcMar>
              <w:top w:w="40" w:type="dxa"/>
              <w:left w:w="0" w:type="dxa"/>
              <w:bottom w:w="40" w:type="dxa"/>
              <w:right w:w="20" w:type="dxa"/>
            </w:tcMar>
            <w:vAlign w:val="center"/>
          </w:tcPr>
          <w:p w14:paraId="07DCD6B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B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B2" w14:textId="77777777" w:rsidR="00AE727E" w:rsidRDefault="008433E0">
            <w:pPr>
              <w:jc w:val="right"/>
              <w:textAlignment w:val="center"/>
            </w:pPr>
            <w:r>
              <w:rPr>
                <w:rFonts w:ascii="Times New Roman" w:eastAsia="宋体" w:hAnsi="Times New Roman"/>
                <w:color w:val="000000"/>
                <w:sz w:val="20"/>
                <w:szCs w:val="20"/>
              </w:rPr>
              <w:t>14,419 </w:t>
            </w:r>
          </w:p>
        </w:tc>
        <w:tc>
          <w:tcPr>
            <w:tcW w:w="0" w:type="auto"/>
            <w:shd w:val="clear" w:color="auto" w:fill="CCEEFF"/>
            <w:tcMar>
              <w:top w:w="40" w:type="dxa"/>
              <w:left w:w="0" w:type="dxa"/>
              <w:bottom w:w="40" w:type="dxa"/>
              <w:right w:w="20" w:type="dxa"/>
            </w:tcMar>
            <w:vAlign w:val="center"/>
          </w:tcPr>
          <w:p w14:paraId="07DCD6B3" w14:textId="77777777" w:rsidR="00AE727E" w:rsidRDefault="00AE727E">
            <w:pPr>
              <w:jc w:val="right"/>
              <w:rPr>
                <w:rFonts w:ascii="宋体"/>
              </w:rPr>
            </w:pPr>
          </w:p>
        </w:tc>
      </w:tr>
      <w:tr w:rsidR="00AE727E" w14:paraId="07DCD6C1" w14:textId="77777777">
        <w:trPr>
          <w:jc w:val="center"/>
        </w:trPr>
        <w:tc>
          <w:tcPr>
            <w:tcW w:w="0" w:type="auto"/>
            <w:gridSpan w:val="3"/>
            <w:shd w:val="clear" w:color="auto" w:fill="FFFFFF"/>
            <w:tcMar>
              <w:top w:w="40" w:type="dxa"/>
              <w:left w:w="245" w:type="dxa"/>
              <w:bottom w:w="40" w:type="dxa"/>
              <w:right w:w="20" w:type="dxa"/>
            </w:tcMar>
            <w:vAlign w:val="bottom"/>
          </w:tcPr>
          <w:p w14:paraId="07DCD6B5" w14:textId="77777777" w:rsidR="00AE727E" w:rsidRDefault="008433E0">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7DCD6B6" w14:textId="77777777" w:rsidR="00AE727E" w:rsidRDefault="008433E0">
            <w:pPr>
              <w:jc w:val="right"/>
              <w:textAlignment w:val="bottom"/>
            </w:pPr>
            <w:r>
              <w:rPr>
                <w:rFonts w:ascii="Times New Roman" w:eastAsia="宋体" w:hAnsi="Times New Roman"/>
                <w:color w:val="000000"/>
                <w:sz w:val="20"/>
                <w:szCs w:val="20"/>
              </w:rPr>
              <w:t>1,417 </w:t>
            </w:r>
          </w:p>
        </w:tc>
        <w:tc>
          <w:tcPr>
            <w:tcW w:w="0" w:type="auto"/>
            <w:shd w:val="clear" w:color="auto" w:fill="FFFFFF"/>
            <w:tcMar>
              <w:top w:w="40" w:type="dxa"/>
              <w:left w:w="0" w:type="dxa"/>
              <w:bottom w:w="40" w:type="dxa"/>
              <w:right w:w="20" w:type="dxa"/>
            </w:tcMar>
            <w:vAlign w:val="bottom"/>
          </w:tcPr>
          <w:p w14:paraId="07DCD6B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B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6B9" w14:textId="77777777" w:rsidR="00AE727E" w:rsidRDefault="008433E0">
            <w:pPr>
              <w:jc w:val="right"/>
              <w:textAlignment w:val="bottom"/>
            </w:pPr>
            <w:r>
              <w:rPr>
                <w:rFonts w:ascii="Times New Roman" w:eastAsia="宋体" w:hAnsi="Times New Roman"/>
                <w:color w:val="000000"/>
                <w:sz w:val="20"/>
                <w:szCs w:val="20"/>
              </w:rPr>
              <w:t>1,360 </w:t>
            </w:r>
          </w:p>
        </w:tc>
        <w:tc>
          <w:tcPr>
            <w:tcW w:w="0" w:type="auto"/>
            <w:shd w:val="clear" w:color="auto" w:fill="FFFFFF"/>
            <w:tcMar>
              <w:top w:w="40" w:type="dxa"/>
              <w:left w:w="0" w:type="dxa"/>
              <w:bottom w:w="40" w:type="dxa"/>
              <w:right w:w="20" w:type="dxa"/>
            </w:tcMar>
            <w:vAlign w:val="bottom"/>
          </w:tcPr>
          <w:p w14:paraId="07DCD6B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B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D6BC" w14:textId="77777777" w:rsidR="00AE727E" w:rsidRDefault="008433E0">
            <w:pPr>
              <w:jc w:val="right"/>
              <w:textAlignment w:val="center"/>
            </w:pPr>
            <w:r>
              <w:rPr>
                <w:rFonts w:ascii="Times New Roman" w:eastAsia="宋体" w:hAnsi="Times New Roman"/>
                <w:color w:val="000000"/>
                <w:sz w:val="20"/>
                <w:szCs w:val="20"/>
              </w:rPr>
              <w:t>4,208 </w:t>
            </w:r>
          </w:p>
        </w:tc>
        <w:tc>
          <w:tcPr>
            <w:tcW w:w="0" w:type="auto"/>
            <w:shd w:val="clear" w:color="auto" w:fill="FFFFFF"/>
            <w:tcMar>
              <w:top w:w="40" w:type="dxa"/>
              <w:left w:w="0" w:type="dxa"/>
              <w:bottom w:w="40" w:type="dxa"/>
              <w:right w:w="20" w:type="dxa"/>
            </w:tcMar>
            <w:vAlign w:val="center"/>
          </w:tcPr>
          <w:p w14:paraId="07DCD6BD"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BE" w14:textId="77777777" w:rsidR="00AE727E" w:rsidRDefault="00AE727E">
            <w:pPr>
              <w:rPr>
                <w:rFonts w:ascii="宋体"/>
              </w:rPr>
            </w:pPr>
          </w:p>
        </w:tc>
        <w:tc>
          <w:tcPr>
            <w:tcW w:w="0" w:type="auto"/>
            <w:gridSpan w:val="2"/>
            <w:shd w:val="clear" w:color="auto" w:fill="auto"/>
            <w:tcMar>
              <w:top w:w="40" w:type="dxa"/>
              <w:left w:w="20" w:type="dxa"/>
              <w:bottom w:w="40" w:type="dxa"/>
              <w:right w:w="0" w:type="dxa"/>
            </w:tcMar>
            <w:vAlign w:val="center"/>
          </w:tcPr>
          <w:p w14:paraId="07DCD6BF" w14:textId="77777777" w:rsidR="00AE727E" w:rsidRDefault="008433E0">
            <w:pPr>
              <w:jc w:val="right"/>
              <w:textAlignment w:val="center"/>
            </w:pPr>
            <w:r>
              <w:rPr>
                <w:rFonts w:ascii="Times New Roman" w:eastAsia="宋体" w:hAnsi="Times New Roman"/>
                <w:color w:val="000000"/>
                <w:sz w:val="20"/>
                <w:szCs w:val="20"/>
              </w:rPr>
              <w:t>3,884 </w:t>
            </w:r>
          </w:p>
        </w:tc>
        <w:tc>
          <w:tcPr>
            <w:tcW w:w="0" w:type="auto"/>
            <w:shd w:val="clear" w:color="auto" w:fill="auto"/>
            <w:tcMar>
              <w:top w:w="40" w:type="dxa"/>
              <w:left w:w="0" w:type="dxa"/>
              <w:bottom w:w="40" w:type="dxa"/>
              <w:right w:w="20" w:type="dxa"/>
            </w:tcMar>
            <w:vAlign w:val="center"/>
          </w:tcPr>
          <w:p w14:paraId="07DCD6C0" w14:textId="77777777" w:rsidR="00AE727E" w:rsidRDefault="00AE727E">
            <w:pPr>
              <w:jc w:val="right"/>
              <w:rPr>
                <w:rFonts w:ascii="宋体"/>
              </w:rPr>
            </w:pPr>
          </w:p>
        </w:tc>
      </w:tr>
      <w:tr w:rsidR="00AE727E" w14:paraId="07DCD6CE" w14:textId="77777777">
        <w:trPr>
          <w:jc w:val="center"/>
        </w:trPr>
        <w:tc>
          <w:tcPr>
            <w:tcW w:w="0" w:type="auto"/>
            <w:gridSpan w:val="3"/>
            <w:shd w:val="clear" w:color="auto" w:fill="CCEEFF"/>
            <w:tcMar>
              <w:top w:w="40" w:type="dxa"/>
              <w:left w:w="515" w:type="dxa"/>
              <w:bottom w:w="40" w:type="dxa"/>
              <w:right w:w="20" w:type="dxa"/>
            </w:tcMar>
            <w:vAlign w:val="bottom"/>
          </w:tcPr>
          <w:p w14:paraId="07DCD6C2" w14:textId="77777777" w:rsidR="00AE727E" w:rsidRDefault="008433E0">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6C3" w14:textId="77777777" w:rsidR="00AE727E" w:rsidRDefault="008433E0">
            <w:pPr>
              <w:jc w:val="right"/>
              <w:textAlignment w:val="bottom"/>
            </w:pPr>
            <w:r>
              <w:rPr>
                <w:rFonts w:ascii="Times New Roman" w:eastAsia="宋体" w:hAnsi="Times New Roman"/>
                <w:color w:val="000000"/>
                <w:sz w:val="20"/>
                <w:szCs w:val="20"/>
              </w:rPr>
              <w:t>6,710 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6C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C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6C6" w14:textId="77777777" w:rsidR="00AE727E" w:rsidRDefault="008433E0">
            <w:pPr>
              <w:jc w:val="right"/>
              <w:textAlignment w:val="bottom"/>
            </w:pPr>
            <w:r>
              <w:rPr>
                <w:rFonts w:ascii="Times New Roman" w:eastAsia="宋体" w:hAnsi="Times New Roman"/>
                <w:color w:val="000000"/>
                <w:sz w:val="20"/>
                <w:szCs w:val="20"/>
              </w:rPr>
              <w:t>6,132 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6C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C8"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D6C9" w14:textId="77777777" w:rsidR="00AE727E" w:rsidRDefault="008433E0">
            <w:pPr>
              <w:jc w:val="right"/>
              <w:textAlignment w:val="center"/>
            </w:pPr>
            <w:r>
              <w:rPr>
                <w:rFonts w:ascii="Times New Roman" w:eastAsia="宋体" w:hAnsi="Times New Roman"/>
                <w:color w:val="000000"/>
                <w:sz w:val="20"/>
                <w:szCs w:val="20"/>
              </w:rPr>
              <w:t>19,606 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D6C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CB"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D6CC" w14:textId="77777777" w:rsidR="00AE727E" w:rsidRDefault="008433E0">
            <w:pPr>
              <w:jc w:val="right"/>
              <w:textAlignment w:val="center"/>
            </w:pPr>
            <w:r>
              <w:rPr>
                <w:rFonts w:ascii="Times New Roman" w:eastAsia="宋体" w:hAnsi="Times New Roman"/>
                <w:color w:val="000000"/>
                <w:sz w:val="20"/>
                <w:szCs w:val="20"/>
              </w:rPr>
              <w:t>18,303 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D6CD" w14:textId="77777777" w:rsidR="00AE727E" w:rsidRDefault="00AE727E">
            <w:pPr>
              <w:jc w:val="right"/>
              <w:rPr>
                <w:rFonts w:ascii="宋体"/>
              </w:rPr>
            </w:pPr>
          </w:p>
        </w:tc>
      </w:tr>
      <w:tr w:rsidR="00AE727E" w14:paraId="07DCD6DB" w14:textId="77777777">
        <w:trPr>
          <w:jc w:val="center"/>
        </w:trPr>
        <w:tc>
          <w:tcPr>
            <w:tcW w:w="0" w:type="auto"/>
            <w:gridSpan w:val="3"/>
            <w:shd w:val="clear" w:color="auto" w:fill="FFFFFF"/>
            <w:tcMar>
              <w:top w:w="40" w:type="dxa"/>
              <w:left w:w="260" w:type="dxa"/>
              <w:bottom w:w="40" w:type="dxa"/>
              <w:right w:w="20" w:type="dxa"/>
            </w:tcMar>
            <w:vAlign w:val="bottom"/>
          </w:tcPr>
          <w:p w14:paraId="07DCD6CF" w14:textId="77777777" w:rsidR="00AE727E" w:rsidRDefault="008433E0">
            <w:pPr>
              <w:textAlignment w:val="bottom"/>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D0" w14:textId="77777777" w:rsidR="00AE727E" w:rsidRDefault="008433E0">
            <w:pPr>
              <w:jc w:val="right"/>
              <w:textAlignment w:val="bottom"/>
            </w:pPr>
            <w:r>
              <w:rPr>
                <w:rFonts w:ascii="Times New Roman" w:eastAsia="宋体" w:hAnsi="Times New Roman"/>
                <w:color w:val="000000"/>
                <w:sz w:val="20"/>
                <w:szCs w:val="20"/>
              </w:rPr>
              <w:t>1,349 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D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D2"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D3" w14:textId="77777777" w:rsidR="00AE727E" w:rsidRDefault="008433E0">
            <w:pPr>
              <w:jc w:val="right"/>
              <w:textAlignment w:val="bottom"/>
            </w:pPr>
            <w:r>
              <w:rPr>
                <w:rFonts w:ascii="Times New Roman" w:eastAsia="宋体" w:hAnsi="Times New Roman"/>
                <w:color w:val="000000"/>
                <w:sz w:val="20"/>
                <w:szCs w:val="20"/>
              </w:rPr>
              <w:t>1,129 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D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D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D6D6" w14:textId="77777777" w:rsidR="00AE727E" w:rsidRDefault="008433E0">
            <w:pPr>
              <w:jc w:val="right"/>
              <w:textAlignment w:val="center"/>
            </w:pPr>
            <w:r>
              <w:rPr>
                <w:rFonts w:ascii="Times New Roman" w:eastAsia="宋体" w:hAnsi="Times New Roman"/>
                <w:color w:val="000000"/>
                <w:sz w:val="20"/>
                <w:szCs w:val="20"/>
              </w:rPr>
              <w:t>4,096 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D6D7"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D8"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CD6D9" w14:textId="77777777" w:rsidR="00AE727E" w:rsidRDefault="008433E0">
            <w:pPr>
              <w:jc w:val="right"/>
              <w:textAlignment w:val="center"/>
            </w:pPr>
            <w:r>
              <w:rPr>
                <w:rFonts w:ascii="Times New Roman" w:eastAsia="宋体" w:hAnsi="Times New Roman"/>
                <w:color w:val="000000"/>
                <w:sz w:val="20"/>
                <w:szCs w:val="20"/>
              </w:rPr>
              <w:t>2,967 </w:t>
            </w:r>
          </w:p>
        </w:tc>
        <w:tc>
          <w:tcPr>
            <w:tcW w:w="0" w:type="auto"/>
            <w:tcBorders>
              <w:top w:val="single" w:sz="8" w:space="0" w:color="000000"/>
            </w:tcBorders>
            <w:shd w:val="clear" w:color="auto" w:fill="auto"/>
            <w:tcMar>
              <w:top w:w="40" w:type="dxa"/>
              <w:left w:w="0" w:type="dxa"/>
              <w:bottom w:w="40" w:type="dxa"/>
              <w:right w:w="20" w:type="dxa"/>
            </w:tcMar>
            <w:vAlign w:val="center"/>
          </w:tcPr>
          <w:p w14:paraId="07DCD6DA" w14:textId="77777777" w:rsidR="00AE727E" w:rsidRDefault="00AE727E">
            <w:pPr>
              <w:jc w:val="right"/>
              <w:rPr>
                <w:rFonts w:ascii="宋体"/>
              </w:rPr>
            </w:pPr>
          </w:p>
        </w:tc>
      </w:tr>
      <w:tr w:rsidR="00AE727E" w14:paraId="07DCD6E8" w14:textId="77777777">
        <w:trPr>
          <w:jc w:val="center"/>
        </w:trPr>
        <w:tc>
          <w:tcPr>
            <w:tcW w:w="0" w:type="auto"/>
            <w:gridSpan w:val="3"/>
            <w:shd w:val="clear" w:color="auto" w:fill="CCEEFF"/>
            <w:tcMar>
              <w:top w:w="40" w:type="dxa"/>
              <w:left w:w="20" w:type="dxa"/>
              <w:bottom w:w="40" w:type="dxa"/>
              <w:right w:w="20" w:type="dxa"/>
            </w:tcMar>
            <w:vAlign w:val="bottom"/>
          </w:tcPr>
          <w:p w14:paraId="07DCD6DC"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bottom"/>
          </w:tcPr>
          <w:p w14:paraId="07DCD6DD" w14:textId="77777777" w:rsidR="00AE727E" w:rsidRDefault="008433E0">
            <w:pPr>
              <w:jc w:val="right"/>
              <w:textAlignment w:val="bottom"/>
            </w:pPr>
            <w:r>
              <w:rPr>
                <w:rFonts w:ascii="Times New Roman" w:eastAsia="宋体" w:hAnsi="Times New Roman"/>
                <w:color w:val="000000"/>
                <w:sz w:val="20"/>
                <w:szCs w:val="20"/>
              </w:rPr>
              <w:t>3,436 </w:t>
            </w:r>
          </w:p>
        </w:tc>
        <w:tc>
          <w:tcPr>
            <w:tcW w:w="0" w:type="auto"/>
            <w:shd w:val="clear" w:color="auto" w:fill="CCEEFF"/>
            <w:tcMar>
              <w:top w:w="40" w:type="dxa"/>
              <w:left w:w="0" w:type="dxa"/>
              <w:bottom w:w="40" w:type="dxa"/>
              <w:right w:w="20" w:type="dxa"/>
            </w:tcMar>
            <w:vAlign w:val="bottom"/>
          </w:tcPr>
          <w:p w14:paraId="07DCD6D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D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6E0" w14:textId="77777777" w:rsidR="00AE727E" w:rsidRDefault="008433E0">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bottom"/>
          </w:tcPr>
          <w:p w14:paraId="07DCD6E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E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E3" w14:textId="77777777" w:rsidR="00AE727E" w:rsidRDefault="008433E0">
            <w:pPr>
              <w:jc w:val="right"/>
              <w:textAlignment w:val="center"/>
            </w:pPr>
            <w:r>
              <w:rPr>
                <w:rFonts w:ascii="Times New Roman" w:eastAsia="宋体" w:hAnsi="Times New Roman"/>
                <w:color w:val="000000"/>
                <w:sz w:val="20"/>
                <w:szCs w:val="20"/>
              </w:rPr>
              <w:t>2,689 </w:t>
            </w:r>
          </w:p>
        </w:tc>
        <w:tc>
          <w:tcPr>
            <w:tcW w:w="0" w:type="auto"/>
            <w:shd w:val="clear" w:color="auto" w:fill="CCEEFF"/>
            <w:tcMar>
              <w:top w:w="40" w:type="dxa"/>
              <w:left w:w="0" w:type="dxa"/>
              <w:bottom w:w="40" w:type="dxa"/>
              <w:right w:w="20" w:type="dxa"/>
            </w:tcMar>
            <w:vAlign w:val="center"/>
          </w:tcPr>
          <w:p w14:paraId="07DCD6E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E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E6" w14:textId="77777777" w:rsidR="00AE727E" w:rsidRDefault="008433E0">
            <w:pPr>
              <w:jc w:val="right"/>
              <w:textAlignment w:val="center"/>
            </w:pPr>
            <w:r>
              <w:rPr>
                <w:rFonts w:ascii="Times New Roman" w:eastAsia="宋体" w:hAnsi="Times New Roman"/>
                <w:color w:val="000000"/>
                <w:sz w:val="20"/>
                <w:szCs w:val="20"/>
              </w:rPr>
              <w:t>(929)</w:t>
            </w:r>
          </w:p>
        </w:tc>
        <w:tc>
          <w:tcPr>
            <w:tcW w:w="0" w:type="auto"/>
            <w:shd w:val="clear" w:color="auto" w:fill="CCEEFF"/>
            <w:tcMar>
              <w:top w:w="40" w:type="dxa"/>
              <w:left w:w="0" w:type="dxa"/>
              <w:bottom w:w="40" w:type="dxa"/>
              <w:right w:w="20" w:type="dxa"/>
            </w:tcMar>
            <w:vAlign w:val="center"/>
          </w:tcPr>
          <w:p w14:paraId="07DCD6E7" w14:textId="77777777" w:rsidR="00AE727E" w:rsidRDefault="00AE727E">
            <w:pPr>
              <w:jc w:val="right"/>
              <w:rPr>
                <w:rFonts w:ascii="宋体"/>
              </w:rPr>
            </w:pPr>
          </w:p>
        </w:tc>
      </w:tr>
      <w:tr w:rsidR="00AE727E" w14:paraId="07DCD6F5" w14:textId="77777777">
        <w:trPr>
          <w:jc w:val="center"/>
        </w:trPr>
        <w:tc>
          <w:tcPr>
            <w:tcW w:w="0" w:type="auto"/>
            <w:gridSpan w:val="3"/>
            <w:shd w:val="clear" w:color="auto" w:fill="FFFFFF"/>
            <w:tcMar>
              <w:top w:w="40" w:type="dxa"/>
              <w:left w:w="245" w:type="dxa"/>
              <w:bottom w:w="40" w:type="dxa"/>
              <w:right w:w="20" w:type="dxa"/>
            </w:tcMar>
            <w:vAlign w:val="bottom"/>
          </w:tcPr>
          <w:p w14:paraId="07DCD6E9" w14:textId="77777777" w:rsidR="00AE727E" w:rsidRDefault="008433E0">
            <w:pPr>
              <w:textAlignment w:val="bottom"/>
            </w:pPr>
            <w:r>
              <w:rPr>
                <w:rFonts w:ascii="Times New Roman" w:eastAsia="宋体" w:hAnsi="Times New Roman"/>
                <w:color w:val="000000"/>
                <w:sz w:val="20"/>
                <w:szCs w:val="20"/>
              </w:rPr>
              <w:t>Income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EA" w14:textId="77777777" w:rsidR="00AE727E" w:rsidRDefault="008433E0">
            <w:pPr>
              <w:jc w:val="right"/>
              <w:textAlignment w:val="bottom"/>
            </w:pPr>
            <w:r>
              <w:rPr>
                <w:rFonts w:ascii="Times New Roman" w:eastAsia="宋体" w:hAnsi="Times New Roman"/>
                <w:color w:val="000000"/>
                <w:sz w:val="20"/>
                <w:szCs w:val="20"/>
              </w:rPr>
              <w:t>4,785 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E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EC"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6ED" w14:textId="77777777" w:rsidR="00AE727E" w:rsidRDefault="008433E0">
            <w:pPr>
              <w:jc w:val="right"/>
              <w:textAlignment w:val="bottom"/>
            </w:pPr>
            <w:r>
              <w:rPr>
                <w:rFonts w:ascii="Times New Roman" w:eastAsia="宋体" w:hAnsi="Times New Roman"/>
                <w:color w:val="000000"/>
                <w:sz w:val="20"/>
                <w:szCs w:val="20"/>
              </w:rPr>
              <w:t>1,402 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6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6EF"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D6F0" w14:textId="77777777" w:rsidR="00AE727E" w:rsidRDefault="008433E0">
            <w:pPr>
              <w:jc w:val="right"/>
              <w:textAlignment w:val="center"/>
            </w:pPr>
            <w:r>
              <w:rPr>
                <w:rFonts w:ascii="Times New Roman" w:eastAsia="宋体" w:hAnsi="Times New Roman"/>
                <w:color w:val="000000"/>
                <w:sz w:val="20"/>
                <w:szCs w:val="20"/>
              </w:rPr>
              <w:t>6,785 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D6F1"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6F2"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CD6F3" w14:textId="77777777" w:rsidR="00AE727E" w:rsidRDefault="008433E0">
            <w:pPr>
              <w:jc w:val="right"/>
              <w:textAlignment w:val="center"/>
            </w:pPr>
            <w:r>
              <w:rPr>
                <w:rFonts w:ascii="Times New Roman" w:eastAsia="宋体" w:hAnsi="Times New Roman"/>
                <w:color w:val="000000"/>
                <w:sz w:val="20"/>
                <w:szCs w:val="20"/>
              </w:rPr>
              <w:t>2,038 </w:t>
            </w:r>
          </w:p>
        </w:tc>
        <w:tc>
          <w:tcPr>
            <w:tcW w:w="0" w:type="auto"/>
            <w:tcBorders>
              <w:top w:val="single" w:sz="8" w:space="0" w:color="000000"/>
            </w:tcBorders>
            <w:shd w:val="clear" w:color="auto" w:fill="auto"/>
            <w:tcMar>
              <w:top w:w="40" w:type="dxa"/>
              <w:left w:w="0" w:type="dxa"/>
              <w:bottom w:w="40" w:type="dxa"/>
              <w:right w:w="20" w:type="dxa"/>
            </w:tcMar>
            <w:vAlign w:val="center"/>
          </w:tcPr>
          <w:p w14:paraId="07DCD6F4" w14:textId="77777777" w:rsidR="00AE727E" w:rsidRDefault="00AE727E">
            <w:pPr>
              <w:jc w:val="right"/>
              <w:rPr>
                <w:rFonts w:ascii="宋体"/>
              </w:rPr>
            </w:pPr>
          </w:p>
        </w:tc>
      </w:tr>
      <w:tr w:rsidR="00AE727E" w14:paraId="07DCD702" w14:textId="77777777">
        <w:trPr>
          <w:jc w:val="center"/>
        </w:trPr>
        <w:tc>
          <w:tcPr>
            <w:tcW w:w="0" w:type="auto"/>
            <w:gridSpan w:val="3"/>
            <w:shd w:val="clear" w:color="auto" w:fill="CCEEFF"/>
            <w:tcMar>
              <w:top w:w="40" w:type="dxa"/>
              <w:left w:w="20" w:type="dxa"/>
              <w:bottom w:w="40" w:type="dxa"/>
              <w:right w:w="20" w:type="dxa"/>
            </w:tcMar>
            <w:vAlign w:val="bottom"/>
          </w:tcPr>
          <w:p w14:paraId="07DCD6F6" w14:textId="77777777" w:rsidR="00AE727E" w:rsidRDefault="008433E0">
            <w:pPr>
              <w:textAlignment w:val="bottom"/>
            </w:pPr>
            <w:r>
              <w:rPr>
                <w:rFonts w:ascii="Times New Roman" w:eastAsia="宋体" w:hAnsi="Times New Roman"/>
                <w:color w:val="000000"/>
                <w:sz w:val="20"/>
                <w:szCs w:val="20"/>
              </w:rPr>
              <w:t>Income tax expense (benefit)</w:t>
            </w:r>
          </w:p>
        </w:tc>
        <w:tc>
          <w:tcPr>
            <w:tcW w:w="0" w:type="auto"/>
            <w:gridSpan w:val="2"/>
            <w:shd w:val="clear" w:color="auto" w:fill="CCEEFF"/>
            <w:tcMar>
              <w:top w:w="40" w:type="dxa"/>
              <w:left w:w="20" w:type="dxa"/>
              <w:bottom w:w="40" w:type="dxa"/>
              <w:right w:w="0" w:type="dxa"/>
            </w:tcMar>
            <w:vAlign w:val="bottom"/>
          </w:tcPr>
          <w:p w14:paraId="07DCD6F7" w14:textId="77777777" w:rsidR="00AE727E" w:rsidRDefault="008433E0">
            <w:pPr>
              <w:jc w:val="right"/>
              <w:textAlignment w:val="bottom"/>
            </w:pPr>
            <w:r>
              <w:rPr>
                <w:rFonts w:ascii="Times New Roman" w:eastAsia="宋体" w:hAnsi="Times New Roman"/>
                <w:color w:val="000000"/>
                <w:sz w:val="20"/>
                <w:szCs w:val="20"/>
              </w:rPr>
              <w:t>897 </w:t>
            </w:r>
          </w:p>
        </w:tc>
        <w:tc>
          <w:tcPr>
            <w:tcW w:w="0" w:type="auto"/>
            <w:shd w:val="clear" w:color="auto" w:fill="CCEEFF"/>
            <w:tcMar>
              <w:top w:w="40" w:type="dxa"/>
              <w:left w:w="0" w:type="dxa"/>
              <w:bottom w:w="40" w:type="dxa"/>
              <w:right w:w="20" w:type="dxa"/>
            </w:tcMar>
            <w:vAlign w:val="bottom"/>
          </w:tcPr>
          <w:p w14:paraId="07DCD6F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F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6FA" w14:textId="77777777" w:rsidR="00AE727E" w:rsidRDefault="008433E0">
            <w:pPr>
              <w:jc w:val="right"/>
              <w:textAlignment w:val="bottom"/>
            </w:pPr>
            <w:r>
              <w:rPr>
                <w:rFonts w:ascii="Times New Roman" w:eastAsia="宋体" w:hAnsi="Times New Roman"/>
                <w:color w:val="000000"/>
                <w:sz w:val="20"/>
                <w:szCs w:val="20"/>
              </w:rPr>
              <w:t>521 </w:t>
            </w:r>
          </w:p>
        </w:tc>
        <w:tc>
          <w:tcPr>
            <w:tcW w:w="0" w:type="auto"/>
            <w:shd w:val="clear" w:color="auto" w:fill="CCEEFF"/>
            <w:tcMar>
              <w:top w:w="40" w:type="dxa"/>
              <w:left w:w="0" w:type="dxa"/>
              <w:bottom w:w="40" w:type="dxa"/>
              <w:right w:w="20" w:type="dxa"/>
            </w:tcMar>
            <w:vAlign w:val="bottom"/>
          </w:tcPr>
          <w:p w14:paraId="07DCD6F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F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6FD" w14:textId="77777777" w:rsidR="00AE727E" w:rsidRDefault="008433E0">
            <w:pPr>
              <w:jc w:val="right"/>
              <w:textAlignment w:val="center"/>
            </w:pPr>
            <w:r>
              <w:rPr>
                <w:rFonts w:ascii="Times New Roman" w:eastAsia="宋体" w:hAnsi="Times New Roman"/>
                <w:color w:val="000000"/>
                <w:sz w:val="20"/>
                <w:szCs w:val="20"/>
              </w:rPr>
              <w:t>1,079 </w:t>
            </w:r>
          </w:p>
        </w:tc>
        <w:tc>
          <w:tcPr>
            <w:tcW w:w="0" w:type="auto"/>
            <w:shd w:val="clear" w:color="auto" w:fill="CCEEFF"/>
            <w:tcMar>
              <w:top w:w="40" w:type="dxa"/>
              <w:left w:w="0" w:type="dxa"/>
              <w:bottom w:w="40" w:type="dxa"/>
              <w:right w:w="20" w:type="dxa"/>
            </w:tcMar>
            <w:vAlign w:val="center"/>
          </w:tcPr>
          <w:p w14:paraId="07DCD6F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6F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D700" w14:textId="77777777" w:rsidR="00AE727E" w:rsidRDefault="008433E0">
            <w:pPr>
              <w:jc w:val="right"/>
              <w:textAlignment w:val="center"/>
            </w:pPr>
            <w:r>
              <w:rPr>
                <w:rFonts w:ascii="Times New Roman" w:eastAsia="宋体" w:hAnsi="Times New Roman"/>
                <w:color w:val="000000"/>
                <w:sz w:val="20"/>
                <w:szCs w:val="20"/>
              </w:rPr>
              <w:t>(124)</w:t>
            </w:r>
          </w:p>
        </w:tc>
        <w:tc>
          <w:tcPr>
            <w:tcW w:w="0" w:type="auto"/>
            <w:shd w:val="clear" w:color="auto" w:fill="CCEEFF"/>
            <w:tcMar>
              <w:top w:w="40" w:type="dxa"/>
              <w:left w:w="0" w:type="dxa"/>
              <w:bottom w:w="40" w:type="dxa"/>
              <w:right w:w="20" w:type="dxa"/>
            </w:tcMar>
            <w:vAlign w:val="center"/>
          </w:tcPr>
          <w:p w14:paraId="07DCD701" w14:textId="77777777" w:rsidR="00AE727E" w:rsidRDefault="00AE727E">
            <w:pPr>
              <w:jc w:val="right"/>
              <w:rPr>
                <w:rFonts w:ascii="宋体"/>
              </w:rPr>
            </w:pPr>
          </w:p>
        </w:tc>
      </w:tr>
      <w:tr w:rsidR="00AE727E" w14:paraId="07DCD70F" w14:textId="77777777">
        <w:trPr>
          <w:jc w:val="center"/>
        </w:trPr>
        <w:tc>
          <w:tcPr>
            <w:tcW w:w="0" w:type="auto"/>
            <w:gridSpan w:val="3"/>
            <w:shd w:val="clear" w:color="auto" w:fill="FFFFFF"/>
            <w:tcMar>
              <w:top w:w="40" w:type="dxa"/>
              <w:left w:w="245" w:type="dxa"/>
              <w:bottom w:w="40" w:type="dxa"/>
              <w:right w:w="20" w:type="dxa"/>
            </w:tcMar>
            <w:vAlign w:val="bottom"/>
          </w:tcPr>
          <w:p w14:paraId="07DCD703" w14:textId="77777777" w:rsidR="00AE727E" w:rsidRDefault="008433E0">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704" w14:textId="77777777" w:rsidR="00AE727E" w:rsidRDefault="008433E0">
            <w:pPr>
              <w:jc w:val="right"/>
              <w:textAlignment w:val="bottom"/>
            </w:pPr>
            <w:r>
              <w:rPr>
                <w:rFonts w:ascii="Times New Roman" w:eastAsia="宋体" w:hAnsi="Times New Roman"/>
                <w:color w:val="000000"/>
                <w:sz w:val="20"/>
                <w:szCs w:val="20"/>
              </w:rPr>
              <w:t>3,888 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7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06"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707" w14:textId="77777777" w:rsidR="00AE727E" w:rsidRDefault="008433E0">
            <w:pPr>
              <w:jc w:val="right"/>
              <w:textAlignment w:val="bottom"/>
            </w:pPr>
            <w:r>
              <w:rPr>
                <w:rFonts w:ascii="Times New Roman" w:eastAsia="宋体" w:hAnsi="Times New Roman"/>
                <w:color w:val="000000"/>
                <w:sz w:val="20"/>
                <w:szCs w:val="20"/>
              </w:rPr>
              <w:t>881 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70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09"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D70A" w14:textId="77777777" w:rsidR="00AE727E" w:rsidRDefault="008433E0">
            <w:pPr>
              <w:jc w:val="right"/>
              <w:textAlignment w:val="center"/>
            </w:pPr>
            <w:r>
              <w:rPr>
                <w:rFonts w:ascii="Times New Roman" w:eastAsia="宋体" w:hAnsi="Times New Roman"/>
                <w:color w:val="000000"/>
                <w:sz w:val="20"/>
                <w:szCs w:val="20"/>
              </w:rPr>
              <w:t>5,706 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D70B"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70C"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CD70D" w14:textId="77777777" w:rsidR="00AE727E" w:rsidRDefault="008433E0">
            <w:pPr>
              <w:jc w:val="right"/>
              <w:textAlignment w:val="center"/>
            </w:pPr>
            <w:r>
              <w:rPr>
                <w:rFonts w:ascii="Times New Roman" w:eastAsia="宋体" w:hAnsi="Times New Roman"/>
                <w:color w:val="000000"/>
                <w:sz w:val="20"/>
                <w:szCs w:val="20"/>
              </w:rPr>
              <w:t>2,162 </w:t>
            </w:r>
          </w:p>
        </w:tc>
        <w:tc>
          <w:tcPr>
            <w:tcW w:w="0" w:type="auto"/>
            <w:tcBorders>
              <w:top w:val="single" w:sz="8" w:space="0" w:color="000000"/>
            </w:tcBorders>
            <w:shd w:val="clear" w:color="auto" w:fill="auto"/>
            <w:tcMar>
              <w:top w:w="40" w:type="dxa"/>
              <w:left w:w="0" w:type="dxa"/>
              <w:bottom w:w="40" w:type="dxa"/>
              <w:right w:w="20" w:type="dxa"/>
            </w:tcMar>
            <w:vAlign w:val="center"/>
          </w:tcPr>
          <w:p w14:paraId="07DCD70E" w14:textId="77777777" w:rsidR="00AE727E" w:rsidRDefault="00AE727E">
            <w:pPr>
              <w:jc w:val="right"/>
              <w:rPr>
                <w:rFonts w:ascii="宋体"/>
              </w:rPr>
            </w:pPr>
          </w:p>
        </w:tc>
      </w:tr>
      <w:tr w:rsidR="00AE727E" w14:paraId="07DCD71C" w14:textId="77777777">
        <w:trPr>
          <w:jc w:val="center"/>
        </w:trPr>
        <w:tc>
          <w:tcPr>
            <w:tcW w:w="0" w:type="auto"/>
            <w:gridSpan w:val="3"/>
            <w:shd w:val="clear" w:color="auto" w:fill="CCEEFF"/>
            <w:tcMar>
              <w:top w:w="40" w:type="dxa"/>
              <w:left w:w="20" w:type="dxa"/>
              <w:bottom w:w="40" w:type="dxa"/>
              <w:right w:w="20" w:type="dxa"/>
            </w:tcMar>
            <w:vAlign w:val="bottom"/>
          </w:tcPr>
          <w:p w14:paraId="07DCD710" w14:textId="77777777" w:rsidR="00AE727E" w:rsidRDefault="008433E0">
            <w:pPr>
              <w:textAlignment w:val="bottom"/>
            </w:pPr>
            <w:r>
              <w:rPr>
                <w:rFonts w:ascii="Times New Roman" w:eastAsia="宋体" w:hAnsi="Times New Roman"/>
                <w:color w:val="000000"/>
                <w:sz w:val="20"/>
                <w:szCs w:val="20"/>
              </w:rPr>
              <w:t>Less: Net income attributable to non-controlling interests</w:t>
            </w:r>
          </w:p>
        </w:tc>
        <w:tc>
          <w:tcPr>
            <w:tcW w:w="0" w:type="auto"/>
            <w:gridSpan w:val="2"/>
            <w:shd w:val="clear" w:color="auto" w:fill="CCEEFF"/>
            <w:tcMar>
              <w:top w:w="40" w:type="dxa"/>
              <w:left w:w="20" w:type="dxa"/>
              <w:bottom w:w="40" w:type="dxa"/>
              <w:right w:w="0" w:type="dxa"/>
            </w:tcMar>
            <w:vAlign w:val="bottom"/>
          </w:tcPr>
          <w:p w14:paraId="07DCD711" w14:textId="77777777" w:rsidR="00AE727E" w:rsidRDefault="008433E0">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7DCD7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714" w14:textId="77777777" w:rsidR="00AE727E" w:rsidRDefault="008433E0">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07DCD71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1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717" w14:textId="77777777" w:rsidR="00AE727E" w:rsidRDefault="008433E0">
            <w:pPr>
              <w:jc w:val="right"/>
              <w:textAlignment w:val="bottom"/>
            </w:pPr>
            <w:r>
              <w:rPr>
                <w:rFonts w:ascii="Times New Roman" w:eastAsia="宋体" w:hAnsi="Times New Roman"/>
                <w:color w:val="000000"/>
                <w:sz w:val="20"/>
                <w:szCs w:val="20"/>
              </w:rPr>
              <w:t>145 </w:t>
            </w:r>
          </w:p>
        </w:tc>
        <w:tc>
          <w:tcPr>
            <w:tcW w:w="0" w:type="auto"/>
            <w:shd w:val="clear" w:color="auto" w:fill="CCEEFF"/>
            <w:tcMar>
              <w:top w:w="40" w:type="dxa"/>
              <w:left w:w="0" w:type="dxa"/>
              <w:bottom w:w="40" w:type="dxa"/>
              <w:right w:w="20" w:type="dxa"/>
            </w:tcMar>
            <w:vAlign w:val="bottom"/>
          </w:tcPr>
          <w:p w14:paraId="07DCD71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1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71A" w14:textId="77777777" w:rsidR="00AE727E" w:rsidRDefault="008433E0">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07DCD71B" w14:textId="77777777" w:rsidR="00AE727E" w:rsidRDefault="00AE727E">
            <w:pPr>
              <w:jc w:val="right"/>
              <w:rPr>
                <w:rFonts w:ascii="宋体"/>
              </w:rPr>
            </w:pPr>
          </w:p>
        </w:tc>
      </w:tr>
      <w:tr w:rsidR="00AE727E" w14:paraId="07DCD72D" w14:textId="77777777">
        <w:trPr>
          <w:jc w:val="center"/>
        </w:trPr>
        <w:tc>
          <w:tcPr>
            <w:tcW w:w="0" w:type="auto"/>
            <w:gridSpan w:val="3"/>
            <w:shd w:val="clear" w:color="auto" w:fill="FFFFFF"/>
            <w:tcMar>
              <w:top w:w="40" w:type="dxa"/>
              <w:left w:w="245" w:type="dxa"/>
              <w:bottom w:w="40" w:type="dxa"/>
              <w:right w:w="20" w:type="dxa"/>
            </w:tcMar>
            <w:vAlign w:val="bottom"/>
          </w:tcPr>
          <w:p w14:paraId="07DCD71D" w14:textId="77777777" w:rsidR="00AE727E" w:rsidRDefault="008433E0">
            <w:pPr>
              <w:textAlignment w:val="bottom"/>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D71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D71F" w14:textId="77777777" w:rsidR="00AE727E" w:rsidRDefault="008433E0">
            <w:pPr>
              <w:jc w:val="right"/>
              <w:textAlignment w:val="bottom"/>
            </w:pPr>
            <w:r>
              <w:rPr>
                <w:rFonts w:ascii="Times New Roman" w:eastAsia="宋体" w:hAnsi="Times New Roman"/>
                <w:color w:val="000000"/>
                <w:sz w:val="20"/>
                <w:szCs w:val="20"/>
              </w:rPr>
              <w:t>3,843 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72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21"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D722"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D723" w14:textId="77777777" w:rsidR="00AE727E" w:rsidRDefault="008433E0">
            <w:pPr>
              <w:jc w:val="right"/>
              <w:textAlignment w:val="bottom"/>
            </w:pPr>
            <w:r>
              <w:rPr>
                <w:rFonts w:ascii="Times New Roman" w:eastAsia="宋体" w:hAnsi="Times New Roman"/>
                <w:color w:val="000000"/>
                <w:sz w:val="20"/>
                <w:szCs w:val="20"/>
              </w:rPr>
              <w:t>832 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72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25"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D72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D727" w14:textId="77777777" w:rsidR="00AE727E" w:rsidRDefault="008433E0">
            <w:pPr>
              <w:jc w:val="right"/>
              <w:textAlignment w:val="bottom"/>
            </w:pPr>
            <w:r>
              <w:rPr>
                <w:rFonts w:ascii="Times New Roman" w:eastAsia="宋体" w:hAnsi="Times New Roman"/>
                <w:color w:val="000000"/>
                <w:sz w:val="20"/>
                <w:szCs w:val="20"/>
              </w:rPr>
              <w:t>5,561 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728"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729" w14:textId="77777777" w:rsidR="00AE727E" w:rsidRDefault="00AE727E">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07DCD72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07DCD72B" w14:textId="77777777" w:rsidR="00AE727E" w:rsidRDefault="008433E0">
            <w:pPr>
              <w:jc w:val="right"/>
              <w:textAlignment w:val="bottom"/>
            </w:pPr>
            <w:r>
              <w:rPr>
                <w:rFonts w:ascii="Times New Roman" w:eastAsia="宋体" w:hAnsi="Times New Roman"/>
                <w:color w:val="000000"/>
                <w:sz w:val="20"/>
                <w:szCs w:val="20"/>
              </w:rPr>
              <w:t>2,023 </w:t>
            </w:r>
          </w:p>
        </w:tc>
        <w:tc>
          <w:tcPr>
            <w:tcW w:w="0" w:type="auto"/>
            <w:tcBorders>
              <w:top w:val="single" w:sz="8" w:space="0" w:color="000000"/>
            </w:tcBorders>
            <w:shd w:val="clear" w:color="auto" w:fill="auto"/>
            <w:tcMar>
              <w:top w:w="40" w:type="dxa"/>
              <w:left w:w="0" w:type="dxa"/>
              <w:bottom w:w="40" w:type="dxa"/>
              <w:right w:w="20" w:type="dxa"/>
            </w:tcMar>
            <w:vAlign w:val="bottom"/>
          </w:tcPr>
          <w:p w14:paraId="07DCD72C" w14:textId="77777777" w:rsidR="00AE727E" w:rsidRDefault="00AE727E">
            <w:pPr>
              <w:jc w:val="right"/>
              <w:rPr>
                <w:rFonts w:ascii="宋体"/>
              </w:rPr>
            </w:pPr>
          </w:p>
        </w:tc>
      </w:tr>
      <w:tr w:rsidR="00AE727E" w14:paraId="07DCD736" w14:textId="77777777">
        <w:trPr>
          <w:trHeight w:val="280"/>
          <w:jc w:val="center"/>
        </w:trPr>
        <w:tc>
          <w:tcPr>
            <w:tcW w:w="0" w:type="auto"/>
            <w:gridSpan w:val="3"/>
            <w:shd w:val="clear" w:color="auto" w:fill="CCEEFF"/>
            <w:tcMar>
              <w:top w:w="0" w:type="dxa"/>
              <w:left w:w="20" w:type="dxa"/>
              <w:bottom w:w="0" w:type="dxa"/>
              <w:right w:w="20" w:type="dxa"/>
            </w:tcMar>
            <w:vAlign w:val="bottom"/>
          </w:tcPr>
          <w:p w14:paraId="07DCD72E"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D72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30"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D73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32"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D73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34"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D735" w14:textId="77777777" w:rsidR="00AE727E" w:rsidRDefault="00AE727E">
            <w:pPr>
              <w:rPr>
                <w:rFonts w:ascii="宋体"/>
              </w:rPr>
            </w:pPr>
          </w:p>
        </w:tc>
      </w:tr>
      <w:tr w:rsidR="00AE727E" w14:paraId="07DCD73F" w14:textId="77777777">
        <w:trPr>
          <w:jc w:val="center"/>
        </w:trPr>
        <w:tc>
          <w:tcPr>
            <w:tcW w:w="0" w:type="auto"/>
            <w:gridSpan w:val="3"/>
            <w:shd w:val="clear" w:color="auto" w:fill="FFFFFF"/>
            <w:tcMar>
              <w:top w:w="40" w:type="dxa"/>
              <w:left w:w="20" w:type="dxa"/>
              <w:bottom w:w="40" w:type="dxa"/>
              <w:right w:w="20" w:type="dxa"/>
            </w:tcMar>
            <w:vAlign w:val="bottom"/>
          </w:tcPr>
          <w:p w14:paraId="07DCD737" w14:textId="77777777" w:rsidR="00AE727E" w:rsidRDefault="008433E0">
            <w:pPr>
              <w:textAlignment w:val="bottom"/>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FFFFFF"/>
            <w:tcMar>
              <w:top w:w="0" w:type="dxa"/>
              <w:left w:w="20" w:type="dxa"/>
              <w:bottom w:w="0" w:type="dxa"/>
              <w:right w:w="20" w:type="dxa"/>
            </w:tcMar>
            <w:vAlign w:val="bottom"/>
          </w:tcPr>
          <w:p w14:paraId="07DCD73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3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3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3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3C"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73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73E" w14:textId="77777777" w:rsidR="00AE727E" w:rsidRDefault="00AE727E">
            <w:pPr>
              <w:rPr>
                <w:rFonts w:ascii="宋体"/>
              </w:rPr>
            </w:pPr>
          </w:p>
        </w:tc>
      </w:tr>
      <w:tr w:rsidR="00AE727E" w14:paraId="07DCD750" w14:textId="77777777">
        <w:trPr>
          <w:jc w:val="center"/>
        </w:trPr>
        <w:tc>
          <w:tcPr>
            <w:tcW w:w="0" w:type="auto"/>
            <w:gridSpan w:val="3"/>
            <w:shd w:val="clear" w:color="auto" w:fill="CCEEFF"/>
            <w:tcMar>
              <w:top w:w="40" w:type="dxa"/>
              <w:left w:w="245" w:type="dxa"/>
              <w:bottom w:w="40" w:type="dxa"/>
              <w:right w:w="20" w:type="dxa"/>
            </w:tcMar>
            <w:vAlign w:val="bottom"/>
          </w:tcPr>
          <w:p w14:paraId="07DCD740" w14:textId="77777777" w:rsidR="00AE727E" w:rsidRDefault="008433E0">
            <w:pPr>
              <w:textAlignment w:val="bottom"/>
            </w:pPr>
            <w:r>
              <w:rPr>
                <w:rFonts w:ascii="Times New Roman" w:eastAsia="宋体" w:hAnsi="Times New Roman"/>
                <w:color w:val="000000"/>
                <w:sz w:val="20"/>
                <w:szCs w:val="20"/>
              </w:rPr>
              <w:t>Dell Technologies Common Stock — Basic</w:t>
            </w:r>
          </w:p>
        </w:tc>
        <w:tc>
          <w:tcPr>
            <w:tcW w:w="0" w:type="auto"/>
            <w:shd w:val="clear" w:color="auto" w:fill="CCEEFF"/>
            <w:tcMar>
              <w:top w:w="40" w:type="dxa"/>
              <w:left w:w="20" w:type="dxa"/>
              <w:bottom w:w="40" w:type="dxa"/>
              <w:right w:w="0" w:type="dxa"/>
            </w:tcMar>
            <w:vAlign w:val="bottom"/>
          </w:tcPr>
          <w:p w14:paraId="07DCD74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D742" w14:textId="77777777" w:rsidR="00AE727E" w:rsidRDefault="008433E0">
            <w:pPr>
              <w:jc w:val="right"/>
              <w:textAlignment w:val="bottom"/>
            </w:pPr>
            <w:r>
              <w:rPr>
                <w:rFonts w:ascii="Times New Roman" w:eastAsia="宋体" w:hAnsi="Times New Roman"/>
                <w:color w:val="000000"/>
                <w:sz w:val="20"/>
                <w:szCs w:val="20"/>
              </w:rPr>
              <w:t>5.02 </w:t>
            </w:r>
          </w:p>
        </w:tc>
        <w:tc>
          <w:tcPr>
            <w:tcW w:w="0" w:type="auto"/>
            <w:shd w:val="clear" w:color="auto" w:fill="CCEEFF"/>
            <w:tcMar>
              <w:top w:w="40" w:type="dxa"/>
              <w:left w:w="0" w:type="dxa"/>
              <w:bottom w:w="40" w:type="dxa"/>
              <w:right w:w="20" w:type="dxa"/>
            </w:tcMar>
            <w:vAlign w:val="bottom"/>
          </w:tcPr>
          <w:p w14:paraId="07DCD74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44"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D74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D746" w14:textId="77777777" w:rsidR="00AE727E" w:rsidRDefault="008433E0">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07DCD74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4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D74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D74A" w14:textId="77777777" w:rsidR="00AE727E" w:rsidRDefault="008433E0">
            <w:pPr>
              <w:jc w:val="right"/>
              <w:textAlignment w:val="center"/>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center"/>
          </w:tcPr>
          <w:p w14:paraId="07DCD7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4C"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D74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D74E" w14:textId="77777777" w:rsidR="00AE727E" w:rsidRDefault="008433E0">
            <w:pPr>
              <w:jc w:val="right"/>
              <w:textAlignment w:val="center"/>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center"/>
          </w:tcPr>
          <w:p w14:paraId="07DCD74F" w14:textId="77777777" w:rsidR="00AE727E" w:rsidRDefault="00AE727E">
            <w:pPr>
              <w:jc w:val="right"/>
              <w:rPr>
                <w:rFonts w:ascii="宋体"/>
              </w:rPr>
            </w:pPr>
          </w:p>
        </w:tc>
      </w:tr>
      <w:tr w:rsidR="00AE727E" w14:paraId="07DCD761" w14:textId="77777777">
        <w:trPr>
          <w:jc w:val="center"/>
        </w:trPr>
        <w:tc>
          <w:tcPr>
            <w:tcW w:w="0" w:type="auto"/>
            <w:gridSpan w:val="3"/>
            <w:shd w:val="clear" w:color="auto" w:fill="FFFFFF"/>
            <w:tcMar>
              <w:top w:w="40" w:type="dxa"/>
              <w:left w:w="245" w:type="dxa"/>
              <w:bottom w:w="40" w:type="dxa"/>
              <w:right w:w="20" w:type="dxa"/>
            </w:tcMar>
            <w:vAlign w:val="bottom"/>
          </w:tcPr>
          <w:p w14:paraId="07DCD751" w14:textId="77777777" w:rsidR="00AE727E" w:rsidRDefault="008433E0">
            <w:pPr>
              <w:textAlignment w:val="bottom"/>
            </w:pPr>
            <w:r>
              <w:rPr>
                <w:rFonts w:ascii="Times New Roman" w:eastAsia="宋体" w:hAnsi="Times New Roman"/>
                <w:color w:val="000000"/>
                <w:sz w:val="20"/>
                <w:szCs w:val="20"/>
              </w:rPr>
              <w:t>Dell Technologies Common Stock — Diluted</w:t>
            </w:r>
          </w:p>
        </w:tc>
        <w:tc>
          <w:tcPr>
            <w:tcW w:w="0" w:type="auto"/>
            <w:shd w:val="clear" w:color="auto" w:fill="FFFFFF"/>
            <w:tcMar>
              <w:top w:w="40" w:type="dxa"/>
              <w:left w:w="20" w:type="dxa"/>
              <w:bottom w:w="40" w:type="dxa"/>
              <w:right w:w="0" w:type="dxa"/>
            </w:tcMar>
            <w:vAlign w:val="bottom"/>
          </w:tcPr>
          <w:p w14:paraId="07DCD75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753" w14:textId="77777777" w:rsidR="00AE727E" w:rsidRDefault="008433E0">
            <w:pPr>
              <w:jc w:val="right"/>
              <w:textAlignment w:val="bottom"/>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vAlign w:val="bottom"/>
          </w:tcPr>
          <w:p w14:paraId="07DCD75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5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D75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757" w14:textId="77777777" w:rsidR="00AE727E" w:rsidRDefault="008433E0">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7DCD7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59"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D75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D75B" w14:textId="77777777" w:rsidR="00AE727E" w:rsidRDefault="008433E0">
            <w:pPr>
              <w:jc w:val="right"/>
              <w:textAlignment w:val="center"/>
            </w:pPr>
            <w:r>
              <w:rPr>
                <w:rFonts w:ascii="Times New Roman" w:eastAsia="宋体" w:hAnsi="Times New Roman"/>
                <w:color w:val="000000"/>
                <w:sz w:val="20"/>
                <w:szCs w:val="20"/>
              </w:rPr>
              <w:t>7.08 </w:t>
            </w:r>
          </w:p>
        </w:tc>
        <w:tc>
          <w:tcPr>
            <w:tcW w:w="0" w:type="auto"/>
            <w:shd w:val="clear" w:color="auto" w:fill="FFFFFF"/>
            <w:tcMar>
              <w:top w:w="40" w:type="dxa"/>
              <w:left w:w="0" w:type="dxa"/>
              <w:bottom w:w="40" w:type="dxa"/>
              <w:right w:w="20" w:type="dxa"/>
            </w:tcMar>
            <w:vAlign w:val="center"/>
          </w:tcPr>
          <w:p w14:paraId="07DCD75C"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D75D" w14:textId="77777777" w:rsidR="00AE727E" w:rsidRDefault="00AE727E">
            <w:pPr>
              <w:rPr>
                <w:rFonts w:ascii="宋体"/>
              </w:rPr>
            </w:pPr>
          </w:p>
        </w:tc>
        <w:tc>
          <w:tcPr>
            <w:tcW w:w="0" w:type="auto"/>
            <w:shd w:val="clear" w:color="auto" w:fill="auto"/>
            <w:tcMar>
              <w:top w:w="40" w:type="dxa"/>
              <w:left w:w="20" w:type="dxa"/>
              <w:bottom w:w="40" w:type="dxa"/>
              <w:right w:w="0" w:type="dxa"/>
            </w:tcMar>
            <w:vAlign w:val="center"/>
          </w:tcPr>
          <w:p w14:paraId="07DCD75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center"/>
          </w:tcPr>
          <w:p w14:paraId="07DCD75F" w14:textId="77777777" w:rsidR="00AE727E" w:rsidRDefault="008433E0">
            <w:pPr>
              <w:jc w:val="right"/>
              <w:textAlignment w:val="center"/>
            </w:pPr>
            <w:r>
              <w:rPr>
                <w:rFonts w:ascii="Times New Roman" w:eastAsia="宋体" w:hAnsi="Times New Roman"/>
                <w:color w:val="000000"/>
                <w:sz w:val="20"/>
                <w:szCs w:val="20"/>
              </w:rPr>
              <w:t>2.64 </w:t>
            </w:r>
          </w:p>
        </w:tc>
        <w:tc>
          <w:tcPr>
            <w:tcW w:w="0" w:type="auto"/>
            <w:shd w:val="clear" w:color="auto" w:fill="auto"/>
            <w:tcMar>
              <w:top w:w="40" w:type="dxa"/>
              <w:left w:w="0" w:type="dxa"/>
              <w:bottom w:w="40" w:type="dxa"/>
              <w:right w:w="20" w:type="dxa"/>
            </w:tcMar>
            <w:vAlign w:val="center"/>
          </w:tcPr>
          <w:p w14:paraId="07DCD760" w14:textId="77777777" w:rsidR="00AE727E" w:rsidRDefault="00AE727E">
            <w:pPr>
              <w:jc w:val="right"/>
              <w:rPr>
                <w:rFonts w:ascii="宋体"/>
              </w:rPr>
            </w:pPr>
          </w:p>
        </w:tc>
      </w:tr>
    </w:tbl>
    <w:p w14:paraId="07DCD762" w14:textId="77777777" w:rsidR="00AE727E" w:rsidRDefault="008433E0">
      <w:pPr>
        <w:jc w:val="center"/>
      </w:pPr>
      <w:r>
        <w:rPr>
          <w:rFonts w:ascii="Times New Roman" w:eastAsia="宋体" w:hAnsi="Times New Roman"/>
          <w:color w:val="000000"/>
          <w:sz w:val="20"/>
          <w:szCs w:val="20"/>
        </w:rPr>
        <w:t> </w:t>
      </w:r>
    </w:p>
    <w:p w14:paraId="07DCD763" w14:textId="77777777" w:rsidR="00AE727E" w:rsidRDefault="008433E0">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07DCD764" w14:textId="77777777" w:rsidR="00AE727E" w:rsidRDefault="00AE727E">
      <w:pPr>
        <w:jc w:val="center"/>
      </w:pPr>
    </w:p>
    <w:p w14:paraId="07DCD765" w14:textId="77777777" w:rsidR="00AE727E" w:rsidRDefault="008433E0">
      <w:pPr>
        <w:jc w:val="center"/>
      </w:pPr>
      <w:r>
        <w:rPr>
          <w:rFonts w:ascii="Times New Roman" w:eastAsia="宋体" w:hAnsi="Times New Roman"/>
          <w:color w:val="000000"/>
          <w:sz w:val="20"/>
          <w:szCs w:val="20"/>
        </w:rPr>
        <w:t>6</w:t>
      </w:r>
    </w:p>
    <w:p w14:paraId="07DCD766" w14:textId="77777777" w:rsidR="00AE727E" w:rsidRDefault="00AE727E">
      <w:pPr>
        <w:jc w:val="center"/>
      </w:pPr>
    </w:p>
    <w:p w14:paraId="07DCD767" w14:textId="77777777" w:rsidR="00AE727E" w:rsidRDefault="008433E0">
      <w:r>
        <w:pict w14:anchorId="07DD18D6">
          <v:rect id="_x0000_i1030" style="width:415.3pt;height:1.5pt" o:hralign="center" o:hrstd="t" o:hr="t" fillcolor="#a0a0a0" stroked="f"/>
        </w:pict>
      </w:r>
    </w:p>
    <w:p w14:paraId="07DCD768" w14:textId="77777777" w:rsidR="00AE727E" w:rsidRDefault="008433E0">
      <w:hyperlink r:id="rId131" w:anchor="i1c8279be622a460ea19600488436f115_10" w:history="1">
        <w:r>
          <w:rPr>
            <w:rStyle w:val="a5"/>
            <w:rFonts w:ascii="Times New Roman" w:eastAsia="宋体" w:hAnsi="Times New Roman"/>
            <w:sz w:val="20"/>
            <w:szCs w:val="20"/>
          </w:rPr>
          <w:t>Table of Contents</w:t>
        </w:r>
      </w:hyperlink>
    </w:p>
    <w:p w14:paraId="07DCD769"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76A" w14:textId="77777777" w:rsidR="00AE727E" w:rsidRDefault="008433E0">
      <w:pPr>
        <w:spacing w:after="60"/>
        <w:jc w:val="center"/>
      </w:pPr>
      <w:r>
        <w:rPr>
          <w:rFonts w:ascii="Times New Roman" w:eastAsia="宋体" w:hAnsi="Times New Roman"/>
          <w:b/>
          <w:bCs/>
          <w:color w:val="000000"/>
          <w:sz w:val="20"/>
          <w:szCs w:val="20"/>
        </w:rPr>
        <w:t xml:space="preserve">CONDENSED CONSOLIDATED STATEMENTS OF COMPREHENSIVE INCOME </w:t>
      </w:r>
    </w:p>
    <w:p w14:paraId="07DCD76B" w14:textId="77777777" w:rsidR="00AE727E" w:rsidRDefault="008433E0">
      <w:pPr>
        <w:spacing w:after="60"/>
        <w:jc w:val="center"/>
      </w:pPr>
      <w:r>
        <w:rPr>
          <w:rFonts w:ascii="Times New Roman" w:eastAsia="宋体" w:hAnsi="Times New Roman"/>
          <w:color w:val="000000"/>
          <w:sz w:val="20"/>
          <w:szCs w:val="20"/>
          <w:shd w:val="clear" w:color="auto" w:fill="FFFFFF"/>
        </w:rPr>
        <w:t>(i</w:t>
      </w:r>
      <w:r>
        <w:rPr>
          <w:rFonts w:ascii="Times New Roman" w:eastAsia="宋体" w:hAnsi="Times New Roman"/>
          <w:color w:val="000000"/>
          <w:sz w:val="20"/>
          <w:szCs w:val="20"/>
          <w:shd w:val="clear" w:color="auto" w:fill="FFFFFF"/>
        </w:rPr>
        <w:t>n millions</w:t>
      </w:r>
      <w:r>
        <w:rPr>
          <w:rFonts w:ascii="Times New Roman" w:eastAsia="宋体" w:hAnsi="Times New Roman"/>
          <w:color w:val="000000"/>
          <w:sz w:val="20"/>
          <w:szCs w:val="20"/>
        </w:rPr>
        <w:t>; unaudited</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3001"/>
        <w:gridCol w:w="39"/>
        <w:gridCol w:w="121"/>
        <w:gridCol w:w="1072"/>
        <w:gridCol w:w="37"/>
        <w:gridCol w:w="36"/>
        <w:gridCol w:w="36"/>
        <w:gridCol w:w="36"/>
        <w:gridCol w:w="121"/>
        <w:gridCol w:w="1072"/>
        <w:gridCol w:w="37"/>
        <w:gridCol w:w="36"/>
        <w:gridCol w:w="36"/>
        <w:gridCol w:w="36"/>
        <w:gridCol w:w="121"/>
        <w:gridCol w:w="1073"/>
        <w:gridCol w:w="37"/>
        <w:gridCol w:w="36"/>
        <w:gridCol w:w="36"/>
        <w:gridCol w:w="36"/>
        <w:gridCol w:w="121"/>
        <w:gridCol w:w="1073"/>
        <w:gridCol w:w="37"/>
      </w:tblGrid>
      <w:tr w:rsidR="00AE727E" w14:paraId="07DCD784" w14:textId="77777777">
        <w:tc>
          <w:tcPr>
            <w:tcW w:w="50" w:type="pct"/>
            <w:shd w:val="clear" w:color="auto" w:fill="auto"/>
            <w:vAlign w:val="bottom"/>
          </w:tcPr>
          <w:p w14:paraId="07DCD76C" w14:textId="77777777" w:rsidR="00AE727E" w:rsidRDefault="00AE727E">
            <w:pPr>
              <w:rPr>
                <w:rFonts w:ascii="宋体"/>
              </w:rPr>
            </w:pPr>
          </w:p>
        </w:tc>
        <w:tc>
          <w:tcPr>
            <w:tcW w:w="1874" w:type="pct"/>
            <w:shd w:val="clear" w:color="auto" w:fill="auto"/>
            <w:vAlign w:val="bottom"/>
          </w:tcPr>
          <w:p w14:paraId="07DCD76D" w14:textId="77777777" w:rsidR="00AE727E" w:rsidRDefault="00AE727E">
            <w:pPr>
              <w:rPr>
                <w:rFonts w:ascii="宋体"/>
              </w:rPr>
            </w:pPr>
          </w:p>
        </w:tc>
        <w:tc>
          <w:tcPr>
            <w:tcW w:w="5" w:type="pct"/>
            <w:shd w:val="clear" w:color="auto" w:fill="auto"/>
            <w:vAlign w:val="bottom"/>
          </w:tcPr>
          <w:p w14:paraId="07DCD76E" w14:textId="77777777" w:rsidR="00AE727E" w:rsidRDefault="00AE727E">
            <w:pPr>
              <w:rPr>
                <w:rFonts w:ascii="宋体"/>
              </w:rPr>
            </w:pPr>
          </w:p>
        </w:tc>
        <w:tc>
          <w:tcPr>
            <w:tcW w:w="50" w:type="pct"/>
            <w:shd w:val="clear" w:color="auto" w:fill="auto"/>
            <w:vAlign w:val="bottom"/>
          </w:tcPr>
          <w:p w14:paraId="07DCD76F" w14:textId="77777777" w:rsidR="00AE727E" w:rsidRDefault="00AE727E">
            <w:pPr>
              <w:rPr>
                <w:rFonts w:ascii="宋体"/>
              </w:rPr>
            </w:pPr>
          </w:p>
        </w:tc>
        <w:tc>
          <w:tcPr>
            <w:tcW w:w="690" w:type="pct"/>
            <w:shd w:val="clear" w:color="auto" w:fill="auto"/>
            <w:vAlign w:val="bottom"/>
          </w:tcPr>
          <w:p w14:paraId="07DCD770" w14:textId="77777777" w:rsidR="00AE727E" w:rsidRDefault="00AE727E">
            <w:pPr>
              <w:rPr>
                <w:rFonts w:ascii="宋体"/>
              </w:rPr>
            </w:pPr>
          </w:p>
        </w:tc>
        <w:tc>
          <w:tcPr>
            <w:tcW w:w="5" w:type="pct"/>
            <w:shd w:val="clear" w:color="auto" w:fill="auto"/>
            <w:vAlign w:val="bottom"/>
          </w:tcPr>
          <w:p w14:paraId="07DCD771" w14:textId="77777777" w:rsidR="00AE727E" w:rsidRDefault="00AE727E">
            <w:pPr>
              <w:rPr>
                <w:rFonts w:ascii="宋体"/>
              </w:rPr>
            </w:pPr>
          </w:p>
        </w:tc>
        <w:tc>
          <w:tcPr>
            <w:tcW w:w="5" w:type="pct"/>
            <w:shd w:val="clear" w:color="auto" w:fill="auto"/>
            <w:vAlign w:val="bottom"/>
          </w:tcPr>
          <w:p w14:paraId="07DCD772" w14:textId="77777777" w:rsidR="00AE727E" w:rsidRDefault="00AE727E">
            <w:pPr>
              <w:rPr>
                <w:rFonts w:ascii="宋体"/>
              </w:rPr>
            </w:pPr>
          </w:p>
        </w:tc>
        <w:tc>
          <w:tcPr>
            <w:tcW w:w="19" w:type="pct"/>
            <w:shd w:val="clear" w:color="auto" w:fill="auto"/>
            <w:vAlign w:val="bottom"/>
          </w:tcPr>
          <w:p w14:paraId="07DCD773" w14:textId="77777777" w:rsidR="00AE727E" w:rsidRDefault="00AE727E">
            <w:pPr>
              <w:rPr>
                <w:rFonts w:ascii="宋体"/>
              </w:rPr>
            </w:pPr>
          </w:p>
        </w:tc>
        <w:tc>
          <w:tcPr>
            <w:tcW w:w="5" w:type="pct"/>
            <w:shd w:val="clear" w:color="auto" w:fill="auto"/>
            <w:vAlign w:val="bottom"/>
          </w:tcPr>
          <w:p w14:paraId="07DCD774" w14:textId="77777777" w:rsidR="00AE727E" w:rsidRDefault="00AE727E">
            <w:pPr>
              <w:rPr>
                <w:rFonts w:ascii="宋体"/>
              </w:rPr>
            </w:pPr>
          </w:p>
        </w:tc>
        <w:tc>
          <w:tcPr>
            <w:tcW w:w="50" w:type="pct"/>
            <w:shd w:val="clear" w:color="auto" w:fill="auto"/>
            <w:vAlign w:val="bottom"/>
          </w:tcPr>
          <w:p w14:paraId="07DCD775" w14:textId="77777777" w:rsidR="00AE727E" w:rsidRDefault="00AE727E">
            <w:pPr>
              <w:rPr>
                <w:rFonts w:ascii="宋体"/>
              </w:rPr>
            </w:pPr>
          </w:p>
        </w:tc>
        <w:tc>
          <w:tcPr>
            <w:tcW w:w="690" w:type="pct"/>
            <w:shd w:val="clear" w:color="auto" w:fill="auto"/>
            <w:vAlign w:val="bottom"/>
          </w:tcPr>
          <w:p w14:paraId="07DCD776" w14:textId="77777777" w:rsidR="00AE727E" w:rsidRDefault="00AE727E">
            <w:pPr>
              <w:rPr>
                <w:rFonts w:ascii="宋体"/>
              </w:rPr>
            </w:pPr>
          </w:p>
        </w:tc>
        <w:tc>
          <w:tcPr>
            <w:tcW w:w="5" w:type="pct"/>
            <w:shd w:val="clear" w:color="auto" w:fill="auto"/>
            <w:vAlign w:val="bottom"/>
          </w:tcPr>
          <w:p w14:paraId="07DCD777" w14:textId="77777777" w:rsidR="00AE727E" w:rsidRDefault="00AE727E">
            <w:pPr>
              <w:rPr>
                <w:rFonts w:ascii="宋体"/>
              </w:rPr>
            </w:pPr>
          </w:p>
        </w:tc>
        <w:tc>
          <w:tcPr>
            <w:tcW w:w="5" w:type="pct"/>
            <w:shd w:val="clear" w:color="auto" w:fill="auto"/>
            <w:vAlign w:val="bottom"/>
          </w:tcPr>
          <w:p w14:paraId="07DCD778" w14:textId="77777777" w:rsidR="00AE727E" w:rsidRDefault="00AE727E">
            <w:pPr>
              <w:rPr>
                <w:rFonts w:ascii="宋体"/>
              </w:rPr>
            </w:pPr>
          </w:p>
        </w:tc>
        <w:tc>
          <w:tcPr>
            <w:tcW w:w="19" w:type="pct"/>
            <w:shd w:val="clear" w:color="auto" w:fill="auto"/>
            <w:vAlign w:val="bottom"/>
          </w:tcPr>
          <w:p w14:paraId="07DCD779" w14:textId="77777777" w:rsidR="00AE727E" w:rsidRDefault="00AE727E">
            <w:pPr>
              <w:rPr>
                <w:rFonts w:ascii="宋体"/>
              </w:rPr>
            </w:pPr>
          </w:p>
        </w:tc>
        <w:tc>
          <w:tcPr>
            <w:tcW w:w="5" w:type="pct"/>
            <w:shd w:val="clear" w:color="auto" w:fill="auto"/>
            <w:vAlign w:val="bottom"/>
          </w:tcPr>
          <w:p w14:paraId="07DCD77A" w14:textId="77777777" w:rsidR="00AE727E" w:rsidRDefault="00AE727E">
            <w:pPr>
              <w:rPr>
                <w:rFonts w:ascii="宋体"/>
              </w:rPr>
            </w:pPr>
          </w:p>
        </w:tc>
        <w:tc>
          <w:tcPr>
            <w:tcW w:w="50" w:type="pct"/>
            <w:shd w:val="clear" w:color="auto" w:fill="auto"/>
            <w:vAlign w:val="bottom"/>
          </w:tcPr>
          <w:p w14:paraId="07DCD77B" w14:textId="77777777" w:rsidR="00AE727E" w:rsidRDefault="00AE727E">
            <w:pPr>
              <w:rPr>
                <w:rFonts w:ascii="宋体"/>
              </w:rPr>
            </w:pPr>
          </w:p>
        </w:tc>
        <w:tc>
          <w:tcPr>
            <w:tcW w:w="690" w:type="pct"/>
            <w:shd w:val="clear" w:color="auto" w:fill="auto"/>
            <w:vAlign w:val="bottom"/>
          </w:tcPr>
          <w:p w14:paraId="07DCD77C" w14:textId="77777777" w:rsidR="00AE727E" w:rsidRDefault="00AE727E">
            <w:pPr>
              <w:rPr>
                <w:rFonts w:ascii="宋体"/>
              </w:rPr>
            </w:pPr>
          </w:p>
        </w:tc>
        <w:tc>
          <w:tcPr>
            <w:tcW w:w="5" w:type="pct"/>
            <w:shd w:val="clear" w:color="auto" w:fill="auto"/>
            <w:vAlign w:val="bottom"/>
          </w:tcPr>
          <w:p w14:paraId="07DCD77D" w14:textId="77777777" w:rsidR="00AE727E" w:rsidRDefault="00AE727E">
            <w:pPr>
              <w:rPr>
                <w:rFonts w:ascii="宋体"/>
              </w:rPr>
            </w:pPr>
          </w:p>
        </w:tc>
        <w:tc>
          <w:tcPr>
            <w:tcW w:w="5" w:type="pct"/>
            <w:shd w:val="clear" w:color="auto" w:fill="auto"/>
            <w:vAlign w:val="bottom"/>
          </w:tcPr>
          <w:p w14:paraId="07DCD77E" w14:textId="77777777" w:rsidR="00AE727E" w:rsidRDefault="00AE727E">
            <w:pPr>
              <w:rPr>
                <w:rFonts w:ascii="宋体"/>
              </w:rPr>
            </w:pPr>
          </w:p>
        </w:tc>
        <w:tc>
          <w:tcPr>
            <w:tcW w:w="19" w:type="pct"/>
            <w:shd w:val="clear" w:color="auto" w:fill="auto"/>
            <w:vAlign w:val="bottom"/>
          </w:tcPr>
          <w:p w14:paraId="07DCD77F" w14:textId="77777777" w:rsidR="00AE727E" w:rsidRDefault="00AE727E">
            <w:pPr>
              <w:rPr>
                <w:rFonts w:ascii="宋体"/>
              </w:rPr>
            </w:pPr>
          </w:p>
        </w:tc>
        <w:tc>
          <w:tcPr>
            <w:tcW w:w="5" w:type="pct"/>
            <w:shd w:val="clear" w:color="auto" w:fill="auto"/>
            <w:vAlign w:val="bottom"/>
          </w:tcPr>
          <w:p w14:paraId="07DCD780" w14:textId="77777777" w:rsidR="00AE727E" w:rsidRDefault="00AE727E">
            <w:pPr>
              <w:rPr>
                <w:rFonts w:ascii="宋体"/>
              </w:rPr>
            </w:pPr>
          </w:p>
        </w:tc>
        <w:tc>
          <w:tcPr>
            <w:tcW w:w="50" w:type="pct"/>
            <w:shd w:val="clear" w:color="auto" w:fill="auto"/>
            <w:vAlign w:val="bottom"/>
          </w:tcPr>
          <w:p w14:paraId="07DCD781" w14:textId="77777777" w:rsidR="00AE727E" w:rsidRDefault="00AE727E">
            <w:pPr>
              <w:rPr>
                <w:rFonts w:ascii="宋体"/>
              </w:rPr>
            </w:pPr>
          </w:p>
        </w:tc>
        <w:tc>
          <w:tcPr>
            <w:tcW w:w="690" w:type="pct"/>
            <w:shd w:val="clear" w:color="auto" w:fill="auto"/>
            <w:vAlign w:val="bottom"/>
          </w:tcPr>
          <w:p w14:paraId="07DCD782" w14:textId="77777777" w:rsidR="00AE727E" w:rsidRDefault="00AE727E">
            <w:pPr>
              <w:rPr>
                <w:rFonts w:ascii="宋体"/>
              </w:rPr>
            </w:pPr>
          </w:p>
        </w:tc>
        <w:tc>
          <w:tcPr>
            <w:tcW w:w="5" w:type="pct"/>
            <w:shd w:val="clear" w:color="auto" w:fill="auto"/>
            <w:vAlign w:val="bottom"/>
          </w:tcPr>
          <w:p w14:paraId="07DCD783" w14:textId="77777777" w:rsidR="00AE727E" w:rsidRDefault="00AE727E">
            <w:pPr>
              <w:rPr>
                <w:rFonts w:ascii="宋体"/>
              </w:rPr>
            </w:pPr>
          </w:p>
        </w:tc>
      </w:tr>
      <w:tr w:rsidR="00AE727E" w14:paraId="07DCD789" w14:textId="77777777">
        <w:tc>
          <w:tcPr>
            <w:tcW w:w="0" w:type="auto"/>
            <w:gridSpan w:val="3"/>
            <w:shd w:val="clear" w:color="auto" w:fill="auto"/>
            <w:tcMar>
              <w:top w:w="0" w:type="dxa"/>
              <w:left w:w="20" w:type="dxa"/>
              <w:bottom w:w="0" w:type="dxa"/>
              <w:right w:w="20" w:type="dxa"/>
            </w:tcMar>
            <w:vAlign w:val="bottom"/>
          </w:tcPr>
          <w:p w14:paraId="07DCD785"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786"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D787"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788"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D792" w14:textId="77777777">
        <w:tc>
          <w:tcPr>
            <w:tcW w:w="0" w:type="auto"/>
            <w:gridSpan w:val="3"/>
            <w:shd w:val="clear" w:color="auto" w:fill="auto"/>
            <w:tcMar>
              <w:top w:w="0" w:type="dxa"/>
              <w:left w:w="20" w:type="dxa"/>
              <w:bottom w:w="0" w:type="dxa"/>
              <w:right w:w="20" w:type="dxa"/>
            </w:tcMar>
            <w:vAlign w:val="bottom"/>
          </w:tcPr>
          <w:p w14:paraId="07DCD78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78B"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78C"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78D"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D78E"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78F"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79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791"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D7A3" w14:textId="77777777">
        <w:tc>
          <w:tcPr>
            <w:tcW w:w="0" w:type="auto"/>
            <w:gridSpan w:val="3"/>
            <w:shd w:val="clear" w:color="auto" w:fill="CCEEFF"/>
            <w:tcMar>
              <w:top w:w="40" w:type="dxa"/>
              <w:left w:w="20" w:type="dxa"/>
              <w:bottom w:w="40" w:type="dxa"/>
              <w:right w:w="20" w:type="dxa"/>
            </w:tcMar>
            <w:vAlign w:val="bottom"/>
          </w:tcPr>
          <w:p w14:paraId="07DCD793" w14:textId="77777777" w:rsidR="00AE727E" w:rsidRDefault="008433E0">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7DCD79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795" w14:textId="77777777" w:rsidR="00AE727E" w:rsidRDefault="008433E0">
            <w:pPr>
              <w:jc w:val="right"/>
              <w:textAlignment w:val="bottom"/>
            </w:pPr>
            <w:r>
              <w:rPr>
                <w:rFonts w:ascii="Times New Roman" w:eastAsia="宋体" w:hAnsi="Times New Roman"/>
                <w:color w:val="000000"/>
                <w:sz w:val="20"/>
                <w:szCs w:val="20"/>
              </w:rPr>
              <w:t>3,888 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79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97"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79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799" w14:textId="77777777" w:rsidR="00AE727E" w:rsidRDefault="008433E0">
            <w:pPr>
              <w:jc w:val="right"/>
              <w:textAlignment w:val="bottom"/>
            </w:pPr>
            <w:r>
              <w:rPr>
                <w:rFonts w:ascii="Times New Roman" w:eastAsia="宋体" w:hAnsi="Times New Roman"/>
                <w:color w:val="000000"/>
                <w:sz w:val="20"/>
                <w:szCs w:val="20"/>
              </w:rPr>
              <w:t>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79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9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79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79D" w14:textId="77777777" w:rsidR="00AE727E" w:rsidRDefault="008433E0">
            <w:pPr>
              <w:jc w:val="right"/>
              <w:textAlignment w:val="bottom"/>
            </w:pPr>
            <w:r>
              <w:rPr>
                <w:rFonts w:ascii="Times New Roman" w:eastAsia="宋体" w:hAnsi="Times New Roman"/>
                <w:color w:val="000000"/>
                <w:sz w:val="20"/>
                <w:szCs w:val="20"/>
              </w:rPr>
              <w:t>5,706 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79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79F"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7A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7A1" w14:textId="77777777" w:rsidR="00AE727E" w:rsidRDefault="008433E0">
            <w:pPr>
              <w:jc w:val="right"/>
              <w:textAlignment w:val="bottom"/>
            </w:pPr>
            <w:r>
              <w:rPr>
                <w:rFonts w:ascii="Times New Roman" w:eastAsia="宋体" w:hAnsi="Times New Roman"/>
                <w:color w:val="000000"/>
                <w:sz w:val="20"/>
                <w:szCs w:val="20"/>
              </w:rPr>
              <w:t>2,162 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7A2" w14:textId="77777777" w:rsidR="00AE727E" w:rsidRDefault="00AE727E">
            <w:pPr>
              <w:jc w:val="right"/>
              <w:rPr>
                <w:rFonts w:ascii="宋体"/>
              </w:rPr>
            </w:pPr>
          </w:p>
        </w:tc>
      </w:tr>
      <w:tr w:rsidR="00AE727E" w14:paraId="07DCD7AC" w14:textId="77777777">
        <w:trPr>
          <w:trHeight w:val="300"/>
        </w:trPr>
        <w:tc>
          <w:tcPr>
            <w:tcW w:w="0" w:type="auto"/>
            <w:gridSpan w:val="3"/>
            <w:shd w:val="clear" w:color="auto" w:fill="FFFFFF"/>
            <w:tcMar>
              <w:top w:w="0" w:type="dxa"/>
              <w:left w:w="20" w:type="dxa"/>
              <w:bottom w:w="0" w:type="dxa"/>
              <w:right w:w="20" w:type="dxa"/>
            </w:tcMar>
            <w:vAlign w:val="bottom"/>
          </w:tcPr>
          <w:p w14:paraId="07DCD7A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7AB" w14:textId="77777777" w:rsidR="00AE727E" w:rsidRDefault="00AE727E">
            <w:pPr>
              <w:rPr>
                <w:rFonts w:ascii="宋体"/>
              </w:rPr>
            </w:pPr>
          </w:p>
        </w:tc>
      </w:tr>
      <w:tr w:rsidR="00AE727E" w14:paraId="07DCD7B5" w14:textId="77777777">
        <w:tc>
          <w:tcPr>
            <w:tcW w:w="0" w:type="auto"/>
            <w:gridSpan w:val="3"/>
            <w:shd w:val="clear" w:color="auto" w:fill="CCEEFF"/>
            <w:tcMar>
              <w:top w:w="40" w:type="dxa"/>
              <w:left w:w="20" w:type="dxa"/>
              <w:bottom w:w="40" w:type="dxa"/>
              <w:right w:w="20" w:type="dxa"/>
            </w:tcMar>
            <w:vAlign w:val="bottom"/>
          </w:tcPr>
          <w:p w14:paraId="07DCD7AD" w14:textId="77777777" w:rsidR="00AE727E" w:rsidRDefault="008433E0">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vAlign w:val="bottom"/>
          </w:tcPr>
          <w:p w14:paraId="07DCD7A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A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B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B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B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B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B4" w14:textId="77777777" w:rsidR="00AE727E" w:rsidRDefault="00AE727E">
            <w:pPr>
              <w:rPr>
                <w:rFonts w:ascii="宋体"/>
              </w:rPr>
            </w:pPr>
          </w:p>
        </w:tc>
      </w:tr>
      <w:tr w:rsidR="00AE727E" w14:paraId="07DCD7C2" w14:textId="77777777">
        <w:tc>
          <w:tcPr>
            <w:tcW w:w="0" w:type="auto"/>
            <w:gridSpan w:val="3"/>
            <w:shd w:val="clear" w:color="auto" w:fill="FFFFFF"/>
            <w:tcMar>
              <w:top w:w="40" w:type="dxa"/>
              <w:left w:w="260" w:type="dxa"/>
              <w:bottom w:w="40" w:type="dxa"/>
              <w:right w:w="20" w:type="dxa"/>
            </w:tcMar>
            <w:vAlign w:val="bottom"/>
          </w:tcPr>
          <w:p w14:paraId="07DCD7B6" w14:textId="77777777" w:rsidR="00AE727E" w:rsidRDefault="008433E0">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07DCD7B7" w14:textId="77777777" w:rsidR="00AE727E" w:rsidRDefault="008433E0">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07DCD7B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B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BA" w14:textId="77777777" w:rsidR="00AE727E" w:rsidRDefault="008433E0">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7DCD7B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B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BD" w14:textId="77777777" w:rsidR="00AE727E" w:rsidRDefault="008433E0">
            <w:pPr>
              <w:jc w:val="right"/>
              <w:textAlignment w:val="bottom"/>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bottom"/>
          </w:tcPr>
          <w:p w14:paraId="07DCD7B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B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C0" w14:textId="77777777" w:rsidR="00AE727E" w:rsidRDefault="008433E0">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07DCD7C1" w14:textId="77777777" w:rsidR="00AE727E" w:rsidRDefault="00AE727E">
            <w:pPr>
              <w:jc w:val="right"/>
              <w:rPr>
                <w:rFonts w:ascii="宋体"/>
              </w:rPr>
            </w:pPr>
          </w:p>
        </w:tc>
      </w:tr>
      <w:tr w:rsidR="00AE727E" w14:paraId="07DCD7CB" w14:textId="77777777">
        <w:trPr>
          <w:hidden/>
        </w:trPr>
        <w:tc>
          <w:tcPr>
            <w:tcW w:w="0" w:type="auto"/>
            <w:gridSpan w:val="3"/>
            <w:shd w:val="clear" w:color="auto" w:fill="auto"/>
            <w:vAlign w:val="bottom"/>
          </w:tcPr>
          <w:p w14:paraId="07DCD7C3" w14:textId="77777777" w:rsidR="00AE727E" w:rsidRDefault="00AE727E">
            <w:pPr>
              <w:rPr>
                <w:rFonts w:ascii="宋体"/>
                <w:vanish/>
              </w:rPr>
            </w:pPr>
          </w:p>
        </w:tc>
        <w:tc>
          <w:tcPr>
            <w:tcW w:w="0" w:type="auto"/>
            <w:gridSpan w:val="3"/>
            <w:shd w:val="clear" w:color="auto" w:fill="auto"/>
            <w:vAlign w:val="bottom"/>
          </w:tcPr>
          <w:p w14:paraId="07DCD7C4" w14:textId="77777777" w:rsidR="00AE727E" w:rsidRDefault="00AE727E">
            <w:pPr>
              <w:rPr>
                <w:rFonts w:ascii="宋体"/>
                <w:vanish/>
              </w:rPr>
            </w:pPr>
          </w:p>
        </w:tc>
        <w:tc>
          <w:tcPr>
            <w:tcW w:w="0" w:type="auto"/>
            <w:gridSpan w:val="3"/>
            <w:shd w:val="clear" w:color="auto" w:fill="auto"/>
            <w:vAlign w:val="bottom"/>
          </w:tcPr>
          <w:p w14:paraId="07DCD7C5" w14:textId="77777777" w:rsidR="00AE727E" w:rsidRDefault="00AE727E">
            <w:pPr>
              <w:rPr>
                <w:rFonts w:ascii="宋体"/>
                <w:vanish/>
              </w:rPr>
            </w:pPr>
          </w:p>
        </w:tc>
        <w:tc>
          <w:tcPr>
            <w:tcW w:w="0" w:type="auto"/>
            <w:gridSpan w:val="3"/>
            <w:shd w:val="clear" w:color="auto" w:fill="auto"/>
            <w:vAlign w:val="bottom"/>
          </w:tcPr>
          <w:p w14:paraId="07DCD7C6" w14:textId="77777777" w:rsidR="00AE727E" w:rsidRDefault="00AE727E">
            <w:pPr>
              <w:rPr>
                <w:rFonts w:ascii="宋体"/>
                <w:vanish/>
              </w:rPr>
            </w:pPr>
          </w:p>
        </w:tc>
        <w:tc>
          <w:tcPr>
            <w:tcW w:w="0" w:type="auto"/>
            <w:gridSpan w:val="3"/>
            <w:shd w:val="clear" w:color="auto" w:fill="auto"/>
            <w:vAlign w:val="bottom"/>
          </w:tcPr>
          <w:p w14:paraId="07DCD7C7" w14:textId="77777777" w:rsidR="00AE727E" w:rsidRDefault="00AE727E">
            <w:pPr>
              <w:rPr>
                <w:rFonts w:ascii="宋体"/>
                <w:vanish/>
              </w:rPr>
            </w:pPr>
          </w:p>
        </w:tc>
        <w:tc>
          <w:tcPr>
            <w:tcW w:w="0" w:type="auto"/>
            <w:gridSpan w:val="3"/>
            <w:shd w:val="clear" w:color="auto" w:fill="auto"/>
            <w:vAlign w:val="bottom"/>
          </w:tcPr>
          <w:p w14:paraId="07DCD7C8" w14:textId="77777777" w:rsidR="00AE727E" w:rsidRDefault="00AE727E">
            <w:pPr>
              <w:rPr>
                <w:rFonts w:ascii="宋体"/>
                <w:vanish/>
              </w:rPr>
            </w:pPr>
          </w:p>
        </w:tc>
        <w:tc>
          <w:tcPr>
            <w:tcW w:w="0" w:type="auto"/>
            <w:gridSpan w:val="3"/>
            <w:shd w:val="clear" w:color="auto" w:fill="auto"/>
            <w:vAlign w:val="bottom"/>
          </w:tcPr>
          <w:p w14:paraId="07DCD7C9" w14:textId="77777777" w:rsidR="00AE727E" w:rsidRDefault="00AE727E">
            <w:pPr>
              <w:rPr>
                <w:rFonts w:ascii="宋体"/>
                <w:vanish/>
              </w:rPr>
            </w:pPr>
          </w:p>
        </w:tc>
        <w:tc>
          <w:tcPr>
            <w:tcW w:w="0" w:type="auto"/>
            <w:gridSpan w:val="3"/>
            <w:shd w:val="clear" w:color="auto" w:fill="auto"/>
            <w:vAlign w:val="bottom"/>
          </w:tcPr>
          <w:p w14:paraId="07DCD7CA" w14:textId="77777777" w:rsidR="00AE727E" w:rsidRDefault="00AE727E">
            <w:pPr>
              <w:rPr>
                <w:rFonts w:ascii="宋体"/>
                <w:vanish/>
              </w:rPr>
            </w:pPr>
          </w:p>
        </w:tc>
      </w:tr>
      <w:tr w:rsidR="00AE727E" w14:paraId="07DCD7D4" w14:textId="77777777">
        <w:trPr>
          <w:hidden/>
        </w:trPr>
        <w:tc>
          <w:tcPr>
            <w:tcW w:w="0" w:type="auto"/>
            <w:gridSpan w:val="3"/>
            <w:shd w:val="clear" w:color="auto" w:fill="auto"/>
            <w:vAlign w:val="bottom"/>
          </w:tcPr>
          <w:p w14:paraId="07DCD7CC" w14:textId="77777777" w:rsidR="00AE727E" w:rsidRDefault="00AE727E">
            <w:pPr>
              <w:rPr>
                <w:rFonts w:ascii="宋体"/>
                <w:vanish/>
              </w:rPr>
            </w:pPr>
          </w:p>
        </w:tc>
        <w:tc>
          <w:tcPr>
            <w:tcW w:w="0" w:type="auto"/>
            <w:gridSpan w:val="3"/>
            <w:shd w:val="clear" w:color="auto" w:fill="auto"/>
            <w:vAlign w:val="bottom"/>
          </w:tcPr>
          <w:p w14:paraId="07DCD7CD" w14:textId="77777777" w:rsidR="00AE727E" w:rsidRDefault="00AE727E">
            <w:pPr>
              <w:rPr>
                <w:rFonts w:ascii="宋体"/>
                <w:vanish/>
              </w:rPr>
            </w:pPr>
          </w:p>
        </w:tc>
        <w:tc>
          <w:tcPr>
            <w:tcW w:w="0" w:type="auto"/>
            <w:gridSpan w:val="3"/>
            <w:shd w:val="clear" w:color="auto" w:fill="auto"/>
            <w:vAlign w:val="bottom"/>
          </w:tcPr>
          <w:p w14:paraId="07DCD7CE" w14:textId="77777777" w:rsidR="00AE727E" w:rsidRDefault="00AE727E">
            <w:pPr>
              <w:rPr>
                <w:rFonts w:ascii="宋体"/>
                <w:vanish/>
              </w:rPr>
            </w:pPr>
          </w:p>
        </w:tc>
        <w:tc>
          <w:tcPr>
            <w:tcW w:w="0" w:type="auto"/>
            <w:gridSpan w:val="3"/>
            <w:shd w:val="clear" w:color="auto" w:fill="auto"/>
            <w:vAlign w:val="bottom"/>
          </w:tcPr>
          <w:p w14:paraId="07DCD7CF" w14:textId="77777777" w:rsidR="00AE727E" w:rsidRDefault="00AE727E">
            <w:pPr>
              <w:rPr>
                <w:rFonts w:ascii="宋体"/>
                <w:vanish/>
              </w:rPr>
            </w:pPr>
          </w:p>
        </w:tc>
        <w:tc>
          <w:tcPr>
            <w:tcW w:w="0" w:type="auto"/>
            <w:gridSpan w:val="3"/>
            <w:shd w:val="clear" w:color="auto" w:fill="auto"/>
            <w:vAlign w:val="bottom"/>
          </w:tcPr>
          <w:p w14:paraId="07DCD7D0" w14:textId="77777777" w:rsidR="00AE727E" w:rsidRDefault="00AE727E">
            <w:pPr>
              <w:rPr>
                <w:rFonts w:ascii="宋体"/>
                <w:vanish/>
              </w:rPr>
            </w:pPr>
          </w:p>
        </w:tc>
        <w:tc>
          <w:tcPr>
            <w:tcW w:w="0" w:type="auto"/>
            <w:gridSpan w:val="3"/>
            <w:shd w:val="clear" w:color="auto" w:fill="auto"/>
            <w:vAlign w:val="bottom"/>
          </w:tcPr>
          <w:p w14:paraId="07DCD7D1" w14:textId="77777777" w:rsidR="00AE727E" w:rsidRDefault="00AE727E">
            <w:pPr>
              <w:rPr>
                <w:rFonts w:ascii="宋体"/>
                <w:vanish/>
              </w:rPr>
            </w:pPr>
          </w:p>
        </w:tc>
        <w:tc>
          <w:tcPr>
            <w:tcW w:w="0" w:type="auto"/>
            <w:gridSpan w:val="3"/>
            <w:shd w:val="clear" w:color="auto" w:fill="auto"/>
            <w:vAlign w:val="bottom"/>
          </w:tcPr>
          <w:p w14:paraId="07DCD7D2" w14:textId="77777777" w:rsidR="00AE727E" w:rsidRDefault="00AE727E">
            <w:pPr>
              <w:rPr>
                <w:rFonts w:ascii="宋体"/>
                <w:vanish/>
              </w:rPr>
            </w:pPr>
          </w:p>
        </w:tc>
        <w:tc>
          <w:tcPr>
            <w:tcW w:w="0" w:type="auto"/>
            <w:gridSpan w:val="3"/>
            <w:shd w:val="clear" w:color="auto" w:fill="auto"/>
            <w:vAlign w:val="bottom"/>
          </w:tcPr>
          <w:p w14:paraId="07DCD7D3" w14:textId="77777777" w:rsidR="00AE727E" w:rsidRDefault="00AE727E">
            <w:pPr>
              <w:rPr>
                <w:rFonts w:ascii="宋体"/>
                <w:vanish/>
              </w:rPr>
            </w:pPr>
          </w:p>
        </w:tc>
      </w:tr>
      <w:tr w:rsidR="00AE727E" w14:paraId="07DCD7DD" w14:textId="77777777">
        <w:trPr>
          <w:hidden/>
        </w:trPr>
        <w:tc>
          <w:tcPr>
            <w:tcW w:w="0" w:type="auto"/>
            <w:gridSpan w:val="3"/>
            <w:shd w:val="clear" w:color="auto" w:fill="auto"/>
            <w:vAlign w:val="bottom"/>
          </w:tcPr>
          <w:p w14:paraId="07DCD7D5" w14:textId="77777777" w:rsidR="00AE727E" w:rsidRDefault="00AE727E">
            <w:pPr>
              <w:rPr>
                <w:rFonts w:ascii="宋体"/>
                <w:vanish/>
              </w:rPr>
            </w:pPr>
          </w:p>
        </w:tc>
        <w:tc>
          <w:tcPr>
            <w:tcW w:w="0" w:type="auto"/>
            <w:gridSpan w:val="3"/>
            <w:shd w:val="clear" w:color="auto" w:fill="auto"/>
            <w:vAlign w:val="bottom"/>
          </w:tcPr>
          <w:p w14:paraId="07DCD7D6" w14:textId="77777777" w:rsidR="00AE727E" w:rsidRDefault="00AE727E">
            <w:pPr>
              <w:rPr>
                <w:rFonts w:ascii="宋体"/>
                <w:vanish/>
              </w:rPr>
            </w:pPr>
          </w:p>
        </w:tc>
        <w:tc>
          <w:tcPr>
            <w:tcW w:w="0" w:type="auto"/>
            <w:gridSpan w:val="3"/>
            <w:shd w:val="clear" w:color="auto" w:fill="auto"/>
            <w:vAlign w:val="bottom"/>
          </w:tcPr>
          <w:p w14:paraId="07DCD7D7" w14:textId="77777777" w:rsidR="00AE727E" w:rsidRDefault="00AE727E">
            <w:pPr>
              <w:rPr>
                <w:rFonts w:ascii="宋体"/>
                <w:vanish/>
              </w:rPr>
            </w:pPr>
          </w:p>
        </w:tc>
        <w:tc>
          <w:tcPr>
            <w:tcW w:w="0" w:type="auto"/>
            <w:gridSpan w:val="3"/>
            <w:shd w:val="clear" w:color="auto" w:fill="auto"/>
            <w:vAlign w:val="bottom"/>
          </w:tcPr>
          <w:p w14:paraId="07DCD7D8" w14:textId="77777777" w:rsidR="00AE727E" w:rsidRDefault="00AE727E">
            <w:pPr>
              <w:rPr>
                <w:rFonts w:ascii="宋体"/>
                <w:vanish/>
              </w:rPr>
            </w:pPr>
          </w:p>
        </w:tc>
        <w:tc>
          <w:tcPr>
            <w:tcW w:w="0" w:type="auto"/>
            <w:gridSpan w:val="3"/>
            <w:shd w:val="clear" w:color="auto" w:fill="auto"/>
            <w:vAlign w:val="bottom"/>
          </w:tcPr>
          <w:p w14:paraId="07DCD7D9" w14:textId="77777777" w:rsidR="00AE727E" w:rsidRDefault="00AE727E">
            <w:pPr>
              <w:rPr>
                <w:rFonts w:ascii="宋体"/>
                <w:vanish/>
              </w:rPr>
            </w:pPr>
          </w:p>
        </w:tc>
        <w:tc>
          <w:tcPr>
            <w:tcW w:w="0" w:type="auto"/>
            <w:gridSpan w:val="3"/>
            <w:shd w:val="clear" w:color="auto" w:fill="auto"/>
            <w:vAlign w:val="bottom"/>
          </w:tcPr>
          <w:p w14:paraId="07DCD7DA" w14:textId="77777777" w:rsidR="00AE727E" w:rsidRDefault="00AE727E">
            <w:pPr>
              <w:rPr>
                <w:rFonts w:ascii="宋体"/>
                <w:vanish/>
              </w:rPr>
            </w:pPr>
          </w:p>
        </w:tc>
        <w:tc>
          <w:tcPr>
            <w:tcW w:w="0" w:type="auto"/>
            <w:gridSpan w:val="3"/>
            <w:shd w:val="clear" w:color="auto" w:fill="auto"/>
            <w:vAlign w:val="bottom"/>
          </w:tcPr>
          <w:p w14:paraId="07DCD7DB" w14:textId="77777777" w:rsidR="00AE727E" w:rsidRDefault="00AE727E">
            <w:pPr>
              <w:rPr>
                <w:rFonts w:ascii="宋体"/>
                <w:vanish/>
              </w:rPr>
            </w:pPr>
          </w:p>
        </w:tc>
        <w:tc>
          <w:tcPr>
            <w:tcW w:w="0" w:type="auto"/>
            <w:gridSpan w:val="3"/>
            <w:shd w:val="clear" w:color="auto" w:fill="auto"/>
            <w:vAlign w:val="bottom"/>
          </w:tcPr>
          <w:p w14:paraId="07DCD7DC" w14:textId="77777777" w:rsidR="00AE727E" w:rsidRDefault="00AE727E">
            <w:pPr>
              <w:rPr>
                <w:rFonts w:ascii="宋体"/>
                <w:vanish/>
              </w:rPr>
            </w:pPr>
          </w:p>
        </w:tc>
      </w:tr>
      <w:tr w:rsidR="00AE727E" w14:paraId="07DCD7E6" w14:textId="77777777">
        <w:trPr>
          <w:hidden/>
        </w:trPr>
        <w:tc>
          <w:tcPr>
            <w:tcW w:w="0" w:type="auto"/>
            <w:gridSpan w:val="3"/>
            <w:shd w:val="clear" w:color="auto" w:fill="auto"/>
            <w:vAlign w:val="bottom"/>
          </w:tcPr>
          <w:p w14:paraId="07DCD7DE" w14:textId="77777777" w:rsidR="00AE727E" w:rsidRDefault="00AE727E">
            <w:pPr>
              <w:rPr>
                <w:rFonts w:ascii="宋体"/>
                <w:vanish/>
              </w:rPr>
            </w:pPr>
          </w:p>
        </w:tc>
        <w:tc>
          <w:tcPr>
            <w:tcW w:w="0" w:type="auto"/>
            <w:gridSpan w:val="3"/>
            <w:shd w:val="clear" w:color="auto" w:fill="auto"/>
            <w:vAlign w:val="bottom"/>
          </w:tcPr>
          <w:p w14:paraId="07DCD7DF" w14:textId="77777777" w:rsidR="00AE727E" w:rsidRDefault="00AE727E">
            <w:pPr>
              <w:rPr>
                <w:rFonts w:ascii="宋体"/>
                <w:vanish/>
              </w:rPr>
            </w:pPr>
          </w:p>
        </w:tc>
        <w:tc>
          <w:tcPr>
            <w:tcW w:w="0" w:type="auto"/>
            <w:gridSpan w:val="3"/>
            <w:shd w:val="clear" w:color="auto" w:fill="auto"/>
            <w:vAlign w:val="bottom"/>
          </w:tcPr>
          <w:p w14:paraId="07DCD7E0" w14:textId="77777777" w:rsidR="00AE727E" w:rsidRDefault="00AE727E">
            <w:pPr>
              <w:rPr>
                <w:rFonts w:ascii="宋体"/>
                <w:vanish/>
              </w:rPr>
            </w:pPr>
          </w:p>
        </w:tc>
        <w:tc>
          <w:tcPr>
            <w:tcW w:w="0" w:type="auto"/>
            <w:gridSpan w:val="3"/>
            <w:shd w:val="clear" w:color="auto" w:fill="auto"/>
            <w:vAlign w:val="bottom"/>
          </w:tcPr>
          <w:p w14:paraId="07DCD7E1" w14:textId="77777777" w:rsidR="00AE727E" w:rsidRDefault="00AE727E">
            <w:pPr>
              <w:rPr>
                <w:rFonts w:ascii="宋体"/>
                <w:vanish/>
              </w:rPr>
            </w:pPr>
          </w:p>
        </w:tc>
        <w:tc>
          <w:tcPr>
            <w:tcW w:w="0" w:type="auto"/>
            <w:gridSpan w:val="3"/>
            <w:shd w:val="clear" w:color="auto" w:fill="auto"/>
            <w:vAlign w:val="bottom"/>
          </w:tcPr>
          <w:p w14:paraId="07DCD7E2" w14:textId="77777777" w:rsidR="00AE727E" w:rsidRDefault="00AE727E">
            <w:pPr>
              <w:rPr>
                <w:rFonts w:ascii="宋体"/>
                <w:vanish/>
              </w:rPr>
            </w:pPr>
          </w:p>
        </w:tc>
        <w:tc>
          <w:tcPr>
            <w:tcW w:w="0" w:type="auto"/>
            <w:gridSpan w:val="3"/>
            <w:shd w:val="clear" w:color="auto" w:fill="auto"/>
            <w:vAlign w:val="bottom"/>
          </w:tcPr>
          <w:p w14:paraId="07DCD7E3" w14:textId="77777777" w:rsidR="00AE727E" w:rsidRDefault="00AE727E">
            <w:pPr>
              <w:rPr>
                <w:rFonts w:ascii="宋体"/>
                <w:vanish/>
              </w:rPr>
            </w:pPr>
          </w:p>
        </w:tc>
        <w:tc>
          <w:tcPr>
            <w:tcW w:w="0" w:type="auto"/>
            <w:gridSpan w:val="3"/>
            <w:shd w:val="clear" w:color="auto" w:fill="auto"/>
            <w:vAlign w:val="bottom"/>
          </w:tcPr>
          <w:p w14:paraId="07DCD7E4" w14:textId="77777777" w:rsidR="00AE727E" w:rsidRDefault="00AE727E">
            <w:pPr>
              <w:rPr>
                <w:rFonts w:ascii="宋体"/>
                <w:vanish/>
              </w:rPr>
            </w:pPr>
          </w:p>
        </w:tc>
        <w:tc>
          <w:tcPr>
            <w:tcW w:w="0" w:type="auto"/>
            <w:gridSpan w:val="3"/>
            <w:shd w:val="clear" w:color="auto" w:fill="auto"/>
            <w:vAlign w:val="bottom"/>
          </w:tcPr>
          <w:p w14:paraId="07DCD7E5" w14:textId="77777777" w:rsidR="00AE727E" w:rsidRDefault="00AE727E">
            <w:pPr>
              <w:rPr>
                <w:rFonts w:ascii="宋体"/>
                <w:vanish/>
              </w:rPr>
            </w:pPr>
          </w:p>
        </w:tc>
      </w:tr>
      <w:tr w:rsidR="00AE727E" w14:paraId="07DCD7EF" w14:textId="77777777">
        <w:tc>
          <w:tcPr>
            <w:tcW w:w="0" w:type="auto"/>
            <w:gridSpan w:val="3"/>
            <w:shd w:val="clear" w:color="auto" w:fill="CCEEFF"/>
            <w:tcMar>
              <w:top w:w="40" w:type="dxa"/>
              <w:left w:w="260" w:type="dxa"/>
              <w:bottom w:w="40" w:type="dxa"/>
              <w:right w:w="20" w:type="dxa"/>
            </w:tcMar>
            <w:vAlign w:val="bottom"/>
          </w:tcPr>
          <w:p w14:paraId="07DCD7E7" w14:textId="77777777" w:rsidR="00AE727E" w:rsidRDefault="008433E0">
            <w:pPr>
              <w:textAlignment w:val="bottom"/>
            </w:pPr>
            <w:r>
              <w:rPr>
                <w:rFonts w:ascii="Times New Roman" w:eastAsia="宋体" w:hAnsi="Times New Roman"/>
                <w:color w:val="000000"/>
                <w:sz w:val="20"/>
                <w:szCs w:val="20"/>
              </w:rPr>
              <w:t>Cash flow hedges:</w:t>
            </w:r>
          </w:p>
        </w:tc>
        <w:tc>
          <w:tcPr>
            <w:tcW w:w="0" w:type="auto"/>
            <w:gridSpan w:val="3"/>
            <w:shd w:val="clear" w:color="auto" w:fill="CCEEFF"/>
            <w:tcMar>
              <w:top w:w="0" w:type="dxa"/>
              <w:left w:w="20" w:type="dxa"/>
              <w:bottom w:w="0" w:type="dxa"/>
              <w:right w:w="20" w:type="dxa"/>
            </w:tcMar>
            <w:vAlign w:val="bottom"/>
          </w:tcPr>
          <w:p w14:paraId="07DCD7E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7EE" w14:textId="77777777" w:rsidR="00AE727E" w:rsidRDefault="00AE727E">
            <w:pPr>
              <w:rPr>
                <w:rFonts w:ascii="宋体"/>
              </w:rPr>
            </w:pPr>
          </w:p>
        </w:tc>
      </w:tr>
      <w:tr w:rsidR="00AE727E" w14:paraId="07DCD7FC" w14:textId="77777777">
        <w:tc>
          <w:tcPr>
            <w:tcW w:w="0" w:type="auto"/>
            <w:gridSpan w:val="3"/>
            <w:shd w:val="clear" w:color="auto" w:fill="FFFFFF"/>
            <w:tcMar>
              <w:top w:w="40" w:type="dxa"/>
              <w:left w:w="500" w:type="dxa"/>
              <w:bottom w:w="40" w:type="dxa"/>
              <w:right w:w="20" w:type="dxa"/>
            </w:tcMar>
            <w:vAlign w:val="bottom"/>
          </w:tcPr>
          <w:p w14:paraId="07DCD7F0" w14:textId="77777777" w:rsidR="00AE727E" w:rsidRDefault="008433E0">
            <w:pPr>
              <w:textAlignment w:val="bottom"/>
            </w:pPr>
            <w:r>
              <w:rPr>
                <w:rFonts w:ascii="Times New Roman" w:eastAsia="宋体" w:hAnsi="Times New Roman"/>
                <w:color w:val="000000"/>
                <w:sz w:val="20"/>
                <w:szCs w:val="20"/>
              </w:rPr>
              <w:t>Change in unrealized gains (losses)</w:t>
            </w:r>
          </w:p>
        </w:tc>
        <w:tc>
          <w:tcPr>
            <w:tcW w:w="0" w:type="auto"/>
            <w:gridSpan w:val="2"/>
            <w:shd w:val="clear" w:color="auto" w:fill="FFFFFF"/>
            <w:tcMar>
              <w:top w:w="40" w:type="dxa"/>
              <w:left w:w="20" w:type="dxa"/>
              <w:bottom w:w="40" w:type="dxa"/>
              <w:right w:w="0" w:type="dxa"/>
            </w:tcMar>
            <w:vAlign w:val="bottom"/>
          </w:tcPr>
          <w:p w14:paraId="07DCD7F1" w14:textId="77777777" w:rsidR="00AE727E" w:rsidRDefault="008433E0">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bottom"/>
          </w:tcPr>
          <w:p w14:paraId="07DCD7F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F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F4" w14:textId="77777777" w:rsidR="00AE727E" w:rsidRDefault="008433E0">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07DCD7F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F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F7" w14:textId="77777777" w:rsidR="00AE727E" w:rsidRDefault="008433E0">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07DCD7F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7F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7FA" w14:textId="77777777" w:rsidR="00AE727E" w:rsidRDefault="008433E0">
            <w:pPr>
              <w:jc w:val="right"/>
              <w:textAlignment w:val="bottom"/>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bottom"/>
          </w:tcPr>
          <w:p w14:paraId="07DCD7FB" w14:textId="77777777" w:rsidR="00AE727E" w:rsidRDefault="00AE727E">
            <w:pPr>
              <w:jc w:val="right"/>
              <w:rPr>
                <w:rFonts w:ascii="宋体"/>
              </w:rPr>
            </w:pPr>
          </w:p>
        </w:tc>
      </w:tr>
      <w:tr w:rsidR="00AE727E" w14:paraId="07DCD809" w14:textId="77777777">
        <w:tc>
          <w:tcPr>
            <w:tcW w:w="0" w:type="auto"/>
            <w:gridSpan w:val="3"/>
            <w:shd w:val="clear" w:color="auto" w:fill="CCEEFF"/>
            <w:tcMar>
              <w:top w:w="40" w:type="dxa"/>
              <w:left w:w="500" w:type="dxa"/>
              <w:bottom w:w="40" w:type="dxa"/>
              <w:right w:w="20" w:type="dxa"/>
            </w:tcMar>
            <w:vAlign w:val="bottom"/>
          </w:tcPr>
          <w:p w14:paraId="07DCD7FD" w14:textId="77777777" w:rsidR="00AE727E" w:rsidRDefault="008433E0">
            <w:pPr>
              <w:textAlignment w:val="bottom"/>
            </w:pPr>
            <w:r>
              <w:rPr>
                <w:rFonts w:ascii="Times New Roman" w:eastAsia="宋体" w:hAnsi="Times New Roman"/>
                <w:color w:val="000000"/>
                <w:sz w:val="20"/>
                <w:szCs w:val="20"/>
              </w:rPr>
              <w:t>Reclassification adjustment for net (gains) losses included in net income</w:t>
            </w:r>
          </w:p>
        </w:tc>
        <w:tc>
          <w:tcPr>
            <w:tcW w:w="0" w:type="auto"/>
            <w:gridSpan w:val="2"/>
            <w:shd w:val="clear" w:color="auto" w:fill="CCEEFF"/>
            <w:tcMar>
              <w:top w:w="40" w:type="dxa"/>
              <w:left w:w="20" w:type="dxa"/>
              <w:bottom w:w="40" w:type="dxa"/>
              <w:right w:w="0" w:type="dxa"/>
            </w:tcMar>
            <w:vAlign w:val="bottom"/>
          </w:tcPr>
          <w:p w14:paraId="07DCD7FE" w14:textId="77777777" w:rsidR="00AE727E" w:rsidRDefault="008433E0">
            <w:pPr>
              <w:jc w:val="right"/>
              <w:textAlignment w:val="bottom"/>
            </w:pPr>
            <w:r>
              <w:rPr>
                <w:rFonts w:ascii="Times New Roman" w:eastAsia="宋体" w:hAnsi="Times New Roman"/>
                <w:color w:val="000000"/>
                <w:sz w:val="20"/>
                <w:szCs w:val="20"/>
              </w:rPr>
              <w:t>(74)</w:t>
            </w:r>
          </w:p>
        </w:tc>
        <w:tc>
          <w:tcPr>
            <w:tcW w:w="0" w:type="auto"/>
            <w:shd w:val="clear" w:color="auto" w:fill="CCEEFF"/>
            <w:tcMar>
              <w:top w:w="40" w:type="dxa"/>
              <w:left w:w="0" w:type="dxa"/>
              <w:bottom w:w="40" w:type="dxa"/>
              <w:right w:w="20" w:type="dxa"/>
            </w:tcMar>
            <w:vAlign w:val="bottom"/>
          </w:tcPr>
          <w:p w14:paraId="07DCD7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0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01" w14:textId="77777777" w:rsidR="00AE727E" w:rsidRDefault="008433E0">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07DCD80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0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04" w14:textId="77777777" w:rsidR="00AE727E" w:rsidRDefault="008433E0">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7DCD80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0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07" w14:textId="77777777" w:rsidR="00AE727E" w:rsidRDefault="008433E0">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07DCD808" w14:textId="77777777" w:rsidR="00AE727E" w:rsidRDefault="00AE727E">
            <w:pPr>
              <w:jc w:val="right"/>
              <w:rPr>
                <w:rFonts w:ascii="宋体"/>
              </w:rPr>
            </w:pPr>
          </w:p>
        </w:tc>
      </w:tr>
      <w:tr w:rsidR="00AE727E" w14:paraId="07DCD816" w14:textId="77777777">
        <w:tc>
          <w:tcPr>
            <w:tcW w:w="0" w:type="auto"/>
            <w:gridSpan w:val="3"/>
            <w:shd w:val="clear" w:color="auto" w:fill="FFFFFF"/>
            <w:tcMar>
              <w:top w:w="40" w:type="dxa"/>
              <w:left w:w="740" w:type="dxa"/>
              <w:bottom w:w="40" w:type="dxa"/>
              <w:right w:w="20" w:type="dxa"/>
            </w:tcMar>
            <w:vAlign w:val="bottom"/>
          </w:tcPr>
          <w:p w14:paraId="07DCD80A" w14:textId="77777777" w:rsidR="00AE727E" w:rsidRDefault="008433E0">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0B" w14:textId="77777777" w:rsidR="00AE727E" w:rsidRDefault="008433E0">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0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0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0E" w14:textId="77777777" w:rsidR="00AE727E" w:rsidRDefault="008433E0">
            <w:pPr>
              <w:jc w:val="right"/>
              <w:textAlignment w:val="bottom"/>
            </w:pPr>
            <w:r>
              <w:rPr>
                <w:rFonts w:ascii="Times New Roman" w:eastAsia="宋体" w:hAnsi="Times New Roman"/>
                <w:color w:val="000000"/>
                <w:sz w:val="20"/>
                <w:szCs w:val="20"/>
              </w:rPr>
              <w:t>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0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10"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11" w14:textId="77777777" w:rsidR="00AE727E" w:rsidRDefault="008433E0">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1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13"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14" w14:textId="77777777" w:rsidR="00AE727E" w:rsidRDefault="008433E0">
            <w:pPr>
              <w:jc w:val="right"/>
              <w:textAlignment w:val="bottom"/>
            </w:pPr>
            <w:r>
              <w:rPr>
                <w:rFonts w:ascii="Times New Roman" w:eastAsia="宋体" w:hAnsi="Times New Roman"/>
                <w:color w:val="000000"/>
                <w:sz w:val="20"/>
                <w:szCs w:val="20"/>
              </w:rPr>
              <w:t>(69)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15" w14:textId="77777777" w:rsidR="00AE727E" w:rsidRDefault="00AE727E">
            <w:pPr>
              <w:jc w:val="right"/>
              <w:rPr>
                <w:rFonts w:ascii="宋体"/>
              </w:rPr>
            </w:pPr>
          </w:p>
        </w:tc>
      </w:tr>
      <w:tr w:rsidR="00AE727E" w14:paraId="07DCD81F" w14:textId="77777777">
        <w:tc>
          <w:tcPr>
            <w:tcW w:w="0" w:type="auto"/>
            <w:gridSpan w:val="3"/>
            <w:shd w:val="clear" w:color="auto" w:fill="CCEEFF"/>
            <w:tcMar>
              <w:top w:w="40" w:type="dxa"/>
              <w:left w:w="260" w:type="dxa"/>
              <w:bottom w:w="40" w:type="dxa"/>
              <w:right w:w="20" w:type="dxa"/>
            </w:tcMar>
            <w:vAlign w:val="bottom"/>
          </w:tcPr>
          <w:p w14:paraId="07DCD817" w14:textId="77777777" w:rsidR="00AE727E" w:rsidRDefault="008433E0">
            <w:pPr>
              <w:textAlignment w:val="bottom"/>
            </w:pPr>
            <w:r>
              <w:rPr>
                <w:rFonts w:ascii="Times New Roman" w:eastAsia="宋体" w:hAnsi="Times New Roman"/>
                <w:color w:val="00000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1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19"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1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1B"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1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1D"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1E" w14:textId="77777777" w:rsidR="00AE727E" w:rsidRDefault="00AE727E">
            <w:pPr>
              <w:rPr>
                <w:rFonts w:ascii="宋体"/>
              </w:rPr>
            </w:pPr>
          </w:p>
        </w:tc>
      </w:tr>
      <w:tr w:rsidR="00AE727E" w14:paraId="07DCD82C" w14:textId="77777777">
        <w:tc>
          <w:tcPr>
            <w:tcW w:w="0" w:type="auto"/>
            <w:gridSpan w:val="3"/>
            <w:shd w:val="clear" w:color="auto" w:fill="FFFFFF"/>
            <w:tcMar>
              <w:top w:w="40" w:type="dxa"/>
              <w:left w:w="515" w:type="dxa"/>
              <w:bottom w:w="40" w:type="dxa"/>
              <w:right w:w="20" w:type="dxa"/>
            </w:tcMar>
            <w:vAlign w:val="bottom"/>
          </w:tcPr>
          <w:p w14:paraId="07DCD820" w14:textId="77777777" w:rsidR="00AE727E" w:rsidRDefault="008433E0">
            <w:pPr>
              <w:textAlignment w:val="bottom"/>
            </w:pPr>
            <w:r>
              <w:rPr>
                <w:rFonts w:ascii="Times New Roman" w:eastAsia="宋体" w:hAnsi="Times New Roman"/>
                <w:color w:val="000000"/>
                <w:sz w:val="20"/>
                <w:szCs w:val="20"/>
              </w:rPr>
              <w:t>Recognition of actuarial net gains (losses) from pension and other postretirement plans</w:t>
            </w:r>
          </w:p>
        </w:tc>
        <w:tc>
          <w:tcPr>
            <w:tcW w:w="0" w:type="auto"/>
            <w:gridSpan w:val="2"/>
            <w:shd w:val="clear" w:color="auto" w:fill="FFFFFF"/>
            <w:tcMar>
              <w:top w:w="40" w:type="dxa"/>
              <w:left w:w="20" w:type="dxa"/>
              <w:bottom w:w="40" w:type="dxa"/>
              <w:right w:w="0" w:type="dxa"/>
            </w:tcMar>
            <w:vAlign w:val="bottom"/>
          </w:tcPr>
          <w:p w14:paraId="07DCD821"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DCD8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2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24"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DCD82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2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27" w14:textId="77777777" w:rsidR="00AE727E" w:rsidRDefault="008433E0">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DCD82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2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2A" w14:textId="77777777" w:rsidR="00AE727E" w:rsidRDefault="008433E0">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7DCD82B" w14:textId="77777777" w:rsidR="00AE727E" w:rsidRDefault="00AE727E">
            <w:pPr>
              <w:jc w:val="right"/>
              <w:rPr>
                <w:rFonts w:ascii="宋体"/>
              </w:rPr>
            </w:pPr>
          </w:p>
        </w:tc>
      </w:tr>
      <w:tr w:rsidR="00AE727E" w14:paraId="07DCD839" w14:textId="77777777">
        <w:tc>
          <w:tcPr>
            <w:tcW w:w="0" w:type="auto"/>
            <w:gridSpan w:val="3"/>
            <w:shd w:val="clear" w:color="auto" w:fill="CCEEFF"/>
            <w:tcMar>
              <w:top w:w="40" w:type="dxa"/>
              <w:left w:w="515" w:type="dxa"/>
              <w:bottom w:w="40" w:type="dxa"/>
              <w:right w:w="20" w:type="dxa"/>
            </w:tcMar>
            <w:vAlign w:val="bottom"/>
          </w:tcPr>
          <w:p w14:paraId="07DCD82D" w14:textId="77777777" w:rsidR="00AE727E" w:rsidRDefault="008433E0">
            <w:pPr>
              <w:textAlignment w:val="bottom"/>
            </w:pPr>
            <w:r>
              <w:rPr>
                <w:rFonts w:ascii="Times New Roman" w:eastAsia="宋体" w:hAnsi="Times New Roman"/>
                <w:color w:val="000000"/>
                <w:sz w:val="20"/>
                <w:szCs w:val="20"/>
              </w:rPr>
              <w:t>Reclassification adjustments for net (gains) losses from pension and other postretirement plans</w:t>
            </w:r>
          </w:p>
        </w:tc>
        <w:tc>
          <w:tcPr>
            <w:tcW w:w="0" w:type="auto"/>
            <w:gridSpan w:val="2"/>
            <w:shd w:val="clear" w:color="auto" w:fill="CCEEFF"/>
            <w:tcMar>
              <w:top w:w="40" w:type="dxa"/>
              <w:left w:w="20" w:type="dxa"/>
              <w:bottom w:w="40" w:type="dxa"/>
              <w:right w:w="0" w:type="dxa"/>
            </w:tcMar>
            <w:vAlign w:val="bottom"/>
          </w:tcPr>
          <w:p w14:paraId="07DCD82E"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D82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3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31" w14:textId="77777777" w:rsidR="00AE727E" w:rsidRDefault="008433E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7DCD83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3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34" w14:textId="77777777" w:rsidR="00AE727E" w:rsidRDefault="008433E0">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DCD83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3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37" w14:textId="77777777" w:rsidR="00AE727E" w:rsidRDefault="008433E0">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DCD838" w14:textId="77777777" w:rsidR="00AE727E" w:rsidRDefault="00AE727E">
            <w:pPr>
              <w:jc w:val="right"/>
              <w:rPr>
                <w:rFonts w:ascii="宋体"/>
              </w:rPr>
            </w:pPr>
          </w:p>
        </w:tc>
      </w:tr>
      <w:tr w:rsidR="00AE727E" w14:paraId="07DCD846" w14:textId="77777777">
        <w:tc>
          <w:tcPr>
            <w:tcW w:w="0" w:type="auto"/>
            <w:gridSpan w:val="3"/>
            <w:shd w:val="clear" w:color="auto" w:fill="FFFFFF"/>
            <w:tcMar>
              <w:top w:w="40" w:type="dxa"/>
              <w:left w:w="740" w:type="dxa"/>
              <w:bottom w:w="40" w:type="dxa"/>
              <w:right w:w="20" w:type="dxa"/>
            </w:tcMar>
            <w:vAlign w:val="bottom"/>
          </w:tcPr>
          <w:p w14:paraId="07DCD83A" w14:textId="77777777" w:rsidR="00AE727E" w:rsidRDefault="008433E0">
            <w:pPr>
              <w:textAlignment w:val="bottom"/>
            </w:pPr>
            <w:r>
              <w:rPr>
                <w:rFonts w:ascii="Times New Roman" w:eastAsia="宋体" w:hAnsi="Times New Roman"/>
                <w:color w:val="000000"/>
                <w:sz w:val="20"/>
                <w:szCs w:val="20"/>
              </w:rPr>
              <w:t xml:space="preserve">Net change in actuarial net gains (losses) from pension and other </w:t>
            </w:r>
            <w:r>
              <w:rPr>
                <w:rFonts w:ascii="Times New Roman" w:eastAsia="宋体" w:hAnsi="Times New Roman"/>
                <w:color w:val="000000"/>
                <w:sz w:val="20"/>
                <w:szCs w:val="20"/>
              </w:rPr>
              <w:t>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3B" w14:textId="77777777" w:rsidR="00AE727E" w:rsidRDefault="008433E0">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3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3E"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3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40"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41" w14:textId="77777777" w:rsidR="00AE727E" w:rsidRDefault="008433E0">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43"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44" w14:textId="77777777" w:rsidR="00AE727E" w:rsidRDefault="008433E0">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45" w14:textId="77777777" w:rsidR="00AE727E" w:rsidRDefault="00AE727E">
            <w:pPr>
              <w:jc w:val="right"/>
              <w:rPr>
                <w:rFonts w:ascii="宋体"/>
              </w:rPr>
            </w:pPr>
          </w:p>
        </w:tc>
      </w:tr>
      <w:tr w:rsidR="00AE727E" w14:paraId="07DCD84F" w14:textId="77777777">
        <w:trPr>
          <w:trHeight w:val="300"/>
        </w:trPr>
        <w:tc>
          <w:tcPr>
            <w:tcW w:w="0" w:type="auto"/>
            <w:gridSpan w:val="3"/>
            <w:shd w:val="clear" w:color="auto" w:fill="CCEEFF"/>
            <w:tcMar>
              <w:top w:w="0" w:type="dxa"/>
              <w:left w:w="20" w:type="dxa"/>
              <w:bottom w:w="0" w:type="dxa"/>
              <w:right w:w="20" w:type="dxa"/>
            </w:tcMar>
            <w:vAlign w:val="bottom"/>
          </w:tcPr>
          <w:p w14:paraId="07DCD847"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4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49"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4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4B"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4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4D"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4E" w14:textId="77777777" w:rsidR="00AE727E" w:rsidRDefault="00AE727E">
            <w:pPr>
              <w:rPr>
                <w:rFonts w:ascii="宋体"/>
              </w:rPr>
            </w:pPr>
          </w:p>
        </w:tc>
      </w:tr>
      <w:tr w:rsidR="00AE727E" w14:paraId="07DCD85C" w14:textId="77777777">
        <w:tc>
          <w:tcPr>
            <w:tcW w:w="0" w:type="auto"/>
            <w:gridSpan w:val="3"/>
            <w:shd w:val="clear" w:color="auto" w:fill="FFFFFF"/>
            <w:tcMar>
              <w:top w:w="40" w:type="dxa"/>
              <w:left w:w="20" w:type="dxa"/>
              <w:bottom w:w="40" w:type="dxa"/>
              <w:right w:w="20" w:type="dxa"/>
            </w:tcMar>
            <w:vAlign w:val="bottom"/>
          </w:tcPr>
          <w:p w14:paraId="07DCD850" w14:textId="77777777" w:rsidR="00AE727E" w:rsidRDefault="008433E0">
            <w:pPr>
              <w:textAlignment w:val="bottom"/>
            </w:pPr>
            <w:r>
              <w:rPr>
                <w:rFonts w:ascii="Times New Roman" w:eastAsia="宋体" w:hAnsi="Times New Roman"/>
                <w:color w:val="000000"/>
                <w:sz w:val="20"/>
                <w:szCs w:val="20"/>
              </w:rPr>
              <w:t>Total other comprehensive income (loss), net of tax expense (benefit) of $1 and $9, respectively, and $6 and $(3), respectively</w:t>
            </w:r>
          </w:p>
        </w:tc>
        <w:tc>
          <w:tcPr>
            <w:tcW w:w="0" w:type="auto"/>
            <w:gridSpan w:val="2"/>
            <w:shd w:val="clear" w:color="auto" w:fill="FFFFFF"/>
            <w:tcMar>
              <w:top w:w="40" w:type="dxa"/>
              <w:left w:w="20" w:type="dxa"/>
              <w:bottom w:w="40" w:type="dxa"/>
              <w:right w:w="0" w:type="dxa"/>
            </w:tcMar>
            <w:vAlign w:val="bottom"/>
          </w:tcPr>
          <w:p w14:paraId="07DCD851" w14:textId="77777777" w:rsidR="00AE727E" w:rsidRDefault="008433E0">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7DCD85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5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54" w14:textId="77777777" w:rsidR="00AE727E" w:rsidRDefault="008433E0">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7DCD8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5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57" w14:textId="77777777" w:rsidR="00AE727E" w:rsidRDefault="008433E0">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07DCD8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5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5A" w14:textId="77777777" w:rsidR="00AE727E" w:rsidRDefault="008433E0">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07DCD85B" w14:textId="77777777" w:rsidR="00AE727E" w:rsidRDefault="00AE727E">
            <w:pPr>
              <w:jc w:val="right"/>
              <w:rPr>
                <w:rFonts w:ascii="宋体"/>
              </w:rPr>
            </w:pPr>
          </w:p>
        </w:tc>
      </w:tr>
      <w:tr w:rsidR="00AE727E" w14:paraId="07DCD869" w14:textId="77777777">
        <w:tc>
          <w:tcPr>
            <w:tcW w:w="0" w:type="auto"/>
            <w:gridSpan w:val="3"/>
            <w:shd w:val="clear" w:color="auto" w:fill="CCEEFF"/>
            <w:tcMar>
              <w:top w:w="40" w:type="dxa"/>
              <w:left w:w="620" w:type="dxa"/>
              <w:bottom w:w="40" w:type="dxa"/>
              <w:right w:w="20" w:type="dxa"/>
            </w:tcMar>
            <w:vAlign w:val="bottom"/>
          </w:tcPr>
          <w:p w14:paraId="07DCD85D" w14:textId="77777777" w:rsidR="00AE727E" w:rsidRDefault="008433E0">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85E" w14:textId="77777777" w:rsidR="00AE727E" w:rsidRDefault="008433E0">
            <w:pPr>
              <w:jc w:val="right"/>
              <w:textAlignment w:val="bottom"/>
            </w:pPr>
            <w:r>
              <w:rPr>
                <w:rFonts w:ascii="Times New Roman" w:eastAsia="宋体" w:hAnsi="Times New Roman"/>
                <w:color w:val="000000"/>
                <w:sz w:val="20"/>
                <w:szCs w:val="20"/>
              </w:rPr>
              <w:t>3,841 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85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6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861" w14:textId="77777777" w:rsidR="00AE727E" w:rsidRDefault="008433E0">
            <w:pPr>
              <w:jc w:val="right"/>
              <w:textAlignment w:val="bottom"/>
            </w:pPr>
            <w:r>
              <w:rPr>
                <w:rFonts w:ascii="Times New Roman" w:eastAsia="宋体" w:hAnsi="Times New Roman"/>
                <w:color w:val="000000"/>
                <w:sz w:val="20"/>
                <w:szCs w:val="20"/>
              </w:rPr>
              <w:t>989 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86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63"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864" w14:textId="77777777" w:rsidR="00AE727E" w:rsidRDefault="008433E0">
            <w:pPr>
              <w:jc w:val="right"/>
              <w:textAlignment w:val="bottom"/>
            </w:pPr>
            <w:r>
              <w:rPr>
                <w:rFonts w:ascii="Times New Roman" w:eastAsia="宋体" w:hAnsi="Times New Roman"/>
                <w:color w:val="000000"/>
                <w:sz w:val="20"/>
                <w:szCs w:val="20"/>
              </w:rPr>
              <w:t>5,626 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8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6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867" w14:textId="77777777" w:rsidR="00AE727E" w:rsidRDefault="008433E0">
            <w:pPr>
              <w:jc w:val="right"/>
              <w:textAlignment w:val="bottom"/>
            </w:pPr>
            <w:r>
              <w:rPr>
                <w:rFonts w:ascii="Times New Roman" w:eastAsia="宋体" w:hAnsi="Times New Roman"/>
                <w:color w:val="000000"/>
                <w:sz w:val="20"/>
                <w:szCs w:val="20"/>
              </w:rPr>
              <w:t>2,318 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868" w14:textId="77777777" w:rsidR="00AE727E" w:rsidRDefault="00AE727E">
            <w:pPr>
              <w:jc w:val="right"/>
              <w:rPr>
                <w:rFonts w:ascii="宋体"/>
              </w:rPr>
            </w:pPr>
          </w:p>
        </w:tc>
      </w:tr>
      <w:tr w:rsidR="00AE727E" w14:paraId="07DCD876" w14:textId="77777777">
        <w:tc>
          <w:tcPr>
            <w:tcW w:w="0" w:type="auto"/>
            <w:gridSpan w:val="3"/>
            <w:shd w:val="clear" w:color="auto" w:fill="FFFFFF"/>
            <w:tcMar>
              <w:top w:w="40" w:type="dxa"/>
              <w:left w:w="275" w:type="dxa"/>
              <w:bottom w:w="40" w:type="dxa"/>
              <w:right w:w="20" w:type="dxa"/>
            </w:tcMar>
            <w:vAlign w:val="bottom"/>
          </w:tcPr>
          <w:p w14:paraId="07DCD86A" w14:textId="77777777" w:rsidR="00AE727E" w:rsidRDefault="008433E0">
            <w:pPr>
              <w:textAlignment w:val="bottom"/>
            </w:pPr>
            <w:r>
              <w:rPr>
                <w:rFonts w:ascii="Times New Roman" w:eastAsia="宋体" w:hAnsi="Times New Roman"/>
                <w:color w:val="000000"/>
                <w:sz w:val="20"/>
                <w:szCs w:val="20"/>
              </w:rPr>
              <w:t>Less: Net income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6B" w14:textId="77777777" w:rsidR="00AE727E" w:rsidRDefault="008433E0">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6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6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6E" w14:textId="77777777" w:rsidR="00AE727E" w:rsidRDefault="008433E0">
            <w:pPr>
              <w:jc w:val="right"/>
              <w:textAlignment w:val="bottom"/>
            </w:pPr>
            <w:r>
              <w:rPr>
                <w:rFonts w:ascii="Times New Roman" w:eastAsia="宋体" w:hAnsi="Times New Roman"/>
                <w:color w:val="000000"/>
                <w:sz w:val="20"/>
                <w:szCs w:val="20"/>
              </w:rPr>
              <w:t>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6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70"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71" w14:textId="77777777" w:rsidR="00AE727E" w:rsidRDefault="008433E0">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7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73"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874" w14:textId="77777777" w:rsidR="00AE727E" w:rsidRDefault="008433E0">
            <w:pPr>
              <w:jc w:val="right"/>
              <w:textAlignment w:val="bottom"/>
            </w:pPr>
            <w:r>
              <w:rPr>
                <w:rFonts w:ascii="Times New Roman" w:eastAsia="宋体" w:hAnsi="Times New Roman"/>
                <w:color w:val="000000"/>
                <w:sz w:val="20"/>
                <w:szCs w:val="20"/>
              </w:rPr>
              <w:t>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875" w14:textId="77777777" w:rsidR="00AE727E" w:rsidRDefault="00AE727E">
            <w:pPr>
              <w:jc w:val="right"/>
              <w:rPr>
                <w:rFonts w:ascii="宋体"/>
              </w:rPr>
            </w:pPr>
          </w:p>
        </w:tc>
      </w:tr>
      <w:tr w:rsidR="00AE727E" w14:paraId="07DCD883" w14:textId="77777777">
        <w:tc>
          <w:tcPr>
            <w:tcW w:w="0" w:type="auto"/>
            <w:gridSpan w:val="3"/>
            <w:shd w:val="clear" w:color="auto" w:fill="CCEEFF"/>
            <w:tcMar>
              <w:top w:w="40" w:type="dxa"/>
              <w:left w:w="275" w:type="dxa"/>
              <w:bottom w:w="40" w:type="dxa"/>
              <w:right w:w="20" w:type="dxa"/>
            </w:tcMar>
            <w:vAlign w:val="bottom"/>
          </w:tcPr>
          <w:p w14:paraId="07DCD877" w14:textId="77777777" w:rsidR="00AE727E" w:rsidRDefault="008433E0">
            <w:pPr>
              <w:textAlignment w:val="bottom"/>
            </w:pPr>
            <w:r>
              <w:rPr>
                <w:rFonts w:ascii="Times New Roman" w:eastAsia="宋体" w:hAnsi="Times New Roman"/>
                <w:color w:val="000000"/>
                <w:sz w:val="20"/>
                <w:szCs w:val="20"/>
              </w:rPr>
              <w:t>Less: Other comprehensive income attributable to non-controlling interests</w:t>
            </w:r>
          </w:p>
        </w:tc>
        <w:tc>
          <w:tcPr>
            <w:tcW w:w="0" w:type="auto"/>
            <w:gridSpan w:val="2"/>
            <w:shd w:val="clear" w:color="auto" w:fill="CCEEFF"/>
            <w:tcMar>
              <w:top w:w="40" w:type="dxa"/>
              <w:left w:w="20" w:type="dxa"/>
              <w:bottom w:w="40" w:type="dxa"/>
              <w:right w:w="0" w:type="dxa"/>
            </w:tcMar>
            <w:vAlign w:val="bottom"/>
          </w:tcPr>
          <w:p w14:paraId="07DCD87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D8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7B"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D87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7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7E"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D87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8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81"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D882" w14:textId="77777777" w:rsidR="00AE727E" w:rsidRDefault="00AE727E">
            <w:pPr>
              <w:jc w:val="right"/>
              <w:rPr>
                <w:rFonts w:ascii="宋体"/>
              </w:rPr>
            </w:pPr>
          </w:p>
        </w:tc>
      </w:tr>
      <w:tr w:rsidR="00AE727E" w14:paraId="07DCD894" w14:textId="77777777">
        <w:tc>
          <w:tcPr>
            <w:tcW w:w="0" w:type="auto"/>
            <w:gridSpan w:val="3"/>
            <w:shd w:val="clear" w:color="auto" w:fill="FFFFFF"/>
            <w:tcMar>
              <w:top w:w="40" w:type="dxa"/>
              <w:left w:w="500" w:type="dxa"/>
              <w:bottom w:w="40" w:type="dxa"/>
              <w:right w:w="20" w:type="dxa"/>
            </w:tcMar>
            <w:vAlign w:val="bottom"/>
          </w:tcPr>
          <w:p w14:paraId="07DCD884" w14:textId="77777777" w:rsidR="00AE727E" w:rsidRDefault="008433E0">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88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886" w14:textId="77777777" w:rsidR="00AE727E" w:rsidRDefault="008433E0">
            <w:pPr>
              <w:jc w:val="right"/>
              <w:textAlignment w:val="bottom"/>
            </w:pPr>
            <w:r>
              <w:rPr>
                <w:rFonts w:ascii="Times New Roman" w:eastAsia="宋体" w:hAnsi="Times New Roman"/>
                <w:color w:val="000000"/>
                <w:sz w:val="20"/>
                <w:szCs w:val="20"/>
              </w:rPr>
              <w:t>3,796 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88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88"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88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88A" w14:textId="77777777" w:rsidR="00AE727E" w:rsidRDefault="008433E0">
            <w:pPr>
              <w:jc w:val="right"/>
              <w:textAlignment w:val="bottom"/>
            </w:pPr>
            <w:r>
              <w:rPr>
                <w:rFonts w:ascii="Times New Roman" w:eastAsia="宋体" w:hAnsi="Times New Roman"/>
                <w:color w:val="000000"/>
                <w:sz w:val="20"/>
                <w:szCs w:val="20"/>
              </w:rPr>
              <w:t>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88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8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88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88E" w14:textId="77777777" w:rsidR="00AE727E" w:rsidRDefault="008433E0">
            <w:pPr>
              <w:jc w:val="right"/>
              <w:textAlignment w:val="bottom"/>
            </w:pPr>
            <w:r>
              <w:rPr>
                <w:rFonts w:ascii="Times New Roman" w:eastAsia="宋体" w:hAnsi="Times New Roman"/>
                <w:color w:val="000000"/>
                <w:sz w:val="20"/>
                <w:szCs w:val="20"/>
              </w:rPr>
              <w:t>5,481 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88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90"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89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892" w14:textId="77777777" w:rsidR="00AE727E" w:rsidRDefault="008433E0">
            <w:pPr>
              <w:jc w:val="right"/>
              <w:textAlignment w:val="bottom"/>
            </w:pPr>
            <w:r>
              <w:rPr>
                <w:rFonts w:ascii="Times New Roman" w:eastAsia="宋体" w:hAnsi="Times New Roman"/>
                <w:color w:val="000000"/>
                <w:sz w:val="20"/>
                <w:szCs w:val="20"/>
              </w:rPr>
              <w:t>2,179 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893" w14:textId="77777777" w:rsidR="00AE727E" w:rsidRDefault="00AE727E">
            <w:pPr>
              <w:jc w:val="right"/>
              <w:rPr>
                <w:rFonts w:ascii="宋体"/>
              </w:rPr>
            </w:pPr>
          </w:p>
        </w:tc>
      </w:tr>
    </w:tbl>
    <w:p w14:paraId="07DCD895" w14:textId="77777777" w:rsidR="00AE727E" w:rsidRDefault="00AE727E">
      <w:pPr>
        <w:jc w:val="center"/>
      </w:pPr>
    </w:p>
    <w:p w14:paraId="07DCD896" w14:textId="77777777" w:rsidR="00AE727E" w:rsidRDefault="008433E0">
      <w:pPr>
        <w:jc w:val="center"/>
      </w:pPr>
      <w:r>
        <w:rPr>
          <w:rFonts w:ascii="Times New Roman" w:eastAsia="宋体" w:hAnsi="Times New Roman"/>
          <w:color w:val="000000"/>
          <w:sz w:val="20"/>
          <w:szCs w:val="20"/>
        </w:rPr>
        <w:t xml:space="preserve">The accompanying notes are an integral part of these </w:t>
      </w:r>
      <w:r>
        <w:rPr>
          <w:rFonts w:ascii="Times New Roman" w:eastAsia="宋体" w:hAnsi="Times New Roman"/>
          <w:color w:val="000000"/>
          <w:sz w:val="20"/>
          <w:szCs w:val="20"/>
          <w:shd w:val="clear" w:color="auto" w:fill="FFFFFF"/>
        </w:rPr>
        <w:t xml:space="preserve">Condensed </w:t>
      </w:r>
      <w:r>
        <w:rPr>
          <w:rFonts w:ascii="Times New Roman" w:eastAsia="宋体" w:hAnsi="Times New Roman"/>
          <w:color w:val="000000"/>
          <w:sz w:val="20"/>
          <w:szCs w:val="20"/>
        </w:rPr>
        <w:t>Consolidated Financial Statements.</w:t>
      </w:r>
    </w:p>
    <w:p w14:paraId="07DCD897" w14:textId="77777777" w:rsidR="00AE727E" w:rsidRDefault="00AE727E">
      <w:pPr>
        <w:jc w:val="center"/>
      </w:pPr>
    </w:p>
    <w:p w14:paraId="07DCD898" w14:textId="77777777" w:rsidR="00AE727E" w:rsidRDefault="008433E0">
      <w:pPr>
        <w:jc w:val="center"/>
      </w:pPr>
      <w:r>
        <w:rPr>
          <w:rFonts w:ascii="Times New Roman" w:eastAsia="宋体" w:hAnsi="Times New Roman"/>
          <w:color w:val="000000"/>
          <w:sz w:val="20"/>
          <w:szCs w:val="20"/>
        </w:rPr>
        <w:t>7</w:t>
      </w:r>
    </w:p>
    <w:p w14:paraId="07DCD899" w14:textId="77777777" w:rsidR="00AE727E" w:rsidRDefault="00AE727E">
      <w:pPr>
        <w:jc w:val="center"/>
      </w:pPr>
    </w:p>
    <w:p w14:paraId="07DCD89A" w14:textId="77777777" w:rsidR="00AE727E" w:rsidRDefault="008433E0">
      <w:r>
        <w:pict w14:anchorId="07DD18D7">
          <v:rect id="_x0000_i1031" style="width:415.3pt;height:1.5pt" o:hralign="center" o:hrstd="t" o:hr="t" fillcolor="#a0a0a0" stroked="f"/>
        </w:pict>
      </w:r>
    </w:p>
    <w:p w14:paraId="07DCD89B" w14:textId="77777777" w:rsidR="00AE727E" w:rsidRDefault="008433E0">
      <w:hyperlink r:id="rId132" w:anchor="i1c8279be622a460ea19600488436f115_10" w:history="1">
        <w:r>
          <w:rPr>
            <w:rStyle w:val="a5"/>
            <w:rFonts w:ascii="Times New Roman" w:eastAsia="宋体" w:hAnsi="Times New Roman"/>
            <w:sz w:val="20"/>
            <w:szCs w:val="20"/>
          </w:rPr>
          <w:t>Table of Contents</w:t>
        </w:r>
      </w:hyperlink>
    </w:p>
    <w:p w14:paraId="07DCD89C"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89D" w14:textId="77777777" w:rsidR="00AE727E" w:rsidRDefault="008433E0">
      <w:pPr>
        <w:spacing w:after="60"/>
        <w:jc w:val="center"/>
      </w:pPr>
      <w:r>
        <w:rPr>
          <w:rFonts w:ascii="Times New Roman" w:eastAsia="宋体" w:hAnsi="Times New Roman"/>
          <w:b/>
          <w:bCs/>
          <w:color w:val="000000"/>
          <w:sz w:val="20"/>
          <w:szCs w:val="20"/>
        </w:rPr>
        <w:t xml:space="preserve">CONDENSED </w:t>
      </w:r>
      <w:r>
        <w:rPr>
          <w:rFonts w:ascii="Times New Roman" w:eastAsia="宋体" w:hAnsi="Times New Roman"/>
          <w:b/>
          <w:bCs/>
          <w:color w:val="000000"/>
          <w:sz w:val="20"/>
          <w:szCs w:val="20"/>
          <w:shd w:val="clear" w:color="auto" w:fill="FFFFFF"/>
        </w:rPr>
        <w:t>CONSOLIDATED STATEMENTS OF CASH FLOWS</w:t>
      </w:r>
    </w:p>
    <w:p w14:paraId="07DCD89E" w14:textId="77777777" w:rsidR="00AE727E" w:rsidRDefault="008433E0">
      <w:pPr>
        <w:spacing w:after="60"/>
        <w:jc w:val="center"/>
      </w:pPr>
      <w:r>
        <w:rPr>
          <w:rFonts w:ascii="Times New Roman" w:eastAsia="宋体" w:hAnsi="Times New Roman"/>
          <w:color w:val="000000"/>
          <w:sz w:val="20"/>
          <w:szCs w:val="20"/>
          <w:shd w:val="clear" w:color="auto" w:fill="FFFFFF"/>
        </w:rPr>
        <w:t xml:space="preserve">(in millions; </w:t>
      </w:r>
      <w:r>
        <w:rPr>
          <w:rFonts w:ascii="Times New Roman" w:eastAsia="宋体" w:hAnsi="Times New Roman"/>
          <w:color w:val="000000"/>
          <w:sz w:val="20"/>
          <w:szCs w:val="20"/>
        </w:rPr>
        <w:t>unaudited</w:t>
      </w:r>
      <w:r>
        <w:rPr>
          <w:rFonts w:ascii="Times New Roman" w:eastAsia="宋体" w:hAnsi="Times New Roman"/>
          <w:color w:val="000000"/>
          <w:sz w:val="20"/>
          <w:szCs w:val="20"/>
          <w:shd w:val="clear" w:color="auto" w:fill="FFFFFF"/>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7"/>
        <w:gridCol w:w="39"/>
        <w:gridCol w:w="120"/>
        <w:gridCol w:w="1255"/>
        <w:gridCol w:w="36"/>
        <w:gridCol w:w="36"/>
        <w:gridCol w:w="36"/>
        <w:gridCol w:w="36"/>
        <w:gridCol w:w="120"/>
        <w:gridCol w:w="1255"/>
        <w:gridCol w:w="36"/>
      </w:tblGrid>
      <w:tr w:rsidR="00AE727E" w14:paraId="07DCD8AB" w14:textId="77777777">
        <w:trPr>
          <w:jc w:val="center"/>
        </w:trPr>
        <w:tc>
          <w:tcPr>
            <w:tcW w:w="50" w:type="pct"/>
            <w:shd w:val="clear" w:color="auto" w:fill="auto"/>
            <w:vAlign w:val="bottom"/>
          </w:tcPr>
          <w:p w14:paraId="07DCD89F" w14:textId="77777777" w:rsidR="00AE727E" w:rsidRDefault="00AE727E">
            <w:pPr>
              <w:rPr>
                <w:rFonts w:ascii="宋体"/>
              </w:rPr>
            </w:pPr>
          </w:p>
        </w:tc>
        <w:tc>
          <w:tcPr>
            <w:tcW w:w="3234" w:type="pct"/>
            <w:shd w:val="clear" w:color="auto" w:fill="auto"/>
            <w:vAlign w:val="bottom"/>
          </w:tcPr>
          <w:p w14:paraId="07DCD8A0" w14:textId="77777777" w:rsidR="00AE727E" w:rsidRDefault="00AE727E">
            <w:pPr>
              <w:rPr>
                <w:rFonts w:ascii="宋体"/>
              </w:rPr>
            </w:pPr>
          </w:p>
        </w:tc>
        <w:tc>
          <w:tcPr>
            <w:tcW w:w="5" w:type="pct"/>
            <w:shd w:val="clear" w:color="auto" w:fill="auto"/>
            <w:vAlign w:val="bottom"/>
          </w:tcPr>
          <w:p w14:paraId="07DCD8A1" w14:textId="77777777" w:rsidR="00AE727E" w:rsidRDefault="00AE727E">
            <w:pPr>
              <w:rPr>
                <w:rFonts w:ascii="宋体"/>
              </w:rPr>
            </w:pPr>
          </w:p>
        </w:tc>
        <w:tc>
          <w:tcPr>
            <w:tcW w:w="50" w:type="pct"/>
            <w:shd w:val="clear" w:color="auto" w:fill="auto"/>
            <w:vAlign w:val="bottom"/>
          </w:tcPr>
          <w:p w14:paraId="07DCD8A2" w14:textId="77777777" w:rsidR="00AE727E" w:rsidRDefault="00AE727E">
            <w:pPr>
              <w:rPr>
                <w:rFonts w:ascii="宋体"/>
              </w:rPr>
            </w:pPr>
          </w:p>
        </w:tc>
        <w:tc>
          <w:tcPr>
            <w:tcW w:w="785" w:type="pct"/>
            <w:shd w:val="clear" w:color="auto" w:fill="auto"/>
            <w:vAlign w:val="bottom"/>
          </w:tcPr>
          <w:p w14:paraId="07DCD8A3" w14:textId="77777777" w:rsidR="00AE727E" w:rsidRDefault="00AE727E">
            <w:pPr>
              <w:rPr>
                <w:rFonts w:ascii="宋体"/>
              </w:rPr>
            </w:pPr>
          </w:p>
        </w:tc>
        <w:tc>
          <w:tcPr>
            <w:tcW w:w="5" w:type="pct"/>
            <w:shd w:val="clear" w:color="auto" w:fill="auto"/>
            <w:vAlign w:val="bottom"/>
          </w:tcPr>
          <w:p w14:paraId="07DCD8A4" w14:textId="77777777" w:rsidR="00AE727E" w:rsidRDefault="00AE727E">
            <w:pPr>
              <w:rPr>
                <w:rFonts w:ascii="宋体"/>
              </w:rPr>
            </w:pPr>
          </w:p>
        </w:tc>
        <w:tc>
          <w:tcPr>
            <w:tcW w:w="5" w:type="pct"/>
            <w:shd w:val="clear" w:color="auto" w:fill="auto"/>
            <w:vAlign w:val="bottom"/>
          </w:tcPr>
          <w:p w14:paraId="07DCD8A5" w14:textId="77777777" w:rsidR="00AE727E" w:rsidRDefault="00AE727E">
            <w:pPr>
              <w:rPr>
                <w:rFonts w:ascii="宋体"/>
              </w:rPr>
            </w:pPr>
          </w:p>
        </w:tc>
        <w:tc>
          <w:tcPr>
            <w:tcW w:w="19" w:type="pct"/>
            <w:shd w:val="clear" w:color="auto" w:fill="auto"/>
            <w:vAlign w:val="bottom"/>
          </w:tcPr>
          <w:p w14:paraId="07DCD8A6" w14:textId="77777777" w:rsidR="00AE727E" w:rsidRDefault="00AE727E">
            <w:pPr>
              <w:rPr>
                <w:rFonts w:ascii="宋体"/>
              </w:rPr>
            </w:pPr>
          </w:p>
        </w:tc>
        <w:tc>
          <w:tcPr>
            <w:tcW w:w="5" w:type="pct"/>
            <w:shd w:val="clear" w:color="auto" w:fill="auto"/>
            <w:vAlign w:val="bottom"/>
          </w:tcPr>
          <w:p w14:paraId="07DCD8A7" w14:textId="77777777" w:rsidR="00AE727E" w:rsidRDefault="00AE727E">
            <w:pPr>
              <w:rPr>
                <w:rFonts w:ascii="宋体"/>
              </w:rPr>
            </w:pPr>
          </w:p>
        </w:tc>
        <w:tc>
          <w:tcPr>
            <w:tcW w:w="50" w:type="pct"/>
            <w:shd w:val="clear" w:color="auto" w:fill="auto"/>
            <w:vAlign w:val="bottom"/>
          </w:tcPr>
          <w:p w14:paraId="07DCD8A8" w14:textId="77777777" w:rsidR="00AE727E" w:rsidRDefault="00AE727E">
            <w:pPr>
              <w:rPr>
                <w:rFonts w:ascii="宋体"/>
              </w:rPr>
            </w:pPr>
          </w:p>
        </w:tc>
        <w:tc>
          <w:tcPr>
            <w:tcW w:w="785" w:type="pct"/>
            <w:shd w:val="clear" w:color="auto" w:fill="auto"/>
            <w:vAlign w:val="bottom"/>
          </w:tcPr>
          <w:p w14:paraId="07DCD8A9" w14:textId="77777777" w:rsidR="00AE727E" w:rsidRDefault="00AE727E">
            <w:pPr>
              <w:rPr>
                <w:rFonts w:ascii="宋体"/>
              </w:rPr>
            </w:pPr>
          </w:p>
        </w:tc>
        <w:tc>
          <w:tcPr>
            <w:tcW w:w="5" w:type="pct"/>
            <w:shd w:val="clear" w:color="auto" w:fill="auto"/>
            <w:vAlign w:val="bottom"/>
          </w:tcPr>
          <w:p w14:paraId="07DCD8AA" w14:textId="77777777" w:rsidR="00AE727E" w:rsidRDefault="00AE727E">
            <w:pPr>
              <w:rPr>
                <w:rFonts w:ascii="宋体"/>
              </w:rPr>
            </w:pPr>
          </w:p>
        </w:tc>
      </w:tr>
      <w:tr w:rsidR="00AE727E" w14:paraId="07DCD8AE" w14:textId="77777777">
        <w:trPr>
          <w:jc w:val="center"/>
        </w:trPr>
        <w:tc>
          <w:tcPr>
            <w:tcW w:w="0" w:type="auto"/>
            <w:gridSpan w:val="3"/>
            <w:shd w:val="clear" w:color="auto" w:fill="auto"/>
            <w:tcMar>
              <w:top w:w="0" w:type="dxa"/>
              <w:left w:w="20" w:type="dxa"/>
              <w:bottom w:w="0" w:type="dxa"/>
              <w:right w:w="20" w:type="dxa"/>
            </w:tcMar>
            <w:vAlign w:val="bottom"/>
          </w:tcPr>
          <w:p w14:paraId="07DCD8AC"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8AD"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D8B3" w14:textId="77777777">
        <w:trPr>
          <w:jc w:val="center"/>
        </w:trPr>
        <w:tc>
          <w:tcPr>
            <w:tcW w:w="0" w:type="auto"/>
            <w:gridSpan w:val="3"/>
            <w:shd w:val="clear" w:color="auto" w:fill="auto"/>
            <w:tcMar>
              <w:top w:w="0" w:type="dxa"/>
              <w:left w:w="20" w:type="dxa"/>
              <w:bottom w:w="0" w:type="dxa"/>
              <w:right w:w="20" w:type="dxa"/>
            </w:tcMar>
            <w:vAlign w:val="bottom"/>
          </w:tcPr>
          <w:p w14:paraId="07DCD8A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8B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8B1"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8B2"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D8B8" w14:textId="77777777">
        <w:trPr>
          <w:jc w:val="center"/>
        </w:trPr>
        <w:tc>
          <w:tcPr>
            <w:tcW w:w="0" w:type="auto"/>
            <w:gridSpan w:val="3"/>
            <w:shd w:val="clear" w:color="auto" w:fill="CCEEFF"/>
            <w:tcMar>
              <w:top w:w="40" w:type="dxa"/>
              <w:left w:w="20" w:type="dxa"/>
              <w:bottom w:w="40" w:type="dxa"/>
              <w:right w:w="20" w:type="dxa"/>
            </w:tcMar>
            <w:vAlign w:val="bottom"/>
          </w:tcPr>
          <w:p w14:paraId="07DCD8B4" w14:textId="77777777" w:rsidR="00AE727E" w:rsidRDefault="008433E0">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B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B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D8B7" w14:textId="77777777" w:rsidR="00AE727E" w:rsidRDefault="00AE727E">
            <w:pPr>
              <w:rPr>
                <w:rFonts w:ascii="宋体"/>
              </w:rPr>
            </w:pPr>
          </w:p>
        </w:tc>
      </w:tr>
      <w:tr w:rsidR="00AE727E" w14:paraId="07DCD8C1" w14:textId="77777777">
        <w:trPr>
          <w:jc w:val="center"/>
        </w:trPr>
        <w:tc>
          <w:tcPr>
            <w:tcW w:w="0" w:type="auto"/>
            <w:gridSpan w:val="3"/>
            <w:shd w:val="clear" w:color="auto" w:fill="FFFFFF"/>
            <w:tcMar>
              <w:top w:w="40" w:type="dxa"/>
              <w:left w:w="155" w:type="dxa"/>
              <w:bottom w:w="40" w:type="dxa"/>
              <w:right w:w="20" w:type="dxa"/>
            </w:tcMar>
            <w:vAlign w:val="bottom"/>
          </w:tcPr>
          <w:p w14:paraId="07DCD8B9" w14:textId="77777777" w:rsidR="00AE727E" w:rsidRDefault="008433E0">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07DCD8B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8BB" w14:textId="77777777" w:rsidR="00AE727E" w:rsidRDefault="008433E0">
            <w:pPr>
              <w:jc w:val="right"/>
              <w:textAlignment w:val="bottom"/>
            </w:pPr>
            <w:r>
              <w:rPr>
                <w:rFonts w:ascii="Times New Roman" w:eastAsia="宋体" w:hAnsi="Times New Roman"/>
                <w:color w:val="000000"/>
                <w:sz w:val="20"/>
                <w:szCs w:val="20"/>
              </w:rPr>
              <w:t>5,706 </w:t>
            </w:r>
          </w:p>
        </w:tc>
        <w:tc>
          <w:tcPr>
            <w:tcW w:w="0" w:type="auto"/>
            <w:shd w:val="clear" w:color="auto" w:fill="FFFFFF"/>
            <w:tcMar>
              <w:top w:w="40" w:type="dxa"/>
              <w:left w:w="0" w:type="dxa"/>
              <w:bottom w:w="40" w:type="dxa"/>
              <w:right w:w="20" w:type="dxa"/>
            </w:tcMar>
            <w:vAlign w:val="bottom"/>
          </w:tcPr>
          <w:p w14:paraId="07DCD8B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B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D8B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D8BF" w14:textId="77777777" w:rsidR="00AE727E" w:rsidRDefault="008433E0">
            <w:pPr>
              <w:jc w:val="right"/>
              <w:textAlignment w:val="bottom"/>
            </w:pPr>
            <w:r>
              <w:rPr>
                <w:rFonts w:ascii="Times New Roman" w:eastAsia="宋体" w:hAnsi="Times New Roman"/>
                <w:color w:val="000000"/>
                <w:sz w:val="20"/>
                <w:szCs w:val="20"/>
              </w:rPr>
              <w:t>2,162 </w:t>
            </w:r>
          </w:p>
        </w:tc>
        <w:tc>
          <w:tcPr>
            <w:tcW w:w="0" w:type="auto"/>
            <w:shd w:val="clear" w:color="auto" w:fill="FFFFFF"/>
            <w:tcMar>
              <w:top w:w="40" w:type="dxa"/>
              <w:left w:w="0" w:type="dxa"/>
              <w:bottom w:w="40" w:type="dxa"/>
              <w:right w:w="20" w:type="dxa"/>
            </w:tcMar>
            <w:vAlign w:val="bottom"/>
          </w:tcPr>
          <w:p w14:paraId="07DCD8C0" w14:textId="77777777" w:rsidR="00AE727E" w:rsidRDefault="00AE727E">
            <w:pPr>
              <w:jc w:val="right"/>
              <w:rPr>
                <w:rFonts w:ascii="宋体"/>
              </w:rPr>
            </w:pPr>
          </w:p>
        </w:tc>
      </w:tr>
      <w:tr w:rsidR="00AE727E" w14:paraId="07DCD8C6" w14:textId="77777777">
        <w:trPr>
          <w:jc w:val="center"/>
        </w:trPr>
        <w:tc>
          <w:tcPr>
            <w:tcW w:w="0" w:type="auto"/>
            <w:gridSpan w:val="3"/>
            <w:shd w:val="clear" w:color="auto" w:fill="CCEEFF"/>
            <w:tcMar>
              <w:top w:w="40" w:type="dxa"/>
              <w:left w:w="155" w:type="dxa"/>
              <w:bottom w:w="40" w:type="dxa"/>
              <w:right w:w="20" w:type="dxa"/>
            </w:tcMar>
            <w:vAlign w:val="bottom"/>
          </w:tcPr>
          <w:p w14:paraId="07DCD8C2" w14:textId="77777777" w:rsidR="00AE727E" w:rsidRDefault="008433E0">
            <w:pPr>
              <w:textAlignment w:val="bottom"/>
            </w:pPr>
            <w:r>
              <w:rPr>
                <w:rFonts w:ascii="Times New Roman" w:eastAsia="宋体" w:hAnsi="Times New Roman"/>
                <w:color w:val="000000"/>
                <w:sz w:val="20"/>
                <w:szCs w:val="20"/>
              </w:rPr>
              <w:t xml:space="preserve">Adjustments to reconcile net income to net cash provided by (used in) </w:t>
            </w:r>
            <w:r>
              <w:rPr>
                <w:rFonts w:ascii="Times New Roman" w:eastAsia="宋体" w:hAnsi="Times New Roman"/>
                <w:color w:val="000000"/>
                <w:sz w:val="20"/>
                <w:szCs w:val="20"/>
              </w:rPr>
              <w:t>operating activities:</w:t>
            </w:r>
          </w:p>
        </w:tc>
        <w:tc>
          <w:tcPr>
            <w:tcW w:w="0" w:type="auto"/>
            <w:gridSpan w:val="3"/>
            <w:shd w:val="clear" w:color="auto" w:fill="CCEEFF"/>
            <w:tcMar>
              <w:top w:w="0" w:type="dxa"/>
              <w:left w:w="20" w:type="dxa"/>
              <w:bottom w:w="0" w:type="dxa"/>
              <w:right w:w="20" w:type="dxa"/>
            </w:tcMar>
            <w:vAlign w:val="bottom"/>
          </w:tcPr>
          <w:p w14:paraId="07DCD8C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C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D8C5" w14:textId="77777777" w:rsidR="00AE727E" w:rsidRDefault="00AE727E">
            <w:pPr>
              <w:rPr>
                <w:rFonts w:ascii="宋体"/>
              </w:rPr>
            </w:pPr>
          </w:p>
        </w:tc>
      </w:tr>
      <w:tr w:rsidR="00AE727E" w14:paraId="07DCD8CD" w14:textId="77777777">
        <w:trPr>
          <w:jc w:val="center"/>
        </w:trPr>
        <w:tc>
          <w:tcPr>
            <w:tcW w:w="0" w:type="auto"/>
            <w:gridSpan w:val="3"/>
            <w:shd w:val="clear" w:color="auto" w:fill="FFFFFF"/>
            <w:tcMar>
              <w:top w:w="40" w:type="dxa"/>
              <w:left w:w="380" w:type="dxa"/>
              <w:bottom w:w="40" w:type="dxa"/>
              <w:right w:w="20" w:type="dxa"/>
            </w:tcMar>
            <w:vAlign w:val="bottom"/>
          </w:tcPr>
          <w:p w14:paraId="07DCD8C7" w14:textId="77777777" w:rsidR="00AE727E" w:rsidRDefault="008433E0">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7DCD8C8" w14:textId="77777777" w:rsidR="00AE727E" w:rsidRDefault="008433E0">
            <w:pPr>
              <w:jc w:val="right"/>
              <w:textAlignment w:val="bottom"/>
            </w:pPr>
            <w:r>
              <w:rPr>
                <w:rFonts w:ascii="Times New Roman" w:eastAsia="宋体" w:hAnsi="Times New Roman"/>
                <w:color w:val="000000"/>
                <w:sz w:val="20"/>
                <w:szCs w:val="20"/>
              </w:rPr>
              <w:t>3,721 </w:t>
            </w:r>
          </w:p>
        </w:tc>
        <w:tc>
          <w:tcPr>
            <w:tcW w:w="0" w:type="auto"/>
            <w:shd w:val="clear" w:color="auto" w:fill="FFFFFF"/>
            <w:tcMar>
              <w:top w:w="40" w:type="dxa"/>
              <w:left w:w="0" w:type="dxa"/>
              <w:bottom w:w="40" w:type="dxa"/>
              <w:right w:w="20" w:type="dxa"/>
            </w:tcMar>
            <w:vAlign w:val="bottom"/>
          </w:tcPr>
          <w:p w14:paraId="07DCD8C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C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CB" w14:textId="77777777" w:rsidR="00AE727E" w:rsidRDefault="008433E0">
            <w:pPr>
              <w:jc w:val="right"/>
              <w:textAlignment w:val="bottom"/>
            </w:pPr>
            <w:r>
              <w:rPr>
                <w:rFonts w:ascii="Times New Roman" w:eastAsia="宋体" w:hAnsi="Times New Roman"/>
                <w:color w:val="000000"/>
                <w:sz w:val="20"/>
                <w:szCs w:val="20"/>
              </w:rPr>
              <w:t>4,017 </w:t>
            </w:r>
          </w:p>
        </w:tc>
        <w:tc>
          <w:tcPr>
            <w:tcW w:w="0" w:type="auto"/>
            <w:shd w:val="clear" w:color="auto" w:fill="FFFFFF"/>
            <w:tcMar>
              <w:top w:w="40" w:type="dxa"/>
              <w:left w:w="0" w:type="dxa"/>
              <w:bottom w:w="40" w:type="dxa"/>
              <w:right w:w="20" w:type="dxa"/>
            </w:tcMar>
            <w:vAlign w:val="bottom"/>
          </w:tcPr>
          <w:p w14:paraId="07DCD8CC" w14:textId="77777777" w:rsidR="00AE727E" w:rsidRDefault="00AE727E">
            <w:pPr>
              <w:jc w:val="right"/>
              <w:rPr>
                <w:rFonts w:ascii="宋体"/>
              </w:rPr>
            </w:pPr>
          </w:p>
        </w:tc>
      </w:tr>
      <w:tr w:rsidR="00AE727E" w14:paraId="07DCD8D4" w14:textId="77777777">
        <w:trPr>
          <w:jc w:val="center"/>
        </w:trPr>
        <w:tc>
          <w:tcPr>
            <w:tcW w:w="0" w:type="auto"/>
            <w:gridSpan w:val="3"/>
            <w:shd w:val="clear" w:color="auto" w:fill="CCEEFF"/>
            <w:tcMar>
              <w:top w:w="40" w:type="dxa"/>
              <w:left w:w="380" w:type="dxa"/>
              <w:bottom w:w="40" w:type="dxa"/>
              <w:right w:w="20" w:type="dxa"/>
            </w:tcMar>
            <w:vAlign w:val="bottom"/>
          </w:tcPr>
          <w:p w14:paraId="07DCD8CE"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07DCD8CF" w14:textId="77777777" w:rsidR="00AE727E" w:rsidRDefault="008433E0">
            <w:pPr>
              <w:jc w:val="right"/>
              <w:textAlignment w:val="bottom"/>
            </w:pPr>
            <w:r>
              <w:rPr>
                <w:rFonts w:ascii="Times New Roman" w:eastAsia="宋体" w:hAnsi="Times New Roman"/>
                <w:color w:val="000000"/>
                <w:sz w:val="20"/>
                <w:szCs w:val="20"/>
              </w:rPr>
              <w:t>1,406 </w:t>
            </w:r>
          </w:p>
        </w:tc>
        <w:tc>
          <w:tcPr>
            <w:tcW w:w="0" w:type="auto"/>
            <w:shd w:val="clear" w:color="auto" w:fill="CCEEFF"/>
            <w:tcMar>
              <w:top w:w="40" w:type="dxa"/>
              <w:left w:w="0" w:type="dxa"/>
              <w:bottom w:w="40" w:type="dxa"/>
              <w:right w:w="20" w:type="dxa"/>
            </w:tcMar>
            <w:vAlign w:val="bottom"/>
          </w:tcPr>
          <w:p w14:paraId="07DCD8D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D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D2" w14:textId="77777777" w:rsidR="00AE727E" w:rsidRDefault="008433E0">
            <w:pPr>
              <w:jc w:val="right"/>
              <w:textAlignment w:val="bottom"/>
            </w:pPr>
            <w:r>
              <w:rPr>
                <w:rFonts w:ascii="Times New Roman" w:eastAsia="宋体" w:hAnsi="Times New Roman"/>
                <w:color w:val="000000"/>
                <w:sz w:val="20"/>
                <w:szCs w:val="20"/>
              </w:rPr>
              <w:t>1,219 </w:t>
            </w:r>
          </w:p>
        </w:tc>
        <w:tc>
          <w:tcPr>
            <w:tcW w:w="0" w:type="auto"/>
            <w:shd w:val="clear" w:color="auto" w:fill="CCEEFF"/>
            <w:tcMar>
              <w:top w:w="40" w:type="dxa"/>
              <w:left w:w="0" w:type="dxa"/>
              <w:bottom w:w="40" w:type="dxa"/>
              <w:right w:w="20" w:type="dxa"/>
            </w:tcMar>
            <w:vAlign w:val="bottom"/>
          </w:tcPr>
          <w:p w14:paraId="07DCD8D3" w14:textId="77777777" w:rsidR="00AE727E" w:rsidRDefault="00AE727E">
            <w:pPr>
              <w:jc w:val="right"/>
              <w:rPr>
                <w:rFonts w:ascii="宋体"/>
              </w:rPr>
            </w:pPr>
          </w:p>
        </w:tc>
      </w:tr>
      <w:tr w:rsidR="00AE727E" w14:paraId="07DCD8DB" w14:textId="77777777">
        <w:trPr>
          <w:jc w:val="center"/>
        </w:trPr>
        <w:tc>
          <w:tcPr>
            <w:tcW w:w="0" w:type="auto"/>
            <w:gridSpan w:val="3"/>
            <w:shd w:val="clear" w:color="auto" w:fill="FFFFFF"/>
            <w:tcMar>
              <w:top w:w="40" w:type="dxa"/>
              <w:left w:w="380" w:type="dxa"/>
              <w:bottom w:w="40" w:type="dxa"/>
              <w:right w:w="20" w:type="dxa"/>
            </w:tcMar>
            <w:vAlign w:val="bottom"/>
          </w:tcPr>
          <w:p w14:paraId="07DCD8D5" w14:textId="77777777" w:rsidR="00AE727E" w:rsidRDefault="008433E0">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7DCD8D6" w14:textId="77777777" w:rsidR="00AE727E" w:rsidRDefault="008433E0">
            <w:pPr>
              <w:jc w:val="right"/>
              <w:textAlignment w:val="bottom"/>
            </w:pPr>
            <w:r>
              <w:rPr>
                <w:rFonts w:ascii="Times New Roman" w:eastAsia="宋体" w:hAnsi="Times New Roman"/>
                <w:color w:val="000000"/>
                <w:sz w:val="20"/>
                <w:szCs w:val="20"/>
              </w:rPr>
              <w:t>(450)</w:t>
            </w:r>
          </w:p>
        </w:tc>
        <w:tc>
          <w:tcPr>
            <w:tcW w:w="0" w:type="auto"/>
            <w:shd w:val="clear" w:color="auto" w:fill="FFFFFF"/>
            <w:tcMar>
              <w:top w:w="40" w:type="dxa"/>
              <w:left w:w="0" w:type="dxa"/>
              <w:bottom w:w="40" w:type="dxa"/>
              <w:right w:w="20" w:type="dxa"/>
            </w:tcMar>
            <w:vAlign w:val="bottom"/>
          </w:tcPr>
          <w:p w14:paraId="07DCD8D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D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D9" w14:textId="77777777" w:rsidR="00AE727E" w:rsidRDefault="008433E0">
            <w:pPr>
              <w:jc w:val="right"/>
              <w:textAlignment w:val="bottom"/>
            </w:pPr>
            <w:r>
              <w:rPr>
                <w:rFonts w:ascii="Times New Roman" w:eastAsia="宋体" w:hAnsi="Times New Roman"/>
                <w:color w:val="000000"/>
                <w:sz w:val="20"/>
                <w:szCs w:val="20"/>
              </w:rPr>
              <w:t>(219)</w:t>
            </w:r>
          </w:p>
        </w:tc>
        <w:tc>
          <w:tcPr>
            <w:tcW w:w="0" w:type="auto"/>
            <w:shd w:val="clear" w:color="auto" w:fill="FFFFFF"/>
            <w:tcMar>
              <w:top w:w="40" w:type="dxa"/>
              <w:left w:w="0" w:type="dxa"/>
              <w:bottom w:w="40" w:type="dxa"/>
              <w:right w:w="20" w:type="dxa"/>
            </w:tcMar>
            <w:vAlign w:val="bottom"/>
          </w:tcPr>
          <w:p w14:paraId="07DCD8DA" w14:textId="77777777" w:rsidR="00AE727E" w:rsidRDefault="00AE727E">
            <w:pPr>
              <w:jc w:val="right"/>
              <w:rPr>
                <w:rFonts w:ascii="宋体"/>
              </w:rPr>
            </w:pPr>
          </w:p>
        </w:tc>
      </w:tr>
      <w:tr w:rsidR="00AE727E" w14:paraId="07DCD8E2" w14:textId="77777777">
        <w:trPr>
          <w:jc w:val="center"/>
        </w:trPr>
        <w:tc>
          <w:tcPr>
            <w:tcW w:w="0" w:type="auto"/>
            <w:gridSpan w:val="3"/>
            <w:shd w:val="clear" w:color="auto" w:fill="CCEEFF"/>
            <w:tcMar>
              <w:top w:w="40" w:type="dxa"/>
              <w:left w:w="380" w:type="dxa"/>
              <w:bottom w:w="40" w:type="dxa"/>
              <w:right w:w="20" w:type="dxa"/>
            </w:tcMar>
            <w:vAlign w:val="bottom"/>
          </w:tcPr>
          <w:p w14:paraId="07DCD8DC" w14:textId="77777777" w:rsidR="00AE727E" w:rsidRDefault="008433E0">
            <w:pPr>
              <w:textAlignment w:val="bottom"/>
            </w:pPr>
            <w:r>
              <w:rPr>
                <w:rFonts w:ascii="Times New Roman" w:eastAsia="宋体" w:hAnsi="Times New Roman"/>
                <w:color w:val="000000"/>
                <w:sz w:val="20"/>
                <w:szCs w:val="20"/>
              </w:rPr>
              <w:t>Other, net (a)</w:t>
            </w:r>
          </w:p>
        </w:tc>
        <w:tc>
          <w:tcPr>
            <w:tcW w:w="0" w:type="auto"/>
            <w:gridSpan w:val="2"/>
            <w:shd w:val="clear" w:color="auto" w:fill="CCEEFF"/>
            <w:tcMar>
              <w:top w:w="40" w:type="dxa"/>
              <w:left w:w="20" w:type="dxa"/>
              <w:bottom w:w="40" w:type="dxa"/>
              <w:right w:w="0" w:type="dxa"/>
            </w:tcMar>
            <w:vAlign w:val="bottom"/>
          </w:tcPr>
          <w:p w14:paraId="07DCD8DD" w14:textId="77777777" w:rsidR="00AE727E" w:rsidRDefault="008433E0">
            <w:pPr>
              <w:jc w:val="right"/>
              <w:textAlignment w:val="bottom"/>
            </w:pPr>
            <w:r>
              <w:rPr>
                <w:rFonts w:ascii="Times New Roman" w:eastAsia="宋体" w:hAnsi="Times New Roman"/>
                <w:color w:val="000000"/>
                <w:sz w:val="20"/>
                <w:szCs w:val="20"/>
              </w:rPr>
              <w:t>(4,312)</w:t>
            </w:r>
          </w:p>
        </w:tc>
        <w:tc>
          <w:tcPr>
            <w:tcW w:w="0" w:type="auto"/>
            <w:shd w:val="clear" w:color="auto" w:fill="CCEEFF"/>
            <w:tcMar>
              <w:top w:w="40" w:type="dxa"/>
              <w:left w:w="0" w:type="dxa"/>
              <w:bottom w:w="40" w:type="dxa"/>
              <w:right w:w="20" w:type="dxa"/>
            </w:tcMar>
            <w:vAlign w:val="bottom"/>
          </w:tcPr>
          <w:p w14:paraId="07DCD8D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D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E0" w14:textId="77777777" w:rsidR="00AE727E" w:rsidRDefault="008433E0">
            <w:pPr>
              <w:jc w:val="right"/>
              <w:textAlignment w:val="bottom"/>
            </w:pPr>
            <w:r>
              <w:rPr>
                <w:rFonts w:ascii="Times New Roman" w:eastAsia="宋体" w:hAnsi="Times New Roman"/>
                <w:color w:val="000000"/>
                <w:sz w:val="20"/>
                <w:szCs w:val="20"/>
              </w:rPr>
              <w:t>(322)</w:t>
            </w:r>
          </w:p>
        </w:tc>
        <w:tc>
          <w:tcPr>
            <w:tcW w:w="0" w:type="auto"/>
            <w:shd w:val="clear" w:color="auto" w:fill="CCEEFF"/>
            <w:tcMar>
              <w:top w:w="40" w:type="dxa"/>
              <w:left w:w="0" w:type="dxa"/>
              <w:bottom w:w="40" w:type="dxa"/>
              <w:right w:w="20" w:type="dxa"/>
            </w:tcMar>
            <w:vAlign w:val="bottom"/>
          </w:tcPr>
          <w:p w14:paraId="07DCD8E1" w14:textId="77777777" w:rsidR="00AE727E" w:rsidRDefault="00AE727E">
            <w:pPr>
              <w:jc w:val="right"/>
              <w:rPr>
                <w:rFonts w:ascii="宋体"/>
              </w:rPr>
            </w:pPr>
          </w:p>
        </w:tc>
      </w:tr>
      <w:tr w:rsidR="00AE727E" w14:paraId="07DCD8E7" w14:textId="77777777">
        <w:trPr>
          <w:jc w:val="center"/>
        </w:trPr>
        <w:tc>
          <w:tcPr>
            <w:tcW w:w="0" w:type="auto"/>
            <w:gridSpan w:val="3"/>
            <w:shd w:val="clear" w:color="auto" w:fill="FFFFFF"/>
            <w:tcMar>
              <w:top w:w="40" w:type="dxa"/>
              <w:left w:w="140" w:type="dxa"/>
              <w:bottom w:w="40" w:type="dxa"/>
              <w:right w:w="20" w:type="dxa"/>
            </w:tcMar>
            <w:vAlign w:val="bottom"/>
          </w:tcPr>
          <w:p w14:paraId="07DCD8E3" w14:textId="77777777" w:rsidR="00AE727E" w:rsidRDefault="008433E0">
            <w:pPr>
              <w:textAlignment w:val="bottom"/>
            </w:pPr>
            <w:r>
              <w:rPr>
                <w:rFonts w:ascii="Times New Roman" w:eastAsia="宋体" w:hAnsi="Times New Roman"/>
                <w:color w:val="000000"/>
                <w:sz w:val="20"/>
                <w:szCs w:val="20"/>
              </w:rPr>
              <w:t xml:space="preserve">Changes in assets and liabilities, net of effects from </w:t>
            </w:r>
            <w:r>
              <w:rPr>
                <w:rFonts w:ascii="Times New Roman" w:eastAsia="宋体" w:hAnsi="Times New Roman"/>
                <w:color w:val="000000"/>
                <w:sz w:val="20"/>
                <w:szCs w:val="20"/>
              </w:rPr>
              <w:t>acquisitions and dispositions:</w:t>
            </w:r>
          </w:p>
        </w:tc>
        <w:tc>
          <w:tcPr>
            <w:tcW w:w="0" w:type="auto"/>
            <w:gridSpan w:val="3"/>
            <w:shd w:val="clear" w:color="auto" w:fill="FFFFFF"/>
            <w:tcMar>
              <w:top w:w="0" w:type="dxa"/>
              <w:left w:w="20" w:type="dxa"/>
              <w:bottom w:w="0" w:type="dxa"/>
              <w:right w:w="20" w:type="dxa"/>
            </w:tcMar>
            <w:vAlign w:val="bottom"/>
          </w:tcPr>
          <w:p w14:paraId="07DCD8E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8E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8E6" w14:textId="77777777" w:rsidR="00AE727E" w:rsidRDefault="00AE727E">
            <w:pPr>
              <w:rPr>
                <w:rFonts w:ascii="宋体"/>
              </w:rPr>
            </w:pPr>
          </w:p>
        </w:tc>
      </w:tr>
      <w:tr w:rsidR="00AE727E" w14:paraId="07DCD8EE" w14:textId="77777777">
        <w:trPr>
          <w:jc w:val="center"/>
        </w:trPr>
        <w:tc>
          <w:tcPr>
            <w:tcW w:w="0" w:type="auto"/>
            <w:gridSpan w:val="3"/>
            <w:shd w:val="clear" w:color="auto" w:fill="CCEEFF"/>
            <w:tcMar>
              <w:top w:w="40" w:type="dxa"/>
              <w:left w:w="395" w:type="dxa"/>
              <w:bottom w:w="40" w:type="dxa"/>
              <w:right w:w="20" w:type="dxa"/>
            </w:tcMar>
            <w:vAlign w:val="bottom"/>
          </w:tcPr>
          <w:p w14:paraId="07DCD8E8" w14:textId="77777777" w:rsidR="00AE727E" w:rsidRDefault="008433E0">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07DCD8E9" w14:textId="77777777" w:rsidR="00AE727E" w:rsidRDefault="008433E0">
            <w:pPr>
              <w:jc w:val="right"/>
              <w:textAlignment w:val="bottom"/>
            </w:pPr>
            <w:r>
              <w:rPr>
                <w:rFonts w:ascii="Times New Roman" w:eastAsia="宋体" w:hAnsi="Times New Roman"/>
                <w:color w:val="000000"/>
                <w:sz w:val="20"/>
                <w:szCs w:val="20"/>
              </w:rPr>
              <w:t>(1,587)</w:t>
            </w:r>
          </w:p>
        </w:tc>
        <w:tc>
          <w:tcPr>
            <w:tcW w:w="0" w:type="auto"/>
            <w:shd w:val="clear" w:color="auto" w:fill="CCEEFF"/>
            <w:tcMar>
              <w:top w:w="40" w:type="dxa"/>
              <w:left w:w="0" w:type="dxa"/>
              <w:bottom w:w="40" w:type="dxa"/>
              <w:right w:w="20" w:type="dxa"/>
            </w:tcMar>
            <w:vAlign w:val="bottom"/>
          </w:tcPr>
          <w:p w14:paraId="07DCD8E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E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EC" w14:textId="77777777" w:rsidR="00AE727E" w:rsidRDefault="008433E0">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07DCD8ED" w14:textId="77777777" w:rsidR="00AE727E" w:rsidRDefault="00AE727E">
            <w:pPr>
              <w:jc w:val="right"/>
              <w:rPr>
                <w:rFonts w:ascii="宋体"/>
              </w:rPr>
            </w:pPr>
          </w:p>
        </w:tc>
      </w:tr>
      <w:tr w:rsidR="00AE727E" w14:paraId="07DCD8F5" w14:textId="77777777">
        <w:trPr>
          <w:jc w:val="center"/>
        </w:trPr>
        <w:tc>
          <w:tcPr>
            <w:tcW w:w="0" w:type="auto"/>
            <w:gridSpan w:val="3"/>
            <w:shd w:val="clear" w:color="auto" w:fill="FFFFFF"/>
            <w:tcMar>
              <w:top w:w="40" w:type="dxa"/>
              <w:left w:w="395" w:type="dxa"/>
              <w:bottom w:w="40" w:type="dxa"/>
              <w:right w:w="20" w:type="dxa"/>
            </w:tcMar>
            <w:vAlign w:val="bottom"/>
          </w:tcPr>
          <w:p w14:paraId="07DCD8EF" w14:textId="77777777" w:rsidR="00AE727E" w:rsidRDefault="008433E0">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07DCD8F0" w14:textId="77777777" w:rsidR="00AE727E" w:rsidRDefault="008433E0">
            <w:pPr>
              <w:jc w:val="right"/>
              <w:textAlignment w:val="bottom"/>
            </w:pPr>
            <w:r>
              <w:rPr>
                <w:rFonts w:ascii="Times New Roman" w:eastAsia="宋体" w:hAnsi="Times New Roman"/>
                <w:color w:val="000000"/>
                <w:sz w:val="20"/>
                <w:szCs w:val="20"/>
              </w:rPr>
              <w:t>234 </w:t>
            </w:r>
          </w:p>
        </w:tc>
        <w:tc>
          <w:tcPr>
            <w:tcW w:w="0" w:type="auto"/>
            <w:shd w:val="clear" w:color="auto" w:fill="FFFFFF"/>
            <w:tcMar>
              <w:top w:w="40" w:type="dxa"/>
              <w:left w:w="0" w:type="dxa"/>
              <w:bottom w:w="40" w:type="dxa"/>
              <w:right w:w="20" w:type="dxa"/>
            </w:tcMar>
            <w:vAlign w:val="bottom"/>
          </w:tcPr>
          <w:p w14:paraId="07DCD8F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8F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8F3" w14:textId="77777777" w:rsidR="00AE727E" w:rsidRDefault="008433E0">
            <w:pPr>
              <w:jc w:val="right"/>
              <w:textAlignment w:val="bottom"/>
            </w:pPr>
            <w:r>
              <w:rPr>
                <w:rFonts w:ascii="Times New Roman" w:eastAsia="宋体" w:hAnsi="Times New Roman"/>
                <w:color w:val="000000"/>
                <w:sz w:val="20"/>
                <w:szCs w:val="20"/>
              </w:rPr>
              <w:t>(624)</w:t>
            </w:r>
          </w:p>
        </w:tc>
        <w:tc>
          <w:tcPr>
            <w:tcW w:w="0" w:type="auto"/>
            <w:shd w:val="clear" w:color="auto" w:fill="FFFFFF"/>
            <w:tcMar>
              <w:top w:w="40" w:type="dxa"/>
              <w:left w:w="0" w:type="dxa"/>
              <w:bottom w:w="40" w:type="dxa"/>
              <w:right w:w="20" w:type="dxa"/>
            </w:tcMar>
            <w:vAlign w:val="bottom"/>
          </w:tcPr>
          <w:p w14:paraId="07DCD8F4" w14:textId="77777777" w:rsidR="00AE727E" w:rsidRDefault="00AE727E">
            <w:pPr>
              <w:jc w:val="right"/>
              <w:rPr>
                <w:rFonts w:ascii="宋体"/>
              </w:rPr>
            </w:pPr>
          </w:p>
        </w:tc>
      </w:tr>
      <w:tr w:rsidR="00AE727E" w14:paraId="07DCD8FC" w14:textId="77777777">
        <w:trPr>
          <w:jc w:val="center"/>
        </w:trPr>
        <w:tc>
          <w:tcPr>
            <w:tcW w:w="0" w:type="auto"/>
            <w:gridSpan w:val="3"/>
            <w:shd w:val="clear" w:color="auto" w:fill="CCEEFF"/>
            <w:tcMar>
              <w:top w:w="40" w:type="dxa"/>
              <w:left w:w="395" w:type="dxa"/>
              <w:bottom w:w="40" w:type="dxa"/>
              <w:right w:w="20" w:type="dxa"/>
            </w:tcMar>
            <w:vAlign w:val="bottom"/>
          </w:tcPr>
          <w:p w14:paraId="07DCD8F6" w14:textId="77777777" w:rsidR="00AE727E" w:rsidRDefault="008433E0">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07DCD8F7" w14:textId="77777777" w:rsidR="00AE727E" w:rsidRDefault="008433E0">
            <w:pPr>
              <w:jc w:val="right"/>
              <w:textAlignment w:val="bottom"/>
            </w:pPr>
            <w:r>
              <w:rPr>
                <w:rFonts w:ascii="Times New Roman" w:eastAsia="宋体" w:hAnsi="Times New Roman"/>
                <w:color w:val="000000"/>
                <w:sz w:val="20"/>
                <w:szCs w:val="20"/>
              </w:rPr>
              <w:t>(2,063)</w:t>
            </w:r>
          </w:p>
        </w:tc>
        <w:tc>
          <w:tcPr>
            <w:tcW w:w="0" w:type="auto"/>
            <w:shd w:val="clear" w:color="auto" w:fill="CCEEFF"/>
            <w:tcMar>
              <w:top w:w="40" w:type="dxa"/>
              <w:left w:w="0" w:type="dxa"/>
              <w:bottom w:w="40" w:type="dxa"/>
              <w:right w:w="20" w:type="dxa"/>
            </w:tcMar>
            <w:vAlign w:val="bottom"/>
          </w:tcPr>
          <w:p w14:paraId="07DCD8F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8F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8FA" w14:textId="77777777" w:rsidR="00AE727E" w:rsidRDefault="008433E0">
            <w:pPr>
              <w:jc w:val="right"/>
              <w:textAlignment w:val="bottom"/>
            </w:pPr>
            <w:r>
              <w:rPr>
                <w:rFonts w:ascii="Times New Roman" w:eastAsia="宋体" w:hAnsi="Times New Roman"/>
                <w:color w:val="000000"/>
                <w:sz w:val="20"/>
                <w:szCs w:val="20"/>
              </w:rPr>
              <w:t>(198)</w:t>
            </w:r>
          </w:p>
        </w:tc>
        <w:tc>
          <w:tcPr>
            <w:tcW w:w="0" w:type="auto"/>
            <w:shd w:val="clear" w:color="auto" w:fill="CCEEFF"/>
            <w:tcMar>
              <w:top w:w="40" w:type="dxa"/>
              <w:left w:w="0" w:type="dxa"/>
              <w:bottom w:w="40" w:type="dxa"/>
              <w:right w:w="20" w:type="dxa"/>
            </w:tcMar>
            <w:vAlign w:val="bottom"/>
          </w:tcPr>
          <w:p w14:paraId="07DCD8FB" w14:textId="77777777" w:rsidR="00AE727E" w:rsidRDefault="00AE727E">
            <w:pPr>
              <w:jc w:val="right"/>
              <w:rPr>
                <w:rFonts w:ascii="宋体"/>
              </w:rPr>
            </w:pPr>
          </w:p>
        </w:tc>
      </w:tr>
      <w:tr w:rsidR="00AE727E" w14:paraId="07DCD903" w14:textId="77777777">
        <w:trPr>
          <w:jc w:val="center"/>
        </w:trPr>
        <w:tc>
          <w:tcPr>
            <w:tcW w:w="0" w:type="auto"/>
            <w:gridSpan w:val="3"/>
            <w:shd w:val="clear" w:color="auto" w:fill="FFFFFF"/>
            <w:tcMar>
              <w:top w:w="40" w:type="dxa"/>
              <w:left w:w="395" w:type="dxa"/>
              <w:bottom w:w="40" w:type="dxa"/>
              <w:right w:w="20" w:type="dxa"/>
            </w:tcMar>
            <w:vAlign w:val="bottom"/>
          </w:tcPr>
          <w:p w14:paraId="07DCD8FD" w14:textId="77777777" w:rsidR="00AE727E" w:rsidRDefault="008433E0">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07DCD8FE" w14:textId="77777777" w:rsidR="00AE727E" w:rsidRDefault="008433E0">
            <w:pPr>
              <w:jc w:val="right"/>
              <w:textAlignment w:val="bottom"/>
            </w:pPr>
            <w:r>
              <w:rPr>
                <w:rFonts w:ascii="Times New Roman" w:eastAsia="宋体" w:hAnsi="Times New Roman"/>
                <w:color w:val="000000"/>
                <w:sz w:val="20"/>
                <w:szCs w:val="20"/>
              </w:rPr>
              <w:t>(1,624)</w:t>
            </w:r>
          </w:p>
        </w:tc>
        <w:tc>
          <w:tcPr>
            <w:tcW w:w="0" w:type="auto"/>
            <w:shd w:val="clear" w:color="auto" w:fill="FFFFFF"/>
            <w:tcMar>
              <w:top w:w="40" w:type="dxa"/>
              <w:left w:w="0" w:type="dxa"/>
              <w:bottom w:w="40" w:type="dxa"/>
              <w:right w:w="20" w:type="dxa"/>
            </w:tcMar>
            <w:vAlign w:val="bottom"/>
          </w:tcPr>
          <w:p w14:paraId="07DCD8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0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01" w14:textId="77777777" w:rsidR="00AE727E" w:rsidRDefault="008433E0">
            <w:pPr>
              <w:jc w:val="right"/>
              <w:textAlignment w:val="bottom"/>
            </w:pPr>
            <w:r>
              <w:rPr>
                <w:rFonts w:ascii="Times New Roman" w:eastAsia="宋体" w:hAnsi="Times New Roman"/>
                <w:color w:val="000000"/>
                <w:sz w:val="20"/>
                <w:szCs w:val="20"/>
              </w:rPr>
              <w:t>(2,175)</w:t>
            </w:r>
          </w:p>
        </w:tc>
        <w:tc>
          <w:tcPr>
            <w:tcW w:w="0" w:type="auto"/>
            <w:shd w:val="clear" w:color="auto" w:fill="FFFFFF"/>
            <w:tcMar>
              <w:top w:w="40" w:type="dxa"/>
              <w:left w:w="0" w:type="dxa"/>
              <w:bottom w:w="40" w:type="dxa"/>
              <w:right w:w="20" w:type="dxa"/>
            </w:tcMar>
            <w:vAlign w:val="bottom"/>
          </w:tcPr>
          <w:p w14:paraId="07DCD902" w14:textId="77777777" w:rsidR="00AE727E" w:rsidRDefault="00AE727E">
            <w:pPr>
              <w:jc w:val="right"/>
              <w:rPr>
                <w:rFonts w:ascii="宋体"/>
              </w:rPr>
            </w:pPr>
          </w:p>
        </w:tc>
      </w:tr>
      <w:tr w:rsidR="00AE727E" w14:paraId="07DCD90A" w14:textId="77777777">
        <w:trPr>
          <w:jc w:val="center"/>
        </w:trPr>
        <w:tc>
          <w:tcPr>
            <w:tcW w:w="0" w:type="auto"/>
            <w:gridSpan w:val="3"/>
            <w:shd w:val="clear" w:color="auto" w:fill="CCEEFF"/>
            <w:tcMar>
              <w:top w:w="40" w:type="dxa"/>
              <w:left w:w="395" w:type="dxa"/>
              <w:bottom w:w="40" w:type="dxa"/>
              <w:right w:w="20" w:type="dxa"/>
            </w:tcMar>
            <w:vAlign w:val="bottom"/>
          </w:tcPr>
          <w:p w14:paraId="07DCD904" w14:textId="77777777" w:rsidR="00AE727E" w:rsidRDefault="008433E0">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07DCD905" w14:textId="77777777" w:rsidR="00AE727E" w:rsidRDefault="008433E0">
            <w:pPr>
              <w:jc w:val="right"/>
              <w:textAlignment w:val="bottom"/>
            </w:pPr>
            <w:r>
              <w:rPr>
                <w:rFonts w:ascii="Times New Roman" w:eastAsia="宋体" w:hAnsi="Times New Roman"/>
                <w:color w:val="000000"/>
                <w:sz w:val="20"/>
                <w:szCs w:val="20"/>
              </w:rPr>
              <w:t>5,149 </w:t>
            </w:r>
          </w:p>
        </w:tc>
        <w:tc>
          <w:tcPr>
            <w:tcW w:w="0" w:type="auto"/>
            <w:shd w:val="clear" w:color="auto" w:fill="CCEEFF"/>
            <w:tcMar>
              <w:top w:w="40" w:type="dxa"/>
              <w:left w:w="0" w:type="dxa"/>
              <w:bottom w:w="40" w:type="dxa"/>
              <w:right w:w="20" w:type="dxa"/>
            </w:tcMar>
            <w:vAlign w:val="bottom"/>
          </w:tcPr>
          <w:p w14:paraId="07DCD90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0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08" w14:textId="77777777" w:rsidR="00AE727E" w:rsidRDefault="008433E0">
            <w:pPr>
              <w:jc w:val="right"/>
              <w:textAlignment w:val="bottom"/>
            </w:pPr>
            <w:r>
              <w:rPr>
                <w:rFonts w:ascii="Times New Roman" w:eastAsia="宋体" w:hAnsi="Times New Roman"/>
                <w:color w:val="000000"/>
                <w:sz w:val="20"/>
                <w:szCs w:val="20"/>
              </w:rPr>
              <w:t>(216)</w:t>
            </w:r>
          </w:p>
        </w:tc>
        <w:tc>
          <w:tcPr>
            <w:tcW w:w="0" w:type="auto"/>
            <w:shd w:val="clear" w:color="auto" w:fill="CCEEFF"/>
            <w:tcMar>
              <w:top w:w="40" w:type="dxa"/>
              <w:left w:w="0" w:type="dxa"/>
              <w:bottom w:w="40" w:type="dxa"/>
              <w:right w:w="20" w:type="dxa"/>
            </w:tcMar>
            <w:vAlign w:val="bottom"/>
          </w:tcPr>
          <w:p w14:paraId="07DCD909" w14:textId="77777777" w:rsidR="00AE727E" w:rsidRDefault="00AE727E">
            <w:pPr>
              <w:jc w:val="right"/>
              <w:rPr>
                <w:rFonts w:ascii="宋体"/>
              </w:rPr>
            </w:pPr>
          </w:p>
        </w:tc>
      </w:tr>
      <w:tr w:rsidR="00AE727E" w14:paraId="07DCD911" w14:textId="77777777">
        <w:trPr>
          <w:jc w:val="center"/>
        </w:trPr>
        <w:tc>
          <w:tcPr>
            <w:tcW w:w="0" w:type="auto"/>
            <w:gridSpan w:val="3"/>
            <w:shd w:val="clear" w:color="auto" w:fill="FFFFFF"/>
            <w:tcMar>
              <w:top w:w="40" w:type="dxa"/>
              <w:left w:w="395" w:type="dxa"/>
              <w:bottom w:w="40" w:type="dxa"/>
              <w:right w:w="20" w:type="dxa"/>
            </w:tcMar>
            <w:vAlign w:val="bottom"/>
          </w:tcPr>
          <w:p w14:paraId="07DCD90B" w14:textId="77777777" w:rsidR="00AE727E" w:rsidRDefault="008433E0">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07DCD90C" w14:textId="77777777" w:rsidR="00AE727E" w:rsidRDefault="008433E0">
            <w:pPr>
              <w:jc w:val="right"/>
              <w:textAlignment w:val="bottom"/>
            </w:pPr>
            <w:r>
              <w:rPr>
                <w:rFonts w:ascii="Times New Roman" w:eastAsia="宋体" w:hAnsi="Times New Roman"/>
                <w:color w:val="000000"/>
                <w:sz w:val="20"/>
                <w:szCs w:val="20"/>
              </w:rPr>
              <w:t>1,034 </w:t>
            </w:r>
          </w:p>
        </w:tc>
        <w:tc>
          <w:tcPr>
            <w:tcW w:w="0" w:type="auto"/>
            <w:shd w:val="clear" w:color="auto" w:fill="FFFFFF"/>
            <w:tcMar>
              <w:top w:w="40" w:type="dxa"/>
              <w:left w:w="0" w:type="dxa"/>
              <w:bottom w:w="40" w:type="dxa"/>
              <w:right w:w="20" w:type="dxa"/>
            </w:tcMar>
            <w:vAlign w:val="bottom"/>
          </w:tcPr>
          <w:p w14:paraId="07DCD9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0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0F" w14:textId="77777777" w:rsidR="00AE727E" w:rsidRDefault="008433E0">
            <w:pPr>
              <w:jc w:val="right"/>
              <w:textAlignment w:val="bottom"/>
            </w:pPr>
            <w:r>
              <w:rPr>
                <w:rFonts w:ascii="Times New Roman" w:eastAsia="宋体" w:hAnsi="Times New Roman"/>
                <w:color w:val="000000"/>
                <w:sz w:val="20"/>
                <w:szCs w:val="20"/>
              </w:rPr>
              <w:t>1,001 </w:t>
            </w:r>
          </w:p>
        </w:tc>
        <w:tc>
          <w:tcPr>
            <w:tcW w:w="0" w:type="auto"/>
            <w:shd w:val="clear" w:color="auto" w:fill="FFFFFF"/>
            <w:tcMar>
              <w:top w:w="40" w:type="dxa"/>
              <w:left w:w="0" w:type="dxa"/>
              <w:bottom w:w="40" w:type="dxa"/>
              <w:right w:w="20" w:type="dxa"/>
            </w:tcMar>
            <w:vAlign w:val="bottom"/>
          </w:tcPr>
          <w:p w14:paraId="07DCD910" w14:textId="77777777" w:rsidR="00AE727E" w:rsidRDefault="00AE727E">
            <w:pPr>
              <w:jc w:val="right"/>
              <w:rPr>
                <w:rFonts w:ascii="宋体"/>
              </w:rPr>
            </w:pPr>
          </w:p>
        </w:tc>
      </w:tr>
      <w:tr w:rsidR="00AE727E" w14:paraId="07DCD918" w14:textId="77777777">
        <w:trPr>
          <w:jc w:val="center"/>
        </w:trPr>
        <w:tc>
          <w:tcPr>
            <w:tcW w:w="0" w:type="auto"/>
            <w:gridSpan w:val="3"/>
            <w:shd w:val="clear" w:color="auto" w:fill="CCEEFF"/>
            <w:tcMar>
              <w:top w:w="40" w:type="dxa"/>
              <w:left w:w="725" w:type="dxa"/>
              <w:bottom w:w="40" w:type="dxa"/>
              <w:right w:w="20" w:type="dxa"/>
            </w:tcMar>
            <w:vAlign w:val="bottom"/>
          </w:tcPr>
          <w:p w14:paraId="07DCD912" w14:textId="77777777" w:rsidR="00AE727E" w:rsidRDefault="008433E0">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13" w14:textId="77777777" w:rsidR="00AE727E" w:rsidRDefault="008433E0">
            <w:pPr>
              <w:jc w:val="right"/>
              <w:textAlignment w:val="bottom"/>
            </w:pPr>
            <w:r>
              <w:rPr>
                <w:rFonts w:ascii="Times New Roman" w:eastAsia="宋体" w:hAnsi="Times New Roman"/>
                <w:color w:val="000000"/>
                <w:sz w:val="20"/>
                <w:szCs w:val="20"/>
              </w:rPr>
              <w:t>7,214 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1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1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16" w14:textId="77777777" w:rsidR="00AE727E" w:rsidRDefault="008433E0">
            <w:pPr>
              <w:jc w:val="right"/>
              <w:textAlignment w:val="bottom"/>
            </w:pPr>
            <w:r>
              <w:rPr>
                <w:rFonts w:ascii="Times New Roman" w:eastAsia="宋体" w:hAnsi="Times New Roman"/>
                <w:color w:val="000000"/>
                <w:sz w:val="20"/>
                <w:szCs w:val="20"/>
              </w:rPr>
              <w:t>5,530 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17" w14:textId="77777777" w:rsidR="00AE727E" w:rsidRDefault="00AE727E">
            <w:pPr>
              <w:jc w:val="right"/>
              <w:rPr>
                <w:rFonts w:ascii="宋体"/>
              </w:rPr>
            </w:pPr>
          </w:p>
        </w:tc>
      </w:tr>
      <w:tr w:rsidR="00AE727E" w14:paraId="07DCD91D" w14:textId="77777777">
        <w:trPr>
          <w:jc w:val="center"/>
        </w:trPr>
        <w:tc>
          <w:tcPr>
            <w:tcW w:w="0" w:type="auto"/>
            <w:gridSpan w:val="3"/>
            <w:shd w:val="clear" w:color="auto" w:fill="FFFFFF"/>
            <w:tcMar>
              <w:top w:w="40" w:type="dxa"/>
              <w:left w:w="20" w:type="dxa"/>
              <w:bottom w:w="40" w:type="dxa"/>
              <w:right w:w="20" w:type="dxa"/>
            </w:tcMar>
            <w:vAlign w:val="bottom"/>
          </w:tcPr>
          <w:p w14:paraId="07DCD919" w14:textId="77777777" w:rsidR="00AE727E" w:rsidRDefault="008433E0">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91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91B"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91C" w14:textId="77777777" w:rsidR="00AE727E" w:rsidRDefault="00AE727E">
            <w:pPr>
              <w:rPr>
                <w:rFonts w:ascii="宋体"/>
              </w:rPr>
            </w:pPr>
          </w:p>
        </w:tc>
      </w:tr>
      <w:tr w:rsidR="00AE727E" w14:paraId="07DCD924" w14:textId="77777777">
        <w:trPr>
          <w:jc w:val="center"/>
        </w:trPr>
        <w:tc>
          <w:tcPr>
            <w:tcW w:w="0" w:type="auto"/>
            <w:gridSpan w:val="3"/>
            <w:shd w:val="clear" w:color="auto" w:fill="CCEEFF"/>
            <w:tcMar>
              <w:top w:w="40" w:type="dxa"/>
              <w:left w:w="125" w:type="dxa"/>
              <w:bottom w:w="40" w:type="dxa"/>
              <w:right w:w="20" w:type="dxa"/>
            </w:tcMar>
            <w:vAlign w:val="bottom"/>
          </w:tcPr>
          <w:p w14:paraId="07DCD91E" w14:textId="77777777" w:rsidR="00AE727E" w:rsidRDefault="008433E0">
            <w:pPr>
              <w:textAlignment w:val="bottom"/>
            </w:pPr>
            <w:r>
              <w:rPr>
                <w:rFonts w:ascii="Times New Roman" w:eastAsia="宋体" w:hAnsi="Times New Roman"/>
                <w:color w:val="000000"/>
                <w:sz w:val="20"/>
                <w:szCs w:val="20"/>
              </w:rPr>
              <w:t>Purchases of investments</w:t>
            </w:r>
          </w:p>
        </w:tc>
        <w:tc>
          <w:tcPr>
            <w:tcW w:w="0" w:type="auto"/>
            <w:gridSpan w:val="2"/>
            <w:shd w:val="clear" w:color="auto" w:fill="CCEEFF"/>
            <w:tcMar>
              <w:top w:w="40" w:type="dxa"/>
              <w:left w:w="20" w:type="dxa"/>
              <w:bottom w:w="40" w:type="dxa"/>
              <w:right w:w="0" w:type="dxa"/>
            </w:tcMar>
            <w:vAlign w:val="bottom"/>
          </w:tcPr>
          <w:p w14:paraId="07DCD91F" w14:textId="77777777" w:rsidR="00AE727E" w:rsidRDefault="008433E0">
            <w:pPr>
              <w:jc w:val="right"/>
              <w:textAlignment w:val="bottom"/>
            </w:pPr>
            <w:r>
              <w:rPr>
                <w:rFonts w:ascii="Times New Roman" w:eastAsia="宋体" w:hAnsi="Times New Roman"/>
                <w:color w:val="000000"/>
                <w:sz w:val="20"/>
                <w:szCs w:val="20"/>
              </w:rPr>
              <w:t>(320)</w:t>
            </w:r>
          </w:p>
        </w:tc>
        <w:tc>
          <w:tcPr>
            <w:tcW w:w="0" w:type="auto"/>
            <w:shd w:val="clear" w:color="auto" w:fill="CCEEFF"/>
            <w:tcMar>
              <w:top w:w="40" w:type="dxa"/>
              <w:left w:w="0" w:type="dxa"/>
              <w:bottom w:w="40" w:type="dxa"/>
              <w:right w:w="20" w:type="dxa"/>
            </w:tcMar>
            <w:vAlign w:val="bottom"/>
          </w:tcPr>
          <w:p w14:paraId="07DCD92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2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22" w14:textId="77777777" w:rsidR="00AE727E" w:rsidRDefault="008433E0">
            <w:pPr>
              <w:jc w:val="right"/>
              <w:textAlignment w:val="bottom"/>
            </w:pPr>
            <w:r>
              <w:rPr>
                <w:rFonts w:ascii="Times New Roman" w:eastAsia="宋体" w:hAnsi="Times New Roman"/>
                <w:color w:val="000000"/>
                <w:sz w:val="20"/>
                <w:szCs w:val="20"/>
              </w:rPr>
              <w:t>(296)</w:t>
            </w:r>
          </w:p>
        </w:tc>
        <w:tc>
          <w:tcPr>
            <w:tcW w:w="0" w:type="auto"/>
            <w:shd w:val="clear" w:color="auto" w:fill="CCEEFF"/>
            <w:tcMar>
              <w:top w:w="40" w:type="dxa"/>
              <w:left w:w="0" w:type="dxa"/>
              <w:bottom w:w="40" w:type="dxa"/>
              <w:right w:w="20" w:type="dxa"/>
            </w:tcMar>
            <w:vAlign w:val="bottom"/>
          </w:tcPr>
          <w:p w14:paraId="07DCD923" w14:textId="77777777" w:rsidR="00AE727E" w:rsidRDefault="00AE727E">
            <w:pPr>
              <w:jc w:val="right"/>
              <w:rPr>
                <w:rFonts w:ascii="宋体"/>
              </w:rPr>
            </w:pPr>
          </w:p>
        </w:tc>
      </w:tr>
      <w:tr w:rsidR="00AE727E" w14:paraId="07DCD92B" w14:textId="77777777">
        <w:trPr>
          <w:jc w:val="center"/>
        </w:trPr>
        <w:tc>
          <w:tcPr>
            <w:tcW w:w="0" w:type="auto"/>
            <w:gridSpan w:val="3"/>
            <w:shd w:val="clear" w:color="auto" w:fill="FFFFFF"/>
            <w:tcMar>
              <w:top w:w="40" w:type="dxa"/>
              <w:left w:w="125" w:type="dxa"/>
              <w:bottom w:w="40" w:type="dxa"/>
              <w:right w:w="20" w:type="dxa"/>
            </w:tcMar>
            <w:vAlign w:val="bottom"/>
          </w:tcPr>
          <w:p w14:paraId="07DCD925" w14:textId="77777777" w:rsidR="00AE727E" w:rsidRDefault="008433E0">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FFFFFF"/>
            <w:tcMar>
              <w:top w:w="40" w:type="dxa"/>
              <w:left w:w="20" w:type="dxa"/>
              <w:bottom w:w="40" w:type="dxa"/>
              <w:right w:w="0" w:type="dxa"/>
            </w:tcMar>
            <w:vAlign w:val="bottom"/>
          </w:tcPr>
          <w:p w14:paraId="07DCD926" w14:textId="77777777" w:rsidR="00AE727E" w:rsidRDefault="008433E0">
            <w:pPr>
              <w:jc w:val="right"/>
              <w:textAlignment w:val="bottom"/>
            </w:pPr>
            <w:r>
              <w:rPr>
                <w:rFonts w:ascii="Times New Roman" w:eastAsia="宋体" w:hAnsi="Times New Roman"/>
                <w:color w:val="000000"/>
                <w:sz w:val="20"/>
                <w:szCs w:val="20"/>
              </w:rPr>
              <w:t>454 </w:t>
            </w:r>
          </w:p>
        </w:tc>
        <w:tc>
          <w:tcPr>
            <w:tcW w:w="0" w:type="auto"/>
            <w:shd w:val="clear" w:color="auto" w:fill="FFFFFF"/>
            <w:tcMar>
              <w:top w:w="40" w:type="dxa"/>
              <w:left w:w="0" w:type="dxa"/>
              <w:bottom w:w="40" w:type="dxa"/>
              <w:right w:w="20" w:type="dxa"/>
            </w:tcMar>
            <w:vAlign w:val="bottom"/>
          </w:tcPr>
          <w:p w14:paraId="07DCD92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2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29" w14:textId="77777777" w:rsidR="00AE727E" w:rsidRDefault="008433E0">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07DCD92A" w14:textId="77777777" w:rsidR="00AE727E" w:rsidRDefault="00AE727E">
            <w:pPr>
              <w:jc w:val="right"/>
              <w:rPr>
                <w:rFonts w:ascii="宋体"/>
              </w:rPr>
            </w:pPr>
          </w:p>
        </w:tc>
      </w:tr>
      <w:tr w:rsidR="00AE727E" w14:paraId="07DCD932" w14:textId="77777777">
        <w:trPr>
          <w:jc w:val="center"/>
        </w:trPr>
        <w:tc>
          <w:tcPr>
            <w:tcW w:w="0" w:type="auto"/>
            <w:gridSpan w:val="3"/>
            <w:shd w:val="clear" w:color="auto" w:fill="CCEEFF"/>
            <w:tcMar>
              <w:top w:w="40" w:type="dxa"/>
              <w:left w:w="125" w:type="dxa"/>
              <w:bottom w:w="40" w:type="dxa"/>
              <w:right w:w="20" w:type="dxa"/>
            </w:tcMar>
            <w:vAlign w:val="bottom"/>
          </w:tcPr>
          <w:p w14:paraId="07DCD92C" w14:textId="77777777" w:rsidR="00AE727E" w:rsidRDefault="008433E0">
            <w:pPr>
              <w:textAlignment w:val="bottom"/>
            </w:pPr>
            <w:r>
              <w:rPr>
                <w:rFonts w:ascii="Times New Roman" w:eastAsia="宋体" w:hAnsi="Times New Roman"/>
                <w:color w:val="000000"/>
                <w:sz w:val="20"/>
                <w:szCs w:val="20"/>
              </w:rPr>
              <w:t xml:space="preserve">Capital expenditures and capitalized software </w:t>
            </w:r>
            <w:r>
              <w:rPr>
                <w:rFonts w:ascii="Times New Roman" w:eastAsia="宋体" w:hAnsi="Times New Roman"/>
                <w:color w:val="000000"/>
                <w:sz w:val="20"/>
                <w:szCs w:val="20"/>
              </w:rPr>
              <w:t>development costs</w:t>
            </w:r>
          </w:p>
        </w:tc>
        <w:tc>
          <w:tcPr>
            <w:tcW w:w="0" w:type="auto"/>
            <w:gridSpan w:val="2"/>
            <w:shd w:val="clear" w:color="auto" w:fill="CCEEFF"/>
            <w:tcMar>
              <w:top w:w="40" w:type="dxa"/>
              <w:left w:w="20" w:type="dxa"/>
              <w:bottom w:w="40" w:type="dxa"/>
              <w:right w:w="0" w:type="dxa"/>
            </w:tcMar>
            <w:vAlign w:val="bottom"/>
          </w:tcPr>
          <w:p w14:paraId="07DCD92D" w14:textId="77777777" w:rsidR="00AE727E" w:rsidRDefault="008433E0">
            <w:pPr>
              <w:jc w:val="right"/>
              <w:textAlignment w:val="bottom"/>
            </w:pPr>
            <w:r>
              <w:rPr>
                <w:rFonts w:ascii="Times New Roman" w:eastAsia="宋体" w:hAnsi="Times New Roman"/>
                <w:color w:val="000000"/>
                <w:sz w:val="20"/>
                <w:szCs w:val="20"/>
              </w:rPr>
              <w:t>(2,056)</w:t>
            </w:r>
          </w:p>
        </w:tc>
        <w:tc>
          <w:tcPr>
            <w:tcW w:w="0" w:type="auto"/>
            <w:shd w:val="clear" w:color="auto" w:fill="CCEEFF"/>
            <w:tcMar>
              <w:top w:w="40" w:type="dxa"/>
              <w:left w:w="0" w:type="dxa"/>
              <w:bottom w:w="40" w:type="dxa"/>
              <w:right w:w="20" w:type="dxa"/>
            </w:tcMar>
            <w:vAlign w:val="bottom"/>
          </w:tcPr>
          <w:p w14:paraId="07DCD92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2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30" w14:textId="77777777" w:rsidR="00AE727E" w:rsidRDefault="008433E0">
            <w:pPr>
              <w:jc w:val="right"/>
              <w:textAlignment w:val="bottom"/>
            </w:pPr>
            <w:r>
              <w:rPr>
                <w:rFonts w:ascii="Times New Roman" w:eastAsia="宋体" w:hAnsi="Times New Roman"/>
                <w:color w:val="000000"/>
                <w:sz w:val="20"/>
                <w:szCs w:val="20"/>
              </w:rPr>
              <w:t>(1,584)</w:t>
            </w:r>
          </w:p>
        </w:tc>
        <w:tc>
          <w:tcPr>
            <w:tcW w:w="0" w:type="auto"/>
            <w:shd w:val="clear" w:color="auto" w:fill="CCEEFF"/>
            <w:tcMar>
              <w:top w:w="40" w:type="dxa"/>
              <w:left w:w="0" w:type="dxa"/>
              <w:bottom w:w="40" w:type="dxa"/>
              <w:right w:w="20" w:type="dxa"/>
            </w:tcMar>
            <w:vAlign w:val="bottom"/>
          </w:tcPr>
          <w:p w14:paraId="07DCD931" w14:textId="77777777" w:rsidR="00AE727E" w:rsidRDefault="00AE727E">
            <w:pPr>
              <w:jc w:val="right"/>
              <w:rPr>
                <w:rFonts w:ascii="宋体"/>
              </w:rPr>
            </w:pPr>
          </w:p>
        </w:tc>
      </w:tr>
      <w:tr w:rsidR="00AE727E" w14:paraId="07DCD939" w14:textId="77777777">
        <w:trPr>
          <w:jc w:val="center"/>
        </w:trPr>
        <w:tc>
          <w:tcPr>
            <w:tcW w:w="0" w:type="auto"/>
            <w:gridSpan w:val="3"/>
            <w:shd w:val="clear" w:color="auto" w:fill="FFFFFF"/>
            <w:tcMar>
              <w:top w:w="40" w:type="dxa"/>
              <w:left w:w="125" w:type="dxa"/>
              <w:bottom w:w="40" w:type="dxa"/>
              <w:right w:w="20" w:type="dxa"/>
            </w:tcMar>
            <w:vAlign w:val="bottom"/>
          </w:tcPr>
          <w:p w14:paraId="07DCD933" w14:textId="77777777" w:rsidR="00AE727E" w:rsidRDefault="008433E0">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FFFFFF"/>
            <w:tcMar>
              <w:top w:w="40" w:type="dxa"/>
              <w:left w:w="20" w:type="dxa"/>
              <w:bottom w:w="40" w:type="dxa"/>
              <w:right w:w="0" w:type="dxa"/>
            </w:tcMar>
            <w:vAlign w:val="bottom"/>
          </w:tcPr>
          <w:p w14:paraId="07DCD934" w14:textId="77777777" w:rsidR="00AE727E" w:rsidRDefault="008433E0">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07DCD93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3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37" w14:textId="77777777" w:rsidR="00AE727E" w:rsidRDefault="008433E0">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07DCD938" w14:textId="77777777" w:rsidR="00AE727E" w:rsidRDefault="00AE727E">
            <w:pPr>
              <w:jc w:val="right"/>
              <w:rPr>
                <w:rFonts w:ascii="宋体"/>
              </w:rPr>
            </w:pPr>
          </w:p>
        </w:tc>
      </w:tr>
      <w:tr w:rsidR="00AE727E" w14:paraId="07DCD940" w14:textId="77777777">
        <w:trPr>
          <w:jc w:val="center"/>
        </w:trPr>
        <w:tc>
          <w:tcPr>
            <w:tcW w:w="0" w:type="auto"/>
            <w:gridSpan w:val="3"/>
            <w:shd w:val="clear" w:color="auto" w:fill="CCEEFF"/>
            <w:tcMar>
              <w:top w:w="40" w:type="dxa"/>
              <w:left w:w="125" w:type="dxa"/>
              <w:bottom w:w="40" w:type="dxa"/>
              <w:right w:w="20" w:type="dxa"/>
            </w:tcMar>
            <w:vAlign w:val="bottom"/>
          </w:tcPr>
          <w:p w14:paraId="07DCD93A" w14:textId="77777777" w:rsidR="00AE727E" w:rsidRDefault="008433E0">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CCEEFF"/>
            <w:tcMar>
              <w:top w:w="40" w:type="dxa"/>
              <w:left w:w="20" w:type="dxa"/>
              <w:bottom w:w="40" w:type="dxa"/>
              <w:right w:w="0" w:type="dxa"/>
            </w:tcMar>
            <w:vAlign w:val="bottom"/>
          </w:tcPr>
          <w:p w14:paraId="07DCD93B" w14:textId="77777777" w:rsidR="00AE727E" w:rsidRDefault="008433E0">
            <w:pPr>
              <w:jc w:val="right"/>
              <w:textAlignment w:val="bottom"/>
            </w:pPr>
            <w:r>
              <w:rPr>
                <w:rFonts w:ascii="Times New Roman" w:eastAsia="宋体" w:hAnsi="Times New Roman"/>
                <w:color w:val="000000"/>
                <w:sz w:val="20"/>
                <w:szCs w:val="20"/>
              </w:rPr>
              <w:t>3,957 </w:t>
            </w:r>
          </w:p>
        </w:tc>
        <w:tc>
          <w:tcPr>
            <w:tcW w:w="0" w:type="auto"/>
            <w:shd w:val="clear" w:color="auto" w:fill="CCEEFF"/>
            <w:tcMar>
              <w:top w:w="40" w:type="dxa"/>
              <w:left w:w="0" w:type="dxa"/>
              <w:bottom w:w="40" w:type="dxa"/>
              <w:right w:w="20" w:type="dxa"/>
            </w:tcMar>
            <w:vAlign w:val="bottom"/>
          </w:tcPr>
          <w:p w14:paraId="07DCD93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3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3E" w14:textId="77777777" w:rsidR="00AE727E" w:rsidRDefault="008433E0">
            <w:pPr>
              <w:jc w:val="right"/>
              <w:textAlignment w:val="bottom"/>
            </w:pPr>
            <w:r>
              <w:rPr>
                <w:rFonts w:ascii="Times New Roman" w:eastAsia="宋体" w:hAnsi="Times New Roman"/>
                <w:color w:val="000000"/>
                <w:sz w:val="20"/>
                <w:szCs w:val="20"/>
              </w:rPr>
              <w:t>2,187 </w:t>
            </w:r>
          </w:p>
        </w:tc>
        <w:tc>
          <w:tcPr>
            <w:tcW w:w="0" w:type="auto"/>
            <w:shd w:val="clear" w:color="auto" w:fill="CCEEFF"/>
            <w:tcMar>
              <w:top w:w="40" w:type="dxa"/>
              <w:left w:w="0" w:type="dxa"/>
              <w:bottom w:w="40" w:type="dxa"/>
              <w:right w:w="20" w:type="dxa"/>
            </w:tcMar>
            <w:vAlign w:val="bottom"/>
          </w:tcPr>
          <w:p w14:paraId="07DCD93F" w14:textId="77777777" w:rsidR="00AE727E" w:rsidRDefault="00AE727E">
            <w:pPr>
              <w:jc w:val="right"/>
              <w:rPr>
                <w:rFonts w:ascii="宋体"/>
              </w:rPr>
            </w:pPr>
          </w:p>
        </w:tc>
      </w:tr>
      <w:tr w:rsidR="00AE727E" w14:paraId="07DCD947" w14:textId="77777777">
        <w:trPr>
          <w:jc w:val="center"/>
        </w:trPr>
        <w:tc>
          <w:tcPr>
            <w:tcW w:w="0" w:type="auto"/>
            <w:gridSpan w:val="3"/>
            <w:shd w:val="clear" w:color="auto" w:fill="FFFFFF"/>
            <w:tcMar>
              <w:top w:w="40" w:type="dxa"/>
              <w:left w:w="125" w:type="dxa"/>
              <w:bottom w:w="40" w:type="dxa"/>
              <w:right w:w="20" w:type="dxa"/>
            </w:tcMar>
            <w:vAlign w:val="bottom"/>
          </w:tcPr>
          <w:p w14:paraId="07DCD941"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CD942" w14:textId="77777777" w:rsidR="00AE727E" w:rsidRDefault="008433E0">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7DCD94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4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45" w14:textId="77777777" w:rsidR="00AE727E" w:rsidRDefault="008433E0">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07DCD946" w14:textId="77777777" w:rsidR="00AE727E" w:rsidRDefault="00AE727E">
            <w:pPr>
              <w:jc w:val="right"/>
              <w:rPr>
                <w:rFonts w:ascii="宋体"/>
              </w:rPr>
            </w:pPr>
          </w:p>
        </w:tc>
      </w:tr>
      <w:tr w:rsidR="00AE727E" w14:paraId="07DCD94E" w14:textId="77777777">
        <w:trPr>
          <w:jc w:val="center"/>
        </w:trPr>
        <w:tc>
          <w:tcPr>
            <w:tcW w:w="0" w:type="auto"/>
            <w:gridSpan w:val="3"/>
            <w:shd w:val="clear" w:color="auto" w:fill="CCEEFF"/>
            <w:tcMar>
              <w:top w:w="40" w:type="dxa"/>
              <w:left w:w="725" w:type="dxa"/>
              <w:bottom w:w="40" w:type="dxa"/>
              <w:right w:w="20" w:type="dxa"/>
            </w:tcMar>
            <w:vAlign w:val="bottom"/>
          </w:tcPr>
          <w:p w14:paraId="07DCD948" w14:textId="77777777" w:rsidR="00AE727E" w:rsidRDefault="008433E0">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49" w14:textId="77777777" w:rsidR="00AE727E" w:rsidRDefault="008433E0">
            <w:pPr>
              <w:jc w:val="right"/>
              <w:textAlignment w:val="bottom"/>
            </w:pPr>
            <w:r>
              <w:rPr>
                <w:rFonts w:ascii="Times New Roman" w:eastAsia="宋体" w:hAnsi="Times New Roman"/>
                <w:color w:val="000000"/>
                <w:sz w:val="20"/>
                <w:szCs w:val="20"/>
              </w:rPr>
              <w:t>2,053 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4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4B"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4C" w14:textId="77777777" w:rsidR="00AE727E" w:rsidRDefault="008433E0">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4D" w14:textId="77777777" w:rsidR="00AE727E" w:rsidRDefault="00AE727E">
            <w:pPr>
              <w:jc w:val="right"/>
              <w:rPr>
                <w:rFonts w:ascii="宋体"/>
              </w:rPr>
            </w:pPr>
          </w:p>
        </w:tc>
      </w:tr>
      <w:tr w:rsidR="00AE727E" w14:paraId="07DCD953" w14:textId="77777777">
        <w:trPr>
          <w:jc w:val="center"/>
        </w:trPr>
        <w:tc>
          <w:tcPr>
            <w:tcW w:w="0" w:type="auto"/>
            <w:gridSpan w:val="3"/>
            <w:shd w:val="clear" w:color="auto" w:fill="FFFFFF"/>
            <w:tcMar>
              <w:top w:w="40" w:type="dxa"/>
              <w:left w:w="20" w:type="dxa"/>
              <w:bottom w:w="40" w:type="dxa"/>
              <w:right w:w="20" w:type="dxa"/>
            </w:tcMar>
            <w:vAlign w:val="bottom"/>
          </w:tcPr>
          <w:p w14:paraId="07DCD94F" w14:textId="77777777" w:rsidR="00AE727E" w:rsidRDefault="008433E0">
            <w:pPr>
              <w:textAlignment w:val="bottom"/>
            </w:pPr>
            <w:r>
              <w:rPr>
                <w:rFonts w:ascii="Times New Roman" w:eastAsia="宋体" w:hAnsi="Times New Roman"/>
                <w:color w:val="000000"/>
                <w:sz w:val="20"/>
                <w:szCs w:val="20"/>
              </w:rPr>
              <w:t xml:space="preserve">Cash flows from </w:t>
            </w:r>
            <w:r>
              <w:rPr>
                <w:rFonts w:ascii="Times New Roman" w:eastAsia="宋体" w:hAnsi="Times New Roman"/>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95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D951"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D952" w14:textId="77777777" w:rsidR="00AE727E" w:rsidRDefault="00AE727E">
            <w:pPr>
              <w:rPr>
                <w:rFonts w:ascii="宋体"/>
              </w:rPr>
            </w:pPr>
          </w:p>
        </w:tc>
      </w:tr>
      <w:tr w:rsidR="00AE727E" w14:paraId="07DCD958" w14:textId="77777777">
        <w:trPr>
          <w:jc w:val="center"/>
          <w:hidden/>
        </w:trPr>
        <w:tc>
          <w:tcPr>
            <w:tcW w:w="0" w:type="auto"/>
            <w:gridSpan w:val="3"/>
            <w:shd w:val="clear" w:color="auto" w:fill="auto"/>
            <w:vAlign w:val="bottom"/>
          </w:tcPr>
          <w:p w14:paraId="07DCD954" w14:textId="77777777" w:rsidR="00AE727E" w:rsidRDefault="00AE727E">
            <w:pPr>
              <w:rPr>
                <w:rFonts w:ascii="宋体"/>
                <w:vanish/>
              </w:rPr>
            </w:pPr>
          </w:p>
        </w:tc>
        <w:tc>
          <w:tcPr>
            <w:tcW w:w="0" w:type="auto"/>
            <w:gridSpan w:val="3"/>
            <w:shd w:val="clear" w:color="auto" w:fill="auto"/>
            <w:vAlign w:val="bottom"/>
          </w:tcPr>
          <w:p w14:paraId="07DCD955" w14:textId="77777777" w:rsidR="00AE727E" w:rsidRDefault="00AE727E">
            <w:pPr>
              <w:rPr>
                <w:rFonts w:ascii="宋体"/>
                <w:vanish/>
              </w:rPr>
            </w:pPr>
          </w:p>
        </w:tc>
        <w:tc>
          <w:tcPr>
            <w:tcW w:w="0" w:type="auto"/>
            <w:gridSpan w:val="3"/>
            <w:shd w:val="clear" w:color="auto" w:fill="auto"/>
            <w:vAlign w:val="bottom"/>
          </w:tcPr>
          <w:p w14:paraId="07DCD956" w14:textId="77777777" w:rsidR="00AE727E" w:rsidRDefault="00AE727E">
            <w:pPr>
              <w:rPr>
                <w:rFonts w:ascii="宋体"/>
                <w:vanish/>
              </w:rPr>
            </w:pPr>
          </w:p>
        </w:tc>
        <w:tc>
          <w:tcPr>
            <w:tcW w:w="0" w:type="auto"/>
            <w:gridSpan w:val="3"/>
            <w:shd w:val="clear" w:color="auto" w:fill="auto"/>
            <w:vAlign w:val="bottom"/>
          </w:tcPr>
          <w:p w14:paraId="07DCD957" w14:textId="77777777" w:rsidR="00AE727E" w:rsidRDefault="00AE727E">
            <w:pPr>
              <w:rPr>
                <w:rFonts w:ascii="宋体"/>
                <w:vanish/>
              </w:rPr>
            </w:pPr>
          </w:p>
        </w:tc>
      </w:tr>
      <w:tr w:rsidR="00AE727E" w14:paraId="07DCD95F" w14:textId="77777777">
        <w:trPr>
          <w:jc w:val="center"/>
        </w:trPr>
        <w:tc>
          <w:tcPr>
            <w:tcW w:w="0" w:type="auto"/>
            <w:gridSpan w:val="3"/>
            <w:shd w:val="clear" w:color="auto" w:fill="CCEEFF"/>
            <w:tcMar>
              <w:top w:w="40" w:type="dxa"/>
              <w:left w:w="155" w:type="dxa"/>
              <w:bottom w:w="40" w:type="dxa"/>
              <w:right w:w="20" w:type="dxa"/>
            </w:tcMar>
            <w:vAlign w:val="bottom"/>
          </w:tcPr>
          <w:p w14:paraId="07DCD959" w14:textId="77777777" w:rsidR="00AE727E" w:rsidRDefault="008433E0">
            <w:pPr>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CCEEFF"/>
            <w:tcMar>
              <w:top w:w="40" w:type="dxa"/>
              <w:left w:w="20" w:type="dxa"/>
              <w:bottom w:w="40" w:type="dxa"/>
              <w:right w:w="0" w:type="dxa"/>
            </w:tcMar>
            <w:vAlign w:val="bottom"/>
          </w:tcPr>
          <w:p w14:paraId="07DCD95A" w14:textId="77777777" w:rsidR="00AE727E" w:rsidRDefault="008433E0">
            <w:pPr>
              <w:jc w:val="right"/>
              <w:textAlignment w:val="bottom"/>
            </w:pPr>
            <w:r>
              <w:rPr>
                <w:rFonts w:ascii="Times New Roman" w:eastAsia="宋体" w:hAnsi="Times New Roman"/>
                <w:color w:val="000000"/>
                <w:sz w:val="20"/>
                <w:szCs w:val="20"/>
              </w:rPr>
              <w:t>326 </w:t>
            </w:r>
          </w:p>
        </w:tc>
        <w:tc>
          <w:tcPr>
            <w:tcW w:w="0" w:type="auto"/>
            <w:shd w:val="clear" w:color="auto" w:fill="CCEEFF"/>
            <w:tcMar>
              <w:top w:w="40" w:type="dxa"/>
              <w:left w:w="0" w:type="dxa"/>
              <w:bottom w:w="40" w:type="dxa"/>
              <w:right w:w="20" w:type="dxa"/>
            </w:tcMar>
            <w:vAlign w:val="bottom"/>
          </w:tcPr>
          <w:p w14:paraId="07DCD95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5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5D" w14:textId="77777777" w:rsidR="00AE727E" w:rsidRDefault="008433E0">
            <w:pPr>
              <w:jc w:val="right"/>
              <w:textAlignment w:val="bottom"/>
            </w:pPr>
            <w:r>
              <w:rPr>
                <w:rFonts w:ascii="Times New Roman" w:eastAsia="宋体" w:hAnsi="Times New Roman"/>
                <w:color w:val="000000"/>
                <w:sz w:val="20"/>
                <w:szCs w:val="20"/>
              </w:rPr>
              <w:t>389 </w:t>
            </w:r>
          </w:p>
        </w:tc>
        <w:tc>
          <w:tcPr>
            <w:tcW w:w="0" w:type="auto"/>
            <w:shd w:val="clear" w:color="auto" w:fill="CCEEFF"/>
            <w:tcMar>
              <w:top w:w="40" w:type="dxa"/>
              <w:left w:w="0" w:type="dxa"/>
              <w:bottom w:w="40" w:type="dxa"/>
              <w:right w:w="20" w:type="dxa"/>
            </w:tcMar>
            <w:vAlign w:val="bottom"/>
          </w:tcPr>
          <w:p w14:paraId="07DCD95E" w14:textId="77777777" w:rsidR="00AE727E" w:rsidRDefault="00AE727E">
            <w:pPr>
              <w:jc w:val="right"/>
              <w:rPr>
                <w:rFonts w:ascii="宋体"/>
              </w:rPr>
            </w:pPr>
          </w:p>
        </w:tc>
      </w:tr>
      <w:tr w:rsidR="00AE727E" w14:paraId="07DCD966" w14:textId="77777777">
        <w:trPr>
          <w:jc w:val="center"/>
        </w:trPr>
        <w:tc>
          <w:tcPr>
            <w:tcW w:w="0" w:type="auto"/>
            <w:gridSpan w:val="3"/>
            <w:shd w:val="clear" w:color="auto" w:fill="FFFFFF"/>
            <w:tcMar>
              <w:top w:w="40" w:type="dxa"/>
              <w:left w:w="155" w:type="dxa"/>
              <w:bottom w:w="40" w:type="dxa"/>
              <w:right w:w="20" w:type="dxa"/>
            </w:tcMar>
            <w:vAlign w:val="bottom"/>
          </w:tcPr>
          <w:p w14:paraId="07DCD960" w14:textId="77777777" w:rsidR="00AE727E" w:rsidRDefault="008433E0">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FFFFFF"/>
            <w:tcMar>
              <w:top w:w="40" w:type="dxa"/>
              <w:left w:w="20" w:type="dxa"/>
              <w:bottom w:w="40" w:type="dxa"/>
              <w:right w:w="0" w:type="dxa"/>
            </w:tcMar>
            <w:vAlign w:val="bottom"/>
          </w:tcPr>
          <w:p w14:paraId="07DCD961" w14:textId="77777777" w:rsidR="00AE727E" w:rsidRDefault="008433E0">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07DCD96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6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64" w14:textId="77777777" w:rsidR="00AE727E" w:rsidRDefault="008433E0">
            <w:pPr>
              <w:jc w:val="right"/>
              <w:textAlignment w:val="bottom"/>
            </w:pPr>
            <w:r>
              <w:rPr>
                <w:rFonts w:ascii="Times New Roman" w:eastAsia="宋体" w:hAnsi="Times New Roman"/>
                <w:color w:val="000000"/>
                <w:sz w:val="20"/>
                <w:szCs w:val="20"/>
              </w:rPr>
              <w:t>(240)</w:t>
            </w:r>
          </w:p>
        </w:tc>
        <w:tc>
          <w:tcPr>
            <w:tcW w:w="0" w:type="auto"/>
            <w:shd w:val="clear" w:color="auto" w:fill="FFFFFF"/>
            <w:tcMar>
              <w:top w:w="40" w:type="dxa"/>
              <w:left w:w="0" w:type="dxa"/>
              <w:bottom w:w="40" w:type="dxa"/>
              <w:right w:w="20" w:type="dxa"/>
            </w:tcMar>
            <w:vAlign w:val="bottom"/>
          </w:tcPr>
          <w:p w14:paraId="07DCD965" w14:textId="77777777" w:rsidR="00AE727E" w:rsidRDefault="00AE727E">
            <w:pPr>
              <w:jc w:val="right"/>
              <w:rPr>
                <w:rFonts w:ascii="宋体"/>
              </w:rPr>
            </w:pPr>
          </w:p>
        </w:tc>
      </w:tr>
      <w:tr w:rsidR="00AE727E" w14:paraId="07DCD96D" w14:textId="77777777">
        <w:trPr>
          <w:jc w:val="center"/>
        </w:trPr>
        <w:tc>
          <w:tcPr>
            <w:tcW w:w="0" w:type="auto"/>
            <w:gridSpan w:val="3"/>
            <w:shd w:val="clear" w:color="auto" w:fill="CCEEFF"/>
            <w:tcMar>
              <w:top w:w="40" w:type="dxa"/>
              <w:left w:w="155" w:type="dxa"/>
              <w:bottom w:w="40" w:type="dxa"/>
              <w:right w:w="20" w:type="dxa"/>
            </w:tcMar>
            <w:vAlign w:val="bottom"/>
          </w:tcPr>
          <w:p w14:paraId="07DCD967" w14:textId="77777777" w:rsidR="00AE727E" w:rsidRDefault="008433E0">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CCEEFF"/>
            <w:tcMar>
              <w:top w:w="40" w:type="dxa"/>
              <w:left w:w="20" w:type="dxa"/>
              <w:bottom w:w="40" w:type="dxa"/>
              <w:right w:w="0" w:type="dxa"/>
            </w:tcMar>
            <w:vAlign w:val="bottom"/>
          </w:tcPr>
          <w:p w14:paraId="07DCD968" w14:textId="77777777" w:rsidR="00AE727E" w:rsidRDefault="008433E0">
            <w:pPr>
              <w:jc w:val="right"/>
              <w:textAlignment w:val="bottom"/>
            </w:pPr>
            <w:r>
              <w:rPr>
                <w:rFonts w:ascii="Times New Roman" w:eastAsia="宋体" w:hAnsi="Times New Roman"/>
                <w:color w:val="000000"/>
                <w:sz w:val="20"/>
                <w:szCs w:val="20"/>
              </w:rPr>
              <w:t>(1,174)</w:t>
            </w:r>
          </w:p>
        </w:tc>
        <w:tc>
          <w:tcPr>
            <w:tcW w:w="0" w:type="auto"/>
            <w:shd w:val="clear" w:color="auto" w:fill="CCEEFF"/>
            <w:tcMar>
              <w:top w:w="40" w:type="dxa"/>
              <w:left w:w="0" w:type="dxa"/>
              <w:bottom w:w="40" w:type="dxa"/>
              <w:right w:w="20" w:type="dxa"/>
            </w:tcMar>
            <w:vAlign w:val="bottom"/>
          </w:tcPr>
          <w:p w14:paraId="07DCD96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6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6B" w14:textId="77777777" w:rsidR="00AE727E" w:rsidRDefault="008433E0">
            <w:pPr>
              <w:jc w:val="right"/>
              <w:textAlignment w:val="bottom"/>
            </w:pPr>
            <w:r>
              <w:rPr>
                <w:rFonts w:ascii="Times New Roman" w:eastAsia="宋体" w:hAnsi="Times New Roman"/>
                <w:color w:val="000000"/>
                <w:sz w:val="20"/>
                <w:szCs w:val="20"/>
              </w:rPr>
              <w:t>(890)</w:t>
            </w:r>
          </w:p>
        </w:tc>
        <w:tc>
          <w:tcPr>
            <w:tcW w:w="0" w:type="auto"/>
            <w:shd w:val="clear" w:color="auto" w:fill="CCEEFF"/>
            <w:tcMar>
              <w:top w:w="40" w:type="dxa"/>
              <w:left w:w="0" w:type="dxa"/>
              <w:bottom w:w="40" w:type="dxa"/>
              <w:right w:w="20" w:type="dxa"/>
            </w:tcMar>
            <w:vAlign w:val="bottom"/>
          </w:tcPr>
          <w:p w14:paraId="07DCD96C" w14:textId="77777777" w:rsidR="00AE727E" w:rsidRDefault="00AE727E">
            <w:pPr>
              <w:jc w:val="right"/>
              <w:rPr>
                <w:rFonts w:ascii="宋体"/>
              </w:rPr>
            </w:pPr>
          </w:p>
        </w:tc>
      </w:tr>
      <w:tr w:rsidR="00AE727E" w14:paraId="07DCD974" w14:textId="77777777">
        <w:trPr>
          <w:jc w:val="center"/>
        </w:trPr>
        <w:tc>
          <w:tcPr>
            <w:tcW w:w="0" w:type="auto"/>
            <w:gridSpan w:val="3"/>
            <w:shd w:val="clear" w:color="auto" w:fill="FFFFFF"/>
            <w:tcMar>
              <w:top w:w="40" w:type="dxa"/>
              <w:left w:w="155" w:type="dxa"/>
              <w:bottom w:w="40" w:type="dxa"/>
              <w:right w:w="20" w:type="dxa"/>
            </w:tcMar>
            <w:vAlign w:val="bottom"/>
          </w:tcPr>
          <w:p w14:paraId="07DCD96E" w14:textId="77777777" w:rsidR="00AE727E" w:rsidRDefault="008433E0">
            <w:pPr>
              <w:textAlignment w:val="bottom"/>
            </w:pPr>
            <w:r>
              <w:rPr>
                <w:rFonts w:ascii="Times New Roman" w:eastAsia="宋体" w:hAnsi="Times New Roman"/>
                <w:color w:val="000000"/>
                <w:sz w:val="20"/>
                <w:szCs w:val="20"/>
              </w:rPr>
              <w:t>Proceeds from debt</w:t>
            </w:r>
          </w:p>
        </w:tc>
        <w:tc>
          <w:tcPr>
            <w:tcW w:w="0" w:type="auto"/>
            <w:gridSpan w:val="2"/>
            <w:shd w:val="clear" w:color="auto" w:fill="FFFFFF"/>
            <w:tcMar>
              <w:top w:w="40" w:type="dxa"/>
              <w:left w:w="20" w:type="dxa"/>
              <w:bottom w:w="40" w:type="dxa"/>
              <w:right w:w="0" w:type="dxa"/>
            </w:tcMar>
            <w:vAlign w:val="bottom"/>
          </w:tcPr>
          <w:p w14:paraId="07DCD96F" w14:textId="77777777" w:rsidR="00AE727E" w:rsidRDefault="008433E0">
            <w:pPr>
              <w:jc w:val="right"/>
              <w:textAlignment w:val="bottom"/>
            </w:pPr>
            <w:r>
              <w:rPr>
                <w:rFonts w:ascii="Times New Roman" w:eastAsia="宋体" w:hAnsi="Times New Roman"/>
                <w:color w:val="000000"/>
                <w:sz w:val="20"/>
                <w:szCs w:val="20"/>
              </w:rPr>
              <w:t>13,037 </w:t>
            </w:r>
          </w:p>
        </w:tc>
        <w:tc>
          <w:tcPr>
            <w:tcW w:w="0" w:type="auto"/>
            <w:shd w:val="clear" w:color="auto" w:fill="FFFFFF"/>
            <w:tcMar>
              <w:top w:w="40" w:type="dxa"/>
              <w:left w:w="0" w:type="dxa"/>
              <w:bottom w:w="40" w:type="dxa"/>
              <w:right w:w="20" w:type="dxa"/>
            </w:tcMar>
            <w:vAlign w:val="bottom"/>
          </w:tcPr>
          <w:p w14:paraId="07DCD9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7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72" w14:textId="77777777" w:rsidR="00AE727E" w:rsidRDefault="008433E0">
            <w:pPr>
              <w:jc w:val="right"/>
              <w:textAlignment w:val="bottom"/>
            </w:pPr>
            <w:r>
              <w:rPr>
                <w:rFonts w:ascii="Times New Roman" w:eastAsia="宋体" w:hAnsi="Times New Roman"/>
                <w:color w:val="000000"/>
                <w:sz w:val="20"/>
                <w:szCs w:val="20"/>
              </w:rPr>
              <w:t>14,772 </w:t>
            </w:r>
          </w:p>
        </w:tc>
        <w:tc>
          <w:tcPr>
            <w:tcW w:w="0" w:type="auto"/>
            <w:shd w:val="clear" w:color="auto" w:fill="FFFFFF"/>
            <w:tcMar>
              <w:top w:w="40" w:type="dxa"/>
              <w:left w:w="0" w:type="dxa"/>
              <w:bottom w:w="40" w:type="dxa"/>
              <w:right w:w="20" w:type="dxa"/>
            </w:tcMar>
            <w:vAlign w:val="bottom"/>
          </w:tcPr>
          <w:p w14:paraId="07DCD973" w14:textId="77777777" w:rsidR="00AE727E" w:rsidRDefault="00AE727E">
            <w:pPr>
              <w:jc w:val="right"/>
              <w:rPr>
                <w:rFonts w:ascii="宋体"/>
              </w:rPr>
            </w:pPr>
          </w:p>
        </w:tc>
      </w:tr>
      <w:tr w:rsidR="00AE727E" w14:paraId="07DCD97B" w14:textId="77777777">
        <w:trPr>
          <w:jc w:val="center"/>
        </w:trPr>
        <w:tc>
          <w:tcPr>
            <w:tcW w:w="0" w:type="auto"/>
            <w:gridSpan w:val="3"/>
            <w:shd w:val="clear" w:color="auto" w:fill="CCEEFF"/>
            <w:tcMar>
              <w:top w:w="40" w:type="dxa"/>
              <w:left w:w="155" w:type="dxa"/>
              <w:bottom w:w="40" w:type="dxa"/>
              <w:right w:w="20" w:type="dxa"/>
            </w:tcMar>
            <w:vAlign w:val="bottom"/>
          </w:tcPr>
          <w:p w14:paraId="07DCD975" w14:textId="77777777" w:rsidR="00AE727E" w:rsidRDefault="008433E0">
            <w:pPr>
              <w:textAlignment w:val="bottom"/>
            </w:pPr>
            <w:r>
              <w:rPr>
                <w:rFonts w:ascii="Times New Roman" w:eastAsia="宋体" w:hAnsi="Times New Roman"/>
                <w:color w:val="000000"/>
                <w:sz w:val="20"/>
                <w:szCs w:val="20"/>
              </w:rPr>
              <w:t>Repayments of debt</w:t>
            </w:r>
          </w:p>
        </w:tc>
        <w:tc>
          <w:tcPr>
            <w:tcW w:w="0" w:type="auto"/>
            <w:gridSpan w:val="2"/>
            <w:shd w:val="clear" w:color="auto" w:fill="CCEEFF"/>
            <w:tcMar>
              <w:top w:w="40" w:type="dxa"/>
              <w:left w:w="20" w:type="dxa"/>
              <w:bottom w:w="40" w:type="dxa"/>
              <w:right w:w="0" w:type="dxa"/>
            </w:tcMar>
            <w:vAlign w:val="bottom"/>
          </w:tcPr>
          <w:p w14:paraId="07DCD976" w14:textId="77777777" w:rsidR="00AE727E" w:rsidRDefault="008433E0">
            <w:pPr>
              <w:jc w:val="right"/>
              <w:textAlignment w:val="bottom"/>
            </w:pPr>
            <w:r>
              <w:rPr>
                <w:rFonts w:ascii="Times New Roman" w:eastAsia="宋体" w:hAnsi="Times New Roman"/>
                <w:color w:val="000000"/>
                <w:sz w:val="20"/>
                <w:szCs w:val="20"/>
              </w:rPr>
              <w:t>(13,069)</w:t>
            </w:r>
          </w:p>
        </w:tc>
        <w:tc>
          <w:tcPr>
            <w:tcW w:w="0" w:type="auto"/>
            <w:shd w:val="clear" w:color="auto" w:fill="CCEEFF"/>
            <w:tcMar>
              <w:top w:w="40" w:type="dxa"/>
              <w:left w:w="0" w:type="dxa"/>
              <w:bottom w:w="40" w:type="dxa"/>
              <w:right w:w="20" w:type="dxa"/>
            </w:tcMar>
            <w:vAlign w:val="bottom"/>
          </w:tcPr>
          <w:p w14:paraId="07DCD97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7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979" w14:textId="77777777" w:rsidR="00AE727E" w:rsidRDefault="008433E0">
            <w:pPr>
              <w:jc w:val="right"/>
              <w:textAlignment w:val="bottom"/>
            </w:pPr>
            <w:r>
              <w:rPr>
                <w:rFonts w:ascii="Times New Roman" w:eastAsia="宋体" w:hAnsi="Times New Roman"/>
                <w:color w:val="000000"/>
                <w:sz w:val="20"/>
                <w:szCs w:val="20"/>
              </w:rPr>
              <w:t>(17,244)</w:t>
            </w:r>
          </w:p>
        </w:tc>
        <w:tc>
          <w:tcPr>
            <w:tcW w:w="0" w:type="auto"/>
            <w:shd w:val="clear" w:color="auto" w:fill="CCEEFF"/>
            <w:tcMar>
              <w:top w:w="40" w:type="dxa"/>
              <w:left w:w="0" w:type="dxa"/>
              <w:bottom w:w="40" w:type="dxa"/>
              <w:right w:w="20" w:type="dxa"/>
            </w:tcMar>
            <w:vAlign w:val="bottom"/>
          </w:tcPr>
          <w:p w14:paraId="07DCD97A" w14:textId="77777777" w:rsidR="00AE727E" w:rsidRDefault="00AE727E">
            <w:pPr>
              <w:jc w:val="right"/>
              <w:rPr>
                <w:rFonts w:ascii="宋体"/>
              </w:rPr>
            </w:pPr>
          </w:p>
        </w:tc>
      </w:tr>
      <w:tr w:rsidR="00AE727E" w14:paraId="07DCD982" w14:textId="77777777">
        <w:trPr>
          <w:jc w:val="center"/>
        </w:trPr>
        <w:tc>
          <w:tcPr>
            <w:tcW w:w="0" w:type="auto"/>
            <w:gridSpan w:val="3"/>
            <w:shd w:val="clear" w:color="auto" w:fill="FFFFFF"/>
            <w:tcMar>
              <w:top w:w="40" w:type="dxa"/>
              <w:left w:w="155" w:type="dxa"/>
              <w:bottom w:w="40" w:type="dxa"/>
              <w:right w:w="20" w:type="dxa"/>
            </w:tcMar>
            <w:vAlign w:val="bottom"/>
          </w:tcPr>
          <w:p w14:paraId="07DCD97C"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CD97D" w14:textId="77777777" w:rsidR="00AE727E" w:rsidRDefault="008433E0">
            <w:pPr>
              <w:jc w:val="right"/>
              <w:textAlignment w:val="bottom"/>
            </w:pPr>
            <w:r>
              <w:rPr>
                <w:rFonts w:ascii="Times New Roman" w:eastAsia="宋体" w:hAnsi="Times New Roman"/>
                <w:color w:val="000000"/>
                <w:sz w:val="20"/>
                <w:szCs w:val="20"/>
              </w:rPr>
              <w:t>(113)</w:t>
            </w:r>
          </w:p>
        </w:tc>
        <w:tc>
          <w:tcPr>
            <w:tcW w:w="0" w:type="auto"/>
            <w:shd w:val="clear" w:color="auto" w:fill="FFFFFF"/>
            <w:tcMar>
              <w:top w:w="40" w:type="dxa"/>
              <w:left w:w="0" w:type="dxa"/>
              <w:bottom w:w="40" w:type="dxa"/>
              <w:right w:w="20" w:type="dxa"/>
            </w:tcMar>
            <w:vAlign w:val="bottom"/>
          </w:tcPr>
          <w:p w14:paraId="07DCD97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7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80" w14:textId="77777777" w:rsidR="00AE727E" w:rsidRDefault="008433E0">
            <w:pPr>
              <w:jc w:val="right"/>
              <w:textAlignment w:val="bottom"/>
            </w:pPr>
            <w:r>
              <w:rPr>
                <w:rFonts w:ascii="Times New Roman" w:eastAsia="宋体" w:hAnsi="Times New Roman"/>
                <w:color w:val="000000"/>
                <w:sz w:val="20"/>
                <w:szCs w:val="20"/>
              </w:rPr>
              <w:t>(270)</w:t>
            </w:r>
          </w:p>
        </w:tc>
        <w:tc>
          <w:tcPr>
            <w:tcW w:w="0" w:type="auto"/>
            <w:shd w:val="clear" w:color="auto" w:fill="FFFFFF"/>
            <w:tcMar>
              <w:top w:w="40" w:type="dxa"/>
              <w:left w:w="0" w:type="dxa"/>
              <w:bottom w:w="40" w:type="dxa"/>
              <w:right w:w="20" w:type="dxa"/>
            </w:tcMar>
            <w:vAlign w:val="bottom"/>
          </w:tcPr>
          <w:p w14:paraId="07DCD981" w14:textId="77777777" w:rsidR="00AE727E" w:rsidRDefault="00AE727E">
            <w:pPr>
              <w:jc w:val="right"/>
              <w:rPr>
                <w:rFonts w:ascii="宋体"/>
              </w:rPr>
            </w:pPr>
          </w:p>
        </w:tc>
      </w:tr>
      <w:tr w:rsidR="00AE727E" w14:paraId="07DCD989" w14:textId="77777777">
        <w:trPr>
          <w:jc w:val="center"/>
        </w:trPr>
        <w:tc>
          <w:tcPr>
            <w:tcW w:w="0" w:type="auto"/>
            <w:gridSpan w:val="3"/>
            <w:shd w:val="clear" w:color="auto" w:fill="CCEEFF"/>
            <w:tcMar>
              <w:top w:w="40" w:type="dxa"/>
              <w:left w:w="725" w:type="dxa"/>
              <w:bottom w:w="40" w:type="dxa"/>
              <w:right w:w="20" w:type="dxa"/>
            </w:tcMar>
            <w:vAlign w:val="bottom"/>
          </w:tcPr>
          <w:p w14:paraId="07DCD983" w14:textId="77777777" w:rsidR="00AE727E" w:rsidRDefault="008433E0">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84" w14:textId="77777777" w:rsidR="00AE727E" w:rsidRDefault="008433E0">
            <w:pPr>
              <w:jc w:val="right"/>
              <w:textAlignment w:val="bottom"/>
            </w:pPr>
            <w:r>
              <w:rPr>
                <w:rFonts w:ascii="Times New Roman" w:eastAsia="宋体" w:hAnsi="Times New Roman"/>
                <w:color w:val="000000"/>
                <w:sz w:val="20"/>
                <w:szCs w:val="20"/>
              </w:rPr>
              <w:t>(1,028)</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8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87" w14:textId="77777777" w:rsidR="00AE727E" w:rsidRDefault="008433E0">
            <w:pPr>
              <w:jc w:val="right"/>
              <w:textAlignment w:val="bottom"/>
            </w:pPr>
            <w:r>
              <w:rPr>
                <w:rFonts w:ascii="Times New Roman" w:eastAsia="宋体" w:hAnsi="Times New Roman"/>
                <w:color w:val="000000"/>
                <w:sz w:val="20"/>
                <w:szCs w:val="20"/>
              </w:rPr>
              <w:t>(3,483)</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88" w14:textId="77777777" w:rsidR="00AE727E" w:rsidRDefault="00AE727E">
            <w:pPr>
              <w:jc w:val="right"/>
              <w:rPr>
                <w:rFonts w:ascii="宋体"/>
              </w:rPr>
            </w:pPr>
          </w:p>
        </w:tc>
      </w:tr>
      <w:tr w:rsidR="00AE727E" w14:paraId="07DCD990" w14:textId="77777777">
        <w:trPr>
          <w:jc w:val="center"/>
        </w:trPr>
        <w:tc>
          <w:tcPr>
            <w:tcW w:w="0" w:type="auto"/>
            <w:gridSpan w:val="3"/>
            <w:shd w:val="clear" w:color="auto" w:fill="FFFFFF"/>
            <w:tcMar>
              <w:top w:w="40" w:type="dxa"/>
              <w:left w:w="20" w:type="dxa"/>
              <w:bottom w:w="40" w:type="dxa"/>
              <w:right w:w="20" w:type="dxa"/>
            </w:tcMar>
            <w:vAlign w:val="bottom"/>
          </w:tcPr>
          <w:p w14:paraId="07DCD98A" w14:textId="77777777" w:rsidR="00AE727E" w:rsidRDefault="008433E0">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98B" w14:textId="77777777" w:rsidR="00AE727E" w:rsidRDefault="008433E0">
            <w:pPr>
              <w:jc w:val="right"/>
              <w:textAlignment w:val="bottom"/>
            </w:pPr>
            <w:r>
              <w:rPr>
                <w:rFonts w:ascii="Times New Roman" w:eastAsia="宋体" w:hAnsi="Times New Roman"/>
                <w:color w:val="000000"/>
                <w:sz w:val="20"/>
                <w:szCs w:val="20"/>
              </w:rPr>
              <w:t>(54)</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98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8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D98E" w14:textId="77777777" w:rsidR="00AE727E" w:rsidRDefault="008433E0">
            <w:pPr>
              <w:jc w:val="right"/>
              <w:textAlignment w:val="bottom"/>
            </w:pPr>
            <w:r>
              <w:rPr>
                <w:rFonts w:ascii="Times New Roman" w:eastAsia="宋体" w:hAnsi="Times New Roman"/>
                <w:color w:val="000000"/>
                <w:sz w:val="20"/>
                <w:szCs w:val="20"/>
              </w:rPr>
              <w:t>(67)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D98F" w14:textId="77777777" w:rsidR="00AE727E" w:rsidRDefault="00AE727E">
            <w:pPr>
              <w:jc w:val="right"/>
              <w:rPr>
                <w:rFonts w:ascii="宋体"/>
              </w:rPr>
            </w:pPr>
          </w:p>
        </w:tc>
      </w:tr>
      <w:tr w:rsidR="00AE727E" w14:paraId="07DCD997" w14:textId="77777777">
        <w:trPr>
          <w:jc w:val="center"/>
        </w:trPr>
        <w:tc>
          <w:tcPr>
            <w:tcW w:w="0" w:type="auto"/>
            <w:gridSpan w:val="3"/>
            <w:shd w:val="clear" w:color="auto" w:fill="CCEEFF"/>
            <w:tcMar>
              <w:top w:w="40" w:type="dxa"/>
              <w:left w:w="20" w:type="dxa"/>
              <w:bottom w:w="40" w:type="dxa"/>
              <w:right w:w="20" w:type="dxa"/>
            </w:tcMar>
            <w:vAlign w:val="bottom"/>
          </w:tcPr>
          <w:p w14:paraId="07DCD991" w14:textId="77777777" w:rsidR="00AE727E" w:rsidRDefault="008433E0">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92" w14:textId="77777777" w:rsidR="00AE727E" w:rsidRDefault="008433E0">
            <w:pPr>
              <w:jc w:val="right"/>
              <w:textAlignment w:val="bottom"/>
            </w:pPr>
            <w:r>
              <w:rPr>
                <w:rFonts w:ascii="Times New Roman" w:eastAsia="宋体" w:hAnsi="Times New Roman"/>
                <w:color w:val="000000"/>
                <w:sz w:val="20"/>
                <w:szCs w:val="20"/>
              </w:rPr>
              <w:t>8,185 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94"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995" w14:textId="77777777" w:rsidR="00AE727E" w:rsidRDefault="008433E0">
            <w:pPr>
              <w:jc w:val="right"/>
              <w:textAlignment w:val="bottom"/>
            </w:pPr>
            <w:r>
              <w:rPr>
                <w:rFonts w:ascii="Times New Roman" w:eastAsia="宋体" w:hAnsi="Times New Roman"/>
                <w:color w:val="000000"/>
                <w:sz w:val="20"/>
                <w:szCs w:val="20"/>
              </w:rPr>
              <w:t>2,006 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996" w14:textId="77777777" w:rsidR="00AE727E" w:rsidRDefault="00AE727E">
            <w:pPr>
              <w:jc w:val="right"/>
              <w:rPr>
                <w:rFonts w:ascii="宋体"/>
              </w:rPr>
            </w:pPr>
          </w:p>
        </w:tc>
      </w:tr>
      <w:tr w:rsidR="00AE727E" w14:paraId="07DCD99E" w14:textId="77777777">
        <w:trPr>
          <w:jc w:val="center"/>
        </w:trPr>
        <w:tc>
          <w:tcPr>
            <w:tcW w:w="0" w:type="auto"/>
            <w:gridSpan w:val="3"/>
            <w:shd w:val="clear" w:color="auto" w:fill="FFFFFF"/>
            <w:tcMar>
              <w:top w:w="40" w:type="dxa"/>
              <w:left w:w="20" w:type="dxa"/>
              <w:bottom w:w="40" w:type="dxa"/>
              <w:right w:w="20" w:type="dxa"/>
            </w:tcMar>
            <w:vAlign w:val="bottom"/>
          </w:tcPr>
          <w:p w14:paraId="07DCD998" w14:textId="77777777" w:rsidR="00AE727E" w:rsidRDefault="008433E0">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07DCD999" w14:textId="77777777" w:rsidR="00AE727E" w:rsidRDefault="008433E0">
            <w:pPr>
              <w:jc w:val="right"/>
              <w:textAlignment w:val="bottom"/>
            </w:pPr>
            <w:r>
              <w:rPr>
                <w:rFonts w:ascii="Times New Roman" w:eastAsia="宋体" w:hAnsi="Times New Roman"/>
                <w:color w:val="000000"/>
                <w:sz w:val="20"/>
                <w:szCs w:val="20"/>
              </w:rPr>
              <w:t>15,184 </w:t>
            </w:r>
          </w:p>
        </w:tc>
        <w:tc>
          <w:tcPr>
            <w:tcW w:w="0" w:type="auto"/>
            <w:shd w:val="clear" w:color="auto" w:fill="FFFFFF"/>
            <w:tcMar>
              <w:top w:w="40" w:type="dxa"/>
              <w:left w:w="0" w:type="dxa"/>
              <w:bottom w:w="40" w:type="dxa"/>
              <w:right w:w="20" w:type="dxa"/>
            </w:tcMar>
            <w:vAlign w:val="bottom"/>
          </w:tcPr>
          <w:p w14:paraId="07DCD99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99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99C" w14:textId="77777777" w:rsidR="00AE727E" w:rsidRDefault="008433E0">
            <w:pPr>
              <w:jc w:val="right"/>
              <w:textAlignment w:val="bottom"/>
            </w:pPr>
            <w:r>
              <w:rPr>
                <w:rFonts w:ascii="Times New Roman" w:eastAsia="宋体" w:hAnsi="Times New Roman"/>
                <w:color w:val="000000"/>
                <w:sz w:val="20"/>
                <w:szCs w:val="20"/>
              </w:rPr>
              <w:t>10,151 </w:t>
            </w:r>
          </w:p>
        </w:tc>
        <w:tc>
          <w:tcPr>
            <w:tcW w:w="0" w:type="auto"/>
            <w:shd w:val="clear" w:color="auto" w:fill="FFFFFF"/>
            <w:tcMar>
              <w:top w:w="40" w:type="dxa"/>
              <w:left w:w="0" w:type="dxa"/>
              <w:bottom w:w="40" w:type="dxa"/>
              <w:right w:w="20" w:type="dxa"/>
            </w:tcMar>
            <w:vAlign w:val="bottom"/>
          </w:tcPr>
          <w:p w14:paraId="07DCD99D" w14:textId="77777777" w:rsidR="00AE727E" w:rsidRDefault="00AE727E">
            <w:pPr>
              <w:jc w:val="right"/>
              <w:rPr>
                <w:rFonts w:ascii="宋体"/>
              </w:rPr>
            </w:pPr>
          </w:p>
        </w:tc>
      </w:tr>
      <w:tr w:rsidR="00AE727E" w14:paraId="07DCD9A7" w14:textId="77777777">
        <w:trPr>
          <w:jc w:val="center"/>
        </w:trPr>
        <w:tc>
          <w:tcPr>
            <w:tcW w:w="0" w:type="auto"/>
            <w:gridSpan w:val="3"/>
            <w:shd w:val="clear" w:color="auto" w:fill="CCEEFF"/>
            <w:tcMar>
              <w:top w:w="40" w:type="dxa"/>
              <w:left w:w="20" w:type="dxa"/>
              <w:bottom w:w="40" w:type="dxa"/>
              <w:right w:w="20" w:type="dxa"/>
            </w:tcMar>
            <w:vAlign w:val="bottom"/>
          </w:tcPr>
          <w:p w14:paraId="07DCD99F" w14:textId="77777777" w:rsidR="00AE727E" w:rsidRDefault="008433E0">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9A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9A1" w14:textId="77777777" w:rsidR="00AE727E" w:rsidRDefault="008433E0">
            <w:pPr>
              <w:jc w:val="right"/>
              <w:textAlignment w:val="bottom"/>
            </w:pPr>
            <w:r>
              <w:rPr>
                <w:rFonts w:ascii="Times New Roman" w:eastAsia="宋体" w:hAnsi="Times New Roman"/>
                <w:color w:val="000000"/>
                <w:sz w:val="20"/>
                <w:szCs w:val="20"/>
              </w:rPr>
              <w:t>23,369 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9A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9A3"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9A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9A5" w14:textId="77777777" w:rsidR="00AE727E" w:rsidRDefault="008433E0">
            <w:pPr>
              <w:jc w:val="right"/>
              <w:textAlignment w:val="bottom"/>
            </w:pPr>
            <w:r>
              <w:rPr>
                <w:rFonts w:ascii="Times New Roman" w:eastAsia="宋体" w:hAnsi="Times New Roman"/>
                <w:color w:val="000000"/>
                <w:sz w:val="20"/>
                <w:szCs w:val="20"/>
              </w:rPr>
              <w:t>12,157 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9A6" w14:textId="77777777" w:rsidR="00AE727E" w:rsidRDefault="00AE727E">
            <w:pPr>
              <w:jc w:val="right"/>
              <w:rPr>
                <w:rFonts w:ascii="宋体"/>
              </w:rPr>
            </w:pPr>
          </w:p>
        </w:tc>
      </w:tr>
    </w:tbl>
    <w:p w14:paraId="07DCD9A8" w14:textId="77777777" w:rsidR="00AE727E" w:rsidRDefault="008433E0">
      <w:r>
        <w:rPr>
          <w:rFonts w:ascii="Times New Roman" w:eastAsia="宋体" w:hAnsi="Times New Roman"/>
          <w:color w:val="000000"/>
          <w:sz w:val="20"/>
          <w:szCs w:val="20"/>
        </w:rPr>
        <w:t>____________________</w:t>
      </w:r>
    </w:p>
    <w:p w14:paraId="07DCD9A9" w14:textId="77777777" w:rsidR="00AE727E" w:rsidRDefault="008433E0">
      <w:pPr>
        <w:ind w:hanging="360"/>
      </w:pPr>
      <w:r>
        <w:rPr>
          <w:rFonts w:ascii="Times New Roman" w:eastAsia="宋体" w:hAnsi="Times New Roman"/>
          <w:color w:val="000000"/>
          <w:sz w:val="20"/>
          <w:szCs w:val="20"/>
        </w:rPr>
        <w:t xml:space="preserve">(a)During the nine months ended October 29, 2021, other, net, includes $4.0 billion pre-tax gain on the sale of Boomi. </w:t>
      </w:r>
    </w:p>
    <w:p w14:paraId="07DCD9AA" w14:textId="77777777" w:rsidR="00AE727E" w:rsidRDefault="00AE727E">
      <w:pPr>
        <w:spacing w:after="60"/>
      </w:pPr>
    </w:p>
    <w:p w14:paraId="07DCD9AB" w14:textId="77777777" w:rsidR="00AE727E" w:rsidRDefault="008433E0">
      <w:pPr>
        <w:jc w:val="center"/>
      </w:pPr>
      <w:r>
        <w:rPr>
          <w:rFonts w:ascii="Times New Roman" w:eastAsia="宋体" w:hAnsi="Times New Roman"/>
          <w:color w:val="000000"/>
          <w:sz w:val="20"/>
          <w:szCs w:val="20"/>
        </w:rPr>
        <w:t>The accompanying notes are an integral part of these Condensed Consolidated Financial Statements.</w:t>
      </w:r>
    </w:p>
    <w:p w14:paraId="07DCD9AC" w14:textId="77777777" w:rsidR="00AE727E" w:rsidRDefault="00AE727E">
      <w:pPr>
        <w:jc w:val="center"/>
      </w:pPr>
    </w:p>
    <w:p w14:paraId="07DCD9AD" w14:textId="77777777" w:rsidR="00AE727E" w:rsidRDefault="008433E0">
      <w:pPr>
        <w:jc w:val="center"/>
      </w:pPr>
      <w:r>
        <w:rPr>
          <w:rFonts w:ascii="Times New Roman" w:eastAsia="宋体" w:hAnsi="Times New Roman"/>
          <w:color w:val="000000"/>
          <w:sz w:val="20"/>
          <w:szCs w:val="20"/>
        </w:rPr>
        <w:t>8</w:t>
      </w:r>
    </w:p>
    <w:p w14:paraId="07DCD9AE" w14:textId="77777777" w:rsidR="00AE727E" w:rsidRDefault="00AE727E">
      <w:pPr>
        <w:jc w:val="center"/>
      </w:pPr>
    </w:p>
    <w:p w14:paraId="07DCD9AF" w14:textId="77777777" w:rsidR="00AE727E" w:rsidRDefault="008433E0">
      <w:r>
        <w:pict w14:anchorId="07DD18D8">
          <v:rect id="_x0000_i1032" style="width:415.3pt;height:1.5pt" o:hralign="center" o:hrstd="t" o:hr="t" fillcolor="#a0a0a0" stroked="f"/>
        </w:pict>
      </w:r>
    </w:p>
    <w:p w14:paraId="07DCD9B0" w14:textId="77777777" w:rsidR="00AE727E" w:rsidRDefault="008433E0">
      <w:hyperlink r:id="rId133" w:anchor="i1c8279be622a460ea19600488436f115_10" w:history="1">
        <w:r>
          <w:rPr>
            <w:rStyle w:val="a5"/>
            <w:rFonts w:ascii="Times New Roman" w:eastAsia="宋体" w:hAnsi="Times New Roman"/>
            <w:sz w:val="20"/>
            <w:szCs w:val="20"/>
          </w:rPr>
          <w:t>Table of Contents</w:t>
        </w:r>
      </w:hyperlink>
    </w:p>
    <w:p w14:paraId="07DCD9B1"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9B2" w14:textId="77777777" w:rsidR="00AE727E" w:rsidRDefault="008433E0">
      <w:pPr>
        <w:spacing w:after="60"/>
        <w:jc w:val="center"/>
      </w:pPr>
      <w:r>
        <w:rPr>
          <w:rFonts w:ascii="Times New Roman" w:eastAsia="宋体" w:hAnsi="Times New Roman"/>
          <w:b/>
          <w:bCs/>
          <w:color w:val="000000"/>
          <w:sz w:val="20"/>
          <w:szCs w:val="20"/>
        </w:rPr>
        <w:t>CONDENSED CONSOLIDATED STATEMENTS OF STOCKHOLDERS’ EQUITY (DEFICIT)</w:t>
      </w:r>
    </w:p>
    <w:p w14:paraId="07DCD9B3" w14:textId="77777777" w:rsidR="00AE727E" w:rsidRDefault="008433E0">
      <w:pPr>
        <w:jc w:val="center"/>
      </w:pPr>
      <w:r>
        <w:rPr>
          <w:rFonts w:ascii="Times New Roman" w:eastAsia="宋体" w:hAnsi="Times New Roman"/>
          <w:color w:val="000000"/>
          <w:sz w:val="20"/>
          <w:szCs w:val="20"/>
          <w:shd w:val="clear" w:color="auto" w:fill="FFFFFF"/>
        </w:rPr>
        <w:t xml:space="preserve">(in millions; continued </w:t>
      </w:r>
      <w:r>
        <w:rPr>
          <w:rFonts w:ascii="Times New Roman" w:eastAsia="宋体" w:hAnsi="Times New Roman"/>
          <w:color w:val="000000"/>
          <w:sz w:val="20"/>
          <w:szCs w:val="20"/>
          <w:shd w:val="clear" w:color="auto" w:fill="FFFFFF"/>
        </w:rPr>
        <w:t xml:space="preserve">on next page; </w:t>
      </w:r>
      <w:r>
        <w:rPr>
          <w:rFonts w:ascii="Times New Roman" w:eastAsia="宋体" w:hAnsi="Times New Roman"/>
          <w:color w:val="000000"/>
          <w:sz w:val="20"/>
          <w:szCs w:val="20"/>
        </w:rPr>
        <w:t>unaudited)</w:t>
      </w:r>
    </w:p>
    <w:p w14:paraId="07DCD9B4" w14:textId="77777777" w:rsidR="00AE727E" w:rsidRDefault="00AE727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914"/>
        <w:gridCol w:w="36"/>
        <w:gridCol w:w="87"/>
        <w:gridCol w:w="332"/>
        <w:gridCol w:w="35"/>
        <w:gridCol w:w="37"/>
        <w:gridCol w:w="35"/>
        <w:gridCol w:w="35"/>
        <w:gridCol w:w="89"/>
        <w:gridCol w:w="401"/>
        <w:gridCol w:w="35"/>
        <w:gridCol w:w="37"/>
        <w:gridCol w:w="35"/>
        <w:gridCol w:w="35"/>
        <w:gridCol w:w="88"/>
        <w:gridCol w:w="332"/>
        <w:gridCol w:w="35"/>
        <w:gridCol w:w="37"/>
        <w:gridCol w:w="35"/>
        <w:gridCol w:w="35"/>
        <w:gridCol w:w="104"/>
        <w:gridCol w:w="396"/>
        <w:gridCol w:w="36"/>
        <w:gridCol w:w="37"/>
        <w:gridCol w:w="35"/>
        <w:gridCol w:w="35"/>
        <w:gridCol w:w="93"/>
        <w:gridCol w:w="692"/>
        <w:gridCol w:w="35"/>
        <w:gridCol w:w="37"/>
        <w:gridCol w:w="35"/>
        <w:gridCol w:w="35"/>
        <w:gridCol w:w="90"/>
        <w:gridCol w:w="832"/>
        <w:gridCol w:w="35"/>
        <w:gridCol w:w="37"/>
        <w:gridCol w:w="35"/>
        <w:gridCol w:w="35"/>
        <w:gridCol w:w="90"/>
        <w:gridCol w:w="739"/>
        <w:gridCol w:w="35"/>
        <w:gridCol w:w="37"/>
        <w:gridCol w:w="35"/>
        <w:gridCol w:w="35"/>
        <w:gridCol w:w="129"/>
        <w:gridCol w:w="836"/>
        <w:gridCol w:w="35"/>
        <w:gridCol w:w="37"/>
        <w:gridCol w:w="35"/>
        <w:gridCol w:w="35"/>
        <w:gridCol w:w="97"/>
        <w:gridCol w:w="718"/>
        <w:gridCol w:w="35"/>
      </w:tblGrid>
      <w:tr w:rsidR="00AE727E" w14:paraId="07DCD9EB" w14:textId="77777777">
        <w:tc>
          <w:tcPr>
            <w:tcW w:w="50" w:type="pct"/>
            <w:shd w:val="clear" w:color="auto" w:fill="auto"/>
            <w:vAlign w:val="bottom"/>
          </w:tcPr>
          <w:p w14:paraId="07DCD9B5" w14:textId="77777777" w:rsidR="00AE727E" w:rsidRDefault="00AE727E">
            <w:pPr>
              <w:rPr>
                <w:rFonts w:ascii="宋体"/>
              </w:rPr>
            </w:pPr>
          </w:p>
        </w:tc>
        <w:tc>
          <w:tcPr>
            <w:tcW w:w="1195" w:type="pct"/>
            <w:shd w:val="clear" w:color="auto" w:fill="auto"/>
            <w:vAlign w:val="bottom"/>
          </w:tcPr>
          <w:p w14:paraId="07DCD9B6" w14:textId="77777777" w:rsidR="00AE727E" w:rsidRDefault="00AE727E">
            <w:pPr>
              <w:rPr>
                <w:rFonts w:ascii="宋体"/>
              </w:rPr>
            </w:pPr>
          </w:p>
        </w:tc>
        <w:tc>
          <w:tcPr>
            <w:tcW w:w="5" w:type="pct"/>
            <w:shd w:val="clear" w:color="auto" w:fill="auto"/>
            <w:vAlign w:val="bottom"/>
          </w:tcPr>
          <w:p w14:paraId="07DCD9B7" w14:textId="77777777" w:rsidR="00AE727E" w:rsidRDefault="00AE727E">
            <w:pPr>
              <w:rPr>
                <w:rFonts w:ascii="宋体"/>
              </w:rPr>
            </w:pPr>
          </w:p>
        </w:tc>
        <w:tc>
          <w:tcPr>
            <w:tcW w:w="50" w:type="pct"/>
            <w:shd w:val="clear" w:color="auto" w:fill="auto"/>
            <w:vAlign w:val="bottom"/>
          </w:tcPr>
          <w:p w14:paraId="07DCD9B8" w14:textId="77777777" w:rsidR="00AE727E" w:rsidRDefault="00AE727E">
            <w:pPr>
              <w:rPr>
                <w:rFonts w:ascii="宋体"/>
              </w:rPr>
            </w:pPr>
          </w:p>
        </w:tc>
        <w:tc>
          <w:tcPr>
            <w:tcW w:w="204" w:type="pct"/>
            <w:shd w:val="clear" w:color="auto" w:fill="auto"/>
            <w:vAlign w:val="bottom"/>
          </w:tcPr>
          <w:p w14:paraId="07DCD9B9" w14:textId="77777777" w:rsidR="00AE727E" w:rsidRDefault="00AE727E">
            <w:pPr>
              <w:rPr>
                <w:rFonts w:ascii="宋体"/>
              </w:rPr>
            </w:pPr>
          </w:p>
        </w:tc>
        <w:tc>
          <w:tcPr>
            <w:tcW w:w="5" w:type="pct"/>
            <w:shd w:val="clear" w:color="auto" w:fill="auto"/>
            <w:vAlign w:val="bottom"/>
          </w:tcPr>
          <w:p w14:paraId="07DCD9BA" w14:textId="77777777" w:rsidR="00AE727E" w:rsidRDefault="00AE727E">
            <w:pPr>
              <w:rPr>
                <w:rFonts w:ascii="宋体"/>
              </w:rPr>
            </w:pPr>
          </w:p>
        </w:tc>
        <w:tc>
          <w:tcPr>
            <w:tcW w:w="5" w:type="pct"/>
            <w:shd w:val="clear" w:color="auto" w:fill="auto"/>
            <w:vAlign w:val="bottom"/>
          </w:tcPr>
          <w:p w14:paraId="07DCD9BB" w14:textId="77777777" w:rsidR="00AE727E" w:rsidRDefault="00AE727E">
            <w:pPr>
              <w:rPr>
                <w:rFonts w:ascii="宋体"/>
              </w:rPr>
            </w:pPr>
          </w:p>
        </w:tc>
        <w:tc>
          <w:tcPr>
            <w:tcW w:w="17" w:type="pct"/>
            <w:shd w:val="clear" w:color="auto" w:fill="auto"/>
            <w:vAlign w:val="bottom"/>
          </w:tcPr>
          <w:p w14:paraId="07DCD9BC" w14:textId="77777777" w:rsidR="00AE727E" w:rsidRDefault="00AE727E">
            <w:pPr>
              <w:rPr>
                <w:rFonts w:ascii="宋体"/>
              </w:rPr>
            </w:pPr>
          </w:p>
        </w:tc>
        <w:tc>
          <w:tcPr>
            <w:tcW w:w="5" w:type="pct"/>
            <w:shd w:val="clear" w:color="auto" w:fill="auto"/>
            <w:vAlign w:val="bottom"/>
          </w:tcPr>
          <w:p w14:paraId="07DCD9BD" w14:textId="77777777" w:rsidR="00AE727E" w:rsidRDefault="00AE727E">
            <w:pPr>
              <w:rPr>
                <w:rFonts w:ascii="宋体"/>
              </w:rPr>
            </w:pPr>
          </w:p>
        </w:tc>
        <w:tc>
          <w:tcPr>
            <w:tcW w:w="50" w:type="pct"/>
            <w:shd w:val="clear" w:color="auto" w:fill="auto"/>
            <w:vAlign w:val="bottom"/>
          </w:tcPr>
          <w:p w14:paraId="07DCD9BE" w14:textId="77777777" w:rsidR="00AE727E" w:rsidRDefault="00AE727E">
            <w:pPr>
              <w:rPr>
                <w:rFonts w:ascii="宋体"/>
              </w:rPr>
            </w:pPr>
          </w:p>
        </w:tc>
        <w:tc>
          <w:tcPr>
            <w:tcW w:w="204" w:type="pct"/>
            <w:shd w:val="clear" w:color="auto" w:fill="auto"/>
            <w:vAlign w:val="bottom"/>
          </w:tcPr>
          <w:p w14:paraId="07DCD9BF" w14:textId="77777777" w:rsidR="00AE727E" w:rsidRDefault="00AE727E">
            <w:pPr>
              <w:rPr>
                <w:rFonts w:ascii="宋体"/>
              </w:rPr>
            </w:pPr>
          </w:p>
        </w:tc>
        <w:tc>
          <w:tcPr>
            <w:tcW w:w="5" w:type="pct"/>
            <w:shd w:val="clear" w:color="auto" w:fill="auto"/>
            <w:vAlign w:val="bottom"/>
          </w:tcPr>
          <w:p w14:paraId="07DCD9C0" w14:textId="77777777" w:rsidR="00AE727E" w:rsidRDefault="00AE727E">
            <w:pPr>
              <w:rPr>
                <w:rFonts w:ascii="宋体"/>
              </w:rPr>
            </w:pPr>
          </w:p>
        </w:tc>
        <w:tc>
          <w:tcPr>
            <w:tcW w:w="5" w:type="pct"/>
            <w:shd w:val="clear" w:color="auto" w:fill="auto"/>
            <w:vAlign w:val="bottom"/>
          </w:tcPr>
          <w:p w14:paraId="07DCD9C1" w14:textId="77777777" w:rsidR="00AE727E" w:rsidRDefault="00AE727E">
            <w:pPr>
              <w:rPr>
                <w:rFonts w:ascii="宋体"/>
              </w:rPr>
            </w:pPr>
          </w:p>
        </w:tc>
        <w:tc>
          <w:tcPr>
            <w:tcW w:w="27" w:type="pct"/>
            <w:shd w:val="clear" w:color="auto" w:fill="auto"/>
            <w:vAlign w:val="bottom"/>
          </w:tcPr>
          <w:p w14:paraId="07DCD9C2" w14:textId="77777777" w:rsidR="00AE727E" w:rsidRDefault="00AE727E">
            <w:pPr>
              <w:rPr>
                <w:rFonts w:ascii="宋体"/>
              </w:rPr>
            </w:pPr>
          </w:p>
        </w:tc>
        <w:tc>
          <w:tcPr>
            <w:tcW w:w="5" w:type="pct"/>
            <w:shd w:val="clear" w:color="auto" w:fill="auto"/>
            <w:vAlign w:val="bottom"/>
          </w:tcPr>
          <w:p w14:paraId="07DCD9C3" w14:textId="77777777" w:rsidR="00AE727E" w:rsidRDefault="00AE727E">
            <w:pPr>
              <w:rPr>
                <w:rFonts w:ascii="宋体"/>
              </w:rPr>
            </w:pPr>
          </w:p>
        </w:tc>
        <w:tc>
          <w:tcPr>
            <w:tcW w:w="50" w:type="pct"/>
            <w:shd w:val="clear" w:color="auto" w:fill="auto"/>
            <w:vAlign w:val="bottom"/>
          </w:tcPr>
          <w:p w14:paraId="07DCD9C4" w14:textId="77777777" w:rsidR="00AE727E" w:rsidRDefault="00AE727E">
            <w:pPr>
              <w:rPr>
                <w:rFonts w:ascii="宋体"/>
              </w:rPr>
            </w:pPr>
          </w:p>
        </w:tc>
        <w:tc>
          <w:tcPr>
            <w:tcW w:w="204" w:type="pct"/>
            <w:shd w:val="clear" w:color="auto" w:fill="auto"/>
            <w:vAlign w:val="bottom"/>
          </w:tcPr>
          <w:p w14:paraId="07DCD9C5" w14:textId="77777777" w:rsidR="00AE727E" w:rsidRDefault="00AE727E">
            <w:pPr>
              <w:rPr>
                <w:rFonts w:ascii="宋体"/>
              </w:rPr>
            </w:pPr>
          </w:p>
        </w:tc>
        <w:tc>
          <w:tcPr>
            <w:tcW w:w="5" w:type="pct"/>
            <w:shd w:val="clear" w:color="auto" w:fill="auto"/>
            <w:vAlign w:val="bottom"/>
          </w:tcPr>
          <w:p w14:paraId="07DCD9C6" w14:textId="77777777" w:rsidR="00AE727E" w:rsidRDefault="00AE727E">
            <w:pPr>
              <w:rPr>
                <w:rFonts w:ascii="宋体"/>
              </w:rPr>
            </w:pPr>
          </w:p>
        </w:tc>
        <w:tc>
          <w:tcPr>
            <w:tcW w:w="5" w:type="pct"/>
            <w:shd w:val="clear" w:color="auto" w:fill="auto"/>
            <w:vAlign w:val="bottom"/>
          </w:tcPr>
          <w:p w14:paraId="07DCD9C7" w14:textId="77777777" w:rsidR="00AE727E" w:rsidRDefault="00AE727E">
            <w:pPr>
              <w:rPr>
                <w:rFonts w:ascii="宋体"/>
              </w:rPr>
            </w:pPr>
          </w:p>
        </w:tc>
        <w:tc>
          <w:tcPr>
            <w:tcW w:w="17" w:type="pct"/>
            <w:shd w:val="clear" w:color="auto" w:fill="auto"/>
            <w:vAlign w:val="bottom"/>
          </w:tcPr>
          <w:p w14:paraId="07DCD9C8" w14:textId="77777777" w:rsidR="00AE727E" w:rsidRDefault="00AE727E">
            <w:pPr>
              <w:rPr>
                <w:rFonts w:ascii="宋体"/>
              </w:rPr>
            </w:pPr>
          </w:p>
        </w:tc>
        <w:tc>
          <w:tcPr>
            <w:tcW w:w="5" w:type="pct"/>
            <w:shd w:val="clear" w:color="auto" w:fill="auto"/>
            <w:vAlign w:val="bottom"/>
          </w:tcPr>
          <w:p w14:paraId="07DCD9C9" w14:textId="77777777" w:rsidR="00AE727E" w:rsidRDefault="00AE727E">
            <w:pPr>
              <w:rPr>
                <w:rFonts w:ascii="宋体"/>
              </w:rPr>
            </w:pPr>
          </w:p>
        </w:tc>
        <w:tc>
          <w:tcPr>
            <w:tcW w:w="50" w:type="pct"/>
            <w:shd w:val="clear" w:color="auto" w:fill="auto"/>
            <w:vAlign w:val="bottom"/>
          </w:tcPr>
          <w:p w14:paraId="07DCD9CA" w14:textId="77777777" w:rsidR="00AE727E" w:rsidRDefault="00AE727E">
            <w:pPr>
              <w:rPr>
                <w:rFonts w:ascii="宋体"/>
              </w:rPr>
            </w:pPr>
          </w:p>
        </w:tc>
        <w:tc>
          <w:tcPr>
            <w:tcW w:w="204" w:type="pct"/>
            <w:shd w:val="clear" w:color="auto" w:fill="auto"/>
            <w:vAlign w:val="bottom"/>
          </w:tcPr>
          <w:p w14:paraId="07DCD9CB" w14:textId="77777777" w:rsidR="00AE727E" w:rsidRDefault="00AE727E">
            <w:pPr>
              <w:rPr>
                <w:rFonts w:ascii="宋体"/>
              </w:rPr>
            </w:pPr>
          </w:p>
        </w:tc>
        <w:tc>
          <w:tcPr>
            <w:tcW w:w="5" w:type="pct"/>
            <w:shd w:val="clear" w:color="auto" w:fill="auto"/>
            <w:vAlign w:val="bottom"/>
          </w:tcPr>
          <w:p w14:paraId="07DCD9CC" w14:textId="77777777" w:rsidR="00AE727E" w:rsidRDefault="00AE727E">
            <w:pPr>
              <w:rPr>
                <w:rFonts w:ascii="宋体"/>
              </w:rPr>
            </w:pPr>
          </w:p>
        </w:tc>
        <w:tc>
          <w:tcPr>
            <w:tcW w:w="5" w:type="pct"/>
            <w:shd w:val="clear" w:color="auto" w:fill="auto"/>
            <w:vAlign w:val="bottom"/>
          </w:tcPr>
          <w:p w14:paraId="07DCD9CD" w14:textId="77777777" w:rsidR="00AE727E" w:rsidRDefault="00AE727E">
            <w:pPr>
              <w:rPr>
                <w:rFonts w:ascii="宋体"/>
              </w:rPr>
            </w:pPr>
          </w:p>
        </w:tc>
        <w:tc>
          <w:tcPr>
            <w:tcW w:w="17" w:type="pct"/>
            <w:shd w:val="clear" w:color="auto" w:fill="auto"/>
            <w:vAlign w:val="bottom"/>
          </w:tcPr>
          <w:p w14:paraId="07DCD9CE" w14:textId="77777777" w:rsidR="00AE727E" w:rsidRDefault="00AE727E">
            <w:pPr>
              <w:rPr>
                <w:rFonts w:ascii="宋体"/>
              </w:rPr>
            </w:pPr>
          </w:p>
        </w:tc>
        <w:tc>
          <w:tcPr>
            <w:tcW w:w="5" w:type="pct"/>
            <w:shd w:val="clear" w:color="auto" w:fill="auto"/>
            <w:vAlign w:val="bottom"/>
          </w:tcPr>
          <w:p w14:paraId="07DCD9CF" w14:textId="77777777" w:rsidR="00AE727E" w:rsidRDefault="00AE727E">
            <w:pPr>
              <w:rPr>
                <w:rFonts w:ascii="宋体"/>
              </w:rPr>
            </w:pPr>
          </w:p>
        </w:tc>
        <w:tc>
          <w:tcPr>
            <w:tcW w:w="50" w:type="pct"/>
            <w:shd w:val="clear" w:color="auto" w:fill="auto"/>
            <w:vAlign w:val="bottom"/>
          </w:tcPr>
          <w:p w14:paraId="07DCD9D0" w14:textId="77777777" w:rsidR="00AE727E" w:rsidRDefault="00AE727E">
            <w:pPr>
              <w:rPr>
                <w:rFonts w:ascii="宋体"/>
              </w:rPr>
            </w:pPr>
          </w:p>
        </w:tc>
        <w:tc>
          <w:tcPr>
            <w:tcW w:w="404" w:type="pct"/>
            <w:shd w:val="clear" w:color="auto" w:fill="auto"/>
            <w:vAlign w:val="bottom"/>
          </w:tcPr>
          <w:p w14:paraId="07DCD9D1" w14:textId="77777777" w:rsidR="00AE727E" w:rsidRDefault="00AE727E">
            <w:pPr>
              <w:rPr>
                <w:rFonts w:ascii="宋体"/>
              </w:rPr>
            </w:pPr>
          </w:p>
        </w:tc>
        <w:tc>
          <w:tcPr>
            <w:tcW w:w="5" w:type="pct"/>
            <w:shd w:val="clear" w:color="auto" w:fill="auto"/>
            <w:vAlign w:val="bottom"/>
          </w:tcPr>
          <w:p w14:paraId="07DCD9D2" w14:textId="77777777" w:rsidR="00AE727E" w:rsidRDefault="00AE727E">
            <w:pPr>
              <w:rPr>
                <w:rFonts w:ascii="宋体"/>
              </w:rPr>
            </w:pPr>
          </w:p>
        </w:tc>
        <w:tc>
          <w:tcPr>
            <w:tcW w:w="5" w:type="pct"/>
            <w:shd w:val="clear" w:color="auto" w:fill="auto"/>
            <w:vAlign w:val="bottom"/>
          </w:tcPr>
          <w:p w14:paraId="07DCD9D3" w14:textId="77777777" w:rsidR="00AE727E" w:rsidRDefault="00AE727E">
            <w:pPr>
              <w:rPr>
                <w:rFonts w:ascii="宋体"/>
              </w:rPr>
            </w:pPr>
          </w:p>
        </w:tc>
        <w:tc>
          <w:tcPr>
            <w:tcW w:w="17" w:type="pct"/>
            <w:shd w:val="clear" w:color="auto" w:fill="auto"/>
            <w:vAlign w:val="bottom"/>
          </w:tcPr>
          <w:p w14:paraId="07DCD9D4" w14:textId="77777777" w:rsidR="00AE727E" w:rsidRDefault="00AE727E">
            <w:pPr>
              <w:rPr>
                <w:rFonts w:ascii="宋体"/>
              </w:rPr>
            </w:pPr>
          </w:p>
        </w:tc>
        <w:tc>
          <w:tcPr>
            <w:tcW w:w="5" w:type="pct"/>
            <w:shd w:val="clear" w:color="auto" w:fill="auto"/>
            <w:vAlign w:val="bottom"/>
          </w:tcPr>
          <w:p w14:paraId="07DCD9D5" w14:textId="77777777" w:rsidR="00AE727E" w:rsidRDefault="00AE727E">
            <w:pPr>
              <w:rPr>
                <w:rFonts w:ascii="宋体"/>
              </w:rPr>
            </w:pPr>
          </w:p>
        </w:tc>
        <w:tc>
          <w:tcPr>
            <w:tcW w:w="50" w:type="pct"/>
            <w:shd w:val="clear" w:color="auto" w:fill="auto"/>
            <w:vAlign w:val="bottom"/>
          </w:tcPr>
          <w:p w14:paraId="07DCD9D6" w14:textId="77777777" w:rsidR="00AE727E" w:rsidRDefault="00AE727E">
            <w:pPr>
              <w:rPr>
                <w:rFonts w:ascii="宋体"/>
              </w:rPr>
            </w:pPr>
          </w:p>
        </w:tc>
        <w:tc>
          <w:tcPr>
            <w:tcW w:w="524" w:type="pct"/>
            <w:shd w:val="clear" w:color="auto" w:fill="auto"/>
            <w:vAlign w:val="bottom"/>
          </w:tcPr>
          <w:p w14:paraId="07DCD9D7" w14:textId="77777777" w:rsidR="00AE727E" w:rsidRDefault="00AE727E">
            <w:pPr>
              <w:rPr>
                <w:rFonts w:ascii="宋体"/>
              </w:rPr>
            </w:pPr>
          </w:p>
        </w:tc>
        <w:tc>
          <w:tcPr>
            <w:tcW w:w="5" w:type="pct"/>
            <w:shd w:val="clear" w:color="auto" w:fill="auto"/>
            <w:vAlign w:val="bottom"/>
          </w:tcPr>
          <w:p w14:paraId="07DCD9D8" w14:textId="77777777" w:rsidR="00AE727E" w:rsidRDefault="00AE727E">
            <w:pPr>
              <w:rPr>
                <w:rFonts w:ascii="宋体"/>
              </w:rPr>
            </w:pPr>
          </w:p>
        </w:tc>
        <w:tc>
          <w:tcPr>
            <w:tcW w:w="5" w:type="pct"/>
            <w:shd w:val="clear" w:color="auto" w:fill="auto"/>
            <w:vAlign w:val="bottom"/>
          </w:tcPr>
          <w:p w14:paraId="07DCD9D9" w14:textId="77777777" w:rsidR="00AE727E" w:rsidRDefault="00AE727E">
            <w:pPr>
              <w:rPr>
                <w:rFonts w:ascii="宋体"/>
              </w:rPr>
            </w:pPr>
          </w:p>
        </w:tc>
        <w:tc>
          <w:tcPr>
            <w:tcW w:w="11" w:type="pct"/>
            <w:shd w:val="clear" w:color="auto" w:fill="auto"/>
            <w:vAlign w:val="bottom"/>
          </w:tcPr>
          <w:p w14:paraId="07DCD9DA" w14:textId="77777777" w:rsidR="00AE727E" w:rsidRDefault="00AE727E">
            <w:pPr>
              <w:rPr>
                <w:rFonts w:ascii="宋体"/>
              </w:rPr>
            </w:pPr>
          </w:p>
        </w:tc>
        <w:tc>
          <w:tcPr>
            <w:tcW w:w="5" w:type="pct"/>
            <w:shd w:val="clear" w:color="auto" w:fill="auto"/>
            <w:vAlign w:val="bottom"/>
          </w:tcPr>
          <w:p w14:paraId="07DCD9DB" w14:textId="77777777" w:rsidR="00AE727E" w:rsidRDefault="00AE727E">
            <w:pPr>
              <w:rPr>
                <w:rFonts w:ascii="宋体"/>
              </w:rPr>
            </w:pPr>
          </w:p>
        </w:tc>
        <w:tc>
          <w:tcPr>
            <w:tcW w:w="50" w:type="pct"/>
            <w:shd w:val="clear" w:color="auto" w:fill="auto"/>
            <w:vAlign w:val="bottom"/>
          </w:tcPr>
          <w:p w14:paraId="07DCD9DC" w14:textId="77777777" w:rsidR="00AE727E" w:rsidRDefault="00AE727E">
            <w:pPr>
              <w:rPr>
                <w:rFonts w:ascii="宋体"/>
              </w:rPr>
            </w:pPr>
          </w:p>
        </w:tc>
        <w:tc>
          <w:tcPr>
            <w:tcW w:w="524" w:type="pct"/>
            <w:shd w:val="clear" w:color="auto" w:fill="auto"/>
            <w:vAlign w:val="bottom"/>
          </w:tcPr>
          <w:p w14:paraId="07DCD9DD" w14:textId="77777777" w:rsidR="00AE727E" w:rsidRDefault="00AE727E">
            <w:pPr>
              <w:rPr>
                <w:rFonts w:ascii="宋体"/>
              </w:rPr>
            </w:pPr>
          </w:p>
        </w:tc>
        <w:tc>
          <w:tcPr>
            <w:tcW w:w="5" w:type="pct"/>
            <w:shd w:val="clear" w:color="auto" w:fill="auto"/>
            <w:vAlign w:val="bottom"/>
          </w:tcPr>
          <w:p w14:paraId="07DCD9DE" w14:textId="77777777" w:rsidR="00AE727E" w:rsidRDefault="00AE727E">
            <w:pPr>
              <w:rPr>
                <w:rFonts w:ascii="宋体"/>
              </w:rPr>
            </w:pPr>
          </w:p>
        </w:tc>
        <w:tc>
          <w:tcPr>
            <w:tcW w:w="5" w:type="pct"/>
            <w:shd w:val="clear" w:color="auto" w:fill="auto"/>
            <w:vAlign w:val="bottom"/>
          </w:tcPr>
          <w:p w14:paraId="07DCD9DF" w14:textId="77777777" w:rsidR="00AE727E" w:rsidRDefault="00AE727E">
            <w:pPr>
              <w:rPr>
                <w:rFonts w:ascii="宋体"/>
              </w:rPr>
            </w:pPr>
          </w:p>
        </w:tc>
        <w:tc>
          <w:tcPr>
            <w:tcW w:w="38" w:type="pct"/>
            <w:shd w:val="clear" w:color="auto" w:fill="auto"/>
            <w:vAlign w:val="bottom"/>
          </w:tcPr>
          <w:p w14:paraId="07DCD9E0" w14:textId="77777777" w:rsidR="00AE727E" w:rsidRDefault="00AE727E">
            <w:pPr>
              <w:rPr>
                <w:rFonts w:ascii="宋体"/>
              </w:rPr>
            </w:pPr>
          </w:p>
        </w:tc>
        <w:tc>
          <w:tcPr>
            <w:tcW w:w="5" w:type="pct"/>
            <w:shd w:val="clear" w:color="auto" w:fill="auto"/>
            <w:vAlign w:val="bottom"/>
          </w:tcPr>
          <w:p w14:paraId="07DCD9E1" w14:textId="77777777" w:rsidR="00AE727E" w:rsidRDefault="00AE727E">
            <w:pPr>
              <w:rPr>
                <w:rFonts w:ascii="宋体"/>
              </w:rPr>
            </w:pPr>
          </w:p>
        </w:tc>
        <w:tc>
          <w:tcPr>
            <w:tcW w:w="50" w:type="pct"/>
            <w:shd w:val="clear" w:color="auto" w:fill="auto"/>
            <w:vAlign w:val="bottom"/>
          </w:tcPr>
          <w:p w14:paraId="07DCD9E2" w14:textId="77777777" w:rsidR="00AE727E" w:rsidRDefault="00AE727E">
            <w:pPr>
              <w:rPr>
                <w:rFonts w:ascii="宋体"/>
              </w:rPr>
            </w:pPr>
          </w:p>
        </w:tc>
        <w:tc>
          <w:tcPr>
            <w:tcW w:w="340" w:type="pct"/>
            <w:shd w:val="clear" w:color="auto" w:fill="auto"/>
            <w:vAlign w:val="bottom"/>
          </w:tcPr>
          <w:p w14:paraId="07DCD9E3" w14:textId="77777777" w:rsidR="00AE727E" w:rsidRDefault="00AE727E">
            <w:pPr>
              <w:rPr>
                <w:rFonts w:ascii="宋体"/>
              </w:rPr>
            </w:pPr>
          </w:p>
        </w:tc>
        <w:tc>
          <w:tcPr>
            <w:tcW w:w="5" w:type="pct"/>
            <w:shd w:val="clear" w:color="auto" w:fill="auto"/>
            <w:vAlign w:val="bottom"/>
          </w:tcPr>
          <w:p w14:paraId="07DCD9E4" w14:textId="77777777" w:rsidR="00AE727E" w:rsidRDefault="00AE727E">
            <w:pPr>
              <w:rPr>
                <w:rFonts w:ascii="宋体"/>
              </w:rPr>
            </w:pPr>
          </w:p>
        </w:tc>
        <w:tc>
          <w:tcPr>
            <w:tcW w:w="5" w:type="pct"/>
            <w:shd w:val="clear" w:color="auto" w:fill="auto"/>
            <w:vAlign w:val="bottom"/>
          </w:tcPr>
          <w:p w14:paraId="07DCD9E5" w14:textId="77777777" w:rsidR="00AE727E" w:rsidRDefault="00AE727E">
            <w:pPr>
              <w:rPr>
                <w:rFonts w:ascii="宋体"/>
              </w:rPr>
            </w:pPr>
          </w:p>
        </w:tc>
        <w:tc>
          <w:tcPr>
            <w:tcW w:w="17" w:type="pct"/>
            <w:shd w:val="clear" w:color="auto" w:fill="auto"/>
            <w:vAlign w:val="bottom"/>
          </w:tcPr>
          <w:p w14:paraId="07DCD9E6" w14:textId="77777777" w:rsidR="00AE727E" w:rsidRDefault="00AE727E">
            <w:pPr>
              <w:rPr>
                <w:rFonts w:ascii="宋体"/>
              </w:rPr>
            </w:pPr>
          </w:p>
        </w:tc>
        <w:tc>
          <w:tcPr>
            <w:tcW w:w="5" w:type="pct"/>
            <w:shd w:val="clear" w:color="auto" w:fill="auto"/>
            <w:vAlign w:val="bottom"/>
          </w:tcPr>
          <w:p w14:paraId="07DCD9E7" w14:textId="77777777" w:rsidR="00AE727E" w:rsidRDefault="00AE727E">
            <w:pPr>
              <w:rPr>
                <w:rFonts w:ascii="宋体"/>
              </w:rPr>
            </w:pPr>
          </w:p>
        </w:tc>
        <w:tc>
          <w:tcPr>
            <w:tcW w:w="50" w:type="pct"/>
            <w:shd w:val="clear" w:color="auto" w:fill="auto"/>
            <w:vAlign w:val="bottom"/>
          </w:tcPr>
          <w:p w14:paraId="07DCD9E8" w14:textId="77777777" w:rsidR="00AE727E" w:rsidRDefault="00AE727E">
            <w:pPr>
              <w:rPr>
                <w:rFonts w:ascii="宋体"/>
              </w:rPr>
            </w:pPr>
          </w:p>
        </w:tc>
        <w:tc>
          <w:tcPr>
            <w:tcW w:w="399" w:type="pct"/>
            <w:shd w:val="clear" w:color="auto" w:fill="auto"/>
            <w:vAlign w:val="bottom"/>
          </w:tcPr>
          <w:p w14:paraId="07DCD9E9" w14:textId="77777777" w:rsidR="00AE727E" w:rsidRDefault="00AE727E">
            <w:pPr>
              <w:rPr>
                <w:rFonts w:ascii="宋体"/>
              </w:rPr>
            </w:pPr>
          </w:p>
        </w:tc>
        <w:tc>
          <w:tcPr>
            <w:tcW w:w="5" w:type="pct"/>
            <w:shd w:val="clear" w:color="auto" w:fill="auto"/>
            <w:vAlign w:val="bottom"/>
          </w:tcPr>
          <w:p w14:paraId="07DCD9EA" w14:textId="77777777" w:rsidR="00AE727E" w:rsidRDefault="00AE727E">
            <w:pPr>
              <w:rPr>
                <w:rFonts w:ascii="宋体"/>
              </w:rPr>
            </w:pPr>
          </w:p>
        </w:tc>
      </w:tr>
      <w:tr w:rsidR="00AE727E" w14:paraId="07DCD9FA" w14:textId="77777777">
        <w:tc>
          <w:tcPr>
            <w:tcW w:w="0" w:type="auto"/>
            <w:gridSpan w:val="3"/>
            <w:shd w:val="clear" w:color="auto" w:fill="auto"/>
            <w:tcMar>
              <w:top w:w="0" w:type="dxa"/>
              <w:left w:w="20" w:type="dxa"/>
              <w:bottom w:w="0" w:type="dxa"/>
              <w:right w:w="20" w:type="dxa"/>
            </w:tcMar>
            <w:vAlign w:val="bottom"/>
          </w:tcPr>
          <w:p w14:paraId="07DCD9EC"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9ED" w14:textId="77777777" w:rsidR="00AE727E" w:rsidRDefault="008433E0">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DCD9EE"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9EF" w14:textId="77777777" w:rsidR="00AE727E" w:rsidRDefault="008433E0">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DCD9F0"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1"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6"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9F9" w14:textId="77777777" w:rsidR="00AE727E" w:rsidRDefault="00AE727E">
            <w:pPr>
              <w:rPr>
                <w:rFonts w:ascii="宋体"/>
              </w:rPr>
            </w:pPr>
          </w:p>
        </w:tc>
      </w:tr>
      <w:tr w:rsidR="00AE727E" w14:paraId="07DCDA0D" w14:textId="77777777">
        <w:tc>
          <w:tcPr>
            <w:tcW w:w="0" w:type="auto"/>
            <w:gridSpan w:val="3"/>
            <w:shd w:val="clear" w:color="auto" w:fill="auto"/>
            <w:tcMar>
              <w:top w:w="40" w:type="dxa"/>
              <w:left w:w="20" w:type="dxa"/>
              <w:bottom w:w="40" w:type="dxa"/>
              <w:right w:w="20" w:type="dxa"/>
            </w:tcMar>
          </w:tcPr>
          <w:p w14:paraId="07DCD9FB" w14:textId="77777777" w:rsidR="00AE727E" w:rsidRDefault="008433E0">
            <w:pPr>
              <w:textAlignment w:val="top"/>
            </w:pPr>
            <w:r>
              <w:rPr>
                <w:rFonts w:ascii="Times New Roman" w:eastAsia="宋体" w:hAnsi="Times New Roman"/>
                <w:b/>
                <w:bCs/>
                <w:color w:val="000000"/>
                <w:sz w:val="16"/>
                <w:szCs w:val="16"/>
              </w:rPr>
              <w:t>Three Months Ended October 29,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9FC" w14:textId="77777777" w:rsidR="00AE727E" w:rsidRDefault="008433E0">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9FD"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9FE"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9F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A00" w14:textId="77777777" w:rsidR="00AE727E" w:rsidRDefault="008433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A01"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A02"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A03"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A04" w14:textId="77777777" w:rsidR="00AE727E" w:rsidRDefault="008433E0">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DCDA0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A06" w14:textId="77777777" w:rsidR="00AE727E" w:rsidRDefault="008433E0">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DCDA0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A08" w14:textId="77777777" w:rsidR="00AE727E" w:rsidRDefault="008433E0">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DCDA0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A0A" w14:textId="77777777" w:rsidR="00AE727E" w:rsidRDefault="008433E0">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DCDA0B"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A0C" w14:textId="77777777" w:rsidR="00AE727E" w:rsidRDefault="008433E0">
            <w:pPr>
              <w:jc w:val="center"/>
              <w:textAlignment w:val="bottom"/>
            </w:pPr>
            <w:r>
              <w:rPr>
                <w:rFonts w:ascii="Times New Roman" w:eastAsia="宋体" w:hAnsi="Times New Roman"/>
                <w:b/>
                <w:bCs/>
                <w:color w:val="000000"/>
                <w:sz w:val="16"/>
                <w:szCs w:val="16"/>
              </w:rPr>
              <w:t>Total Stockholders’ Equity (Deficit)</w:t>
            </w:r>
          </w:p>
        </w:tc>
      </w:tr>
      <w:tr w:rsidR="008433E0" w14:paraId="07DCDA30" w14:textId="77777777">
        <w:tc>
          <w:tcPr>
            <w:tcW w:w="0" w:type="auto"/>
            <w:gridSpan w:val="3"/>
            <w:shd w:val="clear" w:color="auto" w:fill="CCEEFF"/>
            <w:tcMar>
              <w:top w:w="40" w:type="dxa"/>
              <w:left w:w="20" w:type="dxa"/>
              <w:bottom w:w="40" w:type="dxa"/>
              <w:right w:w="20" w:type="dxa"/>
            </w:tcMar>
            <w:vAlign w:val="bottom"/>
          </w:tcPr>
          <w:p w14:paraId="07DCDA0E" w14:textId="77777777" w:rsidR="00AE727E" w:rsidRDefault="008433E0">
            <w:pPr>
              <w:textAlignment w:val="bottom"/>
            </w:pPr>
            <w:r>
              <w:rPr>
                <w:rFonts w:ascii="Times New Roman" w:eastAsia="宋体" w:hAnsi="Times New Roman"/>
                <w:b/>
                <w:bCs/>
                <w:color w:val="000000"/>
                <w:sz w:val="16"/>
                <w:szCs w:val="16"/>
              </w:rPr>
              <w:t>Balances as of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A0F" w14:textId="77777777" w:rsidR="00AE727E" w:rsidRDefault="008433E0">
            <w:pPr>
              <w:jc w:val="right"/>
              <w:textAlignment w:val="bottom"/>
            </w:pPr>
            <w:r>
              <w:rPr>
                <w:rFonts w:ascii="Times New Roman" w:eastAsia="宋体" w:hAnsi="Times New Roman"/>
                <w:color w:val="000000"/>
                <w:sz w:val="16"/>
                <w:szCs w:val="16"/>
              </w:rPr>
              <w:t>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1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11"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1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13" w14:textId="77777777" w:rsidR="00AE727E" w:rsidRDefault="008433E0">
            <w:pPr>
              <w:jc w:val="right"/>
              <w:textAlignment w:val="bottom"/>
            </w:pPr>
            <w:r>
              <w:rPr>
                <w:rFonts w:ascii="Times New Roman" w:eastAsia="宋体" w:hAnsi="Times New Roman"/>
                <w:color w:val="000000"/>
                <w:sz w:val="16"/>
                <w:szCs w:val="16"/>
              </w:rPr>
              <w:t>17,510 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1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1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A16"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1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1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19"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1A"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1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1D"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1E" w14:textId="77777777" w:rsidR="00AE727E" w:rsidRDefault="008433E0">
            <w:pPr>
              <w:jc w:val="right"/>
              <w:textAlignment w:val="bottom"/>
            </w:pPr>
            <w:r>
              <w:rPr>
                <w:rFonts w:ascii="Times New Roman" w:eastAsia="宋体" w:hAnsi="Times New Roman"/>
                <w:color w:val="000000"/>
                <w:sz w:val="16"/>
                <w:szCs w:val="16"/>
              </w:rPr>
              <w:t>(12,033)</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1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2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21"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22" w14:textId="77777777" w:rsidR="00AE727E" w:rsidRDefault="008433E0">
            <w:pPr>
              <w:jc w:val="right"/>
              <w:textAlignment w:val="bottom"/>
            </w:pPr>
            <w:r>
              <w:rPr>
                <w:rFonts w:ascii="Times New Roman" w:eastAsia="宋体" w:hAnsi="Times New Roman"/>
                <w:color w:val="000000"/>
                <w:sz w:val="16"/>
                <w:szCs w:val="16"/>
              </w:rPr>
              <w:t>(347)</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2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24"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25"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26" w14:textId="77777777" w:rsidR="00AE727E" w:rsidRDefault="008433E0">
            <w:pPr>
              <w:jc w:val="right"/>
              <w:textAlignment w:val="bottom"/>
            </w:pPr>
            <w:r>
              <w:rPr>
                <w:rFonts w:ascii="Times New Roman" w:eastAsia="宋体" w:hAnsi="Times New Roman"/>
                <w:color w:val="000000"/>
                <w:sz w:val="16"/>
                <w:szCs w:val="16"/>
              </w:rPr>
              <w:t>4,825 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2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29"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2A" w14:textId="77777777" w:rsidR="00AE727E" w:rsidRDefault="008433E0">
            <w:pPr>
              <w:jc w:val="right"/>
              <w:textAlignment w:val="bottom"/>
            </w:pPr>
            <w:r>
              <w:rPr>
                <w:rFonts w:ascii="Times New Roman" w:eastAsia="宋体" w:hAnsi="Times New Roman"/>
                <w:color w:val="000000"/>
                <w:sz w:val="16"/>
                <w:szCs w:val="16"/>
              </w:rPr>
              <w:t>5,118 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2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2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A2D"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A2E" w14:textId="77777777" w:rsidR="00AE727E" w:rsidRDefault="008433E0">
            <w:pPr>
              <w:jc w:val="right"/>
              <w:textAlignment w:val="bottom"/>
            </w:pPr>
            <w:r>
              <w:rPr>
                <w:rFonts w:ascii="Times New Roman" w:eastAsia="宋体" w:hAnsi="Times New Roman"/>
                <w:color w:val="000000"/>
                <w:sz w:val="16"/>
                <w:szCs w:val="16"/>
              </w:rPr>
              <w:t>9,943 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A2F" w14:textId="77777777" w:rsidR="00AE727E" w:rsidRDefault="00AE727E">
            <w:pPr>
              <w:jc w:val="right"/>
              <w:rPr>
                <w:rFonts w:ascii="宋体"/>
              </w:rPr>
            </w:pPr>
          </w:p>
        </w:tc>
      </w:tr>
      <w:tr w:rsidR="00AE727E" w14:paraId="07DCDA4C" w14:textId="77777777">
        <w:tc>
          <w:tcPr>
            <w:tcW w:w="0" w:type="auto"/>
            <w:gridSpan w:val="3"/>
            <w:shd w:val="clear" w:color="auto" w:fill="FFFFFF"/>
            <w:tcMar>
              <w:top w:w="40" w:type="dxa"/>
              <w:left w:w="155" w:type="dxa"/>
              <w:bottom w:w="40" w:type="dxa"/>
              <w:right w:w="20" w:type="dxa"/>
            </w:tcMar>
            <w:vAlign w:val="bottom"/>
          </w:tcPr>
          <w:p w14:paraId="07DCDA31" w14:textId="77777777" w:rsidR="00AE727E" w:rsidRDefault="008433E0">
            <w:pPr>
              <w:textAlignment w:val="bottom"/>
            </w:pPr>
            <w:r>
              <w:rPr>
                <w:rFonts w:ascii="Times New Roman" w:eastAsia="宋体" w:hAnsi="Times New Roman"/>
                <w:color w:val="000000"/>
                <w:sz w:val="16"/>
                <w:szCs w:val="16"/>
              </w:rPr>
              <w:t>Net inc</w:t>
            </w:r>
            <w:r>
              <w:rPr>
                <w:rFonts w:ascii="Times New Roman" w:eastAsia="宋体" w:hAnsi="Times New Roman"/>
                <w:color w:val="000000"/>
                <w:sz w:val="16"/>
                <w:szCs w:val="16"/>
              </w:rPr>
              <w:t>ome</w:t>
            </w:r>
          </w:p>
        </w:tc>
        <w:tc>
          <w:tcPr>
            <w:tcW w:w="0" w:type="auto"/>
            <w:gridSpan w:val="2"/>
            <w:shd w:val="clear" w:color="auto" w:fill="FFFFFF"/>
            <w:tcMar>
              <w:top w:w="40" w:type="dxa"/>
              <w:left w:w="20" w:type="dxa"/>
              <w:bottom w:w="40" w:type="dxa"/>
              <w:right w:w="0" w:type="dxa"/>
            </w:tcMar>
            <w:vAlign w:val="bottom"/>
          </w:tcPr>
          <w:p w14:paraId="07DCDA3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3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3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3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3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3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3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3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3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3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3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3E" w14:textId="77777777" w:rsidR="00AE727E" w:rsidRDefault="008433E0">
            <w:pPr>
              <w:jc w:val="right"/>
              <w:textAlignment w:val="bottom"/>
            </w:pPr>
            <w:r>
              <w:rPr>
                <w:rFonts w:ascii="Times New Roman" w:eastAsia="宋体" w:hAnsi="Times New Roman"/>
                <w:color w:val="000000"/>
                <w:sz w:val="16"/>
                <w:szCs w:val="16"/>
              </w:rPr>
              <w:t>3,843 </w:t>
            </w:r>
          </w:p>
        </w:tc>
        <w:tc>
          <w:tcPr>
            <w:tcW w:w="0" w:type="auto"/>
            <w:shd w:val="clear" w:color="auto" w:fill="FFFFFF"/>
            <w:tcMar>
              <w:top w:w="40" w:type="dxa"/>
              <w:left w:w="0" w:type="dxa"/>
              <w:bottom w:w="40" w:type="dxa"/>
              <w:right w:w="20" w:type="dxa"/>
            </w:tcMar>
            <w:vAlign w:val="bottom"/>
          </w:tcPr>
          <w:p w14:paraId="07DCDA3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4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4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4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44" w14:textId="77777777" w:rsidR="00AE727E" w:rsidRDefault="008433E0">
            <w:pPr>
              <w:jc w:val="right"/>
              <w:textAlignment w:val="bottom"/>
            </w:pPr>
            <w:r>
              <w:rPr>
                <w:rFonts w:ascii="Times New Roman" w:eastAsia="宋体" w:hAnsi="Times New Roman"/>
                <w:color w:val="000000"/>
                <w:sz w:val="16"/>
                <w:szCs w:val="16"/>
              </w:rPr>
              <w:t>3,843 </w:t>
            </w:r>
          </w:p>
        </w:tc>
        <w:tc>
          <w:tcPr>
            <w:tcW w:w="0" w:type="auto"/>
            <w:shd w:val="clear" w:color="auto" w:fill="FFFFFF"/>
            <w:tcMar>
              <w:top w:w="40" w:type="dxa"/>
              <w:left w:w="0" w:type="dxa"/>
              <w:bottom w:w="40" w:type="dxa"/>
              <w:right w:w="20" w:type="dxa"/>
            </w:tcMar>
            <w:vAlign w:val="bottom"/>
          </w:tcPr>
          <w:p w14:paraId="07DCDA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4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47" w14:textId="77777777" w:rsidR="00AE727E" w:rsidRDefault="008433E0">
            <w:pPr>
              <w:jc w:val="right"/>
              <w:textAlignment w:val="bottom"/>
            </w:pPr>
            <w:r>
              <w:rPr>
                <w:rFonts w:ascii="Times New Roman" w:eastAsia="宋体" w:hAnsi="Times New Roman"/>
                <w:color w:val="000000"/>
                <w:sz w:val="16"/>
                <w:szCs w:val="16"/>
              </w:rPr>
              <w:t>45 </w:t>
            </w:r>
          </w:p>
        </w:tc>
        <w:tc>
          <w:tcPr>
            <w:tcW w:w="0" w:type="auto"/>
            <w:shd w:val="clear" w:color="auto" w:fill="FFFFFF"/>
            <w:tcMar>
              <w:top w:w="40" w:type="dxa"/>
              <w:left w:w="0" w:type="dxa"/>
              <w:bottom w:w="40" w:type="dxa"/>
              <w:right w:w="20" w:type="dxa"/>
            </w:tcMar>
            <w:vAlign w:val="bottom"/>
          </w:tcPr>
          <w:p w14:paraId="07DCDA4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4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4A" w14:textId="77777777" w:rsidR="00AE727E" w:rsidRDefault="008433E0">
            <w:pPr>
              <w:jc w:val="right"/>
              <w:textAlignment w:val="bottom"/>
            </w:pPr>
            <w:r>
              <w:rPr>
                <w:rFonts w:ascii="Times New Roman" w:eastAsia="宋体" w:hAnsi="Times New Roman"/>
                <w:color w:val="000000"/>
                <w:sz w:val="16"/>
                <w:szCs w:val="16"/>
              </w:rPr>
              <w:t>3,888 </w:t>
            </w:r>
          </w:p>
        </w:tc>
        <w:tc>
          <w:tcPr>
            <w:tcW w:w="0" w:type="auto"/>
            <w:shd w:val="clear" w:color="auto" w:fill="FFFFFF"/>
            <w:tcMar>
              <w:top w:w="40" w:type="dxa"/>
              <w:left w:w="0" w:type="dxa"/>
              <w:bottom w:w="40" w:type="dxa"/>
              <w:right w:w="20" w:type="dxa"/>
            </w:tcMar>
            <w:vAlign w:val="bottom"/>
          </w:tcPr>
          <w:p w14:paraId="07DCDA4B" w14:textId="77777777" w:rsidR="00AE727E" w:rsidRDefault="00AE727E">
            <w:pPr>
              <w:jc w:val="right"/>
              <w:rPr>
                <w:rFonts w:ascii="宋体"/>
              </w:rPr>
            </w:pPr>
          </w:p>
        </w:tc>
      </w:tr>
      <w:tr w:rsidR="00AE727E" w14:paraId="07DCDA68" w14:textId="77777777">
        <w:tc>
          <w:tcPr>
            <w:tcW w:w="0" w:type="auto"/>
            <w:gridSpan w:val="3"/>
            <w:shd w:val="clear" w:color="auto" w:fill="CCEEFF"/>
            <w:tcMar>
              <w:top w:w="40" w:type="dxa"/>
              <w:left w:w="155" w:type="dxa"/>
              <w:bottom w:w="40" w:type="dxa"/>
              <w:right w:w="20" w:type="dxa"/>
            </w:tcMar>
            <w:vAlign w:val="bottom"/>
          </w:tcPr>
          <w:p w14:paraId="07DCDA4D" w14:textId="77777777" w:rsidR="00AE727E" w:rsidRDefault="008433E0">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CCEEFF"/>
            <w:tcMar>
              <w:top w:w="40" w:type="dxa"/>
              <w:left w:w="20" w:type="dxa"/>
              <w:bottom w:w="40" w:type="dxa"/>
              <w:right w:w="0" w:type="dxa"/>
            </w:tcMar>
            <w:vAlign w:val="bottom"/>
          </w:tcPr>
          <w:p w14:paraId="07DCDA4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4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5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5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5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5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5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5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5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5D" w14:textId="77777777" w:rsidR="00AE727E" w:rsidRDefault="008433E0">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DCDA5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5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60" w14:textId="77777777" w:rsidR="00AE727E" w:rsidRDefault="008433E0">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DCDA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6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6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6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6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66" w14:textId="77777777" w:rsidR="00AE727E" w:rsidRDefault="008433E0">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DCDA67" w14:textId="77777777" w:rsidR="00AE727E" w:rsidRDefault="00AE727E">
            <w:pPr>
              <w:jc w:val="right"/>
              <w:rPr>
                <w:rFonts w:ascii="宋体"/>
              </w:rPr>
            </w:pPr>
          </w:p>
        </w:tc>
      </w:tr>
      <w:tr w:rsidR="00AE727E" w14:paraId="07DCDA84" w14:textId="77777777">
        <w:tc>
          <w:tcPr>
            <w:tcW w:w="0" w:type="auto"/>
            <w:gridSpan w:val="3"/>
            <w:shd w:val="clear" w:color="auto" w:fill="FFFFFF"/>
            <w:tcMar>
              <w:top w:w="40" w:type="dxa"/>
              <w:left w:w="155" w:type="dxa"/>
              <w:bottom w:w="40" w:type="dxa"/>
              <w:right w:w="20" w:type="dxa"/>
            </w:tcMar>
            <w:vAlign w:val="bottom"/>
          </w:tcPr>
          <w:p w14:paraId="07DCDA69" w14:textId="77777777" w:rsidR="00AE727E" w:rsidRDefault="008433E0">
            <w:pPr>
              <w:textAlignment w:val="bottom"/>
            </w:pPr>
            <w:r>
              <w:rPr>
                <w:rFonts w:ascii="Times New Roman" w:eastAsia="宋体" w:hAnsi="Times New Roman"/>
                <w:color w:val="000000"/>
                <w:sz w:val="16"/>
                <w:szCs w:val="16"/>
              </w:rPr>
              <w:t>Cash flow hedges, net change</w:t>
            </w:r>
          </w:p>
        </w:tc>
        <w:tc>
          <w:tcPr>
            <w:tcW w:w="0" w:type="auto"/>
            <w:gridSpan w:val="2"/>
            <w:shd w:val="clear" w:color="auto" w:fill="FFFFFF"/>
            <w:tcMar>
              <w:top w:w="40" w:type="dxa"/>
              <w:left w:w="20" w:type="dxa"/>
              <w:bottom w:w="40" w:type="dxa"/>
              <w:right w:w="0" w:type="dxa"/>
            </w:tcMar>
            <w:vAlign w:val="bottom"/>
          </w:tcPr>
          <w:p w14:paraId="07DCDA6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6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6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6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6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6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7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7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7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7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7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9" w14:textId="77777777" w:rsidR="00AE727E" w:rsidRDefault="008433E0">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DCDA7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7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C" w14:textId="77777777" w:rsidR="00AE727E" w:rsidRDefault="008433E0">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DCDA7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7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7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8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8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82" w14:textId="77777777" w:rsidR="00AE727E" w:rsidRDefault="008433E0">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DCDA83" w14:textId="77777777" w:rsidR="00AE727E" w:rsidRDefault="00AE727E">
            <w:pPr>
              <w:jc w:val="right"/>
              <w:rPr>
                <w:rFonts w:ascii="宋体"/>
              </w:rPr>
            </w:pPr>
          </w:p>
        </w:tc>
      </w:tr>
      <w:tr w:rsidR="00AE727E" w14:paraId="07DCDAA0" w14:textId="77777777">
        <w:tc>
          <w:tcPr>
            <w:tcW w:w="0" w:type="auto"/>
            <w:gridSpan w:val="3"/>
            <w:shd w:val="clear" w:color="auto" w:fill="CCEEFF"/>
            <w:tcMar>
              <w:top w:w="40" w:type="dxa"/>
              <w:left w:w="155" w:type="dxa"/>
              <w:bottom w:w="40" w:type="dxa"/>
              <w:right w:w="20" w:type="dxa"/>
            </w:tcMar>
            <w:vAlign w:val="bottom"/>
          </w:tcPr>
          <w:p w14:paraId="07DCDA85" w14:textId="77777777" w:rsidR="00AE727E" w:rsidRDefault="008433E0">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CCEEFF"/>
            <w:tcMar>
              <w:top w:w="40" w:type="dxa"/>
              <w:left w:w="20" w:type="dxa"/>
              <w:bottom w:w="40" w:type="dxa"/>
              <w:right w:w="0" w:type="dxa"/>
            </w:tcMar>
            <w:vAlign w:val="bottom"/>
          </w:tcPr>
          <w:p w14:paraId="07DCDA8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8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8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8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8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8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8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8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8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9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9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9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95" w14:textId="77777777" w:rsidR="00AE727E" w:rsidRDefault="008433E0">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DCDA9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9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98" w14:textId="77777777" w:rsidR="00AE727E" w:rsidRDefault="008433E0">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DCDA9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9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9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9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9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9E" w14:textId="77777777" w:rsidR="00AE727E" w:rsidRDefault="008433E0">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DCDA9F" w14:textId="77777777" w:rsidR="00AE727E" w:rsidRDefault="00AE727E">
            <w:pPr>
              <w:jc w:val="right"/>
              <w:rPr>
                <w:rFonts w:ascii="宋体"/>
              </w:rPr>
            </w:pPr>
          </w:p>
        </w:tc>
      </w:tr>
      <w:tr w:rsidR="00AE727E" w14:paraId="07DCDABC" w14:textId="77777777">
        <w:tc>
          <w:tcPr>
            <w:tcW w:w="0" w:type="auto"/>
            <w:gridSpan w:val="3"/>
            <w:shd w:val="clear" w:color="auto" w:fill="FFFFFF"/>
            <w:tcMar>
              <w:top w:w="40" w:type="dxa"/>
              <w:left w:w="155" w:type="dxa"/>
              <w:bottom w:w="40" w:type="dxa"/>
              <w:right w:w="20" w:type="dxa"/>
            </w:tcMar>
            <w:vAlign w:val="bottom"/>
          </w:tcPr>
          <w:p w14:paraId="07DCDAA1" w14:textId="77777777" w:rsidR="00AE727E" w:rsidRDefault="008433E0">
            <w:pPr>
              <w:textAlignment w:val="bottom"/>
            </w:pPr>
            <w:r>
              <w:rPr>
                <w:rFonts w:ascii="Times New Roman" w:eastAsia="宋体" w:hAnsi="Times New Roman"/>
                <w:color w:val="000000"/>
                <w:sz w:val="16"/>
                <w:szCs w:val="16"/>
              </w:rPr>
              <w:t>Issuance of common stock</w:t>
            </w:r>
          </w:p>
        </w:tc>
        <w:tc>
          <w:tcPr>
            <w:tcW w:w="0" w:type="auto"/>
            <w:gridSpan w:val="2"/>
            <w:shd w:val="clear" w:color="auto" w:fill="FFFFFF"/>
            <w:tcMar>
              <w:top w:w="40" w:type="dxa"/>
              <w:left w:w="20" w:type="dxa"/>
              <w:bottom w:w="40" w:type="dxa"/>
              <w:right w:w="0" w:type="dxa"/>
            </w:tcMar>
            <w:vAlign w:val="bottom"/>
          </w:tcPr>
          <w:p w14:paraId="07DCDAA2" w14:textId="77777777" w:rsidR="00AE727E" w:rsidRDefault="008433E0">
            <w:pPr>
              <w:jc w:val="right"/>
              <w:textAlignment w:val="bottom"/>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bottom"/>
          </w:tcPr>
          <w:p w14:paraId="07DCDA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A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A5" w14:textId="77777777" w:rsidR="00AE727E" w:rsidRDefault="008433E0">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DCDA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A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A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A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A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A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A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A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A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A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B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B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B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B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B4" w14:textId="77777777" w:rsidR="00AE727E" w:rsidRDefault="008433E0">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DCDAB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B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B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B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B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BA" w14:textId="77777777" w:rsidR="00AE727E" w:rsidRDefault="008433E0">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DCDABB" w14:textId="77777777" w:rsidR="00AE727E" w:rsidRDefault="00AE727E">
            <w:pPr>
              <w:jc w:val="right"/>
              <w:rPr>
                <w:rFonts w:ascii="宋体"/>
              </w:rPr>
            </w:pPr>
          </w:p>
        </w:tc>
      </w:tr>
      <w:tr w:rsidR="00AE727E" w14:paraId="07DCDAD8" w14:textId="77777777">
        <w:tc>
          <w:tcPr>
            <w:tcW w:w="0" w:type="auto"/>
            <w:gridSpan w:val="3"/>
            <w:shd w:val="clear" w:color="auto" w:fill="CCEEFF"/>
            <w:tcMar>
              <w:top w:w="40" w:type="dxa"/>
              <w:left w:w="155" w:type="dxa"/>
              <w:bottom w:w="40" w:type="dxa"/>
              <w:right w:w="20" w:type="dxa"/>
            </w:tcMar>
            <w:vAlign w:val="bottom"/>
          </w:tcPr>
          <w:p w14:paraId="07DCDABD" w14:textId="77777777" w:rsidR="00AE727E" w:rsidRDefault="008433E0">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CCEEFF"/>
            <w:tcMar>
              <w:top w:w="40" w:type="dxa"/>
              <w:left w:w="20" w:type="dxa"/>
              <w:bottom w:w="40" w:type="dxa"/>
              <w:right w:w="0" w:type="dxa"/>
            </w:tcMar>
            <w:vAlign w:val="bottom"/>
          </w:tcPr>
          <w:p w14:paraId="07DCDAB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B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C1" w14:textId="77777777" w:rsidR="00AE727E" w:rsidRDefault="008433E0">
            <w:pPr>
              <w:jc w:val="right"/>
              <w:textAlignment w:val="bottom"/>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bottom"/>
          </w:tcPr>
          <w:p w14:paraId="07DCDAC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C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C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C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C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C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C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C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C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C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D0" w14:textId="77777777" w:rsidR="00AE727E" w:rsidRDefault="008433E0">
            <w:pPr>
              <w:jc w:val="right"/>
              <w:textAlignment w:val="bottom"/>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bottom"/>
          </w:tcPr>
          <w:p w14:paraId="07DCDAD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D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D3" w14:textId="77777777" w:rsidR="00AE727E" w:rsidRDefault="008433E0">
            <w:pPr>
              <w:jc w:val="right"/>
              <w:textAlignment w:val="bottom"/>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bottom"/>
          </w:tcPr>
          <w:p w14:paraId="07DCDAD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D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D6" w14:textId="77777777" w:rsidR="00AE727E" w:rsidRDefault="008433E0">
            <w:pPr>
              <w:jc w:val="right"/>
              <w:textAlignment w:val="bottom"/>
            </w:pPr>
            <w:r>
              <w:rPr>
                <w:rFonts w:ascii="Times New Roman" w:eastAsia="宋体" w:hAnsi="Times New Roman"/>
                <w:color w:val="000000"/>
                <w:sz w:val="16"/>
                <w:szCs w:val="16"/>
              </w:rPr>
              <w:t>472 </w:t>
            </w:r>
          </w:p>
        </w:tc>
        <w:tc>
          <w:tcPr>
            <w:tcW w:w="0" w:type="auto"/>
            <w:shd w:val="clear" w:color="auto" w:fill="CCEEFF"/>
            <w:tcMar>
              <w:top w:w="40" w:type="dxa"/>
              <w:left w:w="0" w:type="dxa"/>
              <w:bottom w:w="40" w:type="dxa"/>
              <w:right w:w="20" w:type="dxa"/>
            </w:tcMar>
            <w:vAlign w:val="bottom"/>
          </w:tcPr>
          <w:p w14:paraId="07DCDAD7" w14:textId="77777777" w:rsidR="00AE727E" w:rsidRDefault="00AE727E">
            <w:pPr>
              <w:jc w:val="right"/>
              <w:rPr>
                <w:rFonts w:ascii="宋体"/>
              </w:rPr>
            </w:pPr>
          </w:p>
        </w:tc>
      </w:tr>
      <w:tr w:rsidR="00AE727E" w14:paraId="07DCDAF4" w14:textId="77777777">
        <w:tc>
          <w:tcPr>
            <w:tcW w:w="0" w:type="auto"/>
            <w:gridSpan w:val="3"/>
            <w:shd w:val="clear" w:color="auto" w:fill="FFFFFF"/>
            <w:tcMar>
              <w:top w:w="40" w:type="dxa"/>
              <w:left w:w="155" w:type="dxa"/>
              <w:bottom w:w="40" w:type="dxa"/>
              <w:right w:w="20" w:type="dxa"/>
            </w:tcMar>
            <w:vAlign w:val="bottom"/>
          </w:tcPr>
          <w:p w14:paraId="07DCDAD9" w14:textId="77777777" w:rsidR="00AE727E" w:rsidRDefault="008433E0">
            <w:pPr>
              <w:textAlignment w:val="bottom"/>
            </w:pPr>
            <w:r>
              <w:rPr>
                <w:rFonts w:ascii="Times New Roman" w:eastAsia="宋体" w:hAnsi="Times New Roman"/>
                <w:color w:val="000000"/>
                <w:sz w:val="16"/>
                <w:szCs w:val="16"/>
              </w:rPr>
              <w:t>Treasury stock repurchases</w:t>
            </w:r>
          </w:p>
        </w:tc>
        <w:tc>
          <w:tcPr>
            <w:tcW w:w="0" w:type="auto"/>
            <w:gridSpan w:val="2"/>
            <w:shd w:val="clear" w:color="auto" w:fill="FFFFFF"/>
            <w:tcMar>
              <w:top w:w="40" w:type="dxa"/>
              <w:left w:w="20" w:type="dxa"/>
              <w:bottom w:w="40" w:type="dxa"/>
              <w:right w:w="0" w:type="dxa"/>
            </w:tcMar>
            <w:vAlign w:val="bottom"/>
          </w:tcPr>
          <w:p w14:paraId="07DCDAD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D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D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D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D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D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E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E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E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E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E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E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E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E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E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E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AF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AF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AF3" w14:textId="77777777" w:rsidR="00AE727E" w:rsidRDefault="00AE727E">
            <w:pPr>
              <w:jc w:val="right"/>
              <w:rPr>
                <w:rFonts w:ascii="宋体"/>
              </w:rPr>
            </w:pPr>
          </w:p>
        </w:tc>
      </w:tr>
      <w:tr w:rsidR="00AE727E" w14:paraId="07DCDB10" w14:textId="77777777">
        <w:tc>
          <w:tcPr>
            <w:tcW w:w="0" w:type="auto"/>
            <w:gridSpan w:val="3"/>
            <w:shd w:val="clear" w:color="auto" w:fill="CCEEFF"/>
            <w:tcMar>
              <w:top w:w="40" w:type="dxa"/>
              <w:left w:w="155" w:type="dxa"/>
              <w:bottom w:w="40" w:type="dxa"/>
              <w:right w:w="20" w:type="dxa"/>
            </w:tcMar>
            <w:vAlign w:val="bottom"/>
          </w:tcPr>
          <w:p w14:paraId="07DCDAF5" w14:textId="77777777" w:rsidR="00AE727E" w:rsidRDefault="008433E0">
            <w:pPr>
              <w:textAlignment w:val="bottom"/>
            </w:pPr>
            <w:r>
              <w:rPr>
                <w:rFonts w:ascii="Times New Roman" w:eastAsia="宋体" w:hAnsi="Times New Roman"/>
                <w:color w:val="000000"/>
                <w:sz w:val="16"/>
                <w:szCs w:val="16"/>
              </w:rPr>
              <w:t>Revaluation of redeemable shares</w:t>
            </w:r>
          </w:p>
        </w:tc>
        <w:tc>
          <w:tcPr>
            <w:tcW w:w="0" w:type="auto"/>
            <w:gridSpan w:val="2"/>
            <w:shd w:val="clear" w:color="auto" w:fill="CCEEFF"/>
            <w:tcMar>
              <w:top w:w="40" w:type="dxa"/>
              <w:left w:w="20" w:type="dxa"/>
              <w:bottom w:w="40" w:type="dxa"/>
              <w:right w:w="0" w:type="dxa"/>
            </w:tcMar>
            <w:vAlign w:val="bottom"/>
          </w:tcPr>
          <w:p w14:paraId="07DCDAF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F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F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F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F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F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F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AF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AF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AF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0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B0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0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B0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0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B0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0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B0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B0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B0F" w14:textId="77777777" w:rsidR="00AE727E" w:rsidRDefault="00AE727E">
            <w:pPr>
              <w:jc w:val="right"/>
              <w:rPr>
                <w:rFonts w:ascii="宋体"/>
              </w:rPr>
            </w:pPr>
          </w:p>
        </w:tc>
      </w:tr>
      <w:tr w:rsidR="00AE727E" w14:paraId="07DCDB2C" w14:textId="77777777">
        <w:tc>
          <w:tcPr>
            <w:tcW w:w="0" w:type="auto"/>
            <w:gridSpan w:val="3"/>
            <w:shd w:val="clear" w:color="auto" w:fill="FFFFFF"/>
            <w:tcMar>
              <w:top w:w="40" w:type="dxa"/>
              <w:left w:w="155" w:type="dxa"/>
              <w:bottom w:w="40" w:type="dxa"/>
              <w:right w:w="20" w:type="dxa"/>
            </w:tcMar>
            <w:vAlign w:val="bottom"/>
          </w:tcPr>
          <w:p w14:paraId="07DCDB11" w14:textId="77777777" w:rsidR="00AE727E" w:rsidRDefault="008433E0">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07DCDB1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B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1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15" w14:textId="77777777" w:rsidR="00AE727E" w:rsidRDefault="008433E0">
            <w:pPr>
              <w:jc w:val="right"/>
              <w:textAlignment w:val="bottom"/>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bottom"/>
          </w:tcPr>
          <w:p w14:paraId="07DCDB1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1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1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B1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1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1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B1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1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1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B1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2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2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B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2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24" w14:textId="77777777" w:rsidR="00AE727E" w:rsidRDefault="008433E0">
            <w:pPr>
              <w:jc w:val="right"/>
              <w:textAlignment w:val="bottom"/>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bottom"/>
          </w:tcPr>
          <w:p w14:paraId="07DCDB2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2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27" w14:textId="77777777" w:rsidR="00AE727E" w:rsidRDefault="008433E0">
            <w:pPr>
              <w:jc w:val="right"/>
              <w:textAlignment w:val="bottom"/>
            </w:pPr>
            <w:r>
              <w:rPr>
                <w:rFonts w:ascii="Times New Roman" w:eastAsia="宋体" w:hAnsi="Times New Roman"/>
                <w:color w:val="000000"/>
                <w:sz w:val="16"/>
                <w:szCs w:val="16"/>
              </w:rPr>
              <w:t>(191)</w:t>
            </w:r>
          </w:p>
        </w:tc>
        <w:tc>
          <w:tcPr>
            <w:tcW w:w="0" w:type="auto"/>
            <w:shd w:val="clear" w:color="auto" w:fill="FFFFFF"/>
            <w:tcMar>
              <w:top w:w="40" w:type="dxa"/>
              <w:left w:w="0" w:type="dxa"/>
              <w:bottom w:w="40" w:type="dxa"/>
              <w:right w:w="20" w:type="dxa"/>
            </w:tcMar>
            <w:vAlign w:val="bottom"/>
          </w:tcPr>
          <w:p w14:paraId="07DCDB2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B2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B2A" w14:textId="77777777" w:rsidR="00AE727E" w:rsidRDefault="008433E0">
            <w:pPr>
              <w:jc w:val="right"/>
              <w:textAlignment w:val="bottom"/>
            </w:pPr>
            <w:r>
              <w:rPr>
                <w:rFonts w:ascii="Times New Roman" w:eastAsia="宋体" w:hAnsi="Times New Roman"/>
                <w:color w:val="000000"/>
                <w:sz w:val="16"/>
                <w:szCs w:val="16"/>
              </w:rPr>
              <w:t>(53)</w:t>
            </w:r>
          </w:p>
        </w:tc>
        <w:tc>
          <w:tcPr>
            <w:tcW w:w="0" w:type="auto"/>
            <w:shd w:val="clear" w:color="auto" w:fill="FFFFFF"/>
            <w:tcMar>
              <w:top w:w="40" w:type="dxa"/>
              <w:left w:w="0" w:type="dxa"/>
              <w:bottom w:w="40" w:type="dxa"/>
              <w:right w:w="20" w:type="dxa"/>
            </w:tcMar>
            <w:vAlign w:val="bottom"/>
          </w:tcPr>
          <w:p w14:paraId="07DCDB2B" w14:textId="77777777" w:rsidR="00AE727E" w:rsidRDefault="00AE727E">
            <w:pPr>
              <w:jc w:val="right"/>
              <w:rPr>
                <w:rFonts w:ascii="宋体"/>
              </w:rPr>
            </w:pPr>
          </w:p>
        </w:tc>
      </w:tr>
      <w:tr w:rsidR="00AE727E" w14:paraId="07DCDB3F" w14:textId="77777777">
        <w:trPr>
          <w:hidden/>
        </w:trPr>
        <w:tc>
          <w:tcPr>
            <w:tcW w:w="0" w:type="auto"/>
            <w:gridSpan w:val="3"/>
            <w:shd w:val="clear" w:color="auto" w:fill="auto"/>
            <w:vAlign w:val="bottom"/>
          </w:tcPr>
          <w:p w14:paraId="07DCDB2D" w14:textId="77777777" w:rsidR="00AE727E" w:rsidRDefault="00AE727E">
            <w:pPr>
              <w:rPr>
                <w:rFonts w:ascii="宋体"/>
                <w:vanish/>
              </w:rPr>
            </w:pPr>
          </w:p>
        </w:tc>
        <w:tc>
          <w:tcPr>
            <w:tcW w:w="0" w:type="auto"/>
            <w:gridSpan w:val="3"/>
            <w:shd w:val="clear" w:color="auto" w:fill="auto"/>
            <w:vAlign w:val="bottom"/>
          </w:tcPr>
          <w:p w14:paraId="07DCDB2E" w14:textId="77777777" w:rsidR="00AE727E" w:rsidRDefault="00AE727E">
            <w:pPr>
              <w:rPr>
                <w:rFonts w:ascii="宋体"/>
                <w:vanish/>
              </w:rPr>
            </w:pPr>
          </w:p>
        </w:tc>
        <w:tc>
          <w:tcPr>
            <w:tcW w:w="0" w:type="auto"/>
            <w:gridSpan w:val="3"/>
            <w:shd w:val="clear" w:color="auto" w:fill="auto"/>
            <w:vAlign w:val="bottom"/>
          </w:tcPr>
          <w:p w14:paraId="07DCDB2F" w14:textId="77777777" w:rsidR="00AE727E" w:rsidRDefault="00AE727E">
            <w:pPr>
              <w:rPr>
                <w:rFonts w:ascii="宋体"/>
                <w:vanish/>
              </w:rPr>
            </w:pPr>
          </w:p>
        </w:tc>
        <w:tc>
          <w:tcPr>
            <w:tcW w:w="0" w:type="auto"/>
            <w:gridSpan w:val="3"/>
            <w:shd w:val="clear" w:color="auto" w:fill="auto"/>
            <w:vAlign w:val="bottom"/>
          </w:tcPr>
          <w:p w14:paraId="07DCDB30" w14:textId="77777777" w:rsidR="00AE727E" w:rsidRDefault="00AE727E">
            <w:pPr>
              <w:rPr>
                <w:rFonts w:ascii="宋体"/>
                <w:vanish/>
              </w:rPr>
            </w:pPr>
          </w:p>
        </w:tc>
        <w:tc>
          <w:tcPr>
            <w:tcW w:w="0" w:type="auto"/>
            <w:gridSpan w:val="3"/>
            <w:shd w:val="clear" w:color="auto" w:fill="auto"/>
            <w:vAlign w:val="bottom"/>
          </w:tcPr>
          <w:p w14:paraId="07DCDB31" w14:textId="77777777" w:rsidR="00AE727E" w:rsidRDefault="00AE727E">
            <w:pPr>
              <w:rPr>
                <w:rFonts w:ascii="宋体"/>
                <w:vanish/>
              </w:rPr>
            </w:pPr>
          </w:p>
        </w:tc>
        <w:tc>
          <w:tcPr>
            <w:tcW w:w="0" w:type="auto"/>
            <w:gridSpan w:val="3"/>
            <w:shd w:val="clear" w:color="auto" w:fill="auto"/>
            <w:vAlign w:val="bottom"/>
          </w:tcPr>
          <w:p w14:paraId="07DCDB32" w14:textId="77777777" w:rsidR="00AE727E" w:rsidRDefault="00AE727E">
            <w:pPr>
              <w:rPr>
                <w:rFonts w:ascii="宋体"/>
                <w:vanish/>
              </w:rPr>
            </w:pPr>
          </w:p>
        </w:tc>
        <w:tc>
          <w:tcPr>
            <w:tcW w:w="0" w:type="auto"/>
            <w:gridSpan w:val="3"/>
            <w:shd w:val="clear" w:color="auto" w:fill="auto"/>
            <w:vAlign w:val="bottom"/>
          </w:tcPr>
          <w:p w14:paraId="07DCDB33" w14:textId="77777777" w:rsidR="00AE727E" w:rsidRDefault="00AE727E">
            <w:pPr>
              <w:rPr>
                <w:rFonts w:ascii="宋体"/>
                <w:vanish/>
              </w:rPr>
            </w:pPr>
          </w:p>
        </w:tc>
        <w:tc>
          <w:tcPr>
            <w:tcW w:w="0" w:type="auto"/>
            <w:gridSpan w:val="3"/>
            <w:shd w:val="clear" w:color="auto" w:fill="auto"/>
            <w:vAlign w:val="bottom"/>
          </w:tcPr>
          <w:p w14:paraId="07DCDB34" w14:textId="77777777" w:rsidR="00AE727E" w:rsidRDefault="00AE727E">
            <w:pPr>
              <w:rPr>
                <w:rFonts w:ascii="宋体"/>
                <w:vanish/>
              </w:rPr>
            </w:pPr>
          </w:p>
        </w:tc>
        <w:tc>
          <w:tcPr>
            <w:tcW w:w="0" w:type="auto"/>
            <w:gridSpan w:val="3"/>
            <w:shd w:val="clear" w:color="auto" w:fill="auto"/>
            <w:vAlign w:val="bottom"/>
          </w:tcPr>
          <w:p w14:paraId="07DCDB35" w14:textId="77777777" w:rsidR="00AE727E" w:rsidRDefault="00AE727E">
            <w:pPr>
              <w:rPr>
                <w:rFonts w:ascii="宋体"/>
                <w:vanish/>
              </w:rPr>
            </w:pPr>
          </w:p>
        </w:tc>
        <w:tc>
          <w:tcPr>
            <w:tcW w:w="0" w:type="auto"/>
            <w:gridSpan w:val="3"/>
            <w:shd w:val="clear" w:color="auto" w:fill="auto"/>
            <w:vAlign w:val="bottom"/>
          </w:tcPr>
          <w:p w14:paraId="07DCDB36" w14:textId="77777777" w:rsidR="00AE727E" w:rsidRDefault="00AE727E">
            <w:pPr>
              <w:rPr>
                <w:rFonts w:ascii="宋体"/>
                <w:vanish/>
              </w:rPr>
            </w:pPr>
          </w:p>
        </w:tc>
        <w:tc>
          <w:tcPr>
            <w:tcW w:w="0" w:type="auto"/>
            <w:gridSpan w:val="3"/>
            <w:shd w:val="clear" w:color="auto" w:fill="auto"/>
            <w:vAlign w:val="bottom"/>
          </w:tcPr>
          <w:p w14:paraId="07DCDB37" w14:textId="77777777" w:rsidR="00AE727E" w:rsidRDefault="00AE727E">
            <w:pPr>
              <w:rPr>
                <w:rFonts w:ascii="宋体"/>
                <w:vanish/>
              </w:rPr>
            </w:pPr>
          </w:p>
        </w:tc>
        <w:tc>
          <w:tcPr>
            <w:tcW w:w="0" w:type="auto"/>
            <w:gridSpan w:val="3"/>
            <w:shd w:val="clear" w:color="auto" w:fill="auto"/>
            <w:vAlign w:val="bottom"/>
          </w:tcPr>
          <w:p w14:paraId="07DCDB38" w14:textId="77777777" w:rsidR="00AE727E" w:rsidRDefault="00AE727E">
            <w:pPr>
              <w:rPr>
                <w:rFonts w:ascii="宋体"/>
                <w:vanish/>
              </w:rPr>
            </w:pPr>
          </w:p>
        </w:tc>
        <w:tc>
          <w:tcPr>
            <w:tcW w:w="0" w:type="auto"/>
            <w:gridSpan w:val="3"/>
            <w:shd w:val="clear" w:color="auto" w:fill="auto"/>
            <w:vAlign w:val="bottom"/>
          </w:tcPr>
          <w:p w14:paraId="07DCDB39" w14:textId="77777777" w:rsidR="00AE727E" w:rsidRDefault="00AE727E">
            <w:pPr>
              <w:rPr>
                <w:rFonts w:ascii="宋体"/>
                <w:vanish/>
              </w:rPr>
            </w:pPr>
          </w:p>
        </w:tc>
        <w:tc>
          <w:tcPr>
            <w:tcW w:w="0" w:type="auto"/>
            <w:gridSpan w:val="3"/>
            <w:shd w:val="clear" w:color="auto" w:fill="auto"/>
            <w:vAlign w:val="bottom"/>
          </w:tcPr>
          <w:p w14:paraId="07DCDB3A" w14:textId="77777777" w:rsidR="00AE727E" w:rsidRDefault="00AE727E">
            <w:pPr>
              <w:rPr>
                <w:rFonts w:ascii="宋体"/>
                <w:vanish/>
              </w:rPr>
            </w:pPr>
          </w:p>
        </w:tc>
        <w:tc>
          <w:tcPr>
            <w:tcW w:w="0" w:type="auto"/>
            <w:gridSpan w:val="3"/>
            <w:shd w:val="clear" w:color="auto" w:fill="auto"/>
            <w:vAlign w:val="bottom"/>
          </w:tcPr>
          <w:p w14:paraId="07DCDB3B" w14:textId="77777777" w:rsidR="00AE727E" w:rsidRDefault="00AE727E">
            <w:pPr>
              <w:rPr>
                <w:rFonts w:ascii="宋体"/>
                <w:vanish/>
              </w:rPr>
            </w:pPr>
          </w:p>
        </w:tc>
        <w:tc>
          <w:tcPr>
            <w:tcW w:w="0" w:type="auto"/>
            <w:gridSpan w:val="3"/>
            <w:shd w:val="clear" w:color="auto" w:fill="auto"/>
            <w:vAlign w:val="bottom"/>
          </w:tcPr>
          <w:p w14:paraId="07DCDB3C" w14:textId="77777777" w:rsidR="00AE727E" w:rsidRDefault="00AE727E">
            <w:pPr>
              <w:rPr>
                <w:rFonts w:ascii="宋体"/>
                <w:vanish/>
              </w:rPr>
            </w:pPr>
          </w:p>
        </w:tc>
        <w:tc>
          <w:tcPr>
            <w:tcW w:w="0" w:type="auto"/>
            <w:gridSpan w:val="3"/>
            <w:shd w:val="clear" w:color="auto" w:fill="auto"/>
            <w:vAlign w:val="bottom"/>
          </w:tcPr>
          <w:p w14:paraId="07DCDB3D" w14:textId="77777777" w:rsidR="00AE727E" w:rsidRDefault="00AE727E">
            <w:pPr>
              <w:rPr>
                <w:rFonts w:ascii="宋体"/>
                <w:vanish/>
              </w:rPr>
            </w:pPr>
          </w:p>
        </w:tc>
        <w:tc>
          <w:tcPr>
            <w:tcW w:w="0" w:type="auto"/>
            <w:gridSpan w:val="3"/>
            <w:shd w:val="clear" w:color="auto" w:fill="auto"/>
            <w:vAlign w:val="bottom"/>
          </w:tcPr>
          <w:p w14:paraId="07DCDB3E" w14:textId="77777777" w:rsidR="00AE727E" w:rsidRDefault="00AE727E">
            <w:pPr>
              <w:rPr>
                <w:rFonts w:ascii="宋体"/>
                <w:vanish/>
              </w:rPr>
            </w:pPr>
          </w:p>
        </w:tc>
      </w:tr>
      <w:tr w:rsidR="008433E0" w14:paraId="07DCDB62" w14:textId="77777777">
        <w:tc>
          <w:tcPr>
            <w:tcW w:w="0" w:type="auto"/>
            <w:gridSpan w:val="3"/>
            <w:shd w:val="clear" w:color="auto" w:fill="CCEEFF"/>
            <w:tcMar>
              <w:top w:w="40" w:type="dxa"/>
              <w:left w:w="20" w:type="dxa"/>
              <w:bottom w:w="40" w:type="dxa"/>
              <w:right w:w="20" w:type="dxa"/>
            </w:tcMar>
            <w:vAlign w:val="bottom"/>
          </w:tcPr>
          <w:p w14:paraId="07DCDB40" w14:textId="77777777" w:rsidR="00AE727E" w:rsidRDefault="008433E0">
            <w:pPr>
              <w:textAlignment w:val="bottom"/>
            </w:pPr>
            <w:r>
              <w:rPr>
                <w:rFonts w:ascii="Times New Roman" w:eastAsia="宋体" w:hAnsi="Times New Roman"/>
                <w:b/>
                <w:bCs/>
                <w:color w:val="000000"/>
                <w:sz w:val="16"/>
                <w:szCs w:val="16"/>
              </w:rPr>
              <w:t>Balances as of October 29,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41" w14:textId="77777777" w:rsidR="00AE727E" w:rsidRDefault="008433E0">
            <w:pPr>
              <w:jc w:val="right"/>
              <w:textAlignment w:val="bottom"/>
            </w:pPr>
            <w:r>
              <w:rPr>
                <w:rFonts w:ascii="Times New Roman" w:eastAsia="宋体" w:hAnsi="Times New Roman"/>
                <w:color w:val="000000"/>
                <w:sz w:val="16"/>
                <w:szCs w:val="16"/>
              </w:rPr>
              <w:t>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43"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4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45" w14:textId="77777777" w:rsidR="00AE727E" w:rsidRDefault="008433E0">
            <w:pPr>
              <w:jc w:val="right"/>
              <w:textAlignment w:val="bottom"/>
            </w:pPr>
            <w:r>
              <w:rPr>
                <w:rFonts w:ascii="Times New Roman" w:eastAsia="宋体" w:hAnsi="Times New Roman"/>
                <w:color w:val="000000"/>
                <w:sz w:val="16"/>
                <w:szCs w:val="16"/>
              </w:rPr>
              <w:t>17,843 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4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47"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48"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4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4A"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4B"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4C"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4E"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4F"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50" w14:textId="77777777" w:rsidR="00AE727E" w:rsidRDefault="008433E0">
            <w:pPr>
              <w:jc w:val="right"/>
              <w:textAlignment w:val="bottom"/>
            </w:pPr>
            <w:r>
              <w:rPr>
                <w:rFonts w:ascii="Times New Roman" w:eastAsia="宋体" w:hAnsi="Times New Roman"/>
                <w:color w:val="000000"/>
                <w:sz w:val="16"/>
                <w:szCs w:val="16"/>
              </w:rPr>
              <w:t>(8,190)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5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52"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53"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54" w14:textId="77777777" w:rsidR="00AE727E" w:rsidRDefault="008433E0">
            <w:pPr>
              <w:jc w:val="right"/>
              <w:textAlignment w:val="bottom"/>
            </w:pPr>
            <w:r>
              <w:rPr>
                <w:rFonts w:ascii="Times New Roman" w:eastAsia="宋体" w:hAnsi="Times New Roman"/>
                <w:color w:val="000000"/>
                <w:sz w:val="16"/>
                <w:szCs w:val="16"/>
              </w:rPr>
              <w:t>(394)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56"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57"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58" w14:textId="77777777" w:rsidR="00AE727E" w:rsidRDefault="008433E0">
            <w:pPr>
              <w:jc w:val="right"/>
              <w:textAlignment w:val="bottom"/>
            </w:pPr>
            <w:r>
              <w:rPr>
                <w:rFonts w:ascii="Times New Roman" w:eastAsia="宋体" w:hAnsi="Times New Roman"/>
                <w:color w:val="000000"/>
                <w:sz w:val="16"/>
                <w:szCs w:val="16"/>
              </w:rPr>
              <w:t>8,954 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5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5A"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5B"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5C" w14:textId="77777777" w:rsidR="00AE727E" w:rsidRDefault="008433E0">
            <w:pPr>
              <w:jc w:val="right"/>
              <w:textAlignment w:val="bottom"/>
            </w:pPr>
            <w:r>
              <w:rPr>
                <w:rFonts w:ascii="Times New Roman" w:eastAsia="宋体" w:hAnsi="Times New Roman"/>
                <w:color w:val="000000"/>
                <w:sz w:val="16"/>
                <w:szCs w:val="16"/>
              </w:rPr>
              <w:t>5,240 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5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5E"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B5F"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B60" w14:textId="77777777" w:rsidR="00AE727E" w:rsidRDefault="008433E0">
            <w:pPr>
              <w:jc w:val="right"/>
              <w:textAlignment w:val="bottom"/>
            </w:pPr>
            <w:r>
              <w:rPr>
                <w:rFonts w:ascii="Times New Roman" w:eastAsia="宋体" w:hAnsi="Times New Roman"/>
                <w:color w:val="000000"/>
                <w:sz w:val="16"/>
                <w:szCs w:val="16"/>
              </w:rPr>
              <w:t>14,194 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B61" w14:textId="77777777" w:rsidR="00AE727E" w:rsidRDefault="00AE727E">
            <w:pPr>
              <w:jc w:val="right"/>
              <w:rPr>
                <w:rFonts w:ascii="宋体"/>
              </w:rPr>
            </w:pPr>
          </w:p>
        </w:tc>
      </w:tr>
      <w:tr w:rsidR="00AE727E" w14:paraId="07DCDB75" w14:textId="77777777">
        <w:trPr>
          <w:hidden/>
        </w:trPr>
        <w:tc>
          <w:tcPr>
            <w:tcW w:w="0" w:type="auto"/>
            <w:gridSpan w:val="3"/>
            <w:shd w:val="clear" w:color="auto" w:fill="auto"/>
            <w:vAlign w:val="bottom"/>
          </w:tcPr>
          <w:p w14:paraId="07DCDB63" w14:textId="77777777" w:rsidR="00AE727E" w:rsidRDefault="00AE727E">
            <w:pPr>
              <w:rPr>
                <w:rFonts w:ascii="宋体"/>
                <w:vanish/>
              </w:rPr>
            </w:pPr>
          </w:p>
        </w:tc>
        <w:tc>
          <w:tcPr>
            <w:tcW w:w="0" w:type="auto"/>
            <w:gridSpan w:val="3"/>
            <w:shd w:val="clear" w:color="auto" w:fill="auto"/>
            <w:vAlign w:val="bottom"/>
          </w:tcPr>
          <w:p w14:paraId="07DCDB64" w14:textId="77777777" w:rsidR="00AE727E" w:rsidRDefault="00AE727E">
            <w:pPr>
              <w:rPr>
                <w:rFonts w:ascii="宋体"/>
                <w:vanish/>
              </w:rPr>
            </w:pPr>
          </w:p>
        </w:tc>
        <w:tc>
          <w:tcPr>
            <w:tcW w:w="0" w:type="auto"/>
            <w:gridSpan w:val="3"/>
            <w:shd w:val="clear" w:color="auto" w:fill="auto"/>
            <w:vAlign w:val="bottom"/>
          </w:tcPr>
          <w:p w14:paraId="07DCDB65" w14:textId="77777777" w:rsidR="00AE727E" w:rsidRDefault="00AE727E">
            <w:pPr>
              <w:rPr>
                <w:rFonts w:ascii="宋体"/>
                <w:vanish/>
              </w:rPr>
            </w:pPr>
          </w:p>
        </w:tc>
        <w:tc>
          <w:tcPr>
            <w:tcW w:w="0" w:type="auto"/>
            <w:gridSpan w:val="3"/>
            <w:shd w:val="clear" w:color="auto" w:fill="auto"/>
            <w:vAlign w:val="bottom"/>
          </w:tcPr>
          <w:p w14:paraId="07DCDB66" w14:textId="77777777" w:rsidR="00AE727E" w:rsidRDefault="00AE727E">
            <w:pPr>
              <w:rPr>
                <w:rFonts w:ascii="宋体"/>
                <w:vanish/>
              </w:rPr>
            </w:pPr>
          </w:p>
        </w:tc>
        <w:tc>
          <w:tcPr>
            <w:tcW w:w="0" w:type="auto"/>
            <w:gridSpan w:val="3"/>
            <w:shd w:val="clear" w:color="auto" w:fill="auto"/>
            <w:vAlign w:val="bottom"/>
          </w:tcPr>
          <w:p w14:paraId="07DCDB67" w14:textId="77777777" w:rsidR="00AE727E" w:rsidRDefault="00AE727E">
            <w:pPr>
              <w:rPr>
                <w:rFonts w:ascii="宋体"/>
                <w:vanish/>
              </w:rPr>
            </w:pPr>
          </w:p>
        </w:tc>
        <w:tc>
          <w:tcPr>
            <w:tcW w:w="0" w:type="auto"/>
            <w:gridSpan w:val="3"/>
            <w:shd w:val="clear" w:color="auto" w:fill="auto"/>
            <w:vAlign w:val="bottom"/>
          </w:tcPr>
          <w:p w14:paraId="07DCDB68" w14:textId="77777777" w:rsidR="00AE727E" w:rsidRDefault="00AE727E">
            <w:pPr>
              <w:rPr>
                <w:rFonts w:ascii="宋体"/>
                <w:vanish/>
              </w:rPr>
            </w:pPr>
          </w:p>
        </w:tc>
        <w:tc>
          <w:tcPr>
            <w:tcW w:w="0" w:type="auto"/>
            <w:gridSpan w:val="3"/>
            <w:shd w:val="clear" w:color="auto" w:fill="auto"/>
            <w:vAlign w:val="bottom"/>
          </w:tcPr>
          <w:p w14:paraId="07DCDB69" w14:textId="77777777" w:rsidR="00AE727E" w:rsidRDefault="00AE727E">
            <w:pPr>
              <w:rPr>
                <w:rFonts w:ascii="宋体"/>
                <w:vanish/>
              </w:rPr>
            </w:pPr>
          </w:p>
        </w:tc>
        <w:tc>
          <w:tcPr>
            <w:tcW w:w="0" w:type="auto"/>
            <w:gridSpan w:val="3"/>
            <w:shd w:val="clear" w:color="auto" w:fill="auto"/>
            <w:vAlign w:val="bottom"/>
          </w:tcPr>
          <w:p w14:paraId="07DCDB6A" w14:textId="77777777" w:rsidR="00AE727E" w:rsidRDefault="00AE727E">
            <w:pPr>
              <w:rPr>
                <w:rFonts w:ascii="宋体"/>
                <w:vanish/>
              </w:rPr>
            </w:pPr>
          </w:p>
        </w:tc>
        <w:tc>
          <w:tcPr>
            <w:tcW w:w="0" w:type="auto"/>
            <w:gridSpan w:val="3"/>
            <w:shd w:val="clear" w:color="auto" w:fill="auto"/>
            <w:vAlign w:val="bottom"/>
          </w:tcPr>
          <w:p w14:paraId="07DCDB6B" w14:textId="77777777" w:rsidR="00AE727E" w:rsidRDefault="00AE727E">
            <w:pPr>
              <w:rPr>
                <w:rFonts w:ascii="宋体"/>
                <w:vanish/>
              </w:rPr>
            </w:pPr>
          </w:p>
        </w:tc>
        <w:tc>
          <w:tcPr>
            <w:tcW w:w="0" w:type="auto"/>
            <w:gridSpan w:val="3"/>
            <w:shd w:val="clear" w:color="auto" w:fill="auto"/>
            <w:vAlign w:val="bottom"/>
          </w:tcPr>
          <w:p w14:paraId="07DCDB6C" w14:textId="77777777" w:rsidR="00AE727E" w:rsidRDefault="00AE727E">
            <w:pPr>
              <w:rPr>
                <w:rFonts w:ascii="宋体"/>
                <w:vanish/>
              </w:rPr>
            </w:pPr>
          </w:p>
        </w:tc>
        <w:tc>
          <w:tcPr>
            <w:tcW w:w="0" w:type="auto"/>
            <w:gridSpan w:val="3"/>
            <w:shd w:val="clear" w:color="auto" w:fill="auto"/>
            <w:vAlign w:val="bottom"/>
          </w:tcPr>
          <w:p w14:paraId="07DCDB6D" w14:textId="77777777" w:rsidR="00AE727E" w:rsidRDefault="00AE727E">
            <w:pPr>
              <w:rPr>
                <w:rFonts w:ascii="宋体"/>
                <w:vanish/>
              </w:rPr>
            </w:pPr>
          </w:p>
        </w:tc>
        <w:tc>
          <w:tcPr>
            <w:tcW w:w="0" w:type="auto"/>
            <w:gridSpan w:val="3"/>
            <w:shd w:val="clear" w:color="auto" w:fill="auto"/>
            <w:vAlign w:val="bottom"/>
          </w:tcPr>
          <w:p w14:paraId="07DCDB6E" w14:textId="77777777" w:rsidR="00AE727E" w:rsidRDefault="00AE727E">
            <w:pPr>
              <w:rPr>
                <w:rFonts w:ascii="宋体"/>
                <w:vanish/>
              </w:rPr>
            </w:pPr>
          </w:p>
        </w:tc>
        <w:tc>
          <w:tcPr>
            <w:tcW w:w="0" w:type="auto"/>
            <w:gridSpan w:val="3"/>
            <w:shd w:val="clear" w:color="auto" w:fill="auto"/>
            <w:vAlign w:val="bottom"/>
          </w:tcPr>
          <w:p w14:paraId="07DCDB6F" w14:textId="77777777" w:rsidR="00AE727E" w:rsidRDefault="00AE727E">
            <w:pPr>
              <w:rPr>
                <w:rFonts w:ascii="宋体"/>
                <w:vanish/>
              </w:rPr>
            </w:pPr>
          </w:p>
        </w:tc>
        <w:tc>
          <w:tcPr>
            <w:tcW w:w="0" w:type="auto"/>
            <w:gridSpan w:val="3"/>
            <w:shd w:val="clear" w:color="auto" w:fill="auto"/>
            <w:vAlign w:val="bottom"/>
          </w:tcPr>
          <w:p w14:paraId="07DCDB70" w14:textId="77777777" w:rsidR="00AE727E" w:rsidRDefault="00AE727E">
            <w:pPr>
              <w:rPr>
                <w:rFonts w:ascii="宋体"/>
                <w:vanish/>
              </w:rPr>
            </w:pPr>
          </w:p>
        </w:tc>
        <w:tc>
          <w:tcPr>
            <w:tcW w:w="0" w:type="auto"/>
            <w:gridSpan w:val="3"/>
            <w:shd w:val="clear" w:color="auto" w:fill="auto"/>
            <w:vAlign w:val="bottom"/>
          </w:tcPr>
          <w:p w14:paraId="07DCDB71" w14:textId="77777777" w:rsidR="00AE727E" w:rsidRDefault="00AE727E">
            <w:pPr>
              <w:rPr>
                <w:rFonts w:ascii="宋体"/>
                <w:vanish/>
              </w:rPr>
            </w:pPr>
          </w:p>
        </w:tc>
        <w:tc>
          <w:tcPr>
            <w:tcW w:w="0" w:type="auto"/>
            <w:gridSpan w:val="3"/>
            <w:shd w:val="clear" w:color="auto" w:fill="auto"/>
            <w:vAlign w:val="bottom"/>
          </w:tcPr>
          <w:p w14:paraId="07DCDB72" w14:textId="77777777" w:rsidR="00AE727E" w:rsidRDefault="00AE727E">
            <w:pPr>
              <w:rPr>
                <w:rFonts w:ascii="宋体"/>
                <w:vanish/>
              </w:rPr>
            </w:pPr>
          </w:p>
        </w:tc>
        <w:tc>
          <w:tcPr>
            <w:tcW w:w="0" w:type="auto"/>
            <w:gridSpan w:val="3"/>
            <w:shd w:val="clear" w:color="auto" w:fill="auto"/>
            <w:vAlign w:val="bottom"/>
          </w:tcPr>
          <w:p w14:paraId="07DCDB73" w14:textId="77777777" w:rsidR="00AE727E" w:rsidRDefault="00AE727E">
            <w:pPr>
              <w:rPr>
                <w:rFonts w:ascii="宋体"/>
                <w:vanish/>
              </w:rPr>
            </w:pPr>
          </w:p>
        </w:tc>
        <w:tc>
          <w:tcPr>
            <w:tcW w:w="0" w:type="auto"/>
            <w:gridSpan w:val="3"/>
            <w:shd w:val="clear" w:color="auto" w:fill="auto"/>
            <w:vAlign w:val="bottom"/>
          </w:tcPr>
          <w:p w14:paraId="07DCDB74" w14:textId="77777777" w:rsidR="00AE727E" w:rsidRDefault="00AE727E">
            <w:pPr>
              <w:rPr>
                <w:rFonts w:ascii="宋体"/>
                <w:vanish/>
              </w:rPr>
            </w:pPr>
          </w:p>
        </w:tc>
      </w:tr>
    </w:tbl>
    <w:p w14:paraId="07DCDB76" w14:textId="77777777" w:rsidR="00AE727E" w:rsidRDefault="00AE727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914"/>
        <w:gridCol w:w="36"/>
        <w:gridCol w:w="87"/>
        <w:gridCol w:w="332"/>
        <w:gridCol w:w="35"/>
        <w:gridCol w:w="37"/>
        <w:gridCol w:w="35"/>
        <w:gridCol w:w="35"/>
        <w:gridCol w:w="89"/>
        <w:gridCol w:w="401"/>
        <w:gridCol w:w="35"/>
        <w:gridCol w:w="37"/>
        <w:gridCol w:w="35"/>
        <w:gridCol w:w="35"/>
        <w:gridCol w:w="88"/>
        <w:gridCol w:w="332"/>
        <w:gridCol w:w="35"/>
        <w:gridCol w:w="37"/>
        <w:gridCol w:w="35"/>
        <w:gridCol w:w="35"/>
        <w:gridCol w:w="104"/>
        <w:gridCol w:w="396"/>
        <w:gridCol w:w="36"/>
        <w:gridCol w:w="37"/>
        <w:gridCol w:w="35"/>
        <w:gridCol w:w="35"/>
        <w:gridCol w:w="93"/>
        <w:gridCol w:w="692"/>
        <w:gridCol w:w="35"/>
        <w:gridCol w:w="37"/>
        <w:gridCol w:w="35"/>
        <w:gridCol w:w="35"/>
        <w:gridCol w:w="90"/>
        <w:gridCol w:w="832"/>
        <w:gridCol w:w="35"/>
        <w:gridCol w:w="37"/>
        <w:gridCol w:w="35"/>
        <w:gridCol w:w="35"/>
        <w:gridCol w:w="90"/>
        <w:gridCol w:w="739"/>
        <w:gridCol w:w="35"/>
        <w:gridCol w:w="37"/>
        <w:gridCol w:w="35"/>
        <w:gridCol w:w="35"/>
        <w:gridCol w:w="129"/>
        <w:gridCol w:w="836"/>
        <w:gridCol w:w="35"/>
        <w:gridCol w:w="37"/>
        <w:gridCol w:w="35"/>
        <w:gridCol w:w="35"/>
        <w:gridCol w:w="97"/>
        <w:gridCol w:w="718"/>
        <w:gridCol w:w="35"/>
      </w:tblGrid>
      <w:tr w:rsidR="00AE727E" w14:paraId="07DCDBAD" w14:textId="77777777">
        <w:tc>
          <w:tcPr>
            <w:tcW w:w="50" w:type="pct"/>
            <w:shd w:val="clear" w:color="auto" w:fill="auto"/>
            <w:vAlign w:val="bottom"/>
          </w:tcPr>
          <w:p w14:paraId="07DCDB77" w14:textId="77777777" w:rsidR="00AE727E" w:rsidRDefault="00AE727E">
            <w:pPr>
              <w:rPr>
                <w:rFonts w:ascii="宋体"/>
              </w:rPr>
            </w:pPr>
          </w:p>
        </w:tc>
        <w:tc>
          <w:tcPr>
            <w:tcW w:w="1195" w:type="pct"/>
            <w:shd w:val="clear" w:color="auto" w:fill="auto"/>
            <w:vAlign w:val="bottom"/>
          </w:tcPr>
          <w:p w14:paraId="07DCDB78" w14:textId="77777777" w:rsidR="00AE727E" w:rsidRDefault="00AE727E">
            <w:pPr>
              <w:rPr>
                <w:rFonts w:ascii="宋体"/>
              </w:rPr>
            </w:pPr>
          </w:p>
        </w:tc>
        <w:tc>
          <w:tcPr>
            <w:tcW w:w="5" w:type="pct"/>
            <w:shd w:val="clear" w:color="auto" w:fill="auto"/>
            <w:vAlign w:val="bottom"/>
          </w:tcPr>
          <w:p w14:paraId="07DCDB79" w14:textId="77777777" w:rsidR="00AE727E" w:rsidRDefault="00AE727E">
            <w:pPr>
              <w:rPr>
                <w:rFonts w:ascii="宋体"/>
              </w:rPr>
            </w:pPr>
          </w:p>
        </w:tc>
        <w:tc>
          <w:tcPr>
            <w:tcW w:w="50" w:type="pct"/>
            <w:shd w:val="clear" w:color="auto" w:fill="auto"/>
            <w:vAlign w:val="bottom"/>
          </w:tcPr>
          <w:p w14:paraId="07DCDB7A" w14:textId="77777777" w:rsidR="00AE727E" w:rsidRDefault="00AE727E">
            <w:pPr>
              <w:rPr>
                <w:rFonts w:ascii="宋体"/>
              </w:rPr>
            </w:pPr>
          </w:p>
        </w:tc>
        <w:tc>
          <w:tcPr>
            <w:tcW w:w="204" w:type="pct"/>
            <w:shd w:val="clear" w:color="auto" w:fill="auto"/>
            <w:vAlign w:val="bottom"/>
          </w:tcPr>
          <w:p w14:paraId="07DCDB7B" w14:textId="77777777" w:rsidR="00AE727E" w:rsidRDefault="00AE727E">
            <w:pPr>
              <w:rPr>
                <w:rFonts w:ascii="宋体"/>
              </w:rPr>
            </w:pPr>
          </w:p>
        </w:tc>
        <w:tc>
          <w:tcPr>
            <w:tcW w:w="5" w:type="pct"/>
            <w:shd w:val="clear" w:color="auto" w:fill="auto"/>
            <w:vAlign w:val="bottom"/>
          </w:tcPr>
          <w:p w14:paraId="07DCDB7C" w14:textId="77777777" w:rsidR="00AE727E" w:rsidRDefault="00AE727E">
            <w:pPr>
              <w:rPr>
                <w:rFonts w:ascii="宋体"/>
              </w:rPr>
            </w:pPr>
          </w:p>
        </w:tc>
        <w:tc>
          <w:tcPr>
            <w:tcW w:w="5" w:type="pct"/>
            <w:shd w:val="clear" w:color="auto" w:fill="auto"/>
            <w:vAlign w:val="bottom"/>
          </w:tcPr>
          <w:p w14:paraId="07DCDB7D" w14:textId="77777777" w:rsidR="00AE727E" w:rsidRDefault="00AE727E">
            <w:pPr>
              <w:rPr>
                <w:rFonts w:ascii="宋体"/>
              </w:rPr>
            </w:pPr>
          </w:p>
        </w:tc>
        <w:tc>
          <w:tcPr>
            <w:tcW w:w="17" w:type="pct"/>
            <w:shd w:val="clear" w:color="auto" w:fill="auto"/>
            <w:vAlign w:val="bottom"/>
          </w:tcPr>
          <w:p w14:paraId="07DCDB7E" w14:textId="77777777" w:rsidR="00AE727E" w:rsidRDefault="00AE727E">
            <w:pPr>
              <w:rPr>
                <w:rFonts w:ascii="宋体"/>
              </w:rPr>
            </w:pPr>
          </w:p>
        </w:tc>
        <w:tc>
          <w:tcPr>
            <w:tcW w:w="5" w:type="pct"/>
            <w:shd w:val="clear" w:color="auto" w:fill="auto"/>
            <w:vAlign w:val="bottom"/>
          </w:tcPr>
          <w:p w14:paraId="07DCDB7F" w14:textId="77777777" w:rsidR="00AE727E" w:rsidRDefault="00AE727E">
            <w:pPr>
              <w:rPr>
                <w:rFonts w:ascii="宋体"/>
              </w:rPr>
            </w:pPr>
          </w:p>
        </w:tc>
        <w:tc>
          <w:tcPr>
            <w:tcW w:w="50" w:type="pct"/>
            <w:shd w:val="clear" w:color="auto" w:fill="auto"/>
            <w:vAlign w:val="bottom"/>
          </w:tcPr>
          <w:p w14:paraId="07DCDB80" w14:textId="77777777" w:rsidR="00AE727E" w:rsidRDefault="00AE727E">
            <w:pPr>
              <w:rPr>
                <w:rFonts w:ascii="宋体"/>
              </w:rPr>
            </w:pPr>
          </w:p>
        </w:tc>
        <w:tc>
          <w:tcPr>
            <w:tcW w:w="204" w:type="pct"/>
            <w:shd w:val="clear" w:color="auto" w:fill="auto"/>
            <w:vAlign w:val="bottom"/>
          </w:tcPr>
          <w:p w14:paraId="07DCDB81" w14:textId="77777777" w:rsidR="00AE727E" w:rsidRDefault="00AE727E">
            <w:pPr>
              <w:rPr>
                <w:rFonts w:ascii="宋体"/>
              </w:rPr>
            </w:pPr>
          </w:p>
        </w:tc>
        <w:tc>
          <w:tcPr>
            <w:tcW w:w="5" w:type="pct"/>
            <w:shd w:val="clear" w:color="auto" w:fill="auto"/>
            <w:vAlign w:val="bottom"/>
          </w:tcPr>
          <w:p w14:paraId="07DCDB82" w14:textId="77777777" w:rsidR="00AE727E" w:rsidRDefault="00AE727E">
            <w:pPr>
              <w:rPr>
                <w:rFonts w:ascii="宋体"/>
              </w:rPr>
            </w:pPr>
          </w:p>
        </w:tc>
        <w:tc>
          <w:tcPr>
            <w:tcW w:w="5" w:type="pct"/>
            <w:shd w:val="clear" w:color="auto" w:fill="auto"/>
            <w:vAlign w:val="bottom"/>
          </w:tcPr>
          <w:p w14:paraId="07DCDB83" w14:textId="77777777" w:rsidR="00AE727E" w:rsidRDefault="00AE727E">
            <w:pPr>
              <w:rPr>
                <w:rFonts w:ascii="宋体"/>
              </w:rPr>
            </w:pPr>
          </w:p>
        </w:tc>
        <w:tc>
          <w:tcPr>
            <w:tcW w:w="27" w:type="pct"/>
            <w:shd w:val="clear" w:color="auto" w:fill="auto"/>
            <w:vAlign w:val="bottom"/>
          </w:tcPr>
          <w:p w14:paraId="07DCDB84" w14:textId="77777777" w:rsidR="00AE727E" w:rsidRDefault="00AE727E">
            <w:pPr>
              <w:rPr>
                <w:rFonts w:ascii="宋体"/>
              </w:rPr>
            </w:pPr>
          </w:p>
        </w:tc>
        <w:tc>
          <w:tcPr>
            <w:tcW w:w="5" w:type="pct"/>
            <w:shd w:val="clear" w:color="auto" w:fill="auto"/>
            <w:vAlign w:val="bottom"/>
          </w:tcPr>
          <w:p w14:paraId="07DCDB85" w14:textId="77777777" w:rsidR="00AE727E" w:rsidRDefault="00AE727E">
            <w:pPr>
              <w:rPr>
                <w:rFonts w:ascii="宋体"/>
              </w:rPr>
            </w:pPr>
          </w:p>
        </w:tc>
        <w:tc>
          <w:tcPr>
            <w:tcW w:w="50" w:type="pct"/>
            <w:shd w:val="clear" w:color="auto" w:fill="auto"/>
            <w:vAlign w:val="bottom"/>
          </w:tcPr>
          <w:p w14:paraId="07DCDB86" w14:textId="77777777" w:rsidR="00AE727E" w:rsidRDefault="00AE727E">
            <w:pPr>
              <w:rPr>
                <w:rFonts w:ascii="宋体"/>
              </w:rPr>
            </w:pPr>
          </w:p>
        </w:tc>
        <w:tc>
          <w:tcPr>
            <w:tcW w:w="204" w:type="pct"/>
            <w:shd w:val="clear" w:color="auto" w:fill="auto"/>
            <w:vAlign w:val="bottom"/>
          </w:tcPr>
          <w:p w14:paraId="07DCDB87" w14:textId="77777777" w:rsidR="00AE727E" w:rsidRDefault="00AE727E">
            <w:pPr>
              <w:rPr>
                <w:rFonts w:ascii="宋体"/>
              </w:rPr>
            </w:pPr>
          </w:p>
        </w:tc>
        <w:tc>
          <w:tcPr>
            <w:tcW w:w="5" w:type="pct"/>
            <w:shd w:val="clear" w:color="auto" w:fill="auto"/>
            <w:vAlign w:val="bottom"/>
          </w:tcPr>
          <w:p w14:paraId="07DCDB88" w14:textId="77777777" w:rsidR="00AE727E" w:rsidRDefault="00AE727E">
            <w:pPr>
              <w:rPr>
                <w:rFonts w:ascii="宋体"/>
              </w:rPr>
            </w:pPr>
          </w:p>
        </w:tc>
        <w:tc>
          <w:tcPr>
            <w:tcW w:w="5" w:type="pct"/>
            <w:shd w:val="clear" w:color="auto" w:fill="auto"/>
            <w:vAlign w:val="bottom"/>
          </w:tcPr>
          <w:p w14:paraId="07DCDB89" w14:textId="77777777" w:rsidR="00AE727E" w:rsidRDefault="00AE727E">
            <w:pPr>
              <w:rPr>
                <w:rFonts w:ascii="宋体"/>
              </w:rPr>
            </w:pPr>
          </w:p>
        </w:tc>
        <w:tc>
          <w:tcPr>
            <w:tcW w:w="17" w:type="pct"/>
            <w:shd w:val="clear" w:color="auto" w:fill="auto"/>
            <w:vAlign w:val="bottom"/>
          </w:tcPr>
          <w:p w14:paraId="07DCDB8A" w14:textId="77777777" w:rsidR="00AE727E" w:rsidRDefault="00AE727E">
            <w:pPr>
              <w:rPr>
                <w:rFonts w:ascii="宋体"/>
              </w:rPr>
            </w:pPr>
          </w:p>
        </w:tc>
        <w:tc>
          <w:tcPr>
            <w:tcW w:w="5" w:type="pct"/>
            <w:shd w:val="clear" w:color="auto" w:fill="auto"/>
            <w:vAlign w:val="bottom"/>
          </w:tcPr>
          <w:p w14:paraId="07DCDB8B" w14:textId="77777777" w:rsidR="00AE727E" w:rsidRDefault="00AE727E">
            <w:pPr>
              <w:rPr>
                <w:rFonts w:ascii="宋体"/>
              </w:rPr>
            </w:pPr>
          </w:p>
        </w:tc>
        <w:tc>
          <w:tcPr>
            <w:tcW w:w="50" w:type="pct"/>
            <w:shd w:val="clear" w:color="auto" w:fill="auto"/>
            <w:vAlign w:val="bottom"/>
          </w:tcPr>
          <w:p w14:paraId="07DCDB8C" w14:textId="77777777" w:rsidR="00AE727E" w:rsidRDefault="00AE727E">
            <w:pPr>
              <w:rPr>
                <w:rFonts w:ascii="宋体"/>
              </w:rPr>
            </w:pPr>
          </w:p>
        </w:tc>
        <w:tc>
          <w:tcPr>
            <w:tcW w:w="204" w:type="pct"/>
            <w:shd w:val="clear" w:color="auto" w:fill="auto"/>
            <w:vAlign w:val="bottom"/>
          </w:tcPr>
          <w:p w14:paraId="07DCDB8D" w14:textId="77777777" w:rsidR="00AE727E" w:rsidRDefault="00AE727E">
            <w:pPr>
              <w:rPr>
                <w:rFonts w:ascii="宋体"/>
              </w:rPr>
            </w:pPr>
          </w:p>
        </w:tc>
        <w:tc>
          <w:tcPr>
            <w:tcW w:w="5" w:type="pct"/>
            <w:shd w:val="clear" w:color="auto" w:fill="auto"/>
            <w:vAlign w:val="bottom"/>
          </w:tcPr>
          <w:p w14:paraId="07DCDB8E" w14:textId="77777777" w:rsidR="00AE727E" w:rsidRDefault="00AE727E">
            <w:pPr>
              <w:rPr>
                <w:rFonts w:ascii="宋体"/>
              </w:rPr>
            </w:pPr>
          </w:p>
        </w:tc>
        <w:tc>
          <w:tcPr>
            <w:tcW w:w="5" w:type="pct"/>
            <w:shd w:val="clear" w:color="auto" w:fill="auto"/>
            <w:vAlign w:val="bottom"/>
          </w:tcPr>
          <w:p w14:paraId="07DCDB8F" w14:textId="77777777" w:rsidR="00AE727E" w:rsidRDefault="00AE727E">
            <w:pPr>
              <w:rPr>
                <w:rFonts w:ascii="宋体"/>
              </w:rPr>
            </w:pPr>
          </w:p>
        </w:tc>
        <w:tc>
          <w:tcPr>
            <w:tcW w:w="17" w:type="pct"/>
            <w:shd w:val="clear" w:color="auto" w:fill="auto"/>
            <w:vAlign w:val="bottom"/>
          </w:tcPr>
          <w:p w14:paraId="07DCDB90" w14:textId="77777777" w:rsidR="00AE727E" w:rsidRDefault="00AE727E">
            <w:pPr>
              <w:rPr>
                <w:rFonts w:ascii="宋体"/>
              </w:rPr>
            </w:pPr>
          </w:p>
        </w:tc>
        <w:tc>
          <w:tcPr>
            <w:tcW w:w="5" w:type="pct"/>
            <w:shd w:val="clear" w:color="auto" w:fill="auto"/>
            <w:vAlign w:val="bottom"/>
          </w:tcPr>
          <w:p w14:paraId="07DCDB91" w14:textId="77777777" w:rsidR="00AE727E" w:rsidRDefault="00AE727E">
            <w:pPr>
              <w:rPr>
                <w:rFonts w:ascii="宋体"/>
              </w:rPr>
            </w:pPr>
          </w:p>
        </w:tc>
        <w:tc>
          <w:tcPr>
            <w:tcW w:w="50" w:type="pct"/>
            <w:shd w:val="clear" w:color="auto" w:fill="auto"/>
            <w:vAlign w:val="bottom"/>
          </w:tcPr>
          <w:p w14:paraId="07DCDB92" w14:textId="77777777" w:rsidR="00AE727E" w:rsidRDefault="00AE727E">
            <w:pPr>
              <w:rPr>
                <w:rFonts w:ascii="宋体"/>
              </w:rPr>
            </w:pPr>
          </w:p>
        </w:tc>
        <w:tc>
          <w:tcPr>
            <w:tcW w:w="404" w:type="pct"/>
            <w:shd w:val="clear" w:color="auto" w:fill="auto"/>
            <w:vAlign w:val="bottom"/>
          </w:tcPr>
          <w:p w14:paraId="07DCDB93" w14:textId="77777777" w:rsidR="00AE727E" w:rsidRDefault="00AE727E">
            <w:pPr>
              <w:rPr>
                <w:rFonts w:ascii="宋体"/>
              </w:rPr>
            </w:pPr>
          </w:p>
        </w:tc>
        <w:tc>
          <w:tcPr>
            <w:tcW w:w="5" w:type="pct"/>
            <w:shd w:val="clear" w:color="auto" w:fill="auto"/>
            <w:vAlign w:val="bottom"/>
          </w:tcPr>
          <w:p w14:paraId="07DCDB94" w14:textId="77777777" w:rsidR="00AE727E" w:rsidRDefault="00AE727E">
            <w:pPr>
              <w:rPr>
                <w:rFonts w:ascii="宋体"/>
              </w:rPr>
            </w:pPr>
          </w:p>
        </w:tc>
        <w:tc>
          <w:tcPr>
            <w:tcW w:w="5" w:type="pct"/>
            <w:shd w:val="clear" w:color="auto" w:fill="auto"/>
            <w:vAlign w:val="bottom"/>
          </w:tcPr>
          <w:p w14:paraId="07DCDB95" w14:textId="77777777" w:rsidR="00AE727E" w:rsidRDefault="00AE727E">
            <w:pPr>
              <w:rPr>
                <w:rFonts w:ascii="宋体"/>
              </w:rPr>
            </w:pPr>
          </w:p>
        </w:tc>
        <w:tc>
          <w:tcPr>
            <w:tcW w:w="17" w:type="pct"/>
            <w:shd w:val="clear" w:color="auto" w:fill="auto"/>
            <w:vAlign w:val="bottom"/>
          </w:tcPr>
          <w:p w14:paraId="07DCDB96" w14:textId="77777777" w:rsidR="00AE727E" w:rsidRDefault="00AE727E">
            <w:pPr>
              <w:rPr>
                <w:rFonts w:ascii="宋体"/>
              </w:rPr>
            </w:pPr>
          </w:p>
        </w:tc>
        <w:tc>
          <w:tcPr>
            <w:tcW w:w="5" w:type="pct"/>
            <w:shd w:val="clear" w:color="auto" w:fill="auto"/>
            <w:vAlign w:val="bottom"/>
          </w:tcPr>
          <w:p w14:paraId="07DCDB97" w14:textId="77777777" w:rsidR="00AE727E" w:rsidRDefault="00AE727E">
            <w:pPr>
              <w:rPr>
                <w:rFonts w:ascii="宋体"/>
              </w:rPr>
            </w:pPr>
          </w:p>
        </w:tc>
        <w:tc>
          <w:tcPr>
            <w:tcW w:w="50" w:type="pct"/>
            <w:shd w:val="clear" w:color="auto" w:fill="auto"/>
            <w:vAlign w:val="bottom"/>
          </w:tcPr>
          <w:p w14:paraId="07DCDB98" w14:textId="77777777" w:rsidR="00AE727E" w:rsidRDefault="00AE727E">
            <w:pPr>
              <w:rPr>
                <w:rFonts w:ascii="宋体"/>
              </w:rPr>
            </w:pPr>
          </w:p>
        </w:tc>
        <w:tc>
          <w:tcPr>
            <w:tcW w:w="524" w:type="pct"/>
            <w:shd w:val="clear" w:color="auto" w:fill="auto"/>
            <w:vAlign w:val="bottom"/>
          </w:tcPr>
          <w:p w14:paraId="07DCDB99" w14:textId="77777777" w:rsidR="00AE727E" w:rsidRDefault="00AE727E">
            <w:pPr>
              <w:rPr>
                <w:rFonts w:ascii="宋体"/>
              </w:rPr>
            </w:pPr>
          </w:p>
        </w:tc>
        <w:tc>
          <w:tcPr>
            <w:tcW w:w="5" w:type="pct"/>
            <w:shd w:val="clear" w:color="auto" w:fill="auto"/>
            <w:vAlign w:val="bottom"/>
          </w:tcPr>
          <w:p w14:paraId="07DCDB9A" w14:textId="77777777" w:rsidR="00AE727E" w:rsidRDefault="00AE727E">
            <w:pPr>
              <w:rPr>
                <w:rFonts w:ascii="宋体"/>
              </w:rPr>
            </w:pPr>
          </w:p>
        </w:tc>
        <w:tc>
          <w:tcPr>
            <w:tcW w:w="5" w:type="pct"/>
            <w:shd w:val="clear" w:color="auto" w:fill="auto"/>
            <w:vAlign w:val="bottom"/>
          </w:tcPr>
          <w:p w14:paraId="07DCDB9B" w14:textId="77777777" w:rsidR="00AE727E" w:rsidRDefault="00AE727E">
            <w:pPr>
              <w:rPr>
                <w:rFonts w:ascii="宋体"/>
              </w:rPr>
            </w:pPr>
          </w:p>
        </w:tc>
        <w:tc>
          <w:tcPr>
            <w:tcW w:w="11" w:type="pct"/>
            <w:shd w:val="clear" w:color="auto" w:fill="auto"/>
            <w:vAlign w:val="bottom"/>
          </w:tcPr>
          <w:p w14:paraId="07DCDB9C" w14:textId="77777777" w:rsidR="00AE727E" w:rsidRDefault="00AE727E">
            <w:pPr>
              <w:rPr>
                <w:rFonts w:ascii="宋体"/>
              </w:rPr>
            </w:pPr>
          </w:p>
        </w:tc>
        <w:tc>
          <w:tcPr>
            <w:tcW w:w="5" w:type="pct"/>
            <w:shd w:val="clear" w:color="auto" w:fill="auto"/>
            <w:vAlign w:val="bottom"/>
          </w:tcPr>
          <w:p w14:paraId="07DCDB9D" w14:textId="77777777" w:rsidR="00AE727E" w:rsidRDefault="00AE727E">
            <w:pPr>
              <w:rPr>
                <w:rFonts w:ascii="宋体"/>
              </w:rPr>
            </w:pPr>
          </w:p>
        </w:tc>
        <w:tc>
          <w:tcPr>
            <w:tcW w:w="50" w:type="pct"/>
            <w:shd w:val="clear" w:color="auto" w:fill="auto"/>
            <w:vAlign w:val="bottom"/>
          </w:tcPr>
          <w:p w14:paraId="07DCDB9E" w14:textId="77777777" w:rsidR="00AE727E" w:rsidRDefault="00AE727E">
            <w:pPr>
              <w:rPr>
                <w:rFonts w:ascii="宋体"/>
              </w:rPr>
            </w:pPr>
          </w:p>
        </w:tc>
        <w:tc>
          <w:tcPr>
            <w:tcW w:w="524" w:type="pct"/>
            <w:shd w:val="clear" w:color="auto" w:fill="auto"/>
            <w:vAlign w:val="bottom"/>
          </w:tcPr>
          <w:p w14:paraId="07DCDB9F" w14:textId="77777777" w:rsidR="00AE727E" w:rsidRDefault="00AE727E">
            <w:pPr>
              <w:rPr>
                <w:rFonts w:ascii="宋体"/>
              </w:rPr>
            </w:pPr>
          </w:p>
        </w:tc>
        <w:tc>
          <w:tcPr>
            <w:tcW w:w="5" w:type="pct"/>
            <w:shd w:val="clear" w:color="auto" w:fill="auto"/>
            <w:vAlign w:val="bottom"/>
          </w:tcPr>
          <w:p w14:paraId="07DCDBA0" w14:textId="77777777" w:rsidR="00AE727E" w:rsidRDefault="00AE727E">
            <w:pPr>
              <w:rPr>
                <w:rFonts w:ascii="宋体"/>
              </w:rPr>
            </w:pPr>
          </w:p>
        </w:tc>
        <w:tc>
          <w:tcPr>
            <w:tcW w:w="5" w:type="pct"/>
            <w:shd w:val="clear" w:color="auto" w:fill="auto"/>
            <w:vAlign w:val="bottom"/>
          </w:tcPr>
          <w:p w14:paraId="07DCDBA1" w14:textId="77777777" w:rsidR="00AE727E" w:rsidRDefault="00AE727E">
            <w:pPr>
              <w:rPr>
                <w:rFonts w:ascii="宋体"/>
              </w:rPr>
            </w:pPr>
          </w:p>
        </w:tc>
        <w:tc>
          <w:tcPr>
            <w:tcW w:w="38" w:type="pct"/>
            <w:shd w:val="clear" w:color="auto" w:fill="auto"/>
            <w:vAlign w:val="bottom"/>
          </w:tcPr>
          <w:p w14:paraId="07DCDBA2" w14:textId="77777777" w:rsidR="00AE727E" w:rsidRDefault="00AE727E">
            <w:pPr>
              <w:rPr>
                <w:rFonts w:ascii="宋体"/>
              </w:rPr>
            </w:pPr>
          </w:p>
        </w:tc>
        <w:tc>
          <w:tcPr>
            <w:tcW w:w="5" w:type="pct"/>
            <w:shd w:val="clear" w:color="auto" w:fill="auto"/>
            <w:vAlign w:val="bottom"/>
          </w:tcPr>
          <w:p w14:paraId="07DCDBA3" w14:textId="77777777" w:rsidR="00AE727E" w:rsidRDefault="00AE727E">
            <w:pPr>
              <w:rPr>
                <w:rFonts w:ascii="宋体"/>
              </w:rPr>
            </w:pPr>
          </w:p>
        </w:tc>
        <w:tc>
          <w:tcPr>
            <w:tcW w:w="50" w:type="pct"/>
            <w:shd w:val="clear" w:color="auto" w:fill="auto"/>
            <w:vAlign w:val="bottom"/>
          </w:tcPr>
          <w:p w14:paraId="07DCDBA4" w14:textId="77777777" w:rsidR="00AE727E" w:rsidRDefault="00AE727E">
            <w:pPr>
              <w:rPr>
                <w:rFonts w:ascii="宋体"/>
              </w:rPr>
            </w:pPr>
          </w:p>
        </w:tc>
        <w:tc>
          <w:tcPr>
            <w:tcW w:w="340" w:type="pct"/>
            <w:shd w:val="clear" w:color="auto" w:fill="auto"/>
            <w:vAlign w:val="bottom"/>
          </w:tcPr>
          <w:p w14:paraId="07DCDBA5" w14:textId="77777777" w:rsidR="00AE727E" w:rsidRDefault="00AE727E">
            <w:pPr>
              <w:rPr>
                <w:rFonts w:ascii="宋体"/>
              </w:rPr>
            </w:pPr>
          </w:p>
        </w:tc>
        <w:tc>
          <w:tcPr>
            <w:tcW w:w="5" w:type="pct"/>
            <w:shd w:val="clear" w:color="auto" w:fill="auto"/>
            <w:vAlign w:val="bottom"/>
          </w:tcPr>
          <w:p w14:paraId="07DCDBA6" w14:textId="77777777" w:rsidR="00AE727E" w:rsidRDefault="00AE727E">
            <w:pPr>
              <w:rPr>
                <w:rFonts w:ascii="宋体"/>
              </w:rPr>
            </w:pPr>
          </w:p>
        </w:tc>
        <w:tc>
          <w:tcPr>
            <w:tcW w:w="5" w:type="pct"/>
            <w:shd w:val="clear" w:color="auto" w:fill="auto"/>
            <w:vAlign w:val="bottom"/>
          </w:tcPr>
          <w:p w14:paraId="07DCDBA7" w14:textId="77777777" w:rsidR="00AE727E" w:rsidRDefault="00AE727E">
            <w:pPr>
              <w:rPr>
                <w:rFonts w:ascii="宋体"/>
              </w:rPr>
            </w:pPr>
          </w:p>
        </w:tc>
        <w:tc>
          <w:tcPr>
            <w:tcW w:w="17" w:type="pct"/>
            <w:shd w:val="clear" w:color="auto" w:fill="auto"/>
            <w:vAlign w:val="bottom"/>
          </w:tcPr>
          <w:p w14:paraId="07DCDBA8" w14:textId="77777777" w:rsidR="00AE727E" w:rsidRDefault="00AE727E">
            <w:pPr>
              <w:rPr>
                <w:rFonts w:ascii="宋体"/>
              </w:rPr>
            </w:pPr>
          </w:p>
        </w:tc>
        <w:tc>
          <w:tcPr>
            <w:tcW w:w="5" w:type="pct"/>
            <w:shd w:val="clear" w:color="auto" w:fill="auto"/>
            <w:vAlign w:val="bottom"/>
          </w:tcPr>
          <w:p w14:paraId="07DCDBA9" w14:textId="77777777" w:rsidR="00AE727E" w:rsidRDefault="00AE727E">
            <w:pPr>
              <w:rPr>
                <w:rFonts w:ascii="宋体"/>
              </w:rPr>
            </w:pPr>
          </w:p>
        </w:tc>
        <w:tc>
          <w:tcPr>
            <w:tcW w:w="50" w:type="pct"/>
            <w:shd w:val="clear" w:color="auto" w:fill="auto"/>
            <w:vAlign w:val="bottom"/>
          </w:tcPr>
          <w:p w14:paraId="07DCDBAA" w14:textId="77777777" w:rsidR="00AE727E" w:rsidRDefault="00AE727E">
            <w:pPr>
              <w:rPr>
                <w:rFonts w:ascii="宋体"/>
              </w:rPr>
            </w:pPr>
          </w:p>
        </w:tc>
        <w:tc>
          <w:tcPr>
            <w:tcW w:w="399" w:type="pct"/>
            <w:shd w:val="clear" w:color="auto" w:fill="auto"/>
            <w:vAlign w:val="bottom"/>
          </w:tcPr>
          <w:p w14:paraId="07DCDBAB" w14:textId="77777777" w:rsidR="00AE727E" w:rsidRDefault="00AE727E">
            <w:pPr>
              <w:rPr>
                <w:rFonts w:ascii="宋体"/>
              </w:rPr>
            </w:pPr>
          </w:p>
        </w:tc>
        <w:tc>
          <w:tcPr>
            <w:tcW w:w="5" w:type="pct"/>
            <w:shd w:val="clear" w:color="auto" w:fill="auto"/>
            <w:vAlign w:val="bottom"/>
          </w:tcPr>
          <w:p w14:paraId="07DCDBAC" w14:textId="77777777" w:rsidR="00AE727E" w:rsidRDefault="00AE727E">
            <w:pPr>
              <w:rPr>
                <w:rFonts w:ascii="宋体"/>
              </w:rPr>
            </w:pPr>
          </w:p>
        </w:tc>
      </w:tr>
      <w:tr w:rsidR="00AE727E" w14:paraId="07DCDBBC" w14:textId="77777777">
        <w:tc>
          <w:tcPr>
            <w:tcW w:w="0" w:type="auto"/>
            <w:gridSpan w:val="3"/>
            <w:shd w:val="clear" w:color="auto" w:fill="auto"/>
            <w:tcMar>
              <w:top w:w="0" w:type="dxa"/>
              <w:left w:w="20" w:type="dxa"/>
              <w:bottom w:w="0" w:type="dxa"/>
              <w:right w:w="20" w:type="dxa"/>
            </w:tcMar>
            <w:vAlign w:val="bottom"/>
          </w:tcPr>
          <w:p w14:paraId="07DCDBAE"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BAF" w14:textId="77777777" w:rsidR="00AE727E" w:rsidRDefault="008433E0">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DCDBB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BB1" w14:textId="77777777" w:rsidR="00AE727E" w:rsidRDefault="008433E0">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DCDBB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6"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9"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BBB" w14:textId="77777777" w:rsidR="00AE727E" w:rsidRDefault="00AE727E">
            <w:pPr>
              <w:rPr>
                <w:rFonts w:ascii="宋体"/>
              </w:rPr>
            </w:pPr>
          </w:p>
        </w:tc>
      </w:tr>
      <w:tr w:rsidR="00AE727E" w14:paraId="07DCDBCF" w14:textId="77777777">
        <w:tc>
          <w:tcPr>
            <w:tcW w:w="0" w:type="auto"/>
            <w:gridSpan w:val="3"/>
            <w:shd w:val="clear" w:color="auto" w:fill="auto"/>
            <w:tcMar>
              <w:top w:w="40" w:type="dxa"/>
              <w:left w:w="20" w:type="dxa"/>
              <w:bottom w:w="40" w:type="dxa"/>
              <w:right w:w="20" w:type="dxa"/>
            </w:tcMar>
          </w:tcPr>
          <w:p w14:paraId="07DCDBBD" w14:textId="77777777" w:rsidR="00AE727E" w:rsidRDefault="008433E0">
            <w:pPr>
              <w:textAlignment w:val="top"/>
            </w:pPr>
            <w:r>
              <w:rPr>
                <w:rFonts w:ascii="Times New Roman" w:eastAsia="宋体" w:hAnsi="Times New Roman"/>
                <w:b/>
                <w:bCs/>
                <w:color w:val="000000"/>
                <w:sz w:val="16"/>
                <w:szCs w:val="16"/>
              </w:rPr>
              <w:t>Nine Months Ended October 29,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BBE" w14:textId="77777777" w:rsidR="00AE727E" w:rsidRDefault="008433E0">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BB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BC0"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BC1"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BC2" w14:textId="77777777" w:rsidR="00AE727E" w:rsidRDefault="008433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BC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BC4"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BC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BC6" w14:textId="77777777" w:rsidR="00AE727E" w:rsidRDefault="008433E0">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DCDBC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BC8" w14:textId="77777777" w:rsidR="00AE727E" w:rsidRDefault="008433E0">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DCDBC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BCA" w14:textId="77777777" w:rsidR="00AE727E" w:rsidRDefault="008433E0">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DCDBCB"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BCC" w14:textId="77777777" w:rsidR="00AE727E" w:rsidRDefault="008433E0">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DCDBC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BCE" w14:textId="77777777" w:rsidR="00AE727E" w:rsidRDefault="008433E0">
            <w:pPr>
              <w:jc w:val="center"/>
              <w:textAlignment w:val="bottom"/>
            </w:pPr>
            <w:r>
              <w:rPr>
                <w:rFonts w:ascii="Times New Roman" w:eastAsia="宋体" w:hAnsi="Times New Roman"/>
                <w:b/>
                <w:bCs/>
                <w:color w:val="000000"/>
                <w:sz w:val="16"/>
                <w:szCs w:val="16"/>
              </w:rPr>
              <w:t>Total Stockholders’ Equity (Deficit)</w:t>
            </w:r>
          </w:p>
        </w:tc>
      </w:tr>
      <w:tr w:rsidR="008433E0" w14:paraId="07DCDBF2" w14:textId="77777777">
        <w:tc>
          <w:tcPr>
            <w:tcW w:w="0" w:type="auto"/>
            <w:gridSpan w:val="3"/>
            <w:shd w:val="clear" w:color="auto" w:fill="CCEEFF"/>
            <w:tcMar>
              <w:top w:w="40" w:type="dxa"/>
              <w:left w:w="20" w:type="dxa"/>
              <w:bottom w:w="40" w:type="dxa"/>
              <w:right w:w="20" w:type="dxa"/>
            </w:tcMar>
            <w:vAlign w:val="bottom"/>
          </w:tcPr>
          <w:p w14:paraId="07DCDBD0" w14:textId="77777777" w:rsidR="00AE727E" w:rsidRDefault="008433E0">
            <w:pPr>
              <w:textAlignment w:val="bottom"/>
            </w:pPr>
            <w:r>
              <w:rPr>
                <w:rFonts w:ascii="Times New Roman" w:eastAsia="宋体" w:hAnsi="Times New Roman"/>
                <w:b/>
                <w:bCs/>
                <w:color w:val="000000"/>
                <w:sz w:val="16"/>
                <w:szCs w:val="16"/>
              </w:rPr>
              <w:t>Balances as of January 29,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BD1" w14:textId="77777777" w:rsidR="00AE727E" w:rsidRDefault="008433E0">
            <w:pPr>
              <w:jc w:val="right"/>
              <w:textAlignment w:val="bottom"/>
            </w:pPr>
            <w:r>
              <w:rPr>
                <w:rFonts w:ascii="Times New Roman" w:eastAsia="宋体" w:hAnsi="Times New Roman"/>
                <w:color w:val="000000"/>
                <w:sz w:val="16"/>
                <w:szCs w:val="16"/>
              </w:rPr>
              <w:t>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D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D3"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D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D5" w14:textId="77777777" w:rsidR="00AE727E" w:rsidRDefault="008433E0">
            <w:pPr>
              <w:jc w:val="right"/>
              <w:textAlignment w:val="bottom"/>
            </w:pPr>
            <w:r>
              <w:rPr>
                <w:rFonts w:ascii="Times New Roman" w:eastAsia="宋体" w:hAnsi="Times New Roman"/>
                <w:color w:val="000000"/>
                <w:sz w:val="16"/>
                <w:szCs w:val="16"/>
              </w:rPr>
              <w:t>16,849 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D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D7"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BD8"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D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DA"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DB"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DC"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D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DE"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DF"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E0" w14:textId="77777777" w:rsidR="00AE727E" w:rsidRDefault="008433E0">
            <w:pPr>
              <w:jc w:val="right"/>
              <w:textAlignment w:val="bottom"/>
            </w:pPr>
            <w:r>
              <w:rPr>
                <w:rFonts w:ascii="Times New Roman" w:eastAsia="宋体" w:hAnsi="Times New Roman"/>
                <w:color w:val="000000"/>
                <w:sz w:val="16"/>
                <w:szCs w:val="16"/>
              </w:rPr>
              <w:t>(13,751)</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E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E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E3"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E4" w14:textId="77777777" w:rsidR="00AE727E" w:rsidRDefault="008433E0">
            <w:pPr>
              <w:jc w:val="right"/>
              <w:textAlignment w:val="bottom"/>
            </w:pPr>
            <w:r>
              <w:rPr>
                <w:rFonts w:ascii="Times New Roman" w:eastAsia="宋体" w:hAnsi="Times New Roman"/>
                <w:color w:val="000000"/>
                <w:sz w:val="16"/>
                <w:szCs w:val="16"/>
              </w:rPr>
              <w:t>(314)</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E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E6"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E7"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E8" w14:textId="77777777" w:rsidR="00AE727E" w:rsidRDefault="008433E0">
            <w:pPr>
              <w:jc w:val="right"/>
              <w:textAlignment w:val="bottom"/>
            </w:pPr>
            <w:r>
              <w:rPr>
                <w:rFonts w:ascii="Times New Roman" w:eastAsia="宋体" w:hAnsi="Times New Roman"/>
                <w:color w:val="000000"/>
                <w:sz w:val="16"/>
                <w:szCs w:val="16"/>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E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EA"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EB"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EC" w14:textId="77777777" w:rsidR="00AE727E" w:rsidRDefault="008433E0">
            <w:pPr>
              <w:jc w:val="right"/>
              <w:textAlignment w:val="bottom"/>
            </w:pPr>
            <w:r>
              <w:rPr>
                <w:rFonts w:ascii="Times New Roman" w:eastAsia="宋体" w:hAnsi="Times New Roman"/>
                <w:color w:val="000000"/>
                <w:sz w:val="16"/>
                <w:szCs w:val="16"/>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E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BEE"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BEF"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BF0" w14:textId="77777777" w:rsidR="00AE727E" w:rsidRDefault="008433E0">
            <w:pPr>
              <w:jc w:val="right"/>
              <w:textAlignment w:val="bottom"/>
            </w:pPr>
            <w:r>
              <w:rPr>
                <w:rFonts w:ascii="Times New Roman" w:eastAsia="宋体" w:hAnsi="Times New Roman"/>
                <w:color w:val="000000"/>
                <w:sz w:val="16"/>
                <w:szCs w:val="16"/>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BF1" w14:textId="77777777" w:rsidR="00AE727E" w:rsidRDefault="00AE727E">
            <w:pPr>
              <w:jc w:val="right"/>
              <w:rPr>
                <w:rFonts w:ascii="宋体"/>
              </w:rPr>
            </w:pPr>
          </w:p>
        </w:tc>
      </w:tr>
      <w:tr w:rsidR="00AE727E" w14:paraId="07DCDC05" w14:textId="77777777">
        <w:trPr>
          <w:hidden/>
        </w:trPr>
        <w:tc>
          <w:tcPr>
            <w:tcW w:w="0" w:type="auto"/>
            <w:gridSpan w:val="3"/>
            <w:shd w:val="clear" w:color="auto" w:fill="auto"/>
            <w:vAlign w:val="bottom"/>
          </w:tcPr>
          <w:p w14:paraId="07DCDBF3" w14:textId="77777777" w:rsidR="00AE727E" w:rsidRDefault="00AE727E">
            <w:pPr>
              <w:rPr>
                <w:rFonts w:ascii="宋体"/>
                <w:vanish/>
              </w:rPr>
            </w:pPr>
          </w:p>
        </w:tc>
        <w:tc>
          <w:tcPr>
            <w:tcW w:w="0" w:type="auto"/>
            <w:gridSpan w:val="3"/>
            <w:shd w:val="clear" w:color="auto" w:fill="auto"/>
            <w:vAlign w:val="bottom"/>
          </w:tcPr>
          <w:p w14:paraId="07DCDBF4" w14:textId="77777777" w:rsidR="00AE727E" w:rsidRDefault="00AE727E">
            <w:pPr>
              <w:rPr>
                <w:rFonts w:ascii="宋体"/>
                <w:vanish/>
              </w:rPr>
            </w:pPr>
          </w:p>
        </w:tc>
        <w:tc>
          <w:tcPr>
            <w:tcW w:w="0" w:type="auto"/>
            <w:gridSpan w:val="3"/>
            <w:shd w:val="clear" w:color="auto" w:fill="auto"/>
            <w:vAlign w:val="bottom"/>
          </w:tcPr>
          <w:p w14:paraId="07DCDBF5" w14:textId="77777777" w:rsidR="00AE727E" w:rsidRDefault="00AE727E">
            <w:pPr>
              <w:rPr>
                <w:rFonts w:ascii="宋体"/>
                <w:vanish/>
              </w:rPr>
            </w:pPr>
          </w:p>
        </w:tc>
        <w:tc>
          <w:tcPr>
            <w:tcW w:w="0" w:type="auto"/>
            <w:gridSpan w:val="3"/>
            <w:shd w:val="clear" w:color="auto" w:fill="auto"/>
            <w:vAlign w:val="bottom"/>
          </w:tcPr>
          <w:p w14:paraId="07DCDBF6" w14:textId="77777777" w:rsidR="00AE727E" w:rsidRDefault="00AE727E">
            <w:pPr>
              <w:rPr>
                <w:rFonts w:ascii="宋体"/>
                <w:vanish/>
              </w:rPr>
            </w:pPr>
          </w:p>
        </w:tc>
        <w:tc>
          <w:tcPr>
            <w:tcW w:w="0" w:type="auto"/>
            <w:gridSpan w:val="3"/>
            <w:shd w:val="clear" w:color="auto" w:fill="auto"/>
            <w:vAlign w:val="bottom"/>
          </w:tcPr>
          <w:p w14:paraId="07DCDBF7" w14:textId="77777777" w:rsidR="00AE727E" w:rsidRDefault="00AE727E">
            <w:pPr>
              <w:rPr>
                <w:rFonts w:ascii="宋体"/>
                <w:vanish/>
              </w:rPr>
            </w:pPr>
          </w:p>
        </w:tc>
        <w:tc>
          <w:tcPr>
            <w:tcW w:w="0" w:type="auto"/>
            <w:gridSpan w:val="3"/>
            <w:shd w:val="clear" w:color="auto" w:fill="auto"/>
            <w:vAlign w:val="bottom"/>
          </w:tcPr>
          <w:p w14:paraId="07DCDBF8" w14:textId="77777777" w:rsidR="00AE727E" w:rsidRDefault="00AE727E">
            <w:pPr>
              <w:rPr>
                <w:rFonts w:ascii="宋体"/>
                <w:vanish/>
              </w:rPr>
            </w:pPr>
          </w:p>
        </w:tc>
        <w:tc>
          <w:tcPr>
            <w:tcW w:w="0" w:type="auto"/>
            <w:gridSpan w:val="3"/>
            <w:shd w:val="clear" w:color="auto" w:fill="auto"/>
            <w:vAlign w:val="bottom"/>
          </w:tcPr>
          <w:p w14:paraId="07DCDBF9" w14:textId="77777777" w:rsidR="00AE727E" w:rsidRDefault="00AE727E">
            <w:pPr>
              <w:rPr>
                <w:rFonts w:ascii="宋体"/>
                <w:vanish/>
              </w:rPr>
            </w:pPr>
          </w:p>
        </w:tc>
        <w:tc>
          <w:tcPr>
            <w:tcW w:w="0" w:type="auto"/>
            <w:gridSpan w:val="3"/>
            <w:shd w:val="clear" w:color="auto" w:fill="auto"/>
            <w:vAlign w:val="bottom"/>
          </w:tcPr>
          <w:p w14:paraId="07DCDBFA" w14:textId="77777777" w:rsidR="00AE727E" w:rsidRDefault="00AE727E">
            <w:pPr>
              <w:rPr>
                <w:rFonts w:ascii="宋体"/>
                <w:vanish/>
              </w:rPr>
            </w:pPr>
          </w:p>
        </w:tc>
        <w:tc>
          <w:tcPr>
            <w:tcW w:w="0" w:type="auto"/>
            <w:gridSpan w:val="3"/>
            <w:shd w:val="clear" w:color="auto" w:fill="auto"/>
            <w:vAlign w:val="bottom"/>
          </w:tcPr>
          <w:p w14:paraId="07DCDBFB" w14:textId="77777777" w:rsidR="00AE727E" w:rsidRDefault="00AE727E">
            <w:pPr>
              <w:rPr>
                <w:rFonts w:ascii="宋体"/>
                <w:vanish/>
              </w:rPr>
            </w:pPr>
          </w:p>
        </w:tc>
        <w:tc>
          <w:tcPr>
            <w:tcW w:w="0" w:type="auto"/>
            <w:gridSpan w:val="3"/>
            <w:shd w:val="clear" w:color="auto" w:fill="auto"/>
            <w:vAlign w:val="bottom"/>
          </w:tcPr>
          <w:p w14:paraId="07DCDBFC" w14:textId="77777777" w:rsidR="00AE727E" w:rsidRDefault="00AE727E">
            <w:pPr>
              <w:rPr>
                <w:rFonts w:ascii="宋体"/>
                <w:vanish/>
              </w:rPr>
            </w:pPr>
          </w:p>
        </w:tc>
        <w:tc>
          <w:tcPr>
            <w:tcW w:w="0" w:type="auto"/>
            <w:gridSpan w:val="3"/>
            <w:shd w:val="clear" w:color="auto" w:fill="auto"/>
            <w:vAlign w:val="bottom"/>
          </w:tcPr>
          <w:p w14:paraId="07DCDBFD" w14:textId="77777777" w:rsidR="00AE727E" w:rsidRDefault="00AE727E">
            <w:pPr>
              <w:rPr>
                <w:rFonts w:ascii="宋体"/>
                <w:vanish/>
              </w:rPr>
            </w:pPr>
          </w:p>
        </w:tc>
        <w:tc>
          <w:tcPr>
            <w:tcW w:w="0" w:type="auto"/>
            <w:gridSpan w:val="3"/>
            <w:shd w:val="clear" w:color="auto" w:fill="auto"/>
            <w:vAlign w:val="bottom"/>
          </w:tcPr>
          <w:p w14:paraId="07DCDBFE" w14:textId="77777777" w:rsidR="00AE727E" w:rsidRDefault="00AE727E">
            <w:pPr>
              <w:rPr>
                <w:rFonts w:ascii="宋体"/>
                <w:vanish/>
              </w:rPr>
            </w:pPr>
          </w:p>
        </w:tc>
        <w:tc>
          <w:tcPr>
            <w:tcW w:w="0" w:type="auto"/>
            <w:gridSpan w:val="3"/>
            <w:shd w:val="clear" w:color="auto" w:fill="auto"/>
            <w:vAlign w:val="bottom"/>
          </w:tcPr>
          <w:p w14:paraId="07DCDBFF" w14:textId="77777777" w:rsidR="00AE727E" w:rsidRDefault="00AE727E">
            <w:pPr>
              <w:rPr>
                <w:rFonts w:ascii="宋体"/>
                <w:vanish/>
              </w:rPr>
            </w:pPr>
          </w:p>
        </w:tc>
        <w:tc>
          <w:tcPr>
            <w:tcW w:w="0" w:type="auto"/>
            <w:gridSpan w:val="3"/>
            <w:shd w:val="clear" w:color="auto" w:fill="auto"/>
            <w:vAlign w:val="bottom"/>
          </w:tcPr>
          <w:p w14:paraId="07DCDC00" w14:textId="77777777" w:rsidR="00AE727E" w:rsidRDefault="00AE727E">
            <w:pPr>
              <w:rPr>
                <w:rFonts w:ascii="宋体"/>
                <w:vanish/>
              </w:rPr>
            </w:pPr>
          </w:p>
        </w:tc>
        <w:tc>
          <w:tcPr>
            <w:tcW w:w="0" w:type="auto"/>
            <w:gridSpan w:val="3"/>
            <w:shd w:val="clear" w:color="auto" w:fill="auto"/>
            <w:vAlign w:val="bottom"/>
          </w:tcPr>
          <w:p w14:paraId="07DCDC01" w14:textId="77777777" w:rsidR="00AE727E" w:rsidRDefault="00AE727E">
            <w:pPr>
              <w:rPr>
                <w:rFonts w:ascii="宋体"/>
                <w:vanish/>
              </w:rPr>
            </w:pPr>
          </w:p>
        </w:tc>
        <w:tc>
          <w:tcPr>
            <w:tcW w:w="0" w:type="auto"/>
            <w:gridSpan w:val="3"/>
            <w:shd w:val="clear" w:color="auto" w:fill="auto"/>
            <w:vAlign w:val="bottom"/>
          </w:tcPr>
          <w:p w14:paraId="07DCDC02" w14:textId="77777777" w:rsidR="00AE727E" w:rsidRDefault="00AE727E">
            <w:pPr>
              <w:rPr>
                <w:rFonts w:ascii="宋体"/>
                <w:vanish/>
              </w:rPr>
            </w:pPr>
          </w:p>
        </w:tc>
        <w:tc>
          <w:tcPr>
            <w:tcW w:w="0" w:type="auto"/>
            <w:gridSpan w:val="3"/>
            <w:shd w:val="clear" w:color="auto" w:fill="auto"/>
            <w:vAlign w:val="bottom"/>
          </w:tcPr>
          <w:p w14:paraId="07DCDC03" w14:textId="77777777" w:rsidR="00AE727E" w:rsidRDefault="00AE727E">
            <w:pPr>
              <w:rPr>
                <w:rFonts w:ascii="宋体"/>
                <w:vanish/>
              </w:rPr>
            </w:pPr>
          </w:p>
        </w:tc>
        <w:tc>
          <w:tcPr>
            <w:tcW w:w="0" w:type="auto"/>
            <w:gridSpan w:val="3"/>
            <w:shd w:val="clear" w:color="auto" w:fill="auto"/>
            <w:vAlign w:val="bottom"/>
          </w:tcPr>
          <w:p w14:paraId="07DCDC04" w14:textId="77777777" w:rsidR="00AE727E" w:rsidRDefault="00AE727E">
            <w:pPr>
              <w:rPr>
                <w:rFonts w:ascii="宋体"/>
                <w:vanish/>
              </w:rPr>
            </w:pPr>
          </w:p>
        </w:tc>
      </w:tr>
      <w:tr w:rsidR="00AE727E" w14:paraId="07DCDC21" w14:textId="77777777">
        <w:tc>
          <w:tcPr>
            <w:tcW w:w="0" w:type="auto"/>
            <w:gridSpan w:val="3"/>
            <w:shd w:val="clear" w:color="auto" w:fill="FFFFFF"/>
            <w:tcMar>
              <w:top w:w="40" w:type="dxa"/>
              <w:left w:w="155" w:type="dxa"/>
              <w:bottom w:w="40" w:type="dxa"/>
              <w:right w:w="20" w:type="dxa"/>
            </w:tcMar>
            <w:vAlign w:val="bottom"/>
          </w:tcPr>
          <w:p w14:paraId="07DCDC06" w14:textId="77777777" w:rsidR="00AE727E" w:rsidRDefault="008433E0">
            <w:pPr>
              <w:textAlignment w:val="bottom"/>
            </w:pPr>
            <w:r>
              <w:rPr>
                <w:rFonts w:ascii="Times New Roman" w:eastAsia="宋体" w:hAnsi="Times New Roman"/>
                <w:color w:val="000000"/>
                <w:sz w:val="16"/>
                <w:szCs w:val="16"/>
              </w:rPr>
              <w:t>Net income</w:t>
            </w:r>
          </w:p>
        </w:tc>
        <w:tc>
          <w:tcPr>
            <w:tcW w:w="0" w:type="auto"/>
            <w:gridSpan w:val="2"/>
            <w:shd w:val="clear" w:color="auto" w:fill="FFFFFF"/>
            <w:tcMar>
              <w:top w:w="40" w:type="dxa"/>
              <w:left w:w="20" w:type="dxa"/>
              <w:bottom w:w="40" w:type="dxa"/>
              <w:right w:w="0" w:type="dxa"/>
            </w:tcMar>
            <w:vAlign w:val="bottom"/>
          </w:tcPr>
          <w:p w14:paraId="07DCDC0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0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0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0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0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0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0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0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0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1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1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3" w14:textId="77777777" w:rsidR="00AE727E" w:rsidRDefault="008433E0">
            <w:pPr>
              <w:jc w:val="right"/>
              <w:textAlignment w:val="bottom"/>
            </w:pPr>
            <w:r>
              <w:rPr>
                <w:rFonts w:ascii="Times New Roman" w:eastAsia="宋体" w:hAnsi="Times New Roman"/>
                <w:color w:val="000000"/>
                <w:sz w:val="16"/>
                <w:szCs w:val="16"/>
              </w:rPr>
              <w:t>5,561 </w:t>
            </w:r>
          </w:p>
        </w:tc>
        <w:tc>
          <w:tcPr>
            <w:tcW w:w="0" w:type="auto"/>
            <w:shd w:val="clear" w:color="auto" w:fill="FFFFFF"/>
            <w:tcMar>
              <w:top w:w="40" w:type="dxa"/>
              <w:left w:w="0" w:type="dxa"/>
              <w:bottom w:w="40" w:type="dxa"/>
              <w:right w:w="20" w:type="dxa"/>
            </w:tcMar>
            <w:vAlign w:val="bottom"/>
          </w:tcPr>
          <w:p w14:paraId="07DCDC1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1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1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9" w14:textId="77777777" w:rsidR="00AE727E" w:rsidRDefault="008433E0">
            <w:pPr>
              <w:jc w:val="right"/>
              <w:textAlignment w:val="bottom"/>
            </w:pPr>
            <w:r>
              <w:rPr>
                <w:rFonts w:ascii="Times New Roman" w:eastAsia="宋体" w:hAnsi="Times New Roman"/>
                <w:color w:val="000000"/>
                <w:sz w:val="16"/>
                <w:szCs w:val="16"/>
              </w:rPr>
              <w:t>5,561 </w:t>
            </w:r>
          </w:p>
        </w:tc>
        <w:tc>
          <w:tcPr>
            <w:tcW w:w="0" w:type="auto"/>
            <w:shd w:val="clear" w:color="auto" w:fill="FFFFFF"/>
            <w:tcMar>
              <w:top w:w="40" w:type="dxa"/>
              <w:left w:w="0" w:type="dxa"/>
              <w:bottom w:w="40" w:type="dxa"/>
              <w:right w:w="20" w:type="dxa"/>
            </w:tcMar>
            <w:vAlign w:val="bottom"/>
          </w:tcPr>
          <w:p w14:paraId="07DCDC1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1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C" w14:textId="77777777" w:rsidR="00AE727E" w:rsidRDefault="008433E0">
            <w:pPr>
              <w:jc w:val="right"/>
              <w:textAlignment w:val="bottom"/>
            </w:pPr>
            <w:r>
              <w:rPr>
                <w:rFonts w:ascii="Times New Roman" w:eastAsia="宋体" w:hAnsi="Times New Roman"/>
                <w:color w:val="000000"/>
                <w:sz w:val="16"/>
                <w:szCs w:val="16"/>
              </w:rPr>
              <w:t>145 </w:t>
            </w:r>
          </w:p>
        </w:tc>
        <w:tc>
          <w:tcPr>
            <w:tcW w:w="0" w:type="auto"/>
            <w:shd w:val="clear" w:color="auto" w:fill="FFFFFF"/>
            <w:tcMar>
              <w:top w:w="40" w:type="dxa"/>
              <w:left w:w="0" w:type="dxa"/>
              <w:bottom w:w="40" w:type="dxa"/>
              <w:right w:w="20" w:type="dxa"/>
            </w:tcMar>
            <w:vAlign w:val="bottom"/>
          </w:tcPr>
          <w:p w14:paraId="07DCDC1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1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1F" w14:textId="77777777" w:rsidR="00AE727E" w:rsidRDefault="008433E0">
            <w:pPr>
              <w:jc w:val="right"/>
              <w:textAlignment w:val="bottom"/>
            </w:pPr>
            <w:r>
              <w:rPr>
                <w:rFonts w:ascii="Times New Roman" w:eastAsia="宋体" w:hAnsi="Times New Roman"/>
                <w:color w:val="000000"/>
                <w:sz w:val="16"/>
                <w:szCs w:val="16"/>
              </w:rPr>
              <w:t>5,706 </w:t>
            </w:r>
          </w:p>
        </w:tc>
        <w:tc>
          <w:tcPr>
            <w:tcW w:w="0" w:type="auto"/>
            <w:shd w:val="clear" w:color="auto" w:fill="FFFFFF"/>
            <w:tcMar>
              <w:top w:w="40" w:type="dxa"/>
              <w:left w:w="0" w:type="dxa"/>
              <w:bottom w:w="40" w:type="dxa"/>
              <w:right w:w="20" w:type="dxa"/>
            </w:tcMar>
            <w:vAlign w:val="bottom"/>
          </w:tcPr>
          <w:p w14:paraId="07DCDC20" w14:textId="77777777" w:rsidR="00AE727E" w:rsidRDefault="00AE727E">
            <w:pPr>
              <w:jc w:val="right"/>
              <w:rPr>
                <w:rFonts w:ascii="宋体"/>
              </w:rPr>
            </w:pPr>
          </w:p>
        </w:tc>
      </w:tr>
      <w:tr w:rsidR="00AE727E" w14:paraId="07DCDC3D" w14:textId="77777777">
        <w:tc>
          <w:tcPr>
            <w:tcW w:w="0" w:type="auto"/>
            <w:gridSpan w:val="3"/>
            <w:shd w:val="clear" w:color="auto" w:fill="CCEEFF"/>
            <w:tcMar>
              <w:top w:w="40" w:type="dxa"/>
              <w:left w:w="155" w:type="dxa"/>
              <w:bottom w:w="40" w:type="dxa"/>
              <w:right w:w="20" w:type="dxa"/>
            </w:tcMar>
            <w:vAlign w:val="bottom"/>
          </w:tcPr>
          <w:p w14:paraId="07DCDC22" w14:textId="77777777" w:rsidR="00AE727E" w:rsidRDefault="008433E0">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CCEEFF"/>
            <w:tcMar>
              <w:top w:w="40" w:type="dxa"/>
              <w:left w:w="20" w:type="dxa"/>
              <w:bottom w:w="40" w:type="dxa"/>
              <w:right w:w="0" w:type="dxa"/>
            </w:tcMar>
            <w:vAlign w:val="bottom"/>
          </w:tcPr>
          <w:p w14:paraId="07DCDC2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2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2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2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2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2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2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2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2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2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2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3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3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32" w14:textId="77777777" w:rsidR="00AE727E" w:rsidRDefault="008433E0">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DCDC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35" w14:textId="77777777" w:rsidR="00AE727E" w:rsidRDefault="008433E0">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DCDC3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3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3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3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3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3B" w14:textId="77777777" w:rsidR="00AE727E" w:rsidRDefault="008433E0">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DCDC3C" w14:textId="77777777" w:rsidR="00AE727E" w:rsidRDefault="00AE727E">
            <w:pPr>
              <w:jc w:val="right"/>
              <w:rPr>
                <w:rFonts w:ascii="宋体"/>
              </w:rPr>
            </w:pPr>
          </w:p>
        </w:tc>
      </w:tr>
      <w:tr w:rsidR="00AE727E" w14:paraId="07DCDC59" w14:textId="77777777">
        <w:tc>
          <w:tcPr>
            <w:tcW w:w="0" w:type="auto"/>
            <w:gridSpan w:val="3"/>
            <w:shd w:val="clear" w:color="auto" w:fill="FFFFFF"/>
            <w:tcMar>
              <w:top w:w="40" w:type="dxa"/>
              <w:left w:w="155" w:type="dxa"/>
              <w:bottom w:w="40" w:type="dxa"/>
              <w:right w:w="20" w:type="dxa"/>
            </w:tcMar>
            <w:vAlign w:val="bottom"/>
          </w:tcPr>
          <w:p w14:paraId="07DCDC3E" w14:textId="77777777" w:rsidR="00AE727E" w:rsidRDefault="008433E0">
            <w:pPr>
              <w:textAlignment w:val="bottom"/>
            </w:pPr>
            <w:r>
              <w:rPr>
                <w:rFonts w:ascii="Times New Roman" w:eastAsia="宋体" w:hAnsi="Times New Roman"/>
                <w:color w:val="000000"/>
                <w:sz w:val="16"/>
                <w:szCs w:val="16"/>
              </w:rPr>
              <w:t>Cash flow hedges, net change</w:t>
            </w:r>
          </w:p>
        </w:tc>
        <w:tc>
          <w:tcPr>
            <w:tcW w:w="0" w:type="auto"/>
            <w:gridSpan w:val="2"/>
            <w:shd w:val="clear" w:color="auto" w:fill="FFFFFF"/>
            <w:tcMar>
              <w:top w:w="40" w:type="dxa"/>
              <w:left w:w="20" w:type="dxa"/>
              <w:bottom w:w="40" w:type="dxa"/>
              <w:right w:w="0" w:type="dxa"/>
            </w:tcMar>
            <w:vAlign w:val="bottom"/>
          </w:tcPr>
          <w:p w14:paraId="07DCDC3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4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4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4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4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4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4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4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4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4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4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4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4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4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4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4E" w14:textId="77777777" w:rsidR="00AE727E" w:rsidRDefault="008433E0">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DCDC4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5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51" w14:textId="77777777" w:rsidR="00AE727E" w:rsidRDefault="008433E0">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DCDC5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5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5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5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57" w14:textId="77777777" w:rsidR="00AE727E" w:rsidRDefault="008433E0">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DCDC58" w14:textId="77777777" w:rsidR="00AE727E" w:rsidRDefault="00AE727E">
            <w:pPr>
              <w:jc w:val="right"/>
              <w:rPr>
                <w:rFonts w:ascii="宋体"/>
              </w:rPr>
            </w:pPr>
          </w:p>
        </w:tc>
      </w:tr>
      <w:tr w:rsidR="00AE727E" w14:paraId="07DCDC75" w14:textId="77777777">
        <w:tc>
          <w:tcPr>
            <w:tcW w:w="0" w:type="auto"/>
            <w:gridSpan w:val="3"/>
            <w:shd w:val="clear" w:color="auto" w:fill="CCEEFF"/>
            <w:tcMar>
              <w:top w:w="40" w:type="dxa"/>
              <w:left w:w="155" w:type="dxa"/>
              <w:bottom w:w="40" w:type="dxa"/>
              <w:right w:w="20" w:type="dxa"/>
            </w:tcMar>
            <w:vAlign w:val="bottom"/>
          </w:tcPr>
          <w:p w14:paraId="07DCDC5A" w14:textId="77777777" w:rsidR="00AE727E" w:rsidRDefault="008433E0">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CCEEFF"/>
            <w:tcMar>
              <w:top w:w="40" w:type="dxa"/>
              <w:left w:w="20" w:type="dxa"/>
              <w:bottom w:w="40" w:type="dxa"/>
              <w:right w:w="0" w:type="dxa"/>
            </w:tcMar>
            <w:vAlign w:val="bottom"/>
          </w:tcPr>
          <w:p w14:paraId="07DCDC5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5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5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5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5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6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6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6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6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6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6A" w14:textId="77777777" w:rsidR="00AE727E" w:rsidRDefault="008433E0">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DCDC6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6D" w14:textId="77777777" w:rsidR="00AE727E" w:rsidRDefault="008433E0">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DCDC6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6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7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7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7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73" w14:textId="77777777" w:rsidR="00AE727E" w:rsidRDefault="008433E0">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DCDC74" w14:textId="77777777" w:rsidR="00AE727E" w:rsidRDefault="00AE727E">
            <w:pPr>
              <w:jc w:val="right"/>
              <w:rPr>
                <w:rFonts w:ascii="宋体"/>
              </w:rPr>
            </w:pPr>
          </w:p>
        </w:tc>
      </w:tr>
      <w:tr w:rsidR="00AE727E" w14:paraId="07DCDC91" w14:textId="77777777">
        <w:tc>
          <w:tcPr>
            <w:tcW w:w="0" w:type="auto"/>
            <w:gridSpan w:val="3"/>
            <w:shd w:val="clear" w:color="auto" w:fill="FFFFFF"/>
            <w:tcMar>
              <w:top w:w="40" w:type="dxa"/>
              <w:left w:w="155" w:type="dxa"/>
              <w:bottom w:w="40" w:type="dxa"/>
              <w:right w:w="20" w:type="dxa"/>
            </w:tcMar>
            <w:vAlign w:val="bottom"/>
          </w:tcPr>
          <w:p w14:paraId="07DCDC76" w14:textId="77777777" w:rsidR="00AE727E" w:rsidRDefault="008433E0">
            <w:pPr>
              <w:textAlignment w:val="bottom"/>
            </w:pPr>
            <w:r>
              <w:rPr>
                <w:rFonts w:ascii="Times New Roman" w:eastAsia="宋体" w:hAnsi="Times New Roman"/>
                <w:color w:val="000000"/>
                <w:sz w:val="16"/>
                <w:szCs w:val="16"/>
              </w:rPr>
              <w:t>Issuance of common stock</w:t>
            </w:r>
          </w:p>
        </w:tc>
        <w:tc>
          <w:tcPr>
            <w:tcW w:w="0" w:type="auto"/>
            <w:gridSpan w:val="2"/>
            <w:shd w:val="clear" w:color="auto" w:fill="FFFFFF"/>
            <w:tcMar>
              <w:top w:w="40" w:type="dxa"/>
              <w:left w:w="20" w:type="dxa"/>
              <w:bottom w:w="40" w:type="dxa"/>
              <w:right w:w="0" w:type="dxa"/>
            </w:tcMar>
            <w:vAlign w:val="bottom"/>
          </w:tcPr>
          <w:p w14:paraId="07DCDC77" w14:textId="77777777" w:rsidR="00AE727E" w:rsidRDefault="008433E0">
            <w:pPr>
              <w:jc w:val="right"/>
              <w:textAlignment w:val="bottom"/>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bottom"/>
          </w:tcPr>
          <w:p w14:paraId="07DCDC7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7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7A" w14:textId="77777777" w:rsidR="00AE727E" w:rsidRDefault="008433E0">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DCDC7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7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7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7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7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8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8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8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8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8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8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9" w14:textId="77777777" w:rsidR="00AE727E" w:rsidRDefault="008433E0">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DCDC8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8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8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8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8F" w14:textId="77777777" w:rsidR="00AE727E" w:rsidRDefault="008433E0">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DCDC90" w14:textId="77777777" w:rsidR="00AE727E" w:rsidRDefault="00AE727E">
            <w:pPr>
              <w:jc w:val="right"/>
              <w:rPr>
                <w:rFonts w:ascii="宋体"/>
              </w:rPr>
            </w:pPr>
          </w:p>
        </w:tc>
      </w:tr>
      <w:tr w:rsidR="00AE727E" w14:paraId="07DCDCAD" w14:textId="77777777">
        <w:tc>
          <w:tcPr>
            <w:tcW w:w="0" w:type="auto"/>
            <w:gridSpan w:val="3"/>
            <w:shd w:val="clear" w:color="auto" w:fill="CCEEFF"/>
            <w:tcMar>
              <w:top w:w="40" w:type="dxa"/>
              <w:left w:w="155" w:type="dxa"/>
              <w:bottom w:w="40" w:type="dxa"/>
              <w:right w:w="20" w:type="dxa"/>
            </w:tcMar>
            <w:vAlign w:val="bottom"/>
          </w:tcPr>
          <w:p w14:paraId="07DCDC92" w14:textId="77777777" w:rsidR="00AE727E" w:rsidRDefault="008433E0">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CCEEFF"/>
            <w:tcMar>
              <w:top w:w="40" w:type="dxa"/>
              <w:left w:w="20" w:type="dxa"/>
              <w:bottom w:w="40" w:type="dxa"/>
              <w:right w:w="0" w:type="dxa"/>
            </w:tcMar>
            <w:vAlign w:val="bottom"/>
          </w:tcPr>
          <w:p w14:paraId="07DCDC9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9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96" w14:textId="77777777" w:rsidR="00AE727E" w:rsidRDefault="008433E0">
            <w:pPr>
              <w:jc w:val="right"/>
              <w:textAlignment w:val="bottom"/>
            </w:pPr>
            <w:r>
              <w:rPr>
                <w:rFonts w:ascii="Times New Roman" w:eastAsia="宋体" w:hAnsi="Times New Roman"/>
                <w:color w:val="000000"/>
                <w:sz w:val="16"/>
                <w:szCs w:val="16"/>
              </w:rPr>
              <w:t>569 </w:t>
            </w:r>
          </w:p>
        </w:tc>
        <w:tc>
          <w:tcPr>
            <w:tcW w:w="0" w:type="auto"/>
            <w:shd w:val="clear" w:color="auto" w:fill="CCEEFF"/>
            <w:tcMar>
              <w:top w:w="40" w:type="dxa"/>
              <w:left w:w="0" w:type="dxa"/>
              <w:bottom w:w="40" w:type="dxa"/>
              <w:right w:w="20" w:type="dxa"/>
            </w:tcMar>
            <w:vAlign w:val="bottom"/>
          </w:tcPr>
          <w:p w14:paraId="07DCDC9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9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9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9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9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9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9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9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9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A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A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A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A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A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A5" w14:textId="77777777" w:rsidR="00AE727E" w:rsidRDefault="008433E0">
            <w:pPr>
              <w:jc w:val="right"/>
              <w:textAlignment w:val="bottom"/>
            </w:pPr>
            <w:r>
              <w:rPr>
                <w:rFonts w:ascii="Times New Roman" w:eastAsia="宋体" w:hAnsi="Times New Roman"/>
                <w:color w:val="000000"/>
                <w:sz w:val="16"/>
                <w:szCs w:val="16"/>
              </w:rPr>
              <w:t>569 </w:t>
            </w:r>
          </w:p>
        </w:tc>
        <w:tc>
          <w:tcPr>
            <w:tcW w:w="0" w:type="auto"/>
            <w:shd w:val="clear" w:color="auto" w:fill="CCEEFF"/>
            <w:tcMar>
              <w:top w:w="40" w:type="dxa"/>
              <w:left w:w="0" w:type="dxa"/>
              <w:bottom w:w="40" w:type="dxa"/>
              <w:right w:w="20" w:type="dxa"/>
            </w:tcMar>
            <w:vAlign w:val="bottom"/>
          </w:tcPr>
          <w:p w14:paraId="07DCDCA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A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A8" w14:textId="77777777" w:rsidR="00AE727E" w:rsidRDefault="008433E0">
            <w:pPr>
              <w:jc w:val="right"/>
              <w:textAlignment w:val="bottom"/>
            </w:pPr>
            <w:r>
              <w:rPr>
                <w:rFonts w:ascii="Times New Roman" w:eastAsia="宋体" w:hAnsi="Times New Roman"/>
                <w:color w:val="000000"/>
                <w:sz w:val="16"/>
                <w:szCs w:val="16"/>
              </w:rPr>
              <w:t>837 </w:t>
            </w:r>
          </w:p>
        </w:tc>
        <w:tc>
          <w:tcPr>
            <w:tcW w:w="0" w:type="auto"/>
            <w:shd w:val="clear" w:color="auto" w:fill="CCEEFF"/>
            <w:tcMar>
              <w:top w:w="40" w:type="dxa"/>
              <w:left w:w="0" w:type="dxa"/>
              <w:bottom w:w="40" w:type="dxa"/>
              <w:right w:w="20" w:type="dxa"/>
            </w:tcMar>
            <w:vAlign w:val="bottom"/>
          </w:tcPr>
          <w:p w14:paraId="07DCDCA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A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AB" w14:textId="77777777" w:rsidR="00AE727E" w:rsidRDefault="008433E0">
            <w:pPr>
              <w:jc w:val="right"/>
              <w:textAlignment w:val="bottom"/>
            </w:pPr>
            <w:r>
              <w:rPr>
                <w:rFonts w:ascii="Times New Roman" w:eastAsia="宋体" w:hAnsi="Times New Roman"/>
                <w:color w:val="000000"/>
                <w:sz w:val="16"/>
                <w:szCs w:val="16"/>
              </w:rPr>
              <w:t>1,406 </w:t>
            </w:r>
          </w:p>
        </w:tc>
        <w:tc>
          <w:tcPr>
            <w:tcW w:w="0" w:type="auto"/>
            <w:shd w:val="clear" w:color="auto" w:fill="CCEEFF"/>
            <w:tcMar>
              <w:top w:w="40" w:type="dxa"/>
              <w:left w:w="0" w:type="dxa"/>
              <w:bottom w:w="40" w:type="dxa"/>
              <w:right w:w="20" w:type="dxa"/>
            </w:tcMar>
            <w:vAlign w:val="bottom"/>
          </w:tcPr>
          <w:p w14:paraId="07DCDCAC" w14:textId="77777777" w:rsidR="00AE727E" w:rsidRDefault="00AE727E">
            <w:pPr>
              <w:jc w:val="right"/>
              <w:rPr>
                <w:rFonts w:ascii="宋体"/>
              </w:rPr>
            </w:pPr>
          </w:p>
        </w:tc>
      </w:tr>
      <w:tr w:rsidR="00AE727E" w14:paraId="07DCDCC0" w14:textId="77777777">
        <w:trPr>
          <w:hidden/>
        </w:trPr>
        <w:tc>
          <w:tcPr>
            <w:tcW w:w="0" w:type="auto"/>
            <w:gridSpan w:val="3"/>
            <w:shd w:val="clear" w:color="auto" w:fill="auto"/>
            <w:vAlign w:val="bottom"/>
          </w:tcPr>
          <w:p w14:paraId="07DCDCAE" w14:textId="77777777" w:rsidR="00AE727E" w:rsidRDefault="00AE727E">
            <w:pPr>
              <w:rPr>
                <w:rFonts w:ascii="宋体"/>
                <w:vanish/>
              </w:rPr>
            </w:pPr>
          </w:p>
        </w:tc>
        <w:tc>
          <w:tcPr>
            <w:tcW w:w="0" w:type="auto"/>
            <w:gridSpan w:val="3"/>
            <w:shd w:val="clear" w:color="auto" w:fill="auto"/>
            <w:vAlign w:val="bottom"/>
          </w:tcPr>
          <w:p w14:paraId="07DCDCAF" w14:textId="77777777" w:rsidR="00AE727E" w:rsidRDefault="00AE727E">
            <w:pPr>
              <w:rPr>
                <w:rFonts w:ascii="宋体"/>
                <w:vanish/>
              </w:rPr>
            </w:pPr>
          </w:p>
        </w:tc>
        <w:tc>
          <w:tcPr>
            <w:tcW w:w="0" w:type="auto"/>
            <w:gridSpan w:val="3"/>
            <w:shd w:val="clear" w:color="auto" w:fill="auto"/>
            <w:vAlign w:val="bottom"/>
          </w:tcPr>
          <w:p w14:paraId="07DCDCB0" w14:textId="77777777" w:rsidR="00AE727E" w:rsidRDefault="00AE727E">
            <w:pPr>
              <w:rPr>
                <w:rFonts w:ascii="宋体"/>
                <w:vanish/>
              </w:rPr>
            </w:pPr>
          </w:p>
        </w:tc>
        <w:tc>
          <w:tcPr>
            <w:tcW w:w="0" w:type="auto"/>
            <w:gridSpan w:val="3"/>
            <w:shd w:val="clear" w:color="auto" w:fill="auto"/>
            <w:vAlign w:val="bottom"/>
          </w:tcPr>
          <w:p w14:paraId="07DCDCB1" w14:textId="77777777" w:rsidR="00AE727E" w:rsidRDefault="00AE727E">
            <w:pPr>
              <w:rPr>
                <w:rFonts w:ascii="宋体"/>
                <w:vanish/>
              </w:rPr>
            </w:pPr>
          </w:p>
        </w:tc>
        <w:tc>
          <w:tcPr>
            <w:tcW w:w="0" w:type="auto"/>
            <w:gridSpan w:val="3"/>
            <w:shd w:val="clear" w:color="auto" w:fill="auto"/>
            <w:vAlign w:val="bottom"/>
          </w:tcPr>
          <w:p w14:paraId="07DCDCB2" w14:textId="77777777" w:rsidR="00AE727E" w:rsidRDefault="00AE727E">
            <w:pPr>
              <w:rPr>
                <w:rFonts w:ascii="宋体"/>
                <w:vanish/>
              </w:rPr>
            </w:pPr>
          </w:p>
        </w:tc>
        <w:tc>
          <w:tcPr>
            <w:tcW w:w="0" w:type="auto"/>
            <w:gridSpan w:val="3"/>
            <w:shd w:val="clear" w:color="auto" w:fill="auto"/>
            <w:vAlign w:val="bottom"/>
          </w:tcPr>
          <w:p w14:paraId="07DCDCB3" w14:textId="77777777" w:rsidR="00AE727E" w:rsidRDefault="00AE727E">
            <w:pPr>
              <w:rPr>
                <w:rFonts w:ascii="宋体"/>
                <w:vanish/>
              </w:rPr>
            </w:pPr>
          </w:p>
        </w:tc>
        <w:tc>
          <w:tcPr>
            <w:tcW w:w="0" w:type="auto"/>
            <w:gridSpan w:val="3"/>
            <w:shd w:val="clear" w:color="auto" w:fill="auto"/>
            <w:vAlign w:val="bottom"/>
          </w:tcPr>
          <w:p w14:paraId="07DCDCB4" w14:textId="77777777" w:rsidR="00AE727E" w:rsidRDefault="00AE727E">
            <w:pPr>
              <w:rPr>
                <w:rFonts w:ascii="宋体"/>
                <w:vanish/>
              </w:rPr>
            </w:pPr>
          </w:p>
        </w:tc>
        <w:tc>
          <w:tcPr>
            <w:tcW w:w="0" w:type="auto"/>
            <w:gridSpan w:val="3"/>
            <w:shd w:val="clear" w:color="auto" w:fill="auto"/>
            <w:vAlign w:val="bottom"/>
          </w:tcPr>
          <w:p w14:paraId="07DCDCB5" w14:textId="77777777" w:rsidR="00AE727E" w:rsidRDefault="00AE727E">
            <w:pPr>
              <w:rPr>
                <w:rFonts w:ascii="宋体"/>
                <w:vanish/>
              </w:rPr>
            </w:pPr>
          </w:p>
        </w:tc>
        <w:tc>
          <w:tcPr>
            <w:tcW w:w="0" w:type="auto"/>
            <w:gridSpan w:val="3"/>
            <w:shd w:val="clear" w:color="auto" w:fill="auto"/>
            <w:vAlign w:val="bottom"/>
          </w:tcPr>
          <w:p w14:paraId="07DCDCB6" w14:textId="77777777" w:rsidR="00AE727E" w:rsidRDefault="00AE727E">
            <w:pPr>
              <w:rPr>
                <w:rFonts w:ascii="宋体"/>
                <w:vanish/>
              </w:rPr>
            </w:pPr>
          </w:p>
        </w:tc>
        <w:tc>
          <w:tcPr>
            <w:tcW w:w="0" w:type="auto"/>
            <w:gridSpan w:val="3"/>
            <w:shd w:val="clear" w:color="auto" w:fill="auto"/>
            <w:vAlign w:val="bottom"/>
          </w:tcPr>
          <w:p w14:paraId="07DCDCB7" w14:textId="77777777" w:rsidR="00AE727E" w:rsidRDefault="00AE727E">
            <w:pPr>
              <w:rPr>
                <w:rFonts w:ascii="宋体"/>
                <w:vanish/>
              </w:rPr>
            </w:pPr>
          </w:p>
        </w:tc>
        <w:tc>
          <w:tcPr>
            <w:tcW w:w="0" w:type="auto"/>
            <w:gridSpan w:val="3"/>
            <w:shd w:val="clear" w:color="auto" w:fill="auto"/>
            <w:vAlign w:val="bottom"/>
          </w:tcPr>
          <w:p w14:paraId="07DCDCB8" w14:textId="77777777" w:rsidR="00AE727E" w:rsidRDefault="00AE727E">
            <w:pPr>
              <w:rPr>
                <w:rFonts w:ascii="宋体"/>
                <w:vanish/>
              </w:rPr>
            </w:pPr>
          </w:p>
        </w:tc>
        <w:tc>
          <w:tcPr>
            <w:tcW w:w="0" w:type="auto"/>
            <w:gridSpan w:val="3"/>
            <w:shd w:val="clear" w:color="auto" w:fill="auto"/>
            <w:vAlign w:val="bottom"/>
          </w:tcPr>
          <w:p w14:paraId="07DCDCB9" w14:textId="77777777" w:rsidR="00AE727E" w:rsidRDefault="00AE727E">
            <w:pPr>
              <w:rPr>
                <w:rFonts w:ascii="宋体"/>
                <w:vanish/>
              </w:rPr>
            </w:pPr>
          </w:p>
        </w:tc>
        <w:tc>
          <w:tcPr>
            <w:tcW w:w="0" w:type="auto"/>
            <w:gridSpan w:val="3"/>
            <w:shd w:val="clear" w:color="auto" w:fill="auto"/>
            <w:vAlign w:val="bottom"/>
          </w:tcPr>
          <w:p w14:paraId="07DCDCBA" w14:textId="77777777" w:rsidR="00AE727E" w:rsidRDefault="00AE727E">
            <w:pPr>
              <w:rPr>
                <w:rFonts w:ascii="宋体"/>
                <w:vanish/>
              </w:rPr>
            </w:pPr>
          </w:p>
        </w:tc>
        <w:tc>
          <w:tcPr>
            <w:tcW w:w="0" w:type="auto"/>
            <w:gridSpan w:val="3"/>
            <w:shd w:val="clear" w:color="auto" w:fill="auto"/>
            <w:vAlign w:val="bottom"/>
          </w:tcPr>
          <w:p w14:paraId="07DCDCBB" w14:textId="77777777" w:rsidR="00AE727E" w:rsidRDefault="00AE727E">
            <w:pPr>
              <w:rPr>
                <w:rFonts w:ascii="宋体"/>
                <w:vanish/>
              </w:rPr>
            </w:pPr>
          </w:p>
        </w:tc>
        <w:tc>
          <w:tcPr>
            <w:tcW w:w="0" w:type="auto"/>
            <w:gridSpan w:val="3"/>
            <w:shd w:val="clear" w:color="auto" w:fill="auto"/>
            <w:vAlign w:val="bottom"/>
          </w:tcPr>
          <w:p w14:paraId="07DCDCBC" w14:textId="77777777" w:rsidR="00AE727E" w:rsidRDefault="00AE727E">
            <w:pPr>
              <w:rPr>
                <w:rFonts w:ascii="宋体"/>
                <w:vanish/>
              </w:rPr>
            </w:pPr>
          </w:p>
        </w:tc>
        <w:tc>
          <w:tcPr>
            <w:tcW w:w="0" w:type="auto"/>
            <w:gridSpan w:val="3"/>
            <w:shd w:val="clear" w:color="auto" w:fill="auto"/>
            <w:vAlign w:val="bottom"/>
          </w:tcPr>
          <w:p w14:paraId="07DCDCBD" w14:textId="77777777" w:rsidR="00AE727E" w:rsidRDefault="00AE727E">
            <w:pPr>
              <w:rPr>
                <w:rFonts w:ascii="宋体"/>
                <w:vanish/>
              </w:rPr>
            </w:pPr>
          </w:p>
        </w:tc>
        <w:tc>
          <w:tcPr>
            <w:tcW w:w="0" w:type="auto"/>
            <w:gridSpan w:val="3"/>
            <w:shd w:val="clear" w:color="auto" w:fill="auto"/>
            <w:vAlign w:val="bottom"/>
          </w:tcPr>
          <w:p w14:paraId="07DCDCBE" w14:textId="77777777" w:rsidR="00AE727E" w:rsidRDefault="00AE727E">
            <w:pPr>
              <w:rPr>
                <w:rFonts w:ascii="宋体"/>
                <w:vanish/>
              </w:rPr>
            </w:pPr>
          </w:p>
        </w:tc>
        <w:tc>
          <w:tcPr>
            <w:tcW w:w="0" w:type="auto"/>
            <w:gridSpan w:val="3"/>
            <w:shd w:val="clear" w:color="auto" w:fill="auto"/>
            <w:vAlign w:val="bottom"/>
          </w:tcPr>
          <w:p w14:paraId="07DCDCBF" w14:textId="77777777" w:rsidR="00AE727E" w:rsidRDefault="00AE727E">
            <w:pPr>
              <w:rPr>
                <w:rFonts w:ascii="宋体"/>
                <w:vanish/>
              </w:rPr>
            </w:pPr>
          </w:p>
        </w:tc>
      </w:tr>
      <w:tr w:rsidR="00AE727E" w14:paraId="07DCDCDC" w14:textId="77777777">
        <w:tc>
          <w:tcPr>
            <w:tcW w:w="0" w:type="auto"/>
            <w:gridSpan w:val="3"/>
            <w:shd w:val="clear" w:color="auto" w:fill="FFFFFF"/>
            <w:tcMar>
              <w:top w:w="40" w:type="dxa"/>
              <w:left w:w="155" w:type="dxa"/>
              <w:bottom w:w="40" w:type="dxa"/>
              <w:right w:w="20" w:type="dxa"/>
            </w:tcMar>
            <w:vAlign w:val="bottom"/>
          </w:tcPr>
          <w:p w14:paraId="07DCDCC1" w14:textId="77777777" w:rsidR="00AE727E" w:rsidRDefault="008433E0">
            <w:pPr>
              <w:textAlignment w:val="bottom"/>
            </w:pPr>
            <w:r>
              <w:rPr>
                <w:rFonts w:ascii="Times New Roman" w:eastAsia="宋体" w:hAnsi="Times New Roman"/>
                <w:color w:val="000000"/>
                <w:sz w:val="16"/>
                <w:szCs w:val="16"/>
              </w:rPr>
              <w:t>Revaluation of redeemable shares</w:t>
            </w:r>
          </w:p>
        </w:tc>
        <w:tc>
          <w:tcPr>
            <w:tcW w:w="0" w:type="auto"/>
            <w:gridSpan w:val="2"/>
            <w:shd w:val="clear" w:color="auto" w:fill="FFFFFF"/>
            <w:tcMar>
              <w:top w:w="40" w:type="dxa"/>
              <w:left w:w="20" w:type="dxa"/>
              <w:bottom w:w="40" w:type="dxa"/>
              <w:right w:w="0" w:type="dxa"/>
            </w:tcMar>
            <w:vAlign w:val="bottom"/>
          </w:tcPr>
          <w:p w14:paraId="07DCDCC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C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C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C5" w14:textId="77777777" w:rsidR="00AE727E" w:rsidRDefault="008433E0">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DCDC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C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C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C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C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C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C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C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C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D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D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D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D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D4" w14:textId="77777777" w:rsidR="00AE727E" w:rsidRDefault="008433E0">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DCDCD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D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D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CD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D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CDA" w14:textId="77777777" w:rsidR="00AE727E" w:rsidRDefault="008433E0">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DCDCDB" w14:textId="77777777" w:rsidR="00AE727E" w:rsidRDefault="00AE727E">
            <w:pPr>
              <w:jc w:val="right"/>
              <w:rPr>
                <w:rFonts w:ascii="宋体"/>
              </w:rPr>
            </w:pPr>
          </w:p>
        </w:tc>
      </w:tr>
      <w:tr w:rsidR="00AE727E" w14:paraId="07DCDCF8" w14:textId="77777777">
        <w:tc>
          <w:tcPr>
            <w:tcW w:w="0" w:type="auto"/>
            <w:gridSpan w:val="3"/>
            <w:shd w:val="clear" w:color="auto" w:fill="CCEEFF"/>
            <w:tcMar>
              <w:top w:w="40" w:type="dxa"/>
              <w:left w:w="155" w:type="dxa"/>
              <w:bottom w:w="40" w:type="dxa"/>
              <w:right w:w="20" w:type="dxa"/>
            </w:tcMar>
            <w:vAlign w:val="bottom"/>
          </w:tcPr>
          <w:p w14:paraId="07DCDCDD" w14:textId="77777777" w:rsidR="00AE727E" w:rsidRDefault="008433E0">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07DCDCD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D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E1" w14:textId="77777777" w:rsidR="00AE727E" w:rsidRDefault="008433E0">
            <w:pPr>
              <w:jc w:val="right"/>
              <w:textAlignment w:val="bottom"/>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bottom"/>
          </w:tcPr>
          <w:p w14:paraId="07DCDCE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E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E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E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E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E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E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E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CE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E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F0" w14:textId="77777777" w:rsidR="00AE727E" w:rsidRDefault="008433E0">
            <w:pPr>
              <w:jc w:val="right"/>
              <w:textAlignment w:val="bottom"/>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bottom"/>
          </w:tcPr>
          <w:p w14:paraId="07DCDCF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F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F3" w14:textId="77777777" w:rsidR="00AE727E" w:rsidRDefault="008433E0">
            <w:pPr>
              <w:jc w:val="right"/>
              <w:textAlignment w:val="bottom"/>
            </w:pPr>
            <w:r>
              <w:rPr>
                <w:rFonts w:ascii="Times New Roman" w:eastAsia="宋体" w:hAnsi="Times New Roman"/>
                <w:color w:val="000000"/>
                <w:sz w:val="16"/>
                <w:szCs w:val="16"/>
              </w:rPr>
              <w:t>(816)</w:t>
            </w:r>
          </w:p>
        </w:tc>
        <w:tc>
          <w:tcPr>
            <w:tcW w:w="0" w:type="auto"/>
            <w:shd w:val="clear" w:color="auto" w:fill="CCEEFF"/>
            <w:tcMar>
              <w:top w:w="40" w:type="dxa"/>
              <w:left w:w="0" w:type="dxa"/>
              <w:bottom w:w="40" w:type="dxa"/>
              <w:right w:w="20" w:type="dxa"/>
            </w:tcMar>
            <w:vAlign w:val="bottom"/>
          </w:tcPr>
          <w:p w14:paraId="07DCDCF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CF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CF6" w14:textId="77777777" w:rsidR="00AE727E" w:rsidRDefault="008433E0">
            <w:pPr>
              <w:jc w:val="right"/>
              <w:textAlignment w:val="bottom"/>
            </w:pPr>
            <w:r>
              <w:rPr>
                <w:rFonts w:ascii="Times New Roman" w:eastAsia="宋体" w:hAnsi="Times New Roman"/>
                <w:color w:val="000000"/>
                <w:sz w:val="16"/>
                <w:szCs w:val="16"/>
              </w:rPr>
              <w:t>(882)</w:t>
            </w:r>
          </w:p>
        </w:tc>
        <w:tc>
          <w:tcPr>
            <w:tcW w:w="0" w:type="auto"/>
            <w:shd w:val="clear" w:color="auto" w:fill="CCEEFF"/>
            <w:tcMar>
              <w:top w:w="40" w:type="dxa"/>
              <w:left w:w="0" w:type="dxa"/>
              <w:bottom w:w="40" w:type="dxa"/>
              <w:right w:w="20" w:type="dxa"/>
            </w:tcMar>
            <w:vAlign w:val="bottom"/>
          </w:tcPr>
          <w:p w14:paraId="07DCDCF7" w14:textId="77777777" w:rsidR="00AE727E" w:rsidRDefault="00AE727E">
            <w:pPr>
              <w:jc w:val="right"/>
              <w:rPr>
                <w:rFonts w:ascii="宋体"/>
              </w:rPr>
            </w:pPr>
          </w:p>
        </w:tc>
      </w:tr>
      <w:tr w:rsidR="008433E0" w14:paraId="07DCDD1B" w14:textId="77777777">
        <w:tc>
          <w:tcPr>
            <w:tcW w:w="0" w:type="auto"/>
            <w:gridSpan w:val="3"/>
            <w:shd w:val="clear" w:color="auto" w:fill="FFFFFF"/>
            <w:tcMar>
              <w:top w:w="40" w:type="dxa"/>
              <w:left w:w="20" w:type="dxa"/>
              <w:bottom w:w="40" w:type="dxa"/>
              <w:right w:w="20" w:type="dxa"/>
            </w:tcMar>
            <w:vAlign w:val="bottom"/>
          </w:tcPr>
          <w:p w14:paraId="07DCDCF9" w14:textId="77777777" w:rsidR="00AE727E" w:rsidRDefault="008433E0">
            <w:pPr>
              <w:textAlignment w:val="bottom"/>
            </w:pPr>
            <w:r>
              <w:rPr>
                <w:rFonts w:ascii="Times New Roman" w:eastAsia="宋体" w:hAnsi="Times New Roman"/>
                <w:b/>
                <w:bCs/>
                <w:color w:val="000000"/>
                <w:sz w:val="16"/>
                <w:szCs w:val="16"/>
              </w:rPr>
              <w:t>Balances as of October 29,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CFA" w14:textId="77777777" w:rsidR="00AE727E" w:rsidRDefault="008433E0">
            <w:pPr>
              <w:jc w:val="right"/>
              <w:textAlignment w:val="bottom"/>
            </w:pPr>
            <w:r>
              <w:rPr>
                <w:rFonts w:ascii="Times New Roman" w:eastAsia="宋体" w:hAnsi="Times New Roman"/>
                <w:color w:val="000000"/>
                <w:sz w:val="16"/>
                <w:szCs w:val="16"/>
              </w:rPr>
              <w:t>775 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CF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CF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CFD"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CFE" w14:textId="77777777" w:rsidR="00AE727E" w:rsidRDefault="008433E0">
            <w:pPr>
              <w:jc w:val="right"/>
              <w:textAlignment w:val="bottom"/>
            </w:pPr>
            <w:r>
              <w:rPr>
                <w:rFonts w:ascii="Times New Roman" w:eastAsia="宋体" w:hAnsi="Times New Roman"/>
                <w:color w:val="000000"/>
                <w:sz w:val="16"/>
                <w:szCs w:val="16"/>
              </w:rPr>
              <w:t>17,843 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C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00"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01"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0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03"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0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05"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0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07"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08"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09" w14:textId="77777777" w:rsidR="00AE727E" w:rsidRDefault="008433E0">
            <w:pPr>
              <w:jc w:val="right"/>
              <w:textAlignment w:val="bottom"/>
            </w:pPr>
            <w:r>
              <w:rPr>
                <w:rFonts w:ascii="Times New Roman" w:eastAsia="宋体" w:hAnsi="Times New Roman"/>
                <w:color w:val="000000"/>
                <w:sz w:val="16"/>
                <w:szCs w:val="16"/>
              </w:rPr>
              <w:t>(8,190)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0B"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0C"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0D" w14:textId="77777777" w:rsidR="00AE727E" w:rsidRDefault="008433E0">
            <w:pPr>
              <w:jc w:val="right"/>
              <w:textAlignment w:val="bottom"/>
            </w:pPr>
            <w:r>
              <w:rPr>
                <w:rFonts w:ascii="Times New Roman" w:eastAsia="宋体" w:hAnsi="Times New Roman"/>
                <w:color w:val="000000"/>
                <w:sz w:val="16"/>
                <w:szCs w:val="16"/>
              </w:rPr>
              <w:t>(394)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0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0F"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10"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11" w14:textId="77777777" w:rsidR="00AE727E" w:rsidRDefault="008433E0">
            <w:pPr>
              <w:jc w:val="right"/>
              <w:textAlignment w:val="bottom"/>
            </w:pPr>
            <w:r>
              <w:rPr>
                <w:rFonts w:ascii="Times New Roman" w:eastAsia="宋体" w:hAnsi="Times New Roman"/>
                <w:color w:val="000000"/>
                <w:sz w:val="16"/>
                <w:szCs w:val="16"/>
              </w:rPr>
              <w:t>8,954 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1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13"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1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15" w14:textId="77777777" w:rsidR="00AE727E" w:rsidRDefault="008433E0">
            <w:pPr>
              <w:jc w:val="right"/>
              <w:textAlignment w:val="bottom"/>
            </w:pPr>
            <w:r>
              <w:rPr>
                <w:rFonts w:ascii="Times New Roman" w:eastAsia="宋体" w:hAnsi="Times New Roman"/>
                <w:color w:val="000000"/>
                <w:sz w:val="16"/>
                <w:szCs w:val="16"/>
              </w:rPr>
              <w:t>5,240 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1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17"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DD18"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DD19" w14:textId="77777777" w:rsidR="00AE727E" w:rsidRDefault="008433E0">
            <w:pPr>
              <w:jc w:val="right"/>
              <w:textAlignment w:val="bottom"/>
            </w:pPr>
            <w:r>
              <w:rPr>
                <w:rFonts w:ascii="Times New Roman" w:eastAsia="宋体" w:hAnsi="Times New Roman"/>
                <w:color w:val="000000"/>
                <w:sz w:val="16"/>
                <w:szCs w:val="16"/>
              </w:rPr>
              <w:t>14,194 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DD1A" w14:textId="77777777" w:rsidR="00AE727E" w:rsidRDefault="00AE727E">
            <w:pPr>
              <w:jc w:val="right"/>
              <w:rPr>
                <w:rFonts w:ascii="宋体"/>
              </w:rPr>
            </w:pPr>
          </w:p>
        </w:tc>
      </w:tr>
      <w:tr w:rsidR="00AE727E" w14:paraId="07DCDD2E" w14:textId="77777777">
        <w:trPr>
          <w:hidden/>
        </w:trPr>
        <w:tc>
          <w:tcPr>
            <w:tcW w:w="0" w:type="auto"/>
            <w:gridSpan w:val="3"/>
            <w:shd w:val="clear" w:color="auto" w:fill="auto"/>
            <w:vAlign w:val="bottom"/>
          </w:tcPr>
          <w:p w14:paraId="07DCDD1C" w14:textId="77777777" w:rsidR="00AE727E" w:rsidRDefault="00AE727E">
            <w:pPr>
              <w:rPr>
                <w:rFonts w:ascii="宋体"/>
                <w:vanish/>
              </w:rPr>
            </w:pPr>
          </w:p>
        </w:tc>
        <w:tc>
          <w:tcPr>
            <w:tcW w:w="0" w:type="auto"/>
            <w:gridSpan w:val="3"/>
            <w:shd w:val="clear" w:color="auto" w:fill="auto"/>
            <w:vAlign w:val="bottom"/>
          </w:tcPr>
          <w:p w14:paraId="07DCDD1D" w14:textId="77777777" w:rsidR="00AE727E" w:rsidRDefault="00AE727E">
            <w:pPr>
              <w:rPr>
                <w:rFonts w:ascii="宋体"/>
                <w:vanish/>
              </w:rPr>
            </w:pPr>
          </w:p>
        </w:tc>
        <w:tc>
          <w:tcPr>
            <w:tcW w:w="0" w:type="auto"/>
            <w:gridSpan w:val="3"/>
            <w:shd w:val="clear" w:color="auto" w:fill="auto"/>
            <w:vAlign w:val="bottom"/>
          </w:tcPr>
          <w:p w14:paraId="07DCDD1E" w14:textId="77777777" w:rsidR="00AE727E" w:rsidRDefault="00AE727E">
            <w:pPr>
              <w:rPr>
                <w:rFonts w:ascii="宋体"/>
                <w:vanish/>
              </w:rPr>
            </w:pPr>
          </w:p>
        </w:tc>
        <w:tc>
          <w:tcPr>
            <w:tcW w:w="0" w:type="auto"/>
            <w:gridSpan w:val="3"/>
            <w:shd w:val="clear" w:color="auto" w:fill="auto"/>
            <w:vAlign w:val="bottom"/>
          </w:tcPr>
          <w:p w14:paraId="07DCDD1F" w14:textId="77777777" w:rsidR="00AE727E" w:rsidRDefault="00AE727E">
            <w:pPr>
              <w:rPr>
                <w:rFonts w:ascii="宋体"/>
                <w:vanish/>
              </w:rPr>
            </w:pPr>
          </w:p>
        </w:tc>
        <w:tc>
          <w:tcPr>
            <w:tcW w:w="0" w:type="auto"/>
            <w:gridSpan w:val="3"/>
            <w:shd w:val="clear" w:color="auto" w:fill="auto"/>
            <w:vAlign w:val="bottom"/>
          </w:tcPr>
          <w:p w14:paraId="07DCDD20" w14:textId="77777777" w:rsidR="00AE727E" w:rsidRDefault="00AE727E">
            <w:pPr>
              <w:rPr>
                <w:rFonts w:ascii="宋体"/>
                <w:vanish/>
              </w:rPr>
            </w:pPr>
          </w:p>
        </w:tc>
        <w:tc>
          <w:tcPr>
            <w:tcW w:w="0" w:type="auto"/>
            <w:gridSpan w:val="3"/>
            <w:shd w:val="clear" w:color="auto" w:fill="auto"/>
            <w:vAlign w:val="bottom"/>
          </w:tcPr>
          <w:p w14:paraId="07DCDD21" w14:textId="77777777" w:rsidR="00AE727E" w:rsidRDefault="00AE727E">
            <w:pPr>
              <w:rPr>
                <w:rFonts w:ascii="宋体"/>
                <w:vanish/>
              </w:rPr>
            </w:pPr>
          </w:p>
        </w:tc>
        <w:tc>
          <w:tcPr>
            <w:tcW w:w="0" w:type="auto"/>
            <w:gridSpan w:val="3"/>
            <w:shd w:val="clear" w:color="auto" w:fill="auto"/>
            <w:vAlign w:val="bottom"/>
          </w:tcPr>
          <w:p w14:paraId="07DCDD22" w14:textId="77777777" w:rsidR="00AE727E" w:rsidRDefault="00AE727E">
            <w:pPr>
              <w:rPr>
                <w:rFonts w:ascii="宋体"/>
                <w:vanish/>
              </w:rPr>
            </w:pPr>
          </w:p>
        </w:tc>
        <w:tc>
          <w:tcPr>
            <w:tcW w:w="0" w:type="auto"/>
            <w:gridSpan w:val="3"/>
            <w:shd w:val="clear" w:color="auto" w:fill="auto"/>
            <w:vAlign w:val="bottom"/>
          </w:tcPr>
          <w:p w14:paraId="07DCDD23" w14:textId="77777777" w:rsidR="00AE727E" w:rsidRDefault="00AE727E">
            <w:pPr>
              <w:rPr>
                <w:rFonts w:ascii="宋体"/>
                <w:vanish/>
              </w:rPr>
            </w:pPr>
          </w:p>
        </w:tc>
        <w:tc>
          <w:tcPr>
            <w:tcW w:w="0" w:type="auto"/>
            <w:gridSpan w:val="3"/>
            <w:shd w:val="clear" w:color="auto" w:fill="auto"/>
            <w:vAlign w:val="bottom"/>
          </w:tcPr>
          <w:p w14:paraId="07DCDD24" w14:textId="77777777" w:rsidR="00AE727E" w:rsidRDefault="00AE727E">
            <w:pPr>
              <w:rPr>
                <w:rFonts w:ascii="宋体"/>
                <w:vanish/>
              </w:rPr>
            </w:pPr>
          </w:p>
        </w:tc>
        <w:tc>
          <w:tcPr>
            <w:tcW w:w="0" w:type="auto"/>
            <w:gridSpan w:val="3"/>
            <w:shd w:val="clear" w:color="auto" w:fill="auto"/>
            <w:vAlign w:val="bottom"/>
          </w:tcPr>
          <w:p w14:paraId="07DCDD25" w14:textId="77777777" w:rsidR="00AE727E" w:rsidRDefault="00AE727E">
            <w:pPr>
              <w:rPr>
                <w:rFonts w:ascii="宋体"/>
                <w:vanish/>
              </w:rPr>
            </w:pPr>
          </w:p>
        </w:tc>
        <w:tc>
          <w:tcPr>
            <w:tcW w:w="0" w:type="auto"/>
            <w:gridSpan w:val="3"/>
            <w:shd w:val="clear" w:color="auto" w:fill="auto"/>
            <w:vAlign w:val="bottom"/>
          </w:tcPr>
          <w:p w14:paraId="07DCDD26" w14:textId="77777777" w:rsidR="00AE727E" w:rsidRDefault="00AE727E">
            <w:pPr>
              <w:rPr>
                <w:rFonts w:ascii="宋体"/>
                <w:vanish/>
              </w:rPr>
            </w:pPr>
          </w:p>
        </w:tc>
        <w:tc>
          <w:tcPr>
            <w:tcW w:w="0" w:type="auto"/>
            <w:gridSpan w:val="3"/>
            <w:shd w:val="clear" w:color="auto" w:fill="auto"/>
            <w:vAlign w:val="bottom"/>
          </w:tcPr>
          <w:p w14:paraId="07DCDD27" w14:textId="77777777" w:rsidR="00AE727E" w:rsidRDefault="00AE727E">
            <w:pPr>
              <w:rPr>
                <w:rFonts w:ascii="宋体"/>
                <w:vanish/>
              </w:rPr>
            </w:pPr>
          </w:p>
        </w:tc>
        <w:tc>
          <w:tcPr>
            <w:tcW w:w="0" w:type="auto"/>
            <w:gridSpan w:val="3"/>
            <w:shd w:val="clear" w:color="auto" w:fill="auto"/>
            <w:vAlign w:val="bottom"/>
          </w:tcPr>
          <w:p w14:paraId="07DCDD28" w14:textId="77777777" w:rsidR="00AE727E" w:rsidRDefault="00AE727E">
            <w:pPr>
              <w:rPr>
                <w:rFonts w:ascii="宋体"/>
                <w:vanish/>
              </w:rPr>
            </w:pPr>
          </w:p>
        </w:tc>
        <w:tc>
          <w:tcPr>
            <w:tcW w:w="0" w:type="auto"/>
            <w:gridSpan w:val="3"/>
            <w:shd w:val="clear" w:color="auto" w:fill="auto"/>
            <w:vAlign w:val="bottom"/>
          </w:tcPr>
          <w:p w14:paraId="07DCDD29" w14:textId="77777777" w:rsidR="00AE727E" w:rsidRDefault="00AE727E">
            <w:pPr>
              <w:rPr>
                <w:rFonts w:ascii="宋体"/>
                <w:vanish/>
              </w:rPr>
            </w:pPr>
          </w:p>
        </w:tc>
        <w:tc>
          <w:tcPr>
            <w:tcW w:w="0" w:type="auto"/>
            <w:gridSpan w:val="3"/>
            <w:shd w:val="clear" w:color="auto" w:fill="auto"/>
            <w:vAlign w:val="bottom"/>
          </w:tcPr>
          <w:p w14:paraId="07DCDD2A" w14:textId="77777777" w:rsidR="00AE727E" w:rsidRDefault="00AE727E">
            <w:pPr>
              <w:rPr>
                <w:rFonts w:ascii="宋体"/>
                <w:vanish/>
              </w:rPr>
            </w:pPr>
          </w:p>
        </w:tc>
        <w:tc>
          <w:tcPr>
            <w:tcW w:w="0" w:type="auto"/>
            <w:gridSpan w:val="3"/>
            <w:shd w:val="clear" w:color="auto" w:fill="auto"/>
            <w:vAlign w:val="bottom"/>
          </w:tcPr>
          <w:p w14:paraId="07DCDD2B" w14:textId="77777777" w:rsidR="00AE727E" w:rsidRDefault="00AE727E">
            <w:pPr>
              <w:rPr>
                <w:rFonts w:ascii="宋体"/>
                <w:vanish/>
              </w:rPr>
            </w:pPr>
          </w:p>
        </w:tc>
        <w:tc>
          <w:tcPr>
            <w:tcW w:w="0" w:type="auto"/>
            <w:gridSpan w:val="3"/>
            <w:shd w:val="clear" w:color="auto" w:fill="auto"/>
            <w:vAlign w:val="bottom"/>
          </w:tcPr>
          <w:p w14:paraId="07DCDD2C" w14:textId="77777777" w:rsidR="00AE727E" w:rsidRDefault="00AE727E">
            <w:pPr>
              <w:rPr>
                <w:rFonts w:ascii="宋体"/>
                <w:vanish/>
              </w:rPr>
            </w:pPr>
          </w:p>
        </w:tc>
        <w:tc>
          <w:tcPr>
            <w:tcW w:w="0" w:type="auto"/>
            <w:gridSpan w:val="3"/>
            <w:shd w:val="clear" w:color="auto" w:fill="auto"/>
            <w:vAlign w:val="bottom"/>
          </w:tcPr>
          <w:p w14:paraId="07DCDD2D" w14:textId="77777777" w:rsidR="00AE727E" w:rsidRDefault="00AE727E">
            <w:pPr>
              <w:rPr>
                <w:rFonts w:ascii="宋体"/>
                <w:vanish/>
              </w:rPr>
            </w:pPr>
          </w:p>
        </w:tc>
      </w:tr>
    </w:tbl>
    <w:p w14:paraId="07DCDD2F" w14:textId="77777777" w:rsidR="00AE727E" w:rsidRDefault="00AE727E">
      <w:pPr>
        <w:spacing w:after="60"/>
      </w:pPr>
    </w:p>
    <w:p w14:paraId="07DCDD30" w14:textId="77777777" w:rsidR="00AE727E" w:rsidRDefault="008433E0">
      <w:pPr>
        <w:jc w:val="center"/>
      </w:pPr>
      <w:r>
        <w:rPr>
          <w:rFonts w:ascii="Times New Roman" w:eastAsia="宋体" w:hAnsi="Times New Roman"/>
          <w:color w:val="000000"/>
          <w:sz w:val="20"/>
          <w:szCs w:val="20"/>
        </w:rPr>
        <w:t>The accompanying notes are an integral part of these Condensed Consolidated Financial Statements.</w:t>
      </w:r>
    </w:p>
    <w:p w14:paraId="07DCDD31" w14:textId="77777777" w:rsidR="00AE727E" w:rsidRDefault="00AE727E">
      <w:pPr>
        <w:jc w:val="center"/>
      </w:pPr>
    </w:p>
    <w:p w14:paraId="07DCDD32" w14:textId="77777777" w:rsidR="00AE727E" w:rsidRDefault="008433E0">
      <w:pPr>
        <w:jc w:val="center"/>
      </w:pPr>
      <w:r>
        <w:rPr>
          <w:rFonts w:ascii="Times New Roman" w:eastAsia="宋体" w:hAnsi="Times New Roman"/>
          <w:color w:val="000000"/>
          <w:sz w:val="20"/>
          <w:szCs w:val="20"/>
        </w:rPr>
        <w:t>9</w:t>
      </w:r>
    </w:p>
    <w:p w14:paraId="07DCDD33" w14:textId="77777777" w:rsidR="00AE727E" w:rsidRDefault="00AE727E">
      <w:pPr>
        <w:jc w:val="center"/>
      </w:pPr>
    </w:p>
    <w:p w14:paraId="07DCDD34" w14:textId="77777777" w:rsidR="00AE727E" w:rsidRDefault="008433E0">
      <w:r>
        <w:pict w14:anchorId="07DD18D9">
          <v:rect id="_x0000_i1033" style="width:415.3pt;height:1.5pt" o:hralign="center" o:hrstd="t" o:hr="t" fillcolor="#a0a0a0" stroked="f"/>
        </w:pict>
      </w:r>
    </w:p>
    <w:p w14:paraId="07DCDD35" w14:textId="77777777" w:rsidR="00AE727E" w:rsidRDefault="008433E0">
      <w:hyperlink r:id="rId134" w:anchor="i1c8279be622a460ea19600488436f115_10" w:history="1">
        <w:r>
          <w:rPr>
            <w:rStyle w:val="a5"/>
            <w:rFonts w:ascii="Times New Roman" w:eastAsia="宋体" w:hAnsi="Times New Roman"/>
            <w:sz w:val="20"/>
            <w:szCs w:val="20"/>
          </w:rPr>
          <w:t>Table of Contents</w:t>
        </w:r>
      </w:hyperlink>
    </w:p>
    <w:p w14:paraId="07DCDD36" w14:textId="77777777" w:rsidR="00AE727E" w:rsidRDefault="008433E0">
      <w:pPr>
        <w:spacing w:after="120"/>
        <w:jc w:val="center"/>
      </w:pPr>
      <w:r>
        <w:rPr>
          <w:rFonts w:ascii="Times New Roman" w:eastAsia="宋体" w:hAnsi="Times New Roman"/>
          <w:b/>
          <w:bCs/>
          <w:color w:val="000000"/>
          <w:sz w:val="20"/>
          <w:szCs w:val="20"/>
        </w:rPr>
        <w:t>DELL TECHNOLOGIES INC.</w:t>
      </w:r>
    </w:p>
    <w:p w14:paraId="07DCDD37" w14:textId="77777777" w:rsidR="00AE727E" w:rsidRDefault="008433E0">
      <w:pPr>
        <w:spacing w:after="60"/>
        <w:jc w:val="center"/>
      </w:pPr>
      <w:r>
        <w:rPr>
          <w:rFonts w:ascii="Times New Roman" w:eastAsia="宋体" w:hAnsi="Times New Roman"/>
          <w:b/>
          <w:bCs/>
          <w:color w:val="000000"/>
          <w:sz w:val="20"/>
          <w:szCs w:val="20"/>
        </w:rPr>
        <w:t>CONDENSED CONSOLIDATED STATEMENTS OF STOCKHOLDERS’ EQUITY (DE</w:t>
      </w:r>
      <w:r>
        <w:rPr>
          <w:rFonts w:ascii="Times New Roman" w:eastAsia="宋体" w:hAnsi="Times New Roman"/>
          <w:b/>
          <w:bCs/>
          <w:color w:val="000000"/>
          <w:sz w:val="20"/>
          <w:szCs w:val="20"/>
        </w:rPr>
        <w:t>FICIT)</w:t>
      </w:r>
    </w:p>
    <w:p w14:paraId="07DCDD38" w14:textId="77777777" w:rsidR="00AE727E" w:rsidRDefault="008433E0">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07DCDD39" w14:textId="77777777" w:rsidR="00AE727E" w:rsidRDefault="00AE727E"/>
    <w:tbl>
      <w:tblPr>
        <w:tblW w:w="5000" w:type="pct"/>
        <w:tblCellMar>
          <w:top w:w="15" w:type="dxa"/>
          <w:left w:w="15" w:type="dxa"/>
          <w:bottom w:w="15" w:type="dxa"/>
          <w:right w:w="15" w:type="dxa"/>
        </w:tblCellMar>
        <w:tblLook w:val="04A0" w:firstRow="1" w:lastRow="0" w:firstColumn="1" w:lastColumn="0" w:noHBand="0" w:noVBand="1"/>
      </w:tblPr>
      <w:tblGrid>
        <w:gridCol w:w="70"/>
        <w:gridCol w:w="926"/>
        <w:gridCol w:w="36"/>
        <w:gridCol w:w="87"/>
        <w:gridCol w:w="331"/>
        <w:gridCol w:w="35"/>
        <w:gridCol w:w="37"/>
        <w:gridCol w:w="35"/>
        <w:gridCol w:w="35"/>
        <w:gridCol w:w="89"/>
        <w:gridCol w:w="400"/>
        <w:gridCol w:w="35"/>
        <w:gridCol w:w="37"/>
        <w:gridCol w:w="35"/>
        <w:gridCol w:w="35"/>
        <w:gridCol w:w="88"/>
        <w:gridCol w:w="331"/>
        <w:gridCol w:w="35"/>
        <w:gridCol w:w="37"/>
        <w:gridCol w:w="35"/>
        <w:gridCol w:w="35"/>
        <w:gridCol w:w="103"/>
        <w:gridCol w:w="395"/>
        <w:gridCol w:w="36"/>
        <w:gridCol w:w="37"/>
        <w:gridCol w:w="35"/>
        <w:gridCol w:w="35"/>
        <w:gridCol w:w="93"/>
        <w:gridCol w:w="691"/>
        <w:gridCol w:w="35"/>
        <w:gridCol w:w="37"/>
        <w:gridCol w:w="35"/>
        <w:gridCol w:w="35"/>
        <w:gridCol w:w="90"/>
        <w:gridCol w:w="830"/>
        <w:gridCol w:w="35"/>
        <w:gridCol w:w="37"/>
        <w:gridCol w:w="35"/>
        <w:gridCol w:w="35"/>
        <w:gridCol w:w="90"/>
        <w:gridCol w:w="738"/>
        <w:gridCol w:w="35"/>
        <w:gridCol w:w="37"/>
        <w:gridCol w:w="35"/>
        <w:gridCol w:w="35"/>
        <w:gridCol w:w="129"/>
        <w:gridCol w:w="834"/>
        <w:gridCol w:w="35"/>
        <w:gridCol w:w="37"/>
        <w:gridCol w:w="35"/>
        <w:gridCol w:w="35"/>
        <w:gridCol w:w="97"/>
        <w:gridCol w:w="716"/>
        <w:gridCol w:w="35"/>
      </w:tblGrid>
      <w:tr w:rsidR="00AE727E" w14:paraId="07DCDD70" w14:textId="77777777">
        <w:tc>
          <w:tcPr>
            <w:tcW w:w="50" w:type="pct"/>
            <w:shd w:val="clear" w:color="auto" w:fill="auto"/>
            <w:vAlign w:val="bottom"/>
          </w:tcPr>
          <w:p w14:paraId="07DCDD3A" w14:textId="77777777" w:rsidR="00AE727E" w:rsidRDefault="00AE727E">
            <w:pPr>
              <w:rPr>
                <w:rFonts w:ascii="宋体"/>
              </w:rPr>
            </w:pPr>
          </w:p>
        </w:tc>
        <w:tc>
          <w:tcPr>
            <w:tcW w:w="1189" w:type="pct"/>
            <w:shd w:val="clear" w:color="auto" w:fill="auto"/>
            <w:vAlign w:val="bottom"/>
          </w:tcPr>
          <w:p w14:paraId="07DCDD3B" w14:textId="77777777" w:rsidR="00AE727E" w:rsidRDefault="00AE727E">
            <w:pPr>
              <w:rPr>
                <w:rFonts w:ascii="宋体"/>
              </w:rPr>
            </w:pPr>
          </w:p>
        </w:tc>
        <w:tc>
          <w:tcPr>
            <w:tcW w:w="5" w:type="pct"/>
            <w:shd w:val="clear" w:color="auto" w:fill="auto"/>
            <w:vAlign w:val="bottom"/>
          </w:tcPr>
          <w:p w14:paraId="07DCDD3C" w14:textId="77777777" w:rsidR="00AE727E" w:rsidRDefault="00AE727E">
            <w:pPr>
              <w:rPr>
                <w:rFonts w:ascii="宋体"/>
              </w:rPr>
            </w:pPr>
          </w:p>
        </w:tc>
        <w:tc>
          <w:tcPr>
            <w:tcW w:w="50" w:type="pct"/>
            <w:shd w:val="clear" w:color="auto" w:fill="auto"/>
            <w:vAlign w:val="bottom"/>
          </w:tcPr>
          <w:p w14:paraId="07DCDD3D" w14:textId="77777777" w:rsidR="00AE727E" w:rsidRDefault="00AE727E">
            <w:pPr>
              <w:rPr>
                <w:rFonts w:ascii="宋体"/>
              </w:rPr>
            </w:pPr>
          </w:p>
        </w:tc>
        <w:tc>
          <w:tcPr>
            <w:tcW w:w="204" w:type="pct"/>
            <w:shd w:val="clear" w:color="auto" w:fill="auto"/>
            <w:vAlign w:val="bottom"/>
          </w:tcPr>
          <w:p w14:paraId="07DCDD3E" w14:textId="77777777" w:rsidR="00AE727E" w:rsidRDefault="00AE727E">
            <w:pPr>
              <w:rPr>
                <w:rFonts w:ascii="宋体"/>
              </w:rPr>
            </w:pPr>
          </w:p>
        </w:tc>
        <w:tc>
          <w:tcPr>
            <w:tcW w:w="5" w:type="pct"/>
            <w:shd w:val="clear" w:color="auto" w:fill="auto"/>
            <w:vAlign w:val="bottom"/>
          </w:tcPr>
          <w:p w14:paraId="07DCDD3F" w14:textId="77777777" w:rsidR="00AE727E" w:rsidRDefault="00AE727E">
            <w:pPr>
              <w:rPr>
                <w:rFonts w:ascii="宋体"/>
              </w:rPr>
            </w:pPr>
          </w:p>
        </w:tc>
        <w:tc>
          <w:tcPr>
            <w:tcW w:w="5" w:type="pct"/>
            <w:shd w:val="clear" w:color="auto" w:fill="auto"/>
            <w:vAlign w:val="bottom"/>
          </w:tcPr>
          <w:p w14:paraId="07DCDD40" w14:textId="77777777" w:rsidR="00AE727E" w:rsidRDefault="00AE727E">
            <w:pPr>
              <w:rPr>
                <w:rFonts w:ascii="宋体"/>
              </w:rPr>
            </w:pPr>
          </w:p>
        </w:tc>
        <w:tc>
          <w:tcPr>
            <w:tcW w:w="17" w:type="pct"/>
            <w:shd w:val="clear" w:color="auto" w:fill="auto"/>
            <w:vAlign w:val="bottom"/>
          </w:tcPr>
          <w:p w14:paraId="07DCDD41" w14:textId="77777777" w:rsidR="00AE727E" w:rsidRDefault="00AE727E">
            <w:pPr>
              <w:rPr>
                <w:rFonts w:ascii="宋体"/>
              </w:rPr>
            </w:pPr>
          </w:p>
        </w:tc>
        <w:tc>
          <w:tcPr>
            <w:tcW w:w="5" w:type="pct"/>
            <w:shd w:val="clear" w:color="auto" w:fill="auto"/>
            <w:vAlign w:val="bottom"/>
          </w:tcPr>
          <w:p w14:paraId="07DCDD42" w14:textId="77777777" w:rsidR="00AE727E" w:rsidRDefault="00AE727E">
            <w:pPr>
              <w:rPr>
                <w:rFonts w:ascii="宋体"/>
              </w:rPr>
            </w:pPr>
          </w:p>
        </w:tc>
        <w:tc>
          <w:tcPr>
            <w:tcW w:w="50" w:type="pct"/>
            <w:shd w:val="clear" w:color="auto" w:fill="auto"/>
            <w:vAlign w:val="bottom"/>
          </w:tcPr>
          <w:p w14:paraId="07DCDD43" w14:textId="77777777" w:rsidR="00AE727E" w:rsidRDefault="00AE727E">
            <w:pPr>
              <w:rPr>
                <w:rFonts w:ascii="宋体"/>
              </w:rPr>
            </w:pPr>
          </w:p>
        </w:tc>
        <w:tc>
          <w:tcPr>
            <w:tcW w:w="204" w:type="pct"/>
            <w:shd w:val="clear" w:color="auto" w:fill="auto"/>
            <w:vAlign w:val="bottom"/>
          </w:tcPr>
          <w:p w14:paraId="07DCDD44" w14:textId="77777777" w:rsidR="00AE727E" w:rsidRDefault="00AE727E">
            <w:pPr>
              <w:rPr>
                <w:rFonts w:ascii="宋体"/>
              </w:rPr>
            </w:pPr>
          </w:p>
        </w:tc>
        <w:tc>
          <w:tcPr>
            <w:tcW w:w="5" w:type="pct"/>
            <w:shd w:val="clear" w:color="auto" w:fill="auto"/>
            <w:vAlign w:val="bottom"/>
          </w:tcPr>
          <w:p w14:paraId="07DCDD45" w14:textId="77777777" w:rsidR="00AE727E" w:rsidRDefault="00AE727E">
            <w:pPr>
              <w:rPr>
                <w:rFonts w:ascii="宋体"/>
              </w:rPr>
            </w:pPr>
          </w:p>
        </w:tc>
        <w:tc>
          <w:tcPr>
            <w:tcW w:w="5" w:type="pct"/>
            <w:shd w:val="clear" w:color="auto" w:fill="auto"/>
            <w:vAlign w:val="bottom"/>
          </w:tcPr>
          <w:p w14:paraId="07DCDD46" w14:textId="77777777" w:rsidR="00AE727E" w:rsidRDefault="00AE727E">
            <w:pPr>
              <w:rPr>
                <w:rFonts w:ascii="宋体"/>
              </w:rPr>
            </w:pPr>
          </w:p>
        </w:tc>
        <w:tc>
          <w:tcPr>
            <w:tcW w:w="27" w:type="pct"/>
            <w:shd w:val="clear" w:color="auto" w:fill="auto"/>
            <w:vAlign w:val="bottom"/>
          </w:tcPr>
          <w:p w14:paraId="07DCDD47" w14:textId="77777777" w:rsidR="00AE727E" w:rsidRDefault="00AE727E">
            <w:pPr>
              <w:rPr>
                <w:rFonts w:ascii="宋体"/>
              </w:rPr>
            </w:pPr>
          </w:p>
        </w:tc>
        <w:tc>
          <w:tcPr>
            <w:tcW w:w="5" w:type="pct"/>
            <w:shd w:val="clear" w:color="auto" w:fill="auto"/>
            <w:vAlign w:val="bottom"/>
          </w:tcPr>
          <w:p w14:paraId="07DCDD48" w14:textId="77777777" w:rsidR="00AE727E" w:rsidRDefault="00AE727E">
            <w:pPr>
              <w:rPr>
                <w:rFonts w:ascii="宋体"/>
              </w:rPr>
            </w:pPr>
          </w:p>
        </w:tc>
        <w:tc>
          <w:tcPr>
            <w:tcW w:w="50" w:type="pct"/>
            <w:shd w:val="clear" w:color="auto" w:fill="auto"/>
            <w:vAlign w:val="bottom"/>
          </w:tcPr>
          <w:p w14:paraId="07DCDD49" w14:textId="77777777" w:rsidR="00AE727E" w:rsidRDefault="00AE727E">
            <w:pPr>
              <w:rPr>
                <w:rFonts w:ascii="宋体"/>
              </w:rPr>
            </w:pPr>
          </w:p>
        </w:tc>
        <w:tc>
          <w:tcPr>
            <w:tcW w:w="204" w:type="pct"/>
            <w:shd w:val="clear" w:color="auto" w:fill="auto"/>
            <w:vAlign w:val="bottom"/>
          </w:tcPr>
          <w:p w14:paraId="07DCDD4A" w14:textId="77777777" w:rsidR="00AE727E" w:rsidRDefault="00AE727E">
            <w:pPr>
              <w:rPr>
                <w:rFonts w:ascii="宋体"/>
              </w:rPr>
            </w:pPr>
          </w:p>
        </w:tc>
        <w:tc>
          <w:tcPr>
            <w:tcW w:w="5" w:type="pct"/>
            <w:shd w:val="clear" w:color="auto" w:fill="auto"/>
            <w:vAlign w:val="bottom"/>
          </w:tcPr>
          <w:p w14:paraId="07DCDD4B" w14:textId="77777777" w:rsidR="00AE727E" w:rsidRDefault="00AE727E">
            <w:pPr>
              <w:rPr>
                <w:rFonts w:ascii="宋体"/>
              </w:rPr>
            </w:pPr>
          </w:p>
        </w:tc>
        <w:tc>
          <w:tcPr>
            <w:tcW w:w="5" w:type="pct"/>
            <w:shd w:val="clear" w:color="auto" w:fill="auto"/>
            <w:vAlign w:val="bottom"/>
          </w:tcPr>
          <w:p w14:paraId="07DCDD4C" w14:textId="77777777" w:rsidR="00AE727E" w:rsidRDefault="00AE727E">
            <w:pPr>
              <w:rPr>
                <w:rFonts w:ascii="宋体"/>
              </w:rPr>
            </w:pPr>
          </w:p>
        </w:tc>
        <w:tc>
          <w:tcPr>
            <w:tcW w:w="17" w:type="pct"/>
            <w:shd w:val="clear" w:color="auto" w:fill="auto"/>
            <w:vAlign w:val="bottom"/>
          </w:tcPr>
          <w:p w14:paraId="07DCDD4D" w14:textId="77777777" w:rsidR="00AE727E" w:rsidRDefault="00AE727E">
            <w:pPr>
              <w:rPr>
                <w:rFonts w:ascii="宋体"/>
              </w:rPr>
            </w:pPr>
          </w:p>
        </w:tc>
        <w:tc>
          <w:tcPr>
            <w:tcW w:w="5" w:type="pct"/>
            <w:shd w:val="clear" w:color="auto" w:fill="auto"/>
            <w:vAlign w:val="bottom"/>
          </w:tcPr>
          <w:p w14:paraId="07DCDD4E" w14:textId="77777777" w:rsidR="00AE727E" w:rsidRDefault="00AE727E">
            <w:pPr>
              <w:rPr>
                <w:rFonts w:ascii="宋体"/>
              </w:rPr>
            </w:pPr>
          </w:p>
        </w:tc>
        <w:tc>
          <w:tcPr>
            <w:tcW w:w="50" w:type="pct"/>
            <w:shd w:val="clear" w:color="auto" w:fill="auto"/>
            <w:vAlign w:val="bottom"/>
          </w:tcPr>
          <w:p w14:paraId="07DCDD4F" w14:textId="77777777" w:rsidR="00AE727E" w:rsidRDefault="00AE727E">
            <w:pPr>
              <w:rPr>
                <w:rFonts w:ascii="宋体"/>
              </w:rPr>
            </w:pPr>
          </w:p>
        </w:tc>
        <w:tc>
          <w:tcPr>
            <w:tcW w:w="204" w:type="pct"/>
            <w:shd w:val="clear" w:color="auto" w:fill="auto"/>
            <w:vAlign w:val="bottom"/>
          </w:tcPr>
          <w:p w14:paraId="07DCDD50" w14:textId="77777777" w:rsidR="00AE727E" w:rsidRDefault="00AE727E">
            <w:pPr>
              <w:rPr>
                <w:rFonts w:ascii="宋体"/>
              </w:rPr>
            </w:pPr>
          </w:p>
        </w:tc>
        <w:tc>
          <w:tcPr>
            <w:tcW w:w="5" w:type="pct"/>
            <w:shd w:val="clear" w:color="auto" w:fill="auto"/>
            <w:vAlign w:val="bottom"/>
          </w:tcPr>
          <w:p w14:paraId="07DCDD51" w14:textId="77777777" w:rsidR="00AE727E" w:rsidRDefault="00AE727E">
            <w:pPr>
              <w:rPr>
                <w:rFonts w:ascii="宋体"/>
              </w:rPr>
            </w:pPr>
          </w:p>
        </w:tc>
        <w:tc>
          <w:tcPr>
            <w:tcW w:w="5" w:type="pct"/>
            <w:shd w:val="clear" w:color="auto" w:fill="auto"/>
            <w:vAlign w:val="bottom"/>
          </w:tcPr>
          <w:p w14:paraId="07DCDD52" w14:textId="77777777" w:rsidR="00AE727E" w:rsidRDefault="00AE727E">
            <w:pPr>
              <w:rPr>
                <w:rFonts w:ascii="宋体"/>
              </w:rPr>
            </w:pPr>
          </w:p>
        </w:tc>
        <w:tc>
          <w:tcPr>
            <w:tcW w:w="17" w:type="pct"/>
            <w:shd w:val="clear" w:color="auto" w:fill="auto"/>
            <w:vAlign w:val="bottom"/>
          </w:tcPr>
          <w:p w14:paraId="07DCDD53" w14:textId="77777777" w:rsidR="00AE727E" w:rsidRDefault="00AE727E">
            <w:pPr>
              <w:rPr>
                <w:rFonts w:ascii="宋体"/>
              </w:rPr>
            </w:pPr>
          </w:p>
        </w:tc>
        <w:tc>
          <w:tcPr>
            <w:tcW w:w="5" w:type="pct"/>
            <w:shd w:val="clear" w:color="auto" w:fill="auto"/>
            <w:vAlign w:val="bottom"/>
          </w:tcPr>
          <w:p w14:paraId="07DCDD54" w14:textId="77777777" w:rsidR="00AE727E" w:rsidRDefault="00AE727E">
            <w:pPr>
              <w:rPr>
                <w:rFonts w:ascii="宋体"/>
              </w:rPr>
            </w:pPr>
          </w:p>
        </w:tc>
        <w:tc>
          <w:tcPr>
            <w:tcW w:w="50" w:type="pct"/>
            <w:shd w:val="clear" w:color="auto" w:fill="auto"/>
            <w:vAlign w:val="bottom"/>
          </w:tcPr>
          <w:p w14:paraId="07DCDD55" w14:textId="77777777" w:rsidR="00AE727E" w:rsidRDefault="00AE727E">
            <w:pPr>
              <w:rPr>
                <w:rFonts w:ascii="宋体"/>
              </w:rPr>
            </w:pPr>
          </w:p>
        </w:tc>
        <w:tc>
          <w:tcPr>
            <w:tcW w:w="404" w:type="pct"/>
            <w:shd w:val="clear" w:color="auto" w:fill="auto"/>
            <w:vAlign w:val="bottom"/>
          </w:tcPr>
          <w:p w14:paraId="07DCDD56" w14:textId="77777777" w:rsidR="00AE727E" w:rsidRDefault="00AE727E">
            <w:pPr>
              <w:rPr>
                <w:rFonts w:ascii="宋体"/>
              </w:rPr>
            </w:pPr>
          </w:p>
        </w:tc>
        <w:tc>
          <w:tcPr>
            <w:tcW w:w="5" w:type="pct"/>
            <w:shd w:val="clear" w:color="auto" w:fill="auto"/>
            <w:vAlign w:val="bottom"/>
          </w:tcPr>
          <w:p w14:paraId="07DCDD57" w14:textId="77777777" w:rsidR="00AE727E" w:rsidRDefault="00AE727E">
            <w:pPr>
              <w:rPr>
                <w:rFonts w:ascii="宋体"/>
              </w:rPr>
            </w:pPr>
          </w:p>
        </w:tc>
        <w:tc>
          <w:tcPr>
            <w:tcW w:w="5" w:type="pct"/>
            <w:shd w:val="clear" w:color="auto" w:fill="auto"/>
            <w:vAlign w:val="bottom"/>
          </w:tcPr>
          <w:p w14:paraId="07DCDD58" w14:textId="77777777" w:rsidR="00AE727E" w:rsidRDefault="00AE727E">
            <w:pPr>
              <w:rPr>
                <w:rFonts w:ascii="宋体"/>
              </w:rPr>
            </w:pPr>
          </w:p>
        </w:tc>
        <w:tc>
          <w:tcPr>
            <w:tcW w:w="17" w:type="pct"/>
            <w:shd w:val="clear" w:color="auto" w:fill="auto"/>
            <w:vAlign w:val="bottom"/>
          </w:tcPr>
          <w:p w14:paraId="07DCDD59" w14:textId="77777777" w:rsidR="00AE727E" w:rsidRDefault="00AE727E">
            <w:pPr>
              <w:rPr>
                <w:rFonts w:ascii="宋体"/>
              </w:rPr>
            </w:pPr>
          </w:p>
        </w:tc>
        <w:tc>
          <w:tcPr>
            <w:tcW w:w="5" w:type="pct"/>
            <w:shd w:val="clear" w:color="auto" w:fill="auto"/>
            <w:vAlign w:val="bottom"/>
          </w:tcPr>
          <w:p w14:paraId="07DCDD5A" w14:textId="77777777" w:rsidR="00AE727E" w:rsidRDefault="00AE727E">
            <w:pPr>
              <w:rPr>
                <w:rFonts w:ascii="宋体"/>
              </w:rPr>
            </w:pPr>
          </w:p>
        </w:tc>
        <w:tc>
          <w:tcPr>
            <w:tcW w:w="50" w:type="pct"/>
            <w:shd w:val="clear" w:color="auto" w:fill="auto"/>
            <w:vAlign w:val="bottom"/>
          </w:tcPr>
          <w:p w14:paraId="07DCDD5B" w14:textId="77777777" w:rsidR="00AE727E" w:rsidRDefault="00AE727E">
            <w:pPr>
              <w:rPr>
                <w:rFonts w:ascii="宋体"/>
              </w:rPr>
            </w:pPr>
          </w:p>
        </w:tc>
        <w:tc>
          <w:tcPr>
            <w:tcW w:w="524" w:type="pct"/>
            <w:shd w:val="clear" w:color="auto" w:fill="auto"/>
            <w:vAlign w:val="bottom"/>
          </w:tcPr>
          <w:p w14:paraId="07DCDD5C" w14:textId="77777777" w:rsidR="00AE727E" w:rsidRDefault="00AE727E">
            <w:pPr>
              <w:rPr>
                <w:rFonts w:ascii="宋体"/>
              </w:rPr>
            </w:pPr>
          </w:p>
        </w:tc>
        <w:tc>
          <w:tcPr>
            <w:tcW w:w="5" w:type="pct"/>
            <w:shd w:val="clear" w:color="auto" w:fill="auto"/>
            <w:vAlign w:val="bottom"/>
          </w:tcPr>
          <w:p w14:paraId="07DCDD5D" w14:textId="77777777" w:rsidR="00AE727E" w:rsidRDefault="00AE727E">
            <w:pPr>
              <w:rPr>
                <w:rFonts w:ascii="宋体"/>
              </w:rPr>
            </w:pPr>
          </w:p>
        </w:tc>
        <w:tc>
          <w:tcPr>
            <w:tcW w:w="5" w:type="pct"/>
            <w:shd w:val="clear" w:color="auto" w:fill="auto"/>
            <w:vAlign w:val="bottom"/>
          </w:tcPr>
          <w:p w14:paraId="07DCDD5E" w14:textId="77777777" w:rsidR="00AE727E" w:rsidRDefault="00AE727E">
            <w:pPr>
              <w:rPr>
                <w:rFonts w:ascii="宋体"/>
              </w:rPr>
            </w:pPr>
          </w:p>
        </w:tc>
        <w:tc>
          <w:tcPr>
            <w:tcW w:w="17" w:type="pct"/>
            <w:shd w:val="clear" w:color="auto" w:fill="auto"/>
            <w:vAlign w:val="bottom"/>
          </w:tcPr>
          <w:p w14:paraId="07DCDD5F" w14:textId="77777777" w:rsidR="00AE727E" w:rsidRDefault="00AE727E">
            <w:pPr>
              <w:rPr>
                <w:rFonts w:ascii="宋体"/>
              </w:rPr>
            </w:pPr>
          </w:p>
        </w:tc>
        <w:tc>
          <w:tcPr>
            <w:tcW w:w="5" w:type="pct"/>
            <w:shd w:val="clear" w:color="auto" w:fill="auto"/>
            <w:vAlign w:val="bottom"/>
          </w:tcPr>
          <w:p w14:paraId="07DCDD60" w14:textId="77777777" w:rsidR="00AE727E" w:rsidRDefault="00AE727E">
            <w:pPr>
              <w:rPr>
                <w:rFonts w:ascii="宋体"/>
              </w:rPr>
            </w:pPr>
          </w:p>
        </w:tc>
        <w:tc>
          <w:tcPr>
            <w:tcW w:w="50" w:type="pct"/>
            <w:shd w:val="clear" w:color="auto" w:fill="auto"/>
            <w:vAlign w:val="bottom"/>
          </w:tcPr>
          <w:p w14:paraId="07DCDD61" w14:textId="77777777" w:rsidR="00AE727E" w:rsidRDefault="00AE727E">
            <w:pPr>
              <w:rPr>
                <w:rFonts w:ascii="宋体"/>
              </w:rPr>
            </w:pPr>
          </w:p>
        </w:tc>
        <w:tc>
          <w:tcPr>
            <w:tcW w:w="524" w:type="pct"/>
            <w:shd w:val="clear" w:color="auto" w:fill="auto"/>
            <w:vAlign w:val="bottom"/>
          </w:tcPr>
          <w:p w14:paraId="07DCDD62" w14:textId="77777777" w:rsidR="00AE727E" w:rsidRDefault="00AE727E">
            <w:pPr>
              <w:rPr>
                <w:rFonts w:ascii="宋体"/>
              </w:rPr>
            </w:pPr>
          </w:p>
        </w:tc>
        <w:tc>
          <w:tcPr>
            <w:tcW w:w="5" w:type="pct"/>
            <w:shd w:val="clear" w:color="auto" w:fill="auto"/>
            <w:vAlign w:val="bottom"/>
          </w:tcPr>
          <w:p w14:paraId="07DCDD63" w14:textId="77777777" w:rsidR="00AE727E" w:rsidRDefault="00AE727E">
            <w:pPr>
              <w:rPr>
                <w:rFonts w:ascii="宋体"/>
              </w:rPr>
            </w:pPr>
          </w:p>
        </w:tc>
        <w:tc>
          <w:tcPr>
            <w:tcW w:w="5" w:type="pct"/>
            <w:shd w:val="clear" w:color="auto" w:fill="auto"/>
            <w:vAlign w:val="bottom"/>
          </w:tcPr>
          <w:p w14:paraId="07DCDD64" w14:textId="77777777" w:rsidR="00AE727E" w:rsidRDefault="00AE727E">
            <w:pPr>
              <w:rPr>
                <w:rFonts w:ascii="宋体"/>
              </w:rPr>
            </w:pPr>
          </w:p>
        </w:tc>
        <w:tc>
          <w:tcPr>
            <w:tcW w:w="38" w:type="pct"/>
            <w:shd w:val="clear" w:color="auto" w:fill="auto"/>
            <w:vAlign w:val="bottom"/>
          </w:tcPr>
          <w:p w14:paraId="07DCDD65" w14:textId="77777777" w:rsidR="00AE727E" w:rsidRDefault="00AE727E">
            <w:pPr>
              <w:rPr>
                <w:rFonts w:ascii="宋体"/>
              </w:rPr>
            </w:pPr>
          </w:p>
        </w:tc>
        <w:tc>
          <w:tcPr>
            <w:tcW w:w="5" w:type="pct"/>
            <w:shd w:val="clear" w:color="auto" w:fill="auto"/>
            <w:vAlign w:val="bottom"/>
          </w:tcPr>
          <w:p w14:paraId="07DCDD66" w14:textId="77777777" w:rsidR="00AE727E" w:rsidRDefault="00AE727E">
            <w:pPr>
              <w:rPr>
                <w:rFonts w:ascii="宋体"/>
              </w:rPr>
            </w:pPr>
          </w:p>
        </w:tc>
        <w:tc>
          <w:tcPr>
            <w:tcW w:w="50" w:type="pct"/>
            <w:shd w:val="clear" w:color="auto" w:fill="auto"/>
            <w:vAlign w:val="bottom"/>
          </w:tcPr>
          <w:p w14:paraId="07DCDD67" w14:textId="77777777" w:rsidR="00AE727E" w:rsidRDefault="00AE727E">
            <w:pPr>
              <w:rPr>
                <w:rFonts w:ascii="宋体"/>
              </w:rPr>
            </w:pPr>
          </w:p>
        </w:tc>
        <w:tc>
          <w:tcPr>
            <w:tcW w:w="340" w:type="pct"/>
            <w:shd w:val="clear" w:color="auto" w:fill="auto"/>
            <w:vAlign w:val="bottom"/>
          </w:tcPr>
          <w:p w14:paraId="07DCDD68" w14:textId="77777777" w:rsidR="00AE727E" w:rsidRDefault="00AE727E">
            <w:pPr>
              <w:rPr>
                <w:rFonts w:ascii="宋体"/>
              </w:rPr>
            </w:pPr>
          </w:p>
        </w:tc>
        <w:tc>
          <w:tcPr>
            <w:tcW w:w="5" w:type="pct"/>
            <w:shd w:val="clear" w:color="auto" w:fill="auto"/>
            <w:vAlign w:val="bottom"/>
          </w:tcPr>
          <w:p w14:paraId="07DCDD69" w14:textId="77777777" w:rsidR="00AE727E" w:rsidRDefault="00AE727E">
            <w:pPr>
              <w:rPr>
                <w:rFonts w:ascii="宋体"/>
              </w:rPr>
            </w:pPr>
          </w:p>
        </w:tc>
        <w:tc>
          <w:tcPr>
            <w:tcW w:w="5" w:type="pct"/>
            <w:shd w:val="clear" w:color="auto" w:fill="auto"/>
            <w:vAlign w:val="bottom"/>
          </w:tcPr>
          <w:p w14:paraId="07DCDD6A" w14:textId="77777777" w:rsidR="00AE727E" w:rsidRDefault="00AE727E">
            <w:pPr>
              <w:rPr>
                <w:rFonts w:ascii="宋体"/>
              </w:rPr>
            </w:pPr>
          </w:p>
        </w:tc>
        <w:tc>
          <w:tcPr>
            <w:tcW w:w="17" w:type="pct"/>
            <w:shd w:val="clear" w:color="auto" w:fill="auto"/>
            <w:vAlign w:val="bottom"/>
          </w:tcPr>
          <w:p w14:paraId="07DCDD6B" w14:textId="77777777" w:rsidR="00AE727E" w:rsidRDefault="00AE727E">
            <w:pPr>
              <w:rPr>
                <w:rFonts w:ascii="宋体"/>
              </w:rPr>
            </w:pPr>
          </w:p>
        </w:tc>
        <w:tc>
          <w:tcPr>
            <w:tcW w:w="5" w:type="pct"/>
            <w:shd w:val="clear" w:color="auto" w:fill="auto"/>
            <w:vAlign w:val="bottom"/>
          </w:tcPr>
          <w:p w14:paraId="07DCDD6C" w14:textId="77777777" w:rsidR="00AE727E" w:rsidRDefault="00AE727E">
            <w:pPr>
              <w:rPr>
                <w:rFonts w:ascii="宋体"/>
              </w:rPr>
            </w:pPr>
          </w:p>
        </w:tc>
        <w:tc>
          <w:tcPr>
            <w:tcW w:w="50" w:type="pct"/>
            <w:shd w:val="clear" w:color="auto" w:fill="auto"/>
            <w:vAlign w:val="bottom"/>
          </w:tcPr>
          <w:p w14:paraId="07DCDD6D" w14:textId="77777777" w:rsidR="00AE727E" w:rsidRDefault="00AE727E">
            <w:pPr>
              <w:rPr>
                <w:rFonts w:ascii="宋体"/>
              </w:rPr>
            </w:pPr>
          </w:p>
        </w:tc>
        <w:tc>
          <w:tcPr>
            <w:tcW w:w="399" w:type="pct"/>
            <w:shd w:val="clear" w:color="auto" w:fill="auto"/>
            <w:vAlign w:val="bottom"/>
          </w:tcPr>
          <w:p w14:paraId="07DCDD6E" w14:textId="77777777" w:rsidR="00AE727E" w:rsidRDefault="00AE727E">
            <w:pPr>
              <w:rPr>
                <w:rFonts w:ascii="宋体"/>
              </w:rPr>
            </w:pPr>
          </w:p>
        </w:tc>
        <w:tc>
          <w:tcPr>
            <w:tcW w:w="5" w:type="pct"/>
            <w:shd w:val="clear" w:color="auto" w:fill="auto"/>
            <w:vAlign w:val="bottom"/>
          </w:tcPr>
          <w:p w14:paraId="07DCDD6F" w14:textId="77777777" w:rsidR="00AE727E" w:rsidRDefault="00AE727E">
            <w:pPr>
              <w:rPr>
                <w:rFonts w:ascii="宋体"/>
              </w:rPr>
            </w:pPr>
          </w:p>
        </w:tc>
      </w:tr>
      <w:tr w:rsidR="00AE727E" w14:paraId="07DCDD7F" w14:textId="77777777">
        <w:tc>
          <w:tcPr>
            <w:tcW w:w="0" w:type="auto"/>
            <w:gridSpan w:val="3"/>
            <w:shd w:val="clear" w:color="auto" w:fill="auto"/>
            <w:tcMar>
              <w:top w:w="0" w:type="dxa"/>
              <w:left w:w="20" w:type="dxa"/>
              <w:bottom w:w="0" w:type="dxa"/>
              <w:right w:w="20" w:type="dxa"/>
            </w:tcMar>
            <w:vAlign w:val="bottom"/>
          </w:tcPr>
          <w:p w14:paraId="07DCDD71"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D72" w14:textId="77777777" w:rsidR="00AE727E" w:rsidRDefault="008433E0">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DCDD73"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D74" w14:textId="77777777" w:rsidR="00AE727E" w:rsidRDefault="008433E0">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DCDD7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6"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9"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B"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C"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D7E" w14:textId="77777777" w:rsidR="00AE727E" w:rsidRDefault="00AE727E">
            <w:pPr>
              <w:rPr>
                <w:rFonts w:ascii="宋体"/>
              </w:rPr>
            </w:pPr>
          </w:p>
        </w:tc>
      </w:tr>
      <w:tr w:rsidR="00AE727E" w14:paraId="07DCDD92" w14:textId="77777777">
        <w:tc>
          <w:tcPr>
            <w:tcW w:w="0" w:type="auto"/>
            <w:gridSpan w:val="3"/>
            <w:shd w:val="clear" w:color="auto" w:fill="auto"/>
            <w:tcMar>
              <w:top w:w="40" w:type="dxa"/>
              <w:left w:w="20" w:type="dxa"/>
              <w:bottom w:w="40" w:type="dxa"/>
              <w:right w:w="20" w:type="dxa"/>
            </w:tcMar>
          </w:tcPr>
          <w:p w14:paraId="07DCDD80" w14:textId="77777777" w:rsidR="00AE727E" w:rsidRDefault="008433E0">
            <w:pPr>
              <w:textAlignment w:val="top"/>
            </w:pPr>
            <w:r>
              <w:rPr>
                <w:rFonts w:ascii="Times New Roman" w:eastAsia="宋体" w:hAnsi="Times New Roman"/>
                <w:b/>
                <w:bCs/>
                <w:color w:val="000000"/>
                <w:sz w:val="16"/>
                <w:szCs w:val="16"/>
              </w:rPr>
              <w:t>Three Months Ended October 30,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D81" w14:textId="77777777" w:rsidR="00AE727E" w:rsidRDefault="008433E0">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D82"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D83"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D84"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D85" w14:textId="77777777" w:rsidR="00AE727E" w:rsidRDefault="008433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D86"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D87"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D88"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D89" w14:textId="77777777" w:rsidR="00AE727E" w:rsidRDefault="008433E0">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DCDD8A"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D8B" w14:textId="77777777" w:rsidR="00AE727E" w:rsidRDefault="008433E0">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DCDD8C"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D8D" w14:textId="77777777" w:rsidR="00AE727E" w:rsidRDefault="008433E0">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DCDD8E"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D8F" w14:textId="77777777" w:rsidR="00AE727E" w:rsidRDefault="008433E0">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DCDD90"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D91" w14:textId="77777777" w:rsidR="00AE727E" w:rsidRDefault="008433E0">
            <w:pPr>
              <w:jc w:val="center"/>
              <w:textAlignment w:val="bottom"/>
            </w:pPr>
            <w:r>
              <w:rPr>
                <w:rFonts w:ascii="Times New Roman" w:eastAsia="宋体" w:hAnsi="Times New Roman"/>
                <w:b/>
                <w:bCs/>
                <w:color w:val="000000"/>
                <w:sz w:val="16"/>
                <w:szCs w:val="16"/>
              </w:rPr>
              <w:t>Total Stockholders’ Equity (Deficit)</w:t>
            </w:r>
          </w:p>
        </w:tc>
      </w:tr>
      <w:tr w:rsidR="008433E0" w14:paraId="07DCDDB5" w14:textId="77777777">
        <w:tc>
          <w:tcPr>
            <w:tcW w:w="0" w:type="auto"/>
            <w:gridSpan w:val="3"/>
            <w:shd w:val="clear" w:color="auto" w:fill="CCEEFF"/>
            <w:tcMar>
              <w:top w:w="40" w:type="dxa"/>
              <w:left w:w="20" w:type="dxa"/>
              <w:bottom w:w="40" w:type="dxa"/>
              <w:right w:w="20" w:type="dxa"/>
            </w:tcMar>
            <w:vAlign w:val="bottom"/>
          </w:tcPr>
          <w:p w14:paraId="07DCDD93" w14:textId="77777777" w:rsidR="00AE727E" w:rsidRDefault="008433E0">
            <w:pPr>
              <w:textAlignment w:val="bottom"/>
            </w:pPr>
            <w:r>
              <w:rPr>
                <w:rFonts w:ascii="Times New Roman" w:eastAsia="宋体" w:hAnsi="Times New Roman"/>
                <w:b/>
                <w:bCs/>
                <w:color w:val="000000"/>
                <w:sz w:val="16"/>
                <w:szCs w:val="16"/>
              </w:rPr>
              <w:t>Balances as of July 3</w:t>
            </w:r>
            <w:r>
              <w:rPr>
                <w:rFonts w:ascii="Times New Roman" w:eastAsia="宋体" w:hAnsi="Times New Roman"/>
                <w:b/>
                <w:bCs/>
                <w:color w:val="000000"/>
                <w:sz w:val="16"/>
                <w:szCs w:val="16"/>
              </w:rPr>
              <w:t>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D94" w14:textId="77777777" w:rsidR="00AE727E" w:rsidRDefault="008433E0">
            <w:pPr>
              <w:jc w:val="right"/>
              <w:textAlignment w:val="bottom"/>
            </w:pPr>
            <w:r>
              <w:rPr>
                <w:rFonts w:ascii="Times New Roman" w:eastAsia="宋体" w:hAnsi="Times New Roman"/>
                <w:color w:val="000000"/>
                <w:sz w:val="16"/>
                <w:szCs w:val="16"/>
              </w:rPr>
              <w:t>753 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9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96"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97"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98" w14:textId="77777777" w:rsidR="00AE727E" w:rsidRDefault="008433E0">
            <w:pPr>
              <w:jc w:val="right"/>
              <w:textAlignment w:val="bottom"/>
            </w:pPr>
            <w:r>
              <w:rPr>
                <w:rFonts w:ascii="Times New Roman" w:eastAsia="宋体" w:hAnsi="Times New Roman"/>
                <w:color w:val="000000"/>
                <w:sz w:val="16"/>
                <w:szCs w:val="16"/>
              </w:rPr>
              <w:t>16,356 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9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9A"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D9B"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9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9D"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9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9F"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A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A1"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A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A3" w14:textId="77777777" w:rsidR="00AE727E" w:rsidRDefault="008433E0">
            <w:pPr>
              <w:jc w:val="right"/>
              <w:textAlignment w:val="bottom"/>
            </w:pPr>
            <w:r>
              <w:rPr>
                <w:rFonts w:ascii="Times New Roman" w:eastAsia="宋体" w:hAnsi="Times New Roman"/>
                <w:color w:val="000000"/>
                <w:sz w:val="16"/>
                <w:szCs w:val="16"/>
              </w:rPr>
              <w:t>(15,810)</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A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A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A6"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A7" w14:textId="77777777" w:rsidR="00AE727E" w:rsidRDefault="008433E0">
            <w:pPr>
              <w:jc w:val="right"/>
              <w:textAlignment w:val="bottom"/>
            </w:pPr>
            <w:r>
              <w:rPr>
                <w:rFonts w:ascii="Times New Roman" w:eastAsia="宋体" w:hAnsi="Times New Roman"/>
                <w:color w:val="000000"/>
                <w:sz w:val="16"/>
                <w:szCs w:val="16"/>
              </w:rPr>
              <w:t>(660)</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A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A9"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AA"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AB" w14:textId="77777777" w:rsidR="00AE727E" w:rsidRDefault="008433E0">
            <w:pPr>
              <w:jc w:val="right"/>
              <w:textAlignment w:val="bottom"/>
            </w:pPr>
            <w:r>
              <w:rPr>
                <w:rFonts w:ascii="Times New Roman" w:eastAsia="宋体" w:hAnsi="Times New Roman"/>
                <w:color w:val="000000"/>
                <w:sz w:val="16"/>
                <w:szCs w:val="16"/>
              </w:rPr>
              <w:t>(419)</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A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AD"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A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AF" w14:textId="77777777" w:rsidR="00AE727E" w:rsidRDefault="008433E0">
            <w:pPr>
              <w:jc w:val="right"/>
              <w:textAlignment w:val="bottom"/>
            </w:pPr>
            <w:r>
              <w:rPr>
                <w:rFonts w:ascii="Times New Roman" w:eastAsia="宋体" w:hAnsi="Times New Roman"/>
                <w:color w:val="000000"/>
                <w:sz w:val="16"/>
                <w:szCs w:val="16"/>
              </w:rPr>
              <w:t>4,977 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B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B1"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DB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DB3" w14:textId="77777777" w:rsidR="00AE727E" w:rsidRDefault="008433E0">
            <w:pPr>
              <w:jc w:val="right"/>
              <w:textAlignment w:val="bottom"/>
            </w:pPr>
            <w:r>
              <w:rPr>
                <w:rFonts w:ascii="Times New Roman" w:eastAsia="宋体" w:hAnsi="Times New Roman"/>
                <w:color w:val="000000"/>
                <w:sz w:val="16"/>
                <w:szCs w:val="16"/>
              </w:rPr>
              <w:t>4,558 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DB4" w14:textId="77777777" w:rsidR="00AE727E" w:rsidRDefault="00AE727E">
            <w:pPr>
              <w:jc w:val="right"/>
              <w:rPr>
                <w:rFonts w:ascii="宋体"/>
              </w:rPr>
            </w:pPr>
          </w:p>
        </w:tc>
      </w:tr>
      <w:tr w:rsidR="00AE727E" w14:paraId="07DCDDD1" w14:textId="77777777">
        <w:tc>
          <w:tcPr>
            <w:tcW w:w="0" w:type="auto"/>
            <w:gridSpan w:val="3"/>
            <w:shd w:val="clear" w:color="auto" w:fill="FFFFFF"/>
            <w:tcMar>
              <w:top w:w="40" w:type="dxa"/>
              <w:left w:w="155" w:type="dxa"/>
              <w:bottom w:w="40" w:type="dxa"/>
              <w:right w:w="20" w:type="dxa"/>
            </w:tcMar>
            <w:vAlign w:val="bottom"/>
          </w:tcPr>
          <w:p w14:paraId="07DCDDB6" w14:textId="77777777" w:rsidR="00AE727E" w:rsidRDefault="008433E0">
            <w:pPr>
              <w:textAlignment w:val="bottom"/>
            </w:pPr>
            <w:r>
              <w:rPr>
                <w:rFonts w:ascii="Times New Roman" w:eastAsia="宋体" w:hAnsi="Times New Roman"/>
                <w:color w:val="000000"/>
                <w:sz w:val="16"/>
                <w:szCs w:val="16"/>
              </w:rPr>
              <w:t xml:space="preserve">Net </w:t>
            </w:r>
            <w:r>
              <w:rPr>
                <w:rFonts w:ascii="Times New Roman" w:eastAsia="宋体" w:hAnsi="Times New Roman"/>
                <w:color w:val="000000"/>
                <w:sz w:val="16"/>
                <w:szCs w:val="16"/>
              </w:rPr>
              <w:t>income</w:t>
            </w:r>
          </w:p>
        </w:tc>
        <w:tc>
          <w:tcPr>
            <w:tcW w:w="0" w:type="auto"/>
            <w:gridSpan w:val="2"/>
            <w:shd w:val="clear" w:color="auto" w:fill="FFFFFF"/>
            <w:tcMar>
              <w:top w:w="40" w:type="dxa"/>
              <w:left w:w="20" w:type="dxa"/>
              <w:bottom w:w="40" w:type="dxa"/>
              <w:right w:w="0" w:type="dxa"/>
            </w:tcMar>
            <w:vAlign w:val="bottom"/>
          </w:tcPr>
          <w:p w14:paraId="07DCDDB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B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B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B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B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B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B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B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B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C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C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3" w14:textId="77777777" w:rsidR="00AE727E" w:rsidRDefault="008433E0">
            <w:pPr>
              <w:jc w:val="right"/>
              <w:textAlignment w:val="bottom"/>
            </w:pPr>
            <w:r>
              <w:rPr>
                <w:rFonts w:ascii="Times New Roman" w:eastAsia="宋体" w:hAnsi="Times New Roman"/>
                <w:color w:val="000000"/>
                <w:sz w:val="16"/>
                <w:szCs w:val="16"/>
              </w:rPr>
              <w:t>832 </w:t>
            </w:r>
          </w:p>
        </w:tc>
        <w:tc>
          <w:tcPr>
            <w:tcW w:w="0" w:type="auto"/>
            <w:shd w:val="clear" w:color="auto" w:fill="FFFFFF"/>
            <w:tcMar>
              <w:top w:w="40" w:type="dxa"/>
              <w:left w:w="0" w:type="dxa"/>
              <w:bottom w:w="40" w:type="dxa"/>
              <w:right w:w="20" w:type="dxa"/>
            </w:tcMar>
            <w:vAlign w:val="bottom"/>
          </w:tcPr>
          <w:p w14:paraId="07DCDDC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C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C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C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9" w14:textId="77777777" w:rsidR="00AE727E" w:rsidRDefault="008433E0">
            <w:pPr>
              <w:jc w:val="right"/>
              <w:textAlignment w:val="bottom"/>
            </w:pPr>
            <w:r>
              <w:rPr>
                <w:rFonts w:ascii="Times New Roman" w:eastAsia="宋体" w:hAnsi="Times New Roman"/>
                <w:color w:val="000000"/>
                <w:sz w:val="16"/>
                <w:szCs w:val="16"/>
              </w:rPr>
              <w:t>832 </w:t>
            </w:r>
          </w:p>
        </w:tc>
        <w:tc>
          <w:tcPr>
            <w:tcW w:w="0" w:type="auto"/>
            <w:shd w:val="clear" w:color="auto" w:fill="FFFFFF"/>
            <w:tcMar>
              <w:top w:w="40" w:type="dxa"/>
              <w:left w:w="0" w:type="dxa"/>
              <w:bottom w:w="40" w:type="dxa"/>
              <w:right w:w="20" w:type="dxa"/>
            </w:tcMar>
            <w:vAlign w:val="bottom"/>
          </w:tcPr>
          <w:p w14:paraId="07DCDDC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C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C" w14:textId="77777777" w:rsidR="00AE727E" w:rsidRDefault="008433E0">
            <w:pPr>
              <w:jc w:val="right"/>
              <w:textAlignment w:val="bottom"/>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bottom"/>
          </w:tcPr>
          <w:p w14:paraId="07DCDDC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C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CF" w14:textId="77777777" w:rsidR="00AE727E" w:rsidRDefault="008433E0">
            <w:pPr>
              <w:jc w:val="right"/>
              <w:textAlignment w:val="bottom"/>
            </w:pPr>
            <w:r>
              <w:rPr>
                <w:rFonts w:ascii="Times New Roman" w:eastAsia="宋体" w:hAnsi="Times New Roman"/>
                <w:color w:val="000000"/>
                <w:sz w:val="16"/>
                <w:szCs w:val="16"/>
              </w:rPr>
              <w:t>881 </w:t>
            </w:r>
          </w:p>
        </w:tc>
        <w:tc>
          <w:tcPr>
            <w:tcW w:w="0" w:type="auto"/>
            <w:shd w:val="clear" w:color="auto" w:fill="FFFFFF"/>
            <w:tcMar>
              <w:top w:w="40" w:type="dxa"/>
              <w:left w:w="0" w:type="dxa"/>
              <w:bottom w:w="40" w:type="dxa"/>
              <w:right w:w="20" w:type="dxa"/>
            </w:tcMar>
            <w:vAlign w:val="bottom"/>
          </w:tcPr>
          <w:p w14:paraId="07DCDDD0" w14:textId="77777777" w:rsidR="00AE727E" w:rsidRDefault="00AE727E">
            <w:pPr>
              <w:jc w:val="right"/>
              <w:rPr>
                <w:rFonts w:ascii="宋体"/>
              </w:rPr>
            </w:pPr>
          </w:p>
        </w:tc>
      </w:tr>
      <w:tr w:rsidR="00AE727E" w14:paraId="07DCDDED" w14:textId="77777777">
        <w:tc>
          <w:tcPr>
            <w:tcW w:w="0" w:type="auto"/>
            <w:gridSpan w:val="3"/>
            <w:shd w:val="clear" w:color="auto" w:fill="CCEEFF"/>
            <w:tcMar>
              <w:top w:w="40" w:type="dxa"/>
              <w:left w:w="155" w:type="dxa"/>
              <w:bottom w:w="40" w:type="dxa"/>
              <w:right w:w="20" w:type="dxa"/>
            </w:tcMar>
            <w:vAlign w:val="bottom"/>
          </w:tcPr>
          <w:p w14:paraId="07DCDDD2" w14:textId="77777777" w:rsidR="00AE727E" w:rsidRDefault="008433E0">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CCEEFF"/>
            <w:tcMar>
              <w:top w:w="40" w:type="dxa"/>
              <w:left w:w="20" w:type="dxa"/>
              <w:bottom w:w="40" w:type="dxa"/>
              <w:right w:w="0" w:type="dxa"/>
            </w:tcMar>
            <w:vAlign w:val="bottom"/>
          </w:tcPr>
          <w:p w14:paraId="07DCDDD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D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D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D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D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D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D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D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D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D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D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D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D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E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E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E2" w14:textId="77777777" w:rsidR="00AE727E" w:rsidRDefault="008433E0">
            <w:pPr>
              <w:jc w:val="right"/>
              <w:textAlignment w:val="bottom"/>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bottom"/>
          </w:tcPr>
          <w:p w14:paraId="07DCDDE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E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E5" w14:textId="77777777" w:rsidR="00AE727E" w:rsidRDefault="008433E0">
            <w:pPr>
              <w:jc w:val="right"/>
              <w:textAlignment w:val="bottom"/>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bottom"/>
          </w:tcPr>
          <w:p w14:paraId="07DCDDE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E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E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DE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DE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DEB" w14:textId="77777777" w:rsidR="00AE727E" w:rsidRDefault="008433E0">
            <w:pPr>
              <w:jc w:val="right"/>
              <w:textAlignment w:val="bottom"/>
            </w:pPr>
            <w:r>
              <w:rPr>
                <w:rFonts w:ascii="Times New Roman" w:eastAsia="宋体" w:hAnsi="Times New Roman"/>
                <w:color w:val="000000"/>
                <w:sz w:val="16"/>
                <w:szCs w:val="16"/>
              </w:rPr>
              <w:t>(21)</w:t>
            </w:r>
          </w:p>
        </w:tc>
        <w:tc>
          <w:tcPr>
            <w:tcW w:w="0" w:type="auto"/>
            <w:shd w:val="clear" w:color="auto" w:fill="CCEEFF"/>
            <w:tcMar>
              <w:top w:w="40" w:type="dxa"/>
              <w:left w:w="0" w:type="dxa"/>
              <w:bottom w:w="40" w:type="dxa"/>
              <w:right w:w="20" w:type="dxa"/>
            </w:tcMar>
            <w:vAlign w:val="bottom"/>
          </w:tcPr>
          <w:p w14:paraId="07DCDDEC" w14:textId="77777777" w:rsidR="00AE727E" w:rsidRDefault="00AE727E">
            <w:pPr>
              <w:jc w:val="right"/>
              <w:rPr>
                <w:rFonts w:ascii="宋体"/>
              </w:rPr>
            </w:pPr>
          </w:p>
        </w:tc>
      </w:tr>
      <w:tr w:rsidR="00AE727E" w14:paraId="07DCDE09" w14:textId="77777777">
        <w:tc>
          <w:tcPr>
            <w:tcW w:w="0" w:type="auto"/>
            <w:gridSpan w:val="3"/>
            <w:shd w:val="clear" w:color="auto" w:fill="FFFFFF"/>
            <w:tcMar>
              <w:top w:w="40" w:type="dxa"/>
              <w:left w:w="155" w:type="dxa"/>
              <w:bottom w:w="40" w:type="dxa"/>
              <w:right w:w="20" w:type="dxa"/>
            </w:tcMar>
            <w:vAlign w:val="bottom"/>
          </w:tcPr>
          <w:p w14:paraId="07DCDDEE" w14:textId="77777777" w:rsidR="00AE727E" w:rsidRDefault="008433E0">
            <w:pPr>
              <w:textAlignment w:val="bottom"/>
            </w:pPr>
            <w:r>
              <w:rPr>
                <w:rFonts w:ascii="Times New Roman" w:eastAsia="宋体" w:hAnsi="Times New Roman"/>
                <w:color w:val="000000"/>
                <w:sz w:val="16"/>
                <w:szCs w:val="16"/>
              </w:rPr>
              <w:t>Cash flow hedges, net change</w:t>
            </w:r>
          </w:p>
        </w:tc>
        <w:tc>
          <w:tcPr>
            <w:tcW w:w="0" w:type="auto"/>
            <w:gridSpan w:val="2"/>
            <w:shd w:val="clear" w:color="auto" w:fill="FFFFFF"/>
            <w:tcMar>
              <w:top w:w="40" w:type="dxa"/>
              <w:left w:w="20" w:type="dxa"/>
              <w:bottom w:w="40" w:type="dxa"/>
              <w:right w:w="0" w:type="dxa"/>
            </w:tcMar>
            <w:vAlign w:val="bottom"/>
          </w:tcPr>
          <w:p w14:paraId="07DCDDE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F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F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F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F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F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F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F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F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F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F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F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D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D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DFE" w14:textId="77777777" w:rsidR="00AE727E" w:rsidRDefault="008433E0">
            <w:pPr>
              <w:jc w:val="right"/>
              <w:textAlignment w:val="bottom"/>
            </w:pPr>
            <w:r>
              <w:rPr>
                <w:rFonts w:ascii="Times New Roman" w:eastAsia="宋体" w:hAnsi="Times New Roman"/>
                <w:color w:val="000000"/>
                <w:sz w:val="16"/>
                <w:szCs w:val="16"/>
              </w:rPr>
              <w:t>128 </w:t>
            </w:r>
          </w:p>
        </w:tc>
        <w:tc>
          <w:tcPr>
            <w:tcW w:w="0" w:type="auto"/>
            <w:shd w:val="clear" w:color="auto" w:fill="FFFFFF"/>
            <w:tcMar>
              <w:top w:w="40" w:type="dxa"/>
              <w:left w:w="0" w:type="dxa"/>
              <w:bottom w:w="40" w:type="dxa"/>
              <w:right w:w="20" w:type="dxa"/>
            </w:tcMar>
            <w:vAlign w:val="bottom"/>
          </w:tcPr>
          <w:p w14:paraId="07DCDD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0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01" w14:textId="77777777" w:rsidR="00AE727E" w:rsidRDefault="008433E0">
            <w:pPr>
              <w:jc w:val="right"/>
              <w:textAlignment w:val="bottom"/>
            </w:pPr>
            <w:r>
              <w:rPr>
                <w:rFonts w:ascii="Times New Roman" w:eastAsia="宋体" w:hAnsi="Times New Roman"/>
                <w:color w:val="000000"/>
                <w:sz w:val="16"/>
                <w:szCs w:val="16"/>
              </w:rPr>
              <w:t>128 </w:t>
            </w:r>
          </w:p>
        </w:tc>
        <w:tc>
          <w:tcPr>
            <w:tcW w:w="0" w:type="auto"/>
            <w:shd w:val="clear" w:color="auto" w:fill="FFFFFF"/>
            <w:tcMar>
              <w:top w:w="40" w:type="dxa"/>
              <w:left w:w="0" w:type="dxa"/>
              <w:bottom w:w="40" w:type="dxa"/>
              <w:right w:w="20" w:type="dxa"/>
            </w:tcMar>
            <w:vAlign w:val="bottom"/>
          </w:tcPr>
          <w:p w14:paraId="07DCDE0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0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04" w14:textId="77777777" w:rsidR="00AE727E" w:rsidRDefault="008433E0">
            <w:pPr>
              <w:jc w:val="right"/>
              <w:textAlignment w:val="bottom"/>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bottom"/>
          </w:tcPr>
          <w:p w14:paraId="07DCDE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0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07" w14:textId="77777777" w:rsidR="00AE727E" w:rsidRDefault="008433E0">
            <w:pPr>
              <w:jc w:val="right"/>
              <w:textAlignment w:val="bottom"/>
            </w:pPr>
            <w:r>
              <w:rPr>
                <w:rFonts w:ascii="Times New Roman" w:eastAsia="宋体" w:hAnsi="Times New Roman"/>
                <w:color w:val="000000"/>
                <w:sz w:val="16"/>
                <w:szCs w:val="16"/>
              </w:rPr>
              <w:t>129 </w:t>
            </w:r>
          </w:p>
        </w:tc>
        <w:tc>
          <w:tcPr>
            <w:tcW w:w="0" w:type="auto"/>
            <w:shd w:val="clear" w:color="auto" w:fill="FFFFFF"/>
            <w:tcMar>
              <w:top w:w="40" w:type="dxa"/>
              <w:left w:w="0" w:type="dxa"/>
              <w:bottom w:w="40" w:type="dxa"/>
              <w:right w:w="20" w:type="dxa"/>
            </w:tcMar>
            <w:vAlign w:val="bottom"/>
          </w:tcPr>
          <w:p w14:paraId="07DCDE08" w14:textId="77777777" w:rsidR="00AE727E" w:rsidRDefault="00AE727E">
            <w:pPr>
              <w:jc w:val="right"/>
              <w:rPr>
                <w:rFonts w:ascii="宋体"/>
              </w:rPr>
            </w:pPr>
          </w:p>
        </w:tc>
      </w:tr>
      <w:tr w:rsidR="00AE727E" w14:paraId="07DCDE1C" w14:textId="77777777">
        <w:trPr>
          <w:hidden/>
        </w:trPr>
        <w:tc>
          <w:tcPr>
            <w:tcW w:w="0" w:type="auto"/>
            <w:gridSpan w:val="3"/>
            <w:shd w:val="clear" w:color="auto" w:fill="auto"/>
            <w:vAlign w:val="bottom"/>
          </w:tcPr>
          <w:p w14:paraId="07DCDE0A" w14:textId="77777777" w:rsidR="00AE727E" w:rsidRDefault="00AE727E">
            <w:pPr>
              <w:rPr>
                <w:rFonts w:ascii="宋体"/>
                <w:vanish/>
              </w:rPr>
            </w:pPr>
          </w:p>
        </w:tc>
        <w:tc>
          <w:tcPr>
            <w:tcW w:w="0" w:type="auto"/>
            <w:gridSpan w:val="3"/>
            <w:shd w:val="clear" w:color="auto" w:fill="auto"/>
            <w:vAlign w:val="bottom"/>
          </w:tcPr>
          <w:p w14:paraId="07DCDE0B" w14:textId="77777777" w:rsidR="00AE727E" w:rsidRDefault="00AE727E">
            <w:pPr>
              <w:rPr>
                <w:rFonts w:ascii="宋体"/>
                <w:vanish/>
              </w:rPr>
            </w:pPr>
          </w:p>
        </w:tc>
        <w:tc>
          <w:tcPr>
            <w:tcW w:w="0" w:type="auto"/>
            <w:gridSpan w:val="3"/>
            <w:shd w:val="clear" w:color="auto" w:fill="auto"/>
            <w:vAlign w:val="bottom"/>
          </w:tcPr>
          <w:p w14:paraId="07DCDE0C" w14:textId="77777777" w:rsidR="00AE727E" w:rsidRDefault="00AE727E">
            <w:pPr>
              <w:rPr>
                <w:rFonts w:ascii="宋体"/>
                <w:vanish/>
              </w:rPr>
            </w:pPr>
          </w:p>
        </w:tc>
        <w:tc>
          <w:tcPr>
            <w:tcW w:w="0" w:type="auto"/>
            <w:gridSpan w:val="3"/>
            <w:shd w:val="clear" w:color="auto" w:fill="auto"/>
            <w:vAlign w:val="bottom"/>
          </w:tcPr>
          <w:p w14:paraId="07DCDE0D" w14:textId="77777777" w:rsidR="00AE727E" w:rsidRDefault="00AE727E">
            <w:pPr>
              <w:rPr>
                <w:rFonts w:ascii="宋体"/>
                <w:vanish/>
              </w:rPr>
            </w:pPr>
          </w:p>
        </w:tc>
        <w:tc>
          <w:tcPr>
            <w:tcW w:w="0" w:type="auto"/>
            <w:gridSpan w:val="3"/>
            <w:shd w:val="clear" w:color="auto" w:fill="auto"/>
            <w:vAlign w:val="bottom"/>
          </w:tcPr>
          <w:p w14:paraId="07DCDE0E" w14:textId="77777777" w:rsidR="00AE727E" w:rsidRDefault="00AE727E">
            <w:pPr>
              <w:rPr>
                <w:rFonts w:ascii="宋体"/>
                <w:vanish/>
              </w:rPr>
            </w:pPr>
          </w:p>
        </w:tc>
        <w:tc>
          <w:tcPr>
            <w:tcW w:w="0" w:type="auto"/>
            <w:gridSpan w:val="3"/>
            <w:shd w:val="clear" w:color="auto" w:fill="auto"/>
            <w:vAlign w:val="bottom"/>
          </w:tcPr>
          <w:p w14:paraId="07DCDE0F" w14:textId="77777777" w:rsidR="00AE727E" w:rsidRDefault="00AE727E">
            <w:pPr>
              <w:rPr>
                <w:rFonts w:ascii="宋体"/>
                <w:vanish/>
              </w:rPr>
            </w:pPr>
          </w:p>
        </w:tc>
        <w:tc>
          <w:tcPr>
            <w:tcW w:w="0" w:type="auto"/>
            <w:gridSpan w:val="3"/>
            <w:shd w:val="clear" w:color="auto" w:fill="auto"/>
            <w:vAlign w:val="bottom"/>
          </w:tcPr>
          <w:p w14:paraId="07DCDE10" w14:textId="77777777" w:rsidR="00AE727E" w:rsidRDefault="00AE727E">
            <w:pPr>
              <w:rPr>
                <w:rFonts w:ascii="宋体"/>
                <w:vanish/>
              </w:rPr>
            </w:pPr>
          </w:p>
        </w:tc>
        <w:tc>
          <w:tcPr>
            <w:tcW w:w="0" w:type="auto"/>
            <w:gridSpan w:val="3"/>
            <w:shd w:val="clear" w:color="auto" w:fill="auto"/>
            <w:vAlign w:val="bottom"/>
          </w:tcPr>
          <w:p w14:paraId="07DCDE11" w14:textId="77777777" w:rsidR="00AE727E" w:rsidRDefault="00AE727E">
            <w:pPr>
              <w:rPr>
                <w:rFonts w:ascii="宋体"/>
                <w:vanish/>
              </w:rPr>
            </w:pPr>
          </w:p>
        </w:tc>
        <w:tc>
          <w:tcPr>
            <w:tcW w:w="0" w:type="auto"/>
            <w:gridSpan w:val="3"/>
            <w:shd w:val="clear" w:color="auto" w:fill="auto"/>
            <w:vAlign w:val="bottom"/>
          </w:tcPr>
          <w:p w14:paraId="07DCDE12" w14:textId="77777777" w:rsidR="00AE727E" w:rsidRDefault="00AE727E">
            <w:pPr>
              <w:rPr>
                <w:rFonts w:ascii="宋体"/>
                <w:vanish/>
              </w:rPr>
            </w:pPr>
          </w:p>
        </w:tc>
        <w:tc>
          <w:tcPr>
            <w:tcW w:w="0" w:type="auto"/>
            <w:gridSpan w:val="3"/>
            <w:shd w:val="clear" w:color="auto" w:fill="auto"/>
            <w:vAlign w:val="bottom"/>
          </w:tcPr>
          <w:p w14:paraId="07DCDE13" w14:textId="77777777" w:rsidR="00AE727E" w:rsidRDefault="00AE727E">
            <w:pPr>
              <w:rPr>
                <w:rFonts w:ascii="宋体"/>
                <w:vanish/>
              </w:rPr>
            </w:pPr>
          </w:p>
        </w:tc>
        <w:tc>
          <w:tcPr>
            <w:tcW w:w="0" w:type="auto"/>
            <w:gridSpan w:val="3"/>
            <w:shd w:val="clear" w:color="auto" w:fill="auto"/>
            <w:vAlign w:val="bottom"/>
          </w:tcPr>
          <w:p w14:paraId="07DCDE14" w14:textId="77777777" w:rsidR="00AE727E" w:rsidRDefault="00AE727E">
            <w:pPr>
              <w:rPr>
                <w:rFonts w:ascii="宋体"/>
                <w:vanish/>
              </w:rPr>
            </w:pPr>
          </w:p>
        </w:tc>
        <w:tc>
          <w:tcPr>
            <w:tcW w:w="0" w:type="auto"/>
            <w:gridSpan w:val="3"/>
            <w:shd w:val="clear" w:color="auto" w:fill="auto"/>
            <w:vAlign w:val="bottom"/>
          </w:tcPr>
          <w:p w14:paraId="07DCDE15" w14:textId="77777777" w:rsidR="00AE727E" w:rsidRDefault="00AE727E">
            <w:pPr>
              <w:rPr>
                <w:rFonts w:ascii="宋体"/>
                <w:vanish/>
              </w:rPr>
            </w:pPr>
          </w:p>
        </w:tc>
        <w:tc>
          <w:tcPr>
            <w:tcW w:w="0" w:type="auto"/>
            <w:gridSpan w:val="3"/>
            <w:shd w:val="clear" w:color="auto" w:fill="auto"/>
            <w:vAlign w:val="bottom"/>
          </w:tcPr>
          <w:p w14:paraId="07DCDE16" w14:textId="77777777" w:rsidR="00AE727E" w:rsidRDefault="00AE727E">
            <w:pPr>
              <w:rPr>
                <w:rFonts w:ascii="宋体"/>
                <w:vanish/>
              </w:rPr>
            </w:pPr>
          </w:p>
        </w:tc>
        <w:tc>
          <w:tcPr>
            <w:tcW w:w="0" w:type="auto"/>
            <w:gridSpan w:val="3"/>
            <w:shd w:val="clear" w:color="auto" w:fill="auto"/>
            <w:vAlign w:val="bottom"/>
          </w:tcPr>
          <w:p w14:paraId="07DCDE17" w14:textId="77777777" w:rsidR="00AE727E" w:rsidRDefault="00AE727E">
            <w:pPr>
              <w:rPr>
                <w:rFonts w:ascii="宋体"/>
                <w:vanish/>
              </w:rPr>
            </w:pPr>
          </w:p>
        </w:tc>
        <w:tc>
          <w:tcPr>
            <w:tcW w:w="0" w:type="auto"/>
            <w:gridSpan w:val="3"/>
            <w:shd w:val="clear" w:color="auto" w:fill="auto"/>
            <w:vAlign w:val="bottom"/>
          </w:tcPr>
          <w:p w14:paraId="07DCDE18" w14:textId="77777777" w:rsidR="00AE727E" w:rsidRDefault="00AE727E">
            <w:pPr>
              <w:rPr>
                <w:rFonts w:ascii="宋体"/>
                <w:vanish/>
              </w:rPr>
            </w:pPr>
          </w:p>
        </w:tc>
        <w:tc>
          <w:tcPr>
            <w:tcW w:w="0" w:type="auto"/>
            <w:gridSpan w:val="3"/>
            <w:shd w:val="clear" w:color="auto" w:fill="auto"/>
            <w:vAlign w:val="bottom"/>
          </w:tcPr>
          <w:p w14:paraId="07DCDE19" w14:textId="77777777" w:rsidR="00AE727E" w:rsidRDefault="00AE727E">
            <w:pPr>
              <w:rPr>
                <w:rFonts w:ascii="宋体"/>
                <w:vanish/>
              </w:rPr>
            </w:pPr>
          </w:p>
        </w:tc>
        <w:tc>
          <w:tcPr>
            <w:tcW w:w="0" w:type="auto"/>
            <w:gridSpan w:val="3"/>
            <w:shd w:val="clear" w:color="auto" w:fill="auto"/>
            <w:vAlign w:val="bottom"/>
          </w:tcPr>
          <w:p w14:paraId="07DCDE1A" w14:textId="77777777" w:rsidR="00AE727E" w:rsidRDefault="00AE727E">
            <w:pPr>
              <w:rPr>
                <w:rFonts w:ascii="宋体"/>
                <w:vanish/>
              </w:rPr>
            </w:pPr>
          </w:p>
        </w:tc>
        <w:tc>
          <w:tcPr>
            <w:tcW w:w="0" w:type="auto"/>
            <w:gridSpan w:val="3"/>
            <w:shd w:val="clear" w:color="auto" w:fill="auto"/>
            <w:vAlign w:val="bottom"/>
          </w:tcPr>
          <w:p w14:paraId="07DCDE1B" w14:textId="77777777" w:rsidR="00AE727E" w:rsidRDefault="00AE727E">
            <w:pPr>
              <w:rPr>
                <w:rFonts w:ascii="宋体"/>
                <w:vanish/>
              </w:rPr>
            </w:pPr>
          </w:p>
        </w:tc>
      </w:tr>
      <w:tr w:rsidR="00AE727E" w14:paraId="07DCDE38" w14:textId="77777777">
        <w:tc>
          <w:tcPr>
            <w:tcW w:w="0" w:type="auto"/>
            <w:gridSpan w:val="3"/>
            <w:shd w:val="clear" w:color="auto" w:fill="CCEEFF"/>
            <w:tcMar>
              <w:top w:w="40" w:type="dxa"/>
              <w:left w:w="155" w:type="dxa"/>
              <w:bottom w:w="40" w:type="dxa"/>
              <w:right w:w="20" w:type="dxa"/>
            </w:tcMar>
            <w:vAlign w:val="bottom"/>
          </w:tcPr>
          <w:p w14:paraId="07DCDE1D" w14:textId="77777777" w:rsidR="00AE727E" w:rsidRDefault="008433E0">
            <w:pPr>
              <w:textAlignment w:val="bottom"/>
            </w:pPr>
            <w:r>
              <w:rPr>
                <w:rFonts w:ascii="Times New Roman" w:eastAsia="宋体" w:hAnsi="Times New Roman"/>
                <w:color w:val="000000"/>
                <w:sz w:val="16"/>
                <w:szCs w:val="16"/>
              </w:rPr>
              <w:t>Issuance of common stock</w:t>
            </w:r>
          </w:p>
        </w:tc>
        <w:tc>
          <w:tcPr>
            <w:tcW w:w="0" w:type="auto"/>
            <w:gridSpan w:val="2"/>
            <w:shd w:val="clear" w:color="auto" w:fill="CCEEFF"/>
            <w:tcMar>
              <w:top w:w="40" w:type="dxa"/>
              <w:left w:w="20" w:type="dxa"/>
              <w:bottom w:w="40" w:type="dxa"/>
              <w:right w:w="0" w:type="dxa"/>
            </w:tcMar>
            <w:vAlign w:val="bottom"/>
          </w:tcPr>
          <w:p w14:paraId="07DCDE1E" w14:textId="77777777" w:rsidR="00AE727E" w:rsidRDefault="008433E0">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07DCDE1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21" w14:textId="77777777" w:rsidR="00AE727E" w:rsidRDefault="008433E0">
            <w:pPr>
              <w:jc w:val="right"/>
              <w:textAlignment w:val="bottom"/>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bottom"/>
          </w:tcPr>
          <w:p w14:paraId="07DCDE2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2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2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2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2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2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2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2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2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2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30" w14:textId="77777777" w:rsidR="00AE727E" w:rsidRDefault="008433E0">
            <w:pPr>
              <w:jc w:val="right"/>
              <w:textAlignment w:val="bottom"/>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bottom"/>
          </w:tcPr>
          <w:p w14:paraId="07DCDE3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3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3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3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3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36" w14:textId="77777777" w:rsidR="00AE727E" w:rsidRDefault="008433E0">
            <w:pPr>
              <w:jc w:val="right"/>
              <w:textAlignment w:val="bottom"/>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bottom"/>
          </w:tcPr>
          <w:p w14:paraId="07DCDE37" w14:textId="77777777" w:rsidR="00AE727E" w:rsidRDefault="00AE727E">
            <w:pPr>
              <w:jc w:val="right"/>
              <w:rPr>
                <w:rFonts w:ascii="宋体"/>
              </w:rPr>
            </w:pPr>
          </w:p>
        </w:tc>
      </w:tr>
      <w:tr w:rsidR="00AE727E" w14:paraId="07DCDE54" w14:textId="77777777">
        <w:tc>
          <w:tcPr>
            <w:tcW w:w="0" w:type="auto"/>
            <w:gridSpan w:val="3"/>
            <w:shd w:val="clear" w:color="auto" w:fill="FFFFFF"/>
            <w:tcMar>
              <w:top w:w="40" w:type="dxa"/>
              <w:left w:w="155" w:type="dxa"/>
              <w:bottom w:w="40" w:type="dxa"/>
              <w:right w:w="20" w:type="dxa"/>
            </w:tcMar>
            <w:vAlign w:val="bottom"/>
          </w:tcPr>
          <w:p w14:paraId="07DCDE39" w14:textId="77777777" w:rsidR="00AE727E" w:rsidRDefault="008433E0">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FFFFFF"/>
            <w:tcMar>
              <w:top w:w="40" w:type="dxa"/>
              <w:left w:w="20" w:type="dxa"/>
              <w:bottom w:w="40" w:type="dxa"/>
              <w:right w:w="0" w:type="dxa"/>
            </w:tcMar>
            <w:vAlign w:val="bottom"/>
          </w:tcPr>
          <w:p w14:paraId="07DCDE3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3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3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3D" w14:textId="77777777" w:rsidR="00AE727E" w:rsidRDefault="008433E0">
            <w:pPr>
              <w:jc w:val="right"/>
              <w:textAlignment w:val="bottom"/>
            </w:pPr>
            <w:r>
              <w:rPr>
                <w:rFonts w:ascii="Times New Roman" w:eastAsia="宋体" w:hAnsi="Times New Roman"/>
                <w:color w:val="000000"/>
                <w:sz w:val="16"/>
                <w:szCs w:val="16"/>
              </w:rPr>
              <w:t>126 </w:t>
            </w:r>
          </w:p>
        </w:tc>
        <w:tc>
          <w:tcPr>
            <w:tcW w:w="0" w:type="auto"/>
            <w:shd w:val="clear" w:color="auto" w:fill="FFFFFF"/>
            <w:tcMar>
              <w:top w:w="40" w:type="dxa"/>
              <w:left w:w="0" w:type="dxa"/>
              <w:bottom w:w="40" w:type="dxa"/>
              <w:right w:w="20" w:type="dxa"/>
            </w:tcMar>
            <w:vAlign w:val="bottom"/>
          </w:tcPr>
          <w:p w14:paraId="07DCDE3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3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4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4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4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4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4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4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4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C" w14:textId="77777777" w:rsidR="00AE727E" w:rsidRDefault="008433E0">
            <w:pPr>
              <w:jc w:val="right"/>
              <w:textAlignment w:val="bottom"/>
            </w:pPr>
            <w:r>
              <w:rPr>
                <w:rFonts w:ascii="Times New Roman" w:eastAsia="宋体" w:hAnsi="Times New Roman"/>
                <w:color w:val="000000"/>
                <w:sz w:val="16"/>
                <w:szCs w:val="16"/>
              </w:rPr>
              <w:t>126 </w:t>
            </w:r>
          </w:p>
        </w:tc>
        <w:tc>
          <w:tcPr>
            <w:tcW w:w="0" w:type="auto"/>
            <w:shd w:val="clear" w:color="auto" w:fill="FFFFFF"/>
            <w:tcMar>
              <w:top w:w="40" w:type="dxa"/>
              <w:left w:w="0" w:type="dxa"/>
              <w:bottom w:w="40" w:type="dxa"/>
              <w:right w:w="20" w:type="dxa"/>
            </w:tcMar>
            <w:vAlign w:val="bottom"/>
          </w:tcPr>
          <w:p w14:paraId="07DCDE4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4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4F" w14:textId="77777777" w:rsidR="00AE727E" w:rsidRDefault="008433E0">
            <w:pPr>
              <w:jc w:val="right"/>
              <w:textAlignment w:val="bottom"/>
            </w:pPr>
            <w:r>
              <w:rPr>
                <w:rFonts w:ascii="Times New Roman" w:eastAsia="宋体" w:hAnsi="Times New Roman"/>
                <w:color w:val="000000"/>
                <w:sz w:val="16"/>
                <w:szCs w:val="16"/>
              </w:rPr>
              <w:t>310 </w:t>
            </w:r>
          </w:p>
        </w:tc>
        <w:tc>
          <w:tcPr>
            <w:tcW w:w="0" w:type="auto"/>
            <w:shd w:val="clear" w:color="auto" w:fill="FFFFFF"/>
            <w:tcMar>
              <w:top w:w="40" w:type="dxa"/>
              <w:left w:w="0" w:type="dxa"/>
              <w:bottom w:w="40" w:type="dxa"/>
              <w:right w:w="20" w:type="dxa"/>
            </w:tcMar>
            <w:vAlign w:val="bottom"/>
          </w:tcPr>
          <w:p w14:paraId="07DCDE5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5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52" w14:textId="77777777" w:rsidR="00AE727E" w:rsidRDefault="008433E0">
            <w:pPr>
              <w:jc w:val="right"/>
              <w:textAlignment w:val="bottom"/>
            </w:pPr>
            <w:r>
              <w:rPr>
                <w:rFonts w:ascii="Times New Roman" w:eastAsia="宋体" w:hAnsi="Times New Roman"/>
                <w:color w:val="000000"/>
                <w:sz w:val="16"/>
                <w:szCs w:val="16"/>
              </w:rPr>
              <w:t>436 </w:t>
            </w:r>
          </w:p>
        </w:tc>
        <w:tc>
          <w:tcPr>
            <w:tcW w:w="0" w:type="auto"/>
            <w:shd w:val="clear" w:color="auto" w:fill="FFFFFF"/>
            <w:tcMar>
              <w:top w:w="40" w:type="dxa"/>
              <w:left w:w="0" w:type="dxa"/>
              <w:bottom w:w="40" w:type="dxa"/>
              <w:right w:w="20" w:type="dxa"/>
            </w:tcMar>
            <w:vAlign w:val="bottom"/>
          </w:tcPr>
          <w:p w14:paraId="07DCDE53" w14:textId="77777777" w:rsidR="00AE727E" w:rsidRDefault="00AE727E">
            <w:pPr>
              <w:jc w:val="right"/>
              <w:rPr>
                <w:rFonts w:ascii="宋体"/>
              </w:rPr>
            </w:pPr>
          </w:p>
        </w:tc>
      </w:tr>
      <w:tr w:rsidR="00AE727E" w14:paraId="07DCDE67" w14:textId="77777777">
        <w:trPr>
          <w:hidden/>
        </w:trPr>
        <w:tc>
          <w:tcPr>
            <w:tcW w:w="0" w:type="auto"/>
            <w:gridSpan w:val="3"/>
            <w:shd w:val="clear" w:color="auto" w:fill="auto"/>
            <w:vAlign w:val="bottom"/>
          </w:tcPr>
          <w:p w14:paraId="07DCDE55" w14:textId="77777777" w:rsidR="00AE727E" w:rsidRDefault="00AE727E">
            <w:pPr>
              <w:rPr>
                <w:rFonts w:ascii="宋体"/>
                <w:vanish/>
              </w:rPr>
            </w:pPr>
          </w:p>
        </w:tc>
        <w:tc>
          <w:tcPr>
            <w:tcW w:w="0" w:type="auto"/>
            <w:gridSpan w:val="3"/>
            <w:shd w:val="clear" w:color="auto" w:fill="auto"/>
            <w:vAlign w:val="bottom"/>
          </w:tcPr>
          <w:p w14:paraId="07DCDE56" w14:textId="77777777" w:rsidR="00AE727E" w:rsidRDefault="00AE727E">
            <w:pPr>
              <w:rPr>
                <w:rFonts w:ascii="宋体"/>
                <w:vanish/>
              </w:rPr>
            </w:pPr>
          </w:p>
        </w:tc>
        <w:tc>
          <w:tcPr>
            <w:tcW w:w="0" w:type="auto"/>
            <w:gridSpan w:val="3"/>
            <w:shd w:val="clear" w:color="auto" w:fill="auto"/>
            <w:vAlign w:val="bottom"/>
          </w:tcPr>
          <w:p w14:paraId="07DCDE57" w14:textId="77777777" w:rsidR="00AE727E" w:rsidRDefault="00AE727E">
            <w:pPr>
              <w:rPr>
                <w:rFonts w:ascii="宋体"/>
                <w:vanish/>
              </w:rPr>
            </w:pPr>
          </w:p>
        </w:tc>
        <w:tc>
          <w:tcPr>
            <w:tcW w:w="0" w:type="auto"/>
            <w:gridSpan w:val="3"/>
            <w:shd w:val="clear" w:color="auto" w:fill="auto"/>
            <w:vAlign w:val="bottom"/>
          </w:tcPr>
          <w:p w14:paraId="07DCDE58" w14:textId="77777777" w:rsidR="00AE727E" w:rsidRDefault="00AE727E">
            <w:pPr>
              <w:rPr>
                <w:rFonts w:ascii="宋体"/>
                <w:vanish/>
              </w:rPr>
            </w:pPr>
          </w:p>
        </w:tc>
        <w:tc>
          <w:tcPr>
            <w:tcW w:w="0" w:type="auto"/>
            <w:gridSpan w:val="3"/>
            <w:shd w:val="clear" w:color="auto" w:fill="auto"/>
            <w:vAlign w:val="bottom"/>
          </w:tcPr>
          <w:p w14:paraId="07DCDE59" w14:textId="77777777" w:rsidR="00AE727E" w:rsidRDefault="00AE727E">
            <w:pPr>
              <w:rPr>
                <w:rFonts w:ascii="宋体"/>
                <w:vanish/>
              </w:rPr>
            </w:pPr>
          </w:p>
        </w:tc>
        <w:tc>
          <w:tcPr>
            <w:tcW w:w="0" w:type="auto"/>
            <w:gridSpan w:val="3"/>
            <w:shd w:val="clear" w:color="auto" w:fill="auto"/>
            <w:vAlign w:val="bottom"/>
          </w:tcPr>
          <w:p w14:paraId="07DCDE5A" w14:textId="77777777" w:rsidR="00AE727E" w:rsidRDefault="00AE727E">
            <w:pPr>
              <w:rPr>
                <w:rFonts w:ascii="宋体"/>
                <w:vanish/>
              </w:rPr>
            </w:pPr>
          </w:p>
        </w:tc>
        <w:tc>
          <w:tcPr>
            <w:tcW w:w="0" w:type="auto"/>
            <w:gridSpan w:val="3"/>
            <w:shd w:val="clear" w:color="auto" w:fill="auto"/>
            <w:vAlign w:val="bottom"/>
          </w:tcPr>
          <w:p w14:paraId="07DCDE5B" w14:textId="77777777" w:rsidR="00AE727E" w:rsidRDefault="00AE727E">
            <w:pPr>
              <w:rPr>
                <w:rFonts w:ascii="宋体"/>
                <w:vanish/>
              </w:rPr>
            </w:pPr>
          </w:p>
        </w:tc>
        <w:tc>
          <w:tcPr>
            <w:tcW w:w="0" w:type="auto"/>
            <w:gridSpan w:val="3"/>
            <w:shd w:val="clear" w:color="auto" w:fill="auto"/>
            <w:vAlign w:val="bottom"/>
          </w:tcPr>
          <w:p w14:paraId="07DCDE5C" w14:textId="77777777" w:rsidR="00AE727E" w:rsidRDefault="00AE727E">
            <w:pPr>
              <w:rPr>
                <w:rFonts w:ascii="宋体"/>
                <w:vanish/>
              </w:rPr>
            </w:pPr>
          </w:p>
        </w:tc>
        <w:tc>
          <w:tcPr>
            <w:tcW w:w="0" w:type="auto"/>
            <w:gridSpan w:val="3"/>
            <w:shd w:val="clear" w:color="auto" w:fill="auto"/>
            <w:vAlign w:val="bottom"/>
          </w:tcPr>
          <w:p w14:paraId="07DCDE5D" w14:textId="77777777" w:rsidR="00AE727E" w:rsidRDefault="00AE727E">
            <w:pPr>
              <w:rPr>
                <w:rFonts w:ascii="宋体"/>
                <w:vanish/>
              </w:rPr>
            </w:pPr>
          </w:p>
        </w:tc>
        <w:tc>
          <w:tcPr>
            <w:tcW w:w="0" w:type="auto"/>
            <w:gridSpan w:val="3"/>
            <w:shd w:val="clear" w:color="auto" w:fill="auto"/>
            <w:vAlign w:val="bottom"/>
          </w:tcPr>
          <w:p w14:paraId="07DCDE5E" w14:textId="77777777" w:rsidR="00AE727E" w:rsidRDefault="00AE727E">
            <w:pPr>
              <w:rPr>
                <w:rFonts w:ascii="宋体"/>
                <w:vanish/>
              </w:rPr>
            </w:pPr>
          </w:p>
        </w:tc>
        <w:tc>
          <w:tcPr>
            <w:tcW w:w="0" w:type="auto"/>
            <w:gridSpan w:val="3"/>
            <w:shd w:val="clear" w:color="auto" w:fill="auto"/>
            <w:vAlign w:val="bottom"/>
          </w:tcPr>
          <w:p w14:paraId="07DCDE5F" w14:textId="77777777" w:rsidR="00AE727E" w:rsidRDefault="00AE727E">
            <w:pPr>
              <w:rPr>
                <w:rFonts w:ascii="宋体"/>
                <w:vanish/>
              </w:rPr>
            </w:pPr>
          </w:p>
        </w:tc>
        <w:tc>
          <w:tcPr>
            <w:tcW w:w="0" w:type="auto"/>
            <w:gridSpan w:val="3"/>
            <w:shd w:val="clear" w:color="auto" w:fill="auto"/>
            <w:vAlign w:val="bottom"/>
          </w:tcPr>
          <w:p w14:paraId="07DCDE60" w14:textId="77777777" w:rsidR="00AE727E" w:rsidRDefault="00AE727E">
            <w:pPr>
              <w:rPr>
                <w:rFonts w:ascii="宋体"/>
                <w:vanish/>
              </w:rPr>
            </w:pPr>
          </w:p>
        </w:tc>
        <w:tc>
          <w:tcPr>
            <w:tcW w:w="0" w:type="auto"/>
            <w:gridSpan w:val="3"/>
            <w:shd w:val="clear" w:color="auto" w:fill="auto"/>
            <w:vAlign w:val="bottom"/>
          </w:tcPr>
          <w:p w14:paraId="07DCDE61" w14:textId="77777777" w:rsidR="00AE727E" w:rsidRDefault="00AE727E">
            <w:pPr>
              <w:rPr>
                <w:rFonts w:ascii="宋体"/>
                <w:vanish/>
              </w:rPr>
            </w:pPr>
          </w:p>
        </w:tc>
        <w:tc>
          <w:tcPr>
            <w:tcW w:w="0" w:type="auto"/>
            <w:gridSpan w:val="3"/>
            <w:shd w:val="clear" w:color="auto" w:fill="auto"/>
            <w:vAlign w:val="bottom"/>
          </w:tcPr>
          <w:p w14:paraId="07DCDE62" w14:textId="77777777" w:rsidR="00AE727E" w:rsidRDefault="00AE727E">
            <w:pPr>
              <w:rPr>
                <w:rFonts w:ascii="宋体"/>
                <w:vanish/>
              </w:rPr>
            </w:pPr>
          </w:p>
        </w:tc>
        <w:tc>
          <w:tcPr>
            <w:tcW w:w="0" w:type="auto"/>
            <w:gridSpan w:val="3"/>
            <w:shd w:val="clear" w:color="auto" w:fill="auto"/>
            <w:vAlign w:val="bottom"/>
          </w:tcPr>
          <w:p w14:paraId="07DCDE63" w14:textId="77777777" w:rsidR="00AE727E" w:rsidRDefault="00AE727E">
            <w:pPr>
              <w:rPr>
                <w:rFonts w:ascii="宋体"/>
                <w:vanish/>
              </w:rPr>
            </w:pPr>
          </w:p>
        </w:tc>
        <w:tc>
          <w:tcPr>
            <w:tcW w:w="0" w:type="auto"/>
            <w:gridSpan w:val="3"/>
            <w:shd w:val="clear" w:color="auto" w:fill="auto"/>
            <w:vAlign w:val="bottom"/>
          </w:tcPr>
          <w:p w14:paraId="07DCDE64" w14:textId="77777777" w:rsidR="00AE727E" w:rsidRDefault="00AE727E">
            <w:pPr>
              <w:rPr>
                <w:rFonts w:ascii="宋体"/>
                <w:vanish/>
              </w:rPr>
            </w:pPr>
          </w:p>
        </w:tc>
        <w:tc>
          <w:tcPr>
            <w:tcW w:w="0" w:type="auto"/>
            <w:gridSpan w:val="3"/>
            <w:shd w:val="clear" w:color="auto" w:fill="auto"/>
            <w:vAlign w:val="bottom"/>
          </w:tcPr>
          <w:p w14:paraId="07DCDE65" w14:textId="77777777" w:rsidR="00AE727E" w:rsidRDefault="00AE727E">
            <w:pPr>
              <w:rPr>
                <w:rFonts w:ascii="宋体"/>
                <w:vanish/>
              </w:rPr>
            </w:pPr>
          </w:p>
        </w:tc>
        <w:tc>
          <w:tcPr>
            <w:tcW w:w="0" w:type="auto"/>
            <w:gridSpan w:val="3"/>
            <w:shd w:val="clear" w:color="auto" w:fill="auto"/>
            <w:vAlign w:val="bottom"/>
          </w:tcPr>
          <w:p w14:paraId="07DCDE66" w14:textId="77777777" w:rsidR="00AE727E" w:rsidRDefault="00AE727E">
            <w:pPr>
              <w:rPr>
                <w:rFonts w:ascii="宋体"/>
                <w:vanish/>
              </w:rPr>
            </w:pPr>
          </w:p>
        </w:tc>
      </w:tr>
      <w:tr w:rsidR="00AE727E" w14:paraId="07DCDE83" w14:textId="77777777">
        <w:tc>
          <w:tcPr>
            <w:tcW w:w="0" w:type="auto"/>
            <w:gridSpan w:val="3"/>
            <w:shd w:val="clear" w:color="auto" w:fill="CCEEFF"/>
            <w:tcMar>
              <w:top w:w="40" w:type="dxa"/>
              <w:left w:w="155" w:type="dxa"/>
              <w:bottom w:w="40" w:type="dxa"/>
              <w:right w:w="20" w:type="dxa"/>
            </w:tcMar>
            <w:vAlign w:val="bottom"/>
          </w:tcPr>
          <w:p w14:paraId="07DCDE68" w14:textId="77777777" w:rsidR="00AE727E" w:rsidRDefault="008433E0">
            <w:pPr>
              <w:textAlignment w:val="bottom"/>
            </w:pPr>
            <w:r>
              <w:rPr>
                <w:rFonts w:ascii="Times New Roman" w:eastAsia="宋体" w:hAnsi="Times New Roman"/>
                <w:color w:val="000000"/>
                <w:sz w:val="16"/>
                <w:szCs w:val="16"/>
              </w:rPr>
              <w:t>Revaluation of redeemable shares</w:t>
            </w:r>
          </w:p>
        </w:tc>
        <w:tc>
          <w:tcPr>
            <w:tcW w:w="0" w:type="auto"/>
            <w:gridSpan w:val="2"/>
            <w:shd w:val="clear" w:color="auto" w:fill="CCEEFF"/>
            <w:tcMar>
              <w:top w:w="40" w:type="dxa"/>
              <w:left w:w="20" w:type="dxa"/>
              <w:bottom w:w="40" w:type="dxa"/>
              <w:right w:w="0" w:type="dxa"/>
            </w:tcMar>
            <w:vAlign w:val="bottom"/>
          </w:tcPr>
          <w:p w14:paraId="07DCDE6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6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6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6C" w14:textId="77777777" w:rsidR="00AE727E" w:rsidRDefault="008433E0">
            <w:pPr>
              <w:jc w:val="right"/>
              <w:textAlignment w:val="bottom"/>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bottom"/>
          </w:tcPr>
          <w:p w14:paraId="07DCDE6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6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6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7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7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7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7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7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7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7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7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7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7B" w14:textId="77777777" w:rsidR="00AE727E" w:rsidRDefault="008433E0">
            <w:pPr>
              <w:jc w:val="right"/>
              <w:textAlignment w:val="bottom"/>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bottom"/>
          </w:tcPr>
          <w:p w14:paraId="07DCDE7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7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7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E7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8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E81" w14:textId="77777777" w:rsidR="00AE727E" w:rsidRDefault="008433E0">
            <w:pPr>
              <w:jc w:val="right"/>
              <w:textAlignment w:val="bottom"/>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bottom"/>
          </w:tcPr>
          <w:p w14:paraId="07DCDE82" w14:textId="77777777" w:rsidR="00AE727E" w:rsidRDefault="00AE727E">
            <w:pPr>
              <w:jc w:val="right"/>
              <w:rPr>
                <w:rFonts w:ascii="宋体"/>
              </w:rPr>
            </w:pPr>
          </w:p>
        </w:tc>
      </w:tr>
      <w:tr w:rsidR="00AE727E" w14:paraId="07DCDE9F" w14:textId="77777777">
        <w:tc>
          <w:tcPr>
            <w:tcW w:w="0" w:type="auto"/>
            <w:gridSpan w:val="3"/>
            <w:shd w:val="clear" w:color="auto" w:fill="FFFFFF"/>
            <w:tcMar>
              <w:top w:w="40" w:type="dxa"/>
              <w:left w:w="155" w:type="dxa"/>
              <w:bottom w:w="40" w:type="dxa"/>
              <w:right w:w="20" w:type="dxa"/>
            </w:tcMar>
            <w:vAlign w:val="bottom"/>
          </w:tcPr>
          <w:p w14:paraId="07DCDE84" w14:textId="77777777" w:rsidR="00AE727E" w:rsidRDefault="008433E0">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07DCDE8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8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8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88" w14:textId="77777777" w:rsidR="00AE727E" w:rsidRDefault="008433E0">
            <w:pPr>
              <w:jc w:val="right"/>
              <w:textAlignment w:val="bottom"/>
            </w:pPr>
            <w:r>
              <w:rPr>
                <w:rFonts w:ascii="Times New Roman" w:eastAsia="宋体" w:hAnsi="Times New Roman"/>
                <w:color w:val="000000"/>
                <w:sz w:val="16"/>
                <w:szCs w:val="16"/>
              </w:rPr>
              <w:t>108 </w:t>
            </w:r>
          </w:p>
        </w:tc>
        <w:tc>
          <w:tcPr>
            <w:tcW w:w="0" w:type="auto"/>
            <w:shd w:val="clear" w:color="auto" w:fill="FFFFFF"/>
            <w:tcMar>
              <w:top w:w="40" w:type="dxa"/>
              <w:left w:w="0" w:type="dxa"/>
              <w:bottom w:w="40" w:type="dxa"/>
              <w:right w:w="20" w:type="dxa"/>
            </w:tcMar>
            <w:vAlign w:val="bottom"/>
          </w:tcPr>
          <w:p w14:paraId="07DCDE8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8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8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8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8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8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8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9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9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9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9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9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E9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9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97" w14:textId="77777777" w:rsidR="00AE727E" w:rsidRDefault="008433E0">
            <w:pPr>
              <w:jc w:val="right"/>
              <w:textAlignment w:val="bottom"/>
            </w:pPr>
            <w:r>
              <w:rPr>
                <w:rFonts w:ascii="Times New Roman" w:eastAsia="宋体" w:hAnsi="Times New Roman"/>
                <w:color w:val="000000"/>
                <w:sz w:val="16"/>
                <w:szCs w:val="16"/>
              </w:rPr>
              <w:t>108 </w:t>
            </w:r>
          </w:p>
        </w:tc>
        <w:tc>
          <w:tcPr>
            <w:tcW w:w="0" w:type="auto"/>
            <w:shd w:val="clear" w:color="auto" w:fill="FFFFFF"/>
            <w:tcMar>
              <w:top w:w="40" w:type="dxa"/>
              <w:left w:w="0" w:type="dxa"/>
              <w:bottom w:w="40" w:type="dxa"/>
              <w:right w:w="20" w:type="dxa"/>
            </w:tcMar>
            <w:vAlign w:val="bottom"/>
          </w:tcPr>
          <w:p w14:paraId="07DCDE9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9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9A" w14:textId="77777777" w:rsidR="00AE727E" w:rsidRDefault="008433E0">
            <w:pPr>
              <w:jc w:val="right"/>
              <w:textAlignment w:val="bottom"/>
            </w:pPr>
            <w:r>
              <w:rPr>
                <w:rFonts w:ascii="Times New Roman" w:eastAsia="宋体" w:hAnsi="Times New Roman"/>
                <w:color w:val="000000"/>
                <w:sz w:val="16"/>
                <w:szCs w:val="16"/>
              </w:rPr>
              <w:t>(281)</w:t>
            </w:r>
          </w:p>
        </w:tc>
        <w:tc>
          <w:tcPr>
            <w:tcW w:w="0" w:type="auto"/>
            <w:shd w:val="clear" w:color="auto" w:fill="FFFFFF"/>
            <w:tcMar>
              <w:top w:w="40" w:type="dxa"/>
              <w:left w:w="0" w:type="dxa"/>
              <w:bottom w:w="40" w:type="dxa"/>
              <w:right w:w="20" w:type="dxa"/>
            </w:tcMar>
            <w:vAlign w:val="bottom"/>
          </w:tcPr>
          <w:p w14:paraId="07DCDE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E9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E9D" w14:textId="77777777" w:rsidR="00AE727E" w:rsidRDefault="008433E0">
            <w:pPr>
              <w:jc w:val="right"/>
              <w:textAlignment w:val="bottom"/>
            </w:pPr>
            <w:r>
              <w:rPr>
                <w:rFonts w:ascii="Times New Roman" w:eastAsia="宋体" w:hAnsi="Times New Roman"/>
                <w:color w:val="000000"/>
                <w:sz w:val="16"/>
                <w:szCs w:val="16"/>
              </w:rPr>
              <w:t>(173)</w:t>
            </w:r>
          </w:p>
        </w:tc>
        <w:tc>
          <w:tcPr>
            <w:tcW w:w="0" w:type="auto"/>
            <w:shd w:val="clear" w:color="auto" w:fill="FFFFFF"/>
            <w:tcMar>
              <w:top w:w="40" w:type="dxa"/>
              <w:left w:w="0" w:type="dxa"/>
              <w:bottom w:w="40" w:type="dxa"/>
              <w:right w:w="20" w:type="dxa"/>
            </w:tcMar>
            <w:vAlign w:val="bottom"/>
          </w:tcPr>
          <w:p w14:paraId="07DCDE9E" w14:textId="77777777" w:rsidR="00AE727E" w:rsidRDefault="00AE727E">
            <w:pPr>
              <w:jc w:val="right"/>
              <w:rPr>
                <w:rFonts w:ascii="宋体"/>
              </w:rPr>
            </w:pPr>
          </w:p>
        </w:tc>
      </w:tr>
      <w:tr w:rsidR="00AE727E" w14:paraId="07DCDEB2" w14:textId="77777777">
        <w:trPr>
          <w:hidden/>
        </w:trPr>
        <w:tc>
          <w:tcPr>
            <w:tcW w:w="0" w:type="auto"/>
            <w:gridSpan w:val="3"/>
            <w:shd w:val="clear" w:color="auto" w:fill="auto"/>
            <w:vAlign w:val="bottom"/>
          </w:tcPr>
          <w:p w14:paraId="07DCDEA0" w14:textId="77777777" w:rsidR="00AE727E" w:rsidRDefault="00AE727E">
            <w:pPr>
              <w:rPr>
                <w:rFonts w:ascii="宋体"/>
                <w:vanish/>
              </w:rPr>
            </w:pPr>
          </w:p>
        </w:tc>
        <w:tc>
          <w:tcPr>
            <w:tcW w:w="0" w:type="auto"/>
            <w:gridSpan w:val="3"/>
            <w:shd w:val="clear" w:color="auto" w:fill="auto"/>
            <w:vAlign w:val="bottom"/>
          </w:tcPr>
          <w:p w14:paraId="07DCDEA1" w14:textId="77777777" w:rsidR="00AE727E" w:rsidRDefault="00AE727E">
            <w:pPr>
              <w:rPr>
                <w:rFonts w:ascii="宋体"/>
                <w:vanish/>
              </w:rPr>
            </w:pPr>
          </w:p>
        </w:tc>
        <w:tc>
          <w:tcPr>
            <w:tcW w:w="0" w:type="auto"/>
            <w:gridSpan w:val="3"/>
            <w:shd w:val="clear" w:color="auto" w:fill="auto"/>
            <w:vAlign w:val="bottom"/>
          </w:tcPr>
          <w:p w14:paraId="07DCDEA2" w14:textId="77777777" w:rsidR="00AE727E" w:rsidRDefault="00AE727E">
            <w:pPr>
              <w:rPr>
                <w:rFonts w:ascii="宋体"/>
                <w:vanish/>
              </w:rPr>
            </w:pPr>
          </w:p>
        </w:tc>
        <w:tc>
          <w:tcPr>
            <w:tcW w:w="0" w:type="auto"/>
            <w:gridSpan w:val="3"/>
            <w:shd w:val="clear" w:color="auto" w:fill="auto"/>
            <w:vAlign w:val="bottom"/>
          </w:tcPr>
          <w:p w14:paraId="07DCDEA3" w14:textId="77777777" w:rsidR="00AE727E" w:rsidRDefault="00AE727E">
            <w:pPr>
              <w:rPr>
                <w:rFonts w:ascii="宋体"/>
                <w:vanish/>
              </w:rPr>
            </w:pPr>
          </w:p>
        </w:tc>
        <w:tc>
          <w:tcPr>
            <w:tcW w:w="0" w:type="auto"/>
            <w:gridSpan w:val="3"/>
            <w:shd w:val="clear" w:color="auto" w:fill="auto"/>
            <w:vAlign w:val="bottom"/>
          </w:tcPr>
          <w:p w14:paraId="07DCDEA4" w14:textId="77777777" w:rsidR="00AE727E" w:rsidRDefault="00AE727E">
            <w:pPr>
              <w:rPr>
                <w:rFonts w:ascii="宋体"/>
                <w:vanish/>
              </w:rPr>
            </w:pPr>
          </w:p>
        </w:tc>
        <w:tc>
          <w:tcPr>
            <w:tcW w:w="0" w:type="auto"/>
            <w:gridSpan w:val="3"/>
            <w:shd w:val="clear" w:color="auto" w:fill="auto"/>
            <w:vAlign w:val="bottom"/>
          </w:tcPr>
          <w:p w14:paraId="07DCDEA5" w14:textId="77777777" w:rsidR="00AE727E" w:rsidRDefault="00AE727E">
            <w:pPr>
              <w:rPr>
                <w:rFonts w:ascii="宋体"/>
                <w:vanish/>
              </w:rPr>
            </w:pPr>
          </w:p>
        </w:tc>
        <w:tc>
          <w:tcPr>
            <w:tcW w:w="0" w:type="auto"/>
            <w:gridSpan w:val="3"/>
            <w:shd w:val="clear" w:color="auto" w:fill="auto"/>
            <w:vAlign w:val="bottom"/>
          </w:tcPr>
          <w:p w14:paraId="07DCDEA6" w14:textId="77777777" w:rsidR="00AE727E" w:rsidRDefault="00AE727E">
            <w:pPr>
              <w:rPr>
                <w:rFonts w:ascii="宋体"/>
                <w:vanish/>
              </w:rPr>
            </w:pPr>
          </w:p>
        </w:tc>
        <w:tc>
          <w:tcPr>
            <w:tcW w:w="0" w:type="auto"/>
            <w:gridSpan w:val="3"/>
            <w:shd w:val="clear" w:color="auto" w:fill="auto"/>
            <w:vAlign w:val="bottom"/>
          </w:tcPr>
          <w:p w14:paraId="07DCDEA7" w14:textId="77777777" w:rsidR="00AE727E" w:rsidRDefault="00AE727E">
            <w:pPr>
              <w:rPr>
                <w:rFonts w:ascii="宋体"/>
                <w:vanish/>
              </w:rPr>
            </w:pPr>
          </w:p>
        </w:tc>
        <w:tc>
          <w:tcPr>
            <w:tcW w:w="0" w:type="auto"/>
            <w:gridSpan w:val="3"/>
            <w:shd w:val="clear" w:color="auto" w:fill="auto"/>
            <w:vAlign w:val="bottom"/>
          </w:tcPr>
          <w:p w14:paraId="07DCDEA8" w14:textId="77777777" w:rsidR="00AE727E" w:rsidRDefault="00AE727E">
            <w:pPr>
              <w:rPr>
                <w:rFonts w:ascii="宋体"/>
                <w:vanish/>
              </w:rPr>
            </w:pPr>
          </w:p>
        </w:tc>
        <w:tc>
          <w:tcPr>
            <w:tcW w:w="0" w:type="auto"/>
            <w:gridSpan w:val="3"/>
            <w:shd w:val="clear" w:color="auto" w:fill="auto"/>
            <w:vAlign w:val="bottom"/>
          </w:tcPr>
          <w:p w14:paraId="07DCDEA9" w14:textId="77777777" w:rsidR="00AE727E" w:rsidRDefault="00AE727E">
            <w:pPr>
              <w:rPr>
                <w:rFonts w:ascii="宋体"/>
                <w:vanish/>
              </w:rPr>
            </w:pPr>
          </w:p>
        </w:tc>
        <w:tc>
          <w:tcPr>
            <w:tcW w:w="0" w:type="auto"/>
            <w:gridSpan w:val="3"/>
            <w:shd w:val="clear" w:color="auto" w:fill="auto"/>
            <w:vAlign w:val="bottom"/>
          </w:tcPr>
          <w:p w14:paraId="07DCDEAA" w14:textId="77777777" w:rsidR="00AE727E" w:rsidRDefault="00AE727E">
            <w:pPr>
              <w:rPr>
                <w:rFonts w:ascii="宋体"/>
                <w:vanish/>
              </w:rPr>
            </w:pPr>
          </w:p>
        </w:tc>
        <w:tc>
          <w:tcPr>
            <w:tcW w:w="0" w:type="auto"/>
            <w:gridSpan w:val="3"/>
            <w:shd w:val="clear" w:color="auto" w:fill="auto"/>
            <w:vAlign w:val="bottom"/>
          </w:tcPr>
          <w:p w14:paraId="07DCDEAB" w14:textId="77777777" w:rsidR="00AE727E" w:rsidRDefault="00AE727E">
            <w:pPr>
              <w:rPr>
                <w:rFonts w:ascii="宋体"/>
                <w:vanish/>
              </w:rPr>
            </w:pPr>
          </w:p>
        </w:tc>
        <w:tc>
          <w:tcPr>
            <w:tcW w:w="0" w:type="auto"/>
            <w:gridSpan w:val="3"/>
            <w:shd w:val="clear" w:color="auto" w:fill="auto"/>
            <w:vAlign w:val="bottom"/>
          </w:tcPr>
          <w:p w14:paraId="07DCDEAC" w14:textId="77777777" w:rsidR="00AE727E" w:rsidRDefault="00AE727E">
            <w:pPr>
              <w:rPr>
                <w:rFonts w:ascii="宋体"/>
                <w:vanish/>
              </w:rPr>
            </w:pPr>
          </w:p>
        </w:tc>
        <w:tc>
          <w:tcPr>
            <w:tcW w:w="0" w:type="auto"/>
            <w:gridSpan w:val="3"/>
            <w:shd w:val="clear" w:color="auto" w:fill="auto"/>
            <w:vAlign w:val="bottom"/>
          </w:tcPr>
          <w:p w14:paraId="07DCDEAD" w14:textId="77777777" w:rsidR="00AE727E" w:rsidRDefault="00AE727E">
            <w:pPr>
              <w:rPr>
                <w:rFonts w:ascii="宋体"/>
                <w:vanish/>
              </w:rPr>
            </w:pPr>
          </w:p>
        </w:tc>
        <w:tc>
          <w:tcPr>
            <w:tcW w:w="0" w:type="auto"/>
            <w:gridSpan w:val="3"/>
            <w:shd w:val="clear" w:color="auto" w:fill="auto"/>
            <w:vAlign w:val="bottom"/>
          </w:tcPr>
          <w:p w14:paraId="07DCDEAE" w14:textId="77777777" w:rsidR="00AE727E" w:rsidRDefault="00AE727E">
            <w:pPr>
              <w:rPr>
                <w:rFonts w:ascii="宋体"/>
                <w:vanish/>
              </w:rPr>
            </w:pPr>
          </w:p>
        </w:tc>
        <w:tc>
          <w:tcPr>
            <w:tcW w:w="0" w:type="auto"/>
            <w:gridSpan w:val="3"/>
            <w:shd w:val="clear" w:color="auto" w:fill="auto"/>
            <w:vAlign w:val="bottom"/>
          </w:tcPr>
          <w:p w14:paraId="07DCDEAF" w14:textId="77777777" w:rsidR="00AE727E" w:rsidRDefault="00AE727E">
            <w:pPr>
              <w:rPr>
                <w:rFonts w:ascii="宋体"/>
                <w:vanish/>
              </w:rPr>
            </w:pPr>
          </w:p>
        </w:tc>
        <w:tc>
          <w:tcPr>
            <w:tcW w:w="0" w:type="auto"/>
            <w:gridSpan w:val="3"/>
            <w:shd w:val="clear" w:color="auto" w:fill="auto"/>
            <w:vAlign w:val="bottom"/>
          </w:tcPr>
          <w:p w14:paraId="07DCDEB0" w14:textId="77777777" w:rsidR="00AE727E" w:rsidRDefault="00AE727E">
            <w:pPr>
              <w:rPr>
                <w:rFonts w:ascii="宋体"/>
                <w:vanish/>
              </w:rPr>
            </w:pPr>
          </w:p>
        </w:tc>
        <w:tc>
          <w:tcPr>
            <w:tcW w:w="0" w:type="auto"/>
            <w:gridSpan w:val="3"/>
            <w:shd w:val="clear" w:color="auto" w:fill="auto"/>
            <w:vAlign w:val="bottom"/>
          </w:tcPr>
          <w:p w14:paraId="07DCDEB1" w14:textId="77777777" w:rsidR="00AE727E" w:rsidRDefault="00AE727E">
            <w:pPr>
              <w:rPr>
                <w:rFonts w:ascii="宋体"/>
                <w:vanish/>
              </w:rPr>
            </w:pPr>
          </w:p>
        </w:tc>
      </w:tr>
      <w:tr w:rsidR="008433E0" w14:paraId="07DCDED5" w14:textId="77777777">
        <w:tc>
          <w:tcPr>
            <w:tcW w:w="0" w:type="auto"/>
            <w:gridSpan w:val="3"/>
            <w:shd w:val="clear" w:color="auto" w:fill="CCEEFF"/>
            <w:tcMar>
              <w:top w:w="40" w:type="dxa"/>
              <w:left w:w="20" w:type="dxa"/>
              <w:bottom w:w="40" w:type="dxa"/>
              <w:right w:w="20" w:type="dxa"/>
            </w:tcMar>
            <w:vAlign w:val="bottom"/>
          </w:tcPr>
          <w:p w14:paraId="07DCDEB3" w14:textId="77777777" w:rsidR="00AE727E" w:rsidRDefault="008433E0">
            <w:pPr>
              <w:textAlignment w:val="bottom"/>
            </w:pPr>
            <w:r>
              <w:rPr>
                <w:rFonts w:ascii="Times New Roman" w:eastAsia="宋体" w:hAnsi="Times New Roman"/>
                <w:b/>
                <w:bCs/>
                <w:color w:val="000000"/>
                <w:sz w:val="16"/>
                <w:szCs w:val="16"/>
              </w:rPr>
              <w:t>Balances as of October 30,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B4" w14:textId="77777777" w:rsidR="00AE727E" w:rsidRDefault="008433E0">
            <w:pPr>
              <w:jc w:val="right"/>
              <w:textAlignment w:val="bottom"/>
            </w:pPr>
            <w:r>
              <w:rPr>
                <w:rFonts w:ascii="Times New Roman" w:eastAsia="宋体" w:hAnsi="Times New Roman"/>
                <w:color w:val="000000"/>
                <w:sz w:val="16"/>
                <w:szCs w:val="16"/>
              </w:rPr>
              <w:t>757 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B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B6"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B7"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B8" w14:textId="77777777" w:rsidR="00AE727E" w:rsidRDefault="008433E0">
            <w:pPr>
              <w:jc w:val="right"/>
              <w:textAlignment w:val="bottom"/>
            </w:pPr>
            <w:r>
              <w:rPr>
                <w:rFonts w:ascii="Times New Roman" w:eastAsia="宋体" w:hAnsi="Times New Roman"/>
                <w:color w:val="000000"/>
                <w:sz w:val="16"/>
                <w:szCs w:val="16"/>
              </w:rPr>
              <w:t>16,719 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BA"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BB"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B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BD"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B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BF"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C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C1"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C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C3" w14:textId="77777777" w:rsidR="00AE727E" w:rsidRDefault="008433E0">
            <w:pPr>
              <w:jc w:val="right"/>
              <w:textAlignment w:val="bottom"/>
            </w:pPr>
            <w:r>
              <w:rPr>
                <w:rFonts w:ascii="Times New Roman" w:eastAsia="宋体" w:hAnsi="Times New Roman"/>
                <w:color w:val="000000"/>
                <w:sz w:val="16"/>
                <w:szCs w:val="16"/>
              </w:rPr>
              <w:t>(14,978)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C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C5"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C6"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C7" w14:textId="77777777" w:rsidR="00AE727E" w:rsidRDefault="008433E0">
            <w:pPr>
              <w:jc w:val="right"/>
              <w:textAlignment w:val="bottom"/>
            </w:pPr>
            <w:r>
              <w:rPr>
                <w:rFonts w:ascii="Times New Roman" w:eastAsia="宋体" w:hAnsi="Times New Roman"/>
                <w:color w:val="000000"/>
                <w:sz w:val="16"/>
                <w:szCs w:val="16"/>
              </w:rPr>
              <w:t>(553)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C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C9"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CA"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CB" w14:textId="77777777" w:rsidR="00AE727E" w:rsidRDefault="008433E0">
            <w:pPr>
              <w:jc w:val="right"/>
              <w:textAlignment w:val="bottom"/>
            </w:pPr>
            <w:r>
              <w:rPr>
                <w:rFonts w:ascii="Times New Roman" w:eastAsia="宋体" w:hAnsi="Times New Roman"/>
                <w:color w:val="000000"/>
                <w:sz w:val="16"/>
                <w:szCs w:val="16"/>
              </w:rPr>
              <w:t>883 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C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CD"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C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CF" w14:textId="77777777" w:rsidR="00AE727E" w:rsidRDefault="008433E0">
            <w:pPr>
              <w:jc w:val="right"/>
              <w:textAlignment w:val="bottom"/>
            </w:pPr>
            <w:r>
              <w:rPr>
                <w:rFonts w:ascii="Times New Roman" w:eastAsia="宋体" w:hAnsi="Times New Roman"/>
                <w:color w:val="000000"/>
                <w:sz w:val="16"/>
                <w:szCs w:val="16"/>
              </w:rPr>
              <w:t>5,056 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D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ED1"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DED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DED3" w14:textId="77777777" w:rsidR="00AE727E" w:rsidRDefault="008433E0">
            <w:pPr>
              <w:jc w:val="right"/>
              <w:textAlignment w:val="bottom"/>
            </w:pPr>
            <w:r>
              <w:rPr>
                <w:rFonts w:ascii="Times New Roman" w:eastAsia="宋体" w:hAnsi="Times New Roman"/>
                <w:color w:val="000000"/>
                <w:sz w:val="16"/>
                <w:szCs w:val="16"/>
              </w:rPr>
              <w:t>5,939 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DED4" w14:textId="77777777" w:rsidR="00AE727E" w:rsidRDefault="00AE727E">
            <w:pPr>
              <w:jc w:val="right"/>
              <w:rPr>
                <w:rFonts w:ascii="宋体"/>
              </w:rPr>
            </w:pPr>
          </w:p>
        </w:tc>
      </w:tr>
    </w:tbl>
    <w:p w14:paraId="07DCDED6" w14:textId="77777777" w:rsidR="00AE727E" w:rsidRDefault="00AE727E"/>
    <w:tbl>
      <w:tblPr>
        <w:tblW w:w="5000" w:type="pct"/>
        <w:tblCellMar>
          <w:top w:w="15" w:type="dxa"/>
          <w:left w:w="15" w:type="dxa"/>
          <w:bottom w:w="15" w:type="dxa"/>
          <w:right w:w="15" w:type="dxa"/>
        </w:tblCellMar>
        <w:tblLook w:val="04A0" w:firstRow="1" w:lastRow="0" w:firstColumn="1" w:lastColumn="0" w:noHBand="0" w:noVBand="1"/>
      </w:tblPr>
      <w:tblGrid>
        <w:gridCol w:w="69"/>
        <w:gridCol w:w="914"/>
        <w:gridCol w:w="36"/>
        <w:gridCol w:w="87"/>
        <w:gridCol w:w="332"/>
        <w:gridCol w:w="35"/>
        <w:gridCol w:w="37"/>
        <w:gridCol w:w="35"/>
        <w:gridCol w:w="35"/>
        <w:gridCol w:w="89"/>
        <w:gridCol w:w="401"/>
        <w:gridCol w:w="35"/>
        <w:gridCol w:w="37"/>
        <w:gridCol w:w="35"/>
        <w:gridCol w:w="35"/>
        <w:gridCol w:w="90"/>
        <w:gridCol w:w="332"/>
        <w:gridCol w:w="35"/>
        <w:gridCol w:w="37"/>
        <w:gridCol w:w="35"/>
        <w:gridCol w:w="35"/>
        <w:gridCol w:w="103"/>
        <w:gridCol w:w="395"/>
        <w:gridCol w:w="36"/>
        <w:gridCol w:w="37"/>
        <w:gridCol w:w="35"/>
        <w:gridCol w:w="35"/>
        <w:gridCol w:w="93"/>
        <w:gridCol w:w="692"/>
        <w:gridCol w:w="35"/>
        <w:gridCol w:w="37"/>
        <w:gridCol w:w="35"/>
        <w:gridCol w:w="35"/>
        <w:gridCol w:w="90"/>
        <w:gridCol w:w="832"/>
        <w:gridCol w:w="35"/>
        <w:gridCol w:w="37"/>
        <w:gridCol w:w="35"/>
        <w:gridCol w:w="35"/>
        <w:gridCol w:w="90"/>
        <w:gridCol w:w="739"/>
        <w:gridCol w:w="35"/>
        <w:gridCol w:w="37"/>
        <w:gridCol w:w="35"/>
        <w:gridCol w:w="35"/>
        <w:gridCol w:w="129"/>
        <w:gridCol w:w="836"/>
        <w:gridCol w:w="35"/>
        <w:gridCol w:w="37"/>
        <w:gridCol w:w="35"/>
        <w:gridCol w:w="35"/>
        <w:gridCol w:w="97"/>
        <w:gridCol w:w="718"/>
        <w:gridCol w:w="35"/>
      </w:tblGrid>
      <w:tr w:rsidR="00AE727E" w14:paraId="07DCDF0D" w14:textId="77777777">
        <w:tc>
          <w:tcPr>
            <w:tcW w:w="50" w:type="pct"/>
            <w:shd w:val="clear" w:color="auto" w:fill="auto"/>
            <w:vAlign w:val="bottom"/>
          </w:tcPr>
          <w:p w14:paraId="07DCDED7" w14:textId="77777777" w:rsidR="00AE727E" w:rsidRDefault="00AE727E">
            <w:pPr>
              <w:rPr>
                <w:rFonts w:ascii="宋体"/>
              </w:rPr>
            </w:pPr>
          </w:p>
        </w:tc>
        <w:tc>
          <w:tcPr>
            <w:tcW w:w="1189" w:type="pct"/>
            <w:shd w:val="clear" w:color="auto" w:fill="auto"/>
            <w:vAlign w:val="bottom"/>
          </w:tcPr>
          <w:p w14:paraId="07DCDED8" w14:textId="77777777" w:rsidR="00AE727E" w:rsidRDefault="00AE727E">
            <w:pPr>
              <w:rPr>
                <w:rFonts w:ascii="宋体"/>
              </w:rPr>
            </w:pPr>
          </w:p>
        </w:tc>
        <w:tc>
          <w:tcPr>
            <w:tcW w:w="5" w:type="pct"/>
            <w:shd w:val="clear" w:color="auto" w:fill="auto"/>
            <w:vAlign w:val="bottom"/>
          </w:tcPr>
          <w:p w14:paraId="07DCDED9" w14:textId="77777777" w:rsidR="00AE727E" w:rsidRDefault="00AE727E">
            <w:pPr>
              <w:rPr>
                <w:rFonts w:ascii="宋体"/>
              </w:rPr>
            </w:pPr>
          </w:p>
        </w:tc>
        <w:tc>
          <w:tcPr>
            <w:tcW w:w="50" w:type="pct"/>
            <w:shd w:val="clear" w:color="auto" w:fill="auto"/>
            <w:vAlign w:val="bottom"/>
          </w:tcPr>
          <w:p w14:paraId="07DCDEDA" w14:textId="77777777" w:rsidR="00AE727E" w:rsidRDefault="00AE727E">
            <w:pPr>
              <w:rPr>
                <w:rFonts w:ascii="宋体"/>
              </w:rPr>
            </w:pPr>
          </w:p>
        </w:tc>
        <w:tc>
          <w:tcPr>
            <w:tcW w:w="204" w:type="pct"/>
            <w:shd w:val="clear" w:color="auto" w:fill="auto"/>
            <w:vAlign w:val="bottom"/>
          </w:tcPr>
          <w:p w14:paraId="07DCDEDB" w14:textId="77777777" w:rsidR="00AE727E" w:rsidRDefault="00AE727E">
            <w:pPr>
              <w:rPr>
                <w:rFonts w:ascii="宋体"/>
              </w:rPr>
            </w:pPr>
          </w:p>
        </w:tc>
        <w:tc>
          <w:tcPr>
            <w:tcW w:w="5" w:type="pct"/>
            <w:shd w:val="clear" w:color="auto" w:fill="auto"/>
            <w:vAlign w:val="bottom"/>
          </w:tcPr>
          <w:p w14:paraId="07DCDEDC" w14:textId="77777777" w:rsidR="00AE727E" w:rsidRDefault="00AE727E">
            <w:pPr>
              <w:rPr>
                <w:rFonts w:ascii="宋体"/>
              </w:rPr>
            </w:pPr>
          </w:p>
        </w:tc>
        <w:tc>
          <w:tcPr>
            <w:tcW w:w="5" w:type="pct"/>
            <w:shd w:val="clear" w:color="auto" w:fill="auto"/>
            <w:vAlign w:val="bottom"/>
          </w:tcPr>
          <w:p w14:paraId="07DCDEDD" w14:textId="77777777" w:rsidR="00AE727E" w:rsidRDefault="00AE727E">
            <w:pPr>
              <w:rPr>
                <w:rFonts w:ascii="宋体"/>
              </w:rPr>
            </w:pPr>
          </w:p>
        </w:tc>
        <w:tc>
          <w:tcPr>
            <w:tcW w:w="17" w:type="pct"/>
            <w:shd w:val="clear" w:color="auto" w:fill="auto"/>
            <w:vAlign w:val="bottom"/>
          </w:tcPr>
          <w:p w14:paraId="07DCDEDE" w14:textId="77777777" w:rsidR="00AE727E" w:rsidRDefault="00AE727E">
            <w:pPr>
              <w:rPr>
                <w:rFonts w:ascii="宋体"/>
              </w:rPr>
            </w:pPr>
          </w:p>
        </w:tc>
        <w:tc>
          <w:tcPr>
            <w:tcW w:w="5" w:type="pct"/>
            <w:shd w:val="clear" w:color="auto" w:fill="auto"/>
            <w:vAlign w:val="bottom"/>
          </w:tcPr>
          <w:p w14:paraId="07DCDEDF" w14:textId="77777777" w:rsidR="00AE727E" w:rsidRDefault="00AE727E">
            <w:pPr>
              <w:rPr>
                <w:rFonts w:ascii="宋体"/>
              </w:rPr>
            </w:pPr>
          </w:p>
        </w:tc>
        <w:tc>
          <w:tcPr>
            <w:tcW w:w="50" w:type="pct"/>
            <w:shd w:val="clear" w:color="auto" w:fill="auto"/>
            <w:vAlign w:val="bottom"/>
          </w:tcPr>
          <w:p w14:paraId="07DCDEE0" w14:textId="77777777" w:rsidR="00AE727E" w:rsidRDefault="00AE727E">
            <w:pPr>
              <w:rPr>
                <w:rFonts w:ascii="宋体"/>
              </w:rPr>
            </w:pPr>
          </w:p>
        </w:tc>
        <w:tc>
          <w:tcPr>
            <w:tcW w:w="204" w:type="pct"/>
            <w:shd w:val="clear" w:color="auto" w:fill="auto"/>
            <w:vAlign w:val="bottom"/>
          </w:tcPr>
          <w:p w14:paraId="07DCDEE1" w14:textId="77777777" w:rsidR="00AE727E" w:rsidRDefault="00AE727E">
            <w:pPr>
              <w:rPr>
                <w:rFonts w:ascii="宋体"/>
              </w:rPr>
            </w:pPr>
          </w:p>
        </w:tc>
        <w:tc>
          <w:tcPr>
            <w:tcW w:w="5" w:type="pct"/>
            <w:shd w:val="clear" w:color="auto" w:fill="auto"/>
            <w:vAlign w:val="bottom"/>
          </w:tcPr>
          <w:p w14:paraId="07DCDEE2" w14:textId="77777777" w:rsidR="00AE727E" w:rsidRDefault="00AE727E">
            <w:pPr>
              <w:rPr>
                <w:rFonts w:ascii="宋体"/>
              </w:rPr>
            </w:pPr>
          </w:p>
        </w:tc>
        <w:tc>
          <w:tcPr>
            <w:tcW w:w="5" w:type="pct"/>
            <w:shd w:val="clear" w:color="auto" w:fill="auto"/>
            <w:vAlign w:val="bottom"/>
          </w:tcPr>
          <w:p w14:paraId="07DCDEE3" w14:textId="77777777" w:rsidR="00AE727E" w:rsidRDefault="00AE727E">
            <w:pPr>
              <w:rPr>
                <w:rFonts w:ascii="宋体"/>
              </w:rPr>
            </w:pPr>
          </w:p>
        </w:tc>
        <w:tc>
          <w:tcPr>
            <w:tcW w:w="27" w:type="pct"/>
            <w:shd w:val="clear" w:color="auto" w:fill="auto"/>
            <w:vAlign w:val="bottom"/>
          </w:tcPr>
          <w:p w14:paraId="07DCDEE4" w14:textId="77777777" w:rsidR="00AE727E" w:rsidRDefault="00AE727E">
            <w:pPr>
              <w:rPr>
                <w:rFonts w:ascii="宋体"/>
              </w:rPr>
            </w:pPr>
          </w:p>
        </w:tc>
        <w:tc>
          <w:tcPr>
            <w:tcW w:w="5" w:type="pct"/>
            <w:shd w:val="clear" w:color="auto" w:fill="auto"/>
            <w:vAlign w:val="bottom"/>
          </w:tcPr>
          <w:p w14:paraId="07DCDEE5" w14:textId="77777777" w:rsidR="00AE727E" w:rsidRDefault="00AE727E">
            <w:pPr>
              <w:rPr>
                <w:rFonts w:ascii="宋体"/>
              </w:rPr>
            </w:pPr>
          </w:p>
        </w:tc>
        <w:tc>
          <w:tcPr>
            <w:tcW w:w="50" w:type="pct"/>
            <w:shd w:val="clear" w:color="auto" w:fill="auto"/>
            <w:vAlign w:val="bottom"/>
          </w:tcPr>
          <w:p w14:paraId="07DCDEE6" w14:textId="77777777" w:rsidR="00AE727E" w:rsidRDefault="00AE727E">
            <w:pPr>
              <w:rPr>
                <w:rFonts w:ascii="宋体"/>
              </w:rPr>
            </w:pPr>
          </w:p>
        </w:tc>
        <w:tc>
          <w:tcPr>
            <w:tcW w:w="204" w:type="pct"/>
            <w:shd w:val="clear" w:color="auto" w:fill="auto"/>
            <w:vAlign w:val="bottom"/>
          </w:tcPr>
          <w:p w14:paraId="07DCDEE7" w14:textId="77777777" w:rsidR="00AE727E" w:rsidRDefault="00AE727E">
            <w:pPr>
              <w:rPr>
                <w:rFonts w:ascii="宋体"/>
              </w:rPr>
            </w:pPr>
          </w:p>
        </w:tc>
        <w:tc>
          <w:tcPr>
            <w:tcW w:w="5" w:type="pct"/>
            <w:shd w:val="clear" w:color="auto" w:fill="auto"/>
            <w:vAlign w:val="bottom"/>
          </w:tcPr>
          <w:p w14:paraId="07DCDEE8" w14:textId="77777777" w:rsidR="00AE727E" w:rsidRDefault="00AE727E">
            <w:pPr>
              <w:rPr>
                <w:rFonts w:ascii="宋体"/>
              </w:rPr>
            </w:pPr>
          </w:p>
        </w:tc>
        <w:tc>
          <w:tcPr>
            <w:tcW w:w="5" w:type="pct"/>
            <w:shd w:val="clear" w:color="auto" w:fill="auto"/>
            <w:vAlign w:val="bottom"/>
          </w:tcPr>
          <w:p w14:paraId="07DCDEE9" w14:textId="77777777" w:rsidR="00AE727E" w:rsidRDefault="00AE727E">
            <w:pPr>
              <w:rPr>
                <w:rFonts w:ascii="宋体"/>
              </w:rPr>
            </w:pPr>
          </w:p>
        </w:tc>
        <w:tc>
          <w:tcPr>
            <w:tcW w:w="17" w:type="pct"/>
            <w:shd w:val="clear" w:color="auto" w:fill="auto"/>
            <w:vAlign w:val="bottom"/>
          </w:tcPr>
          <w:p w14:paraId="07DCDEEA" w14:textId="77777777" w:rsidR="00AE727E" w:rsidRDefault="00AE727E">
            <w:pPr>
              <w:rPr>
                <w:rFonts w:ascii="宋体"/>
              </w:rPr>
            </w:pPr>
          </w:p>
        </w:tc>
        <w:tc>
          <w:tcPr>
            <w:tcW w:w="5" w:type="pct"/>
            <w:shd w:val="clear" w:color="auto" w:fill="auto"/>
            <w:vAlign w:val="bottom"/>
          </w:tcPr>
          <w:p w14:paraId="07DCDEEB" w14:textId="77777777" w:rsidR="00AE727E" w:rsidRDefault="00AE727E">
            <w:pPr>
              <w:rPr>
                <w:rFonts w:ascii="宋体"/>
              </w:rPr>
            </w:pPr>
          </w:p>
        </w:tc>
        <w:tc>
          <w:tcPr>
            <w:tcW w:w="50" w:type="pct"/>
            <w:shd w:val="clear" w:color="auto" w:fill="auto"/>
            <w:vAlign w:val="bottom"/>
          </w:tcPr>
          <w:p w14:paraId="07DCDEEC" w14:textId="77777777" w:rsidR="00AE727E" w:rsidRDefault="00AE727E">
            <w:pPr>
              <w:rPr>
                <w:rFonts w:ascii="宋体"/>
              </w:rPr>
            </w:pPr>
          </w:p>
        </w:tc>
        <w:tc>
          <w:tcPr>
            <w:tcW w:w="204" w:type="pct"/>
            <w:shd w:val="clear" w:color="auto" w:fill="auto"/>
            <w:vAlign w:val="bottom"/>
          </w:tcPr>
          <w:p w14:paraId="07DCDEED" w14:textId="77777777" w:rsidR="00AE727E" w:rsidRDefault="00AE727E">
            <w:pPr>
              <w:rPr>
                <w:rFonts w:ascii="宋体"/>
              </w:rPr>
            </w:pPr>
          </w:p>
        </w:tc>
        <w:tc>
          <w:tcPr>
            <w:tcW w:w="5" w:type="pct"/>
            <w:shd w:val="clear" w:color="auto" w:fill="auto"/>
            <w:vAlign w:val="bottom"/>
          </w:tcPr>
          <w:p w14:paraId="07DCDEEE" w14:textId="77777777" w:rsidR="00AE727E" w:rsidRDefault="00AE727E">
            <w:pPr>
              <w:rPr>
                <w:rFonts w:ascii="宋体"/>
              </w:rPr>
            </w:pPr>
          </w:p>
        </w:tc>
        <w:tc>
          <w:tcPr>
            <w:tcW w:w="5" w:type="pct"/>
            <w:shd w:val="clear" w:color="auto" w:fill="auto"/>
            <w:vAlign w:val="bottom"/>
          </w:tcPr>
          <w:p w14:paraId="07DCDEEF" w14:textId="77777777" w:rsidR="00AE727E" w:rsidRDefault="00AE727E">
            <w:pPr>
              <w:rPr>
                <w:rFonts w:ascii="宋体"/>
              </w:rPr>
            </w:pPr>
          </w:p>
        </w:tc>
        <w:tc>
          <w:tcPr>
            <w:tcW w:w="17" w:type="pct"/>
            <w:shd w:val="clear" w:color="auto" w:fill="auto"/>
            <w:vAlign w:val="bottom"/>
          </w:tcPr>
          <w:p w14:paraId="07DCDEF0" w14:textId="77777777" w:rsidR="00AE727E" w:rsidRDefault="00AE727E">
            <w:pPr>
              <w:rPr>
                <w:rFonts w:ascii="宋体"/>
              </w:rPr>
            </w:pPr>
          </w:p>
        </w:tc>
        <w:tc>
          <w:tcPr>
            <w:tcW w:w="5" w:type="pct"/>
            <w:shd w:val="clear" w:color="auto" w:fill="auto"/>
            <w:vAlign w:val="bottom"/>
          </w:tcPr>
          <w:p w14:paraId="07DCDEF1" w14:textId="77777777" w:rsidR="00AE727E" w:rsidRDefault="00AE727E">
            <w:pPr>
              <w:rPr>
                <w:rFonts w:ascii="宋体"/>
              </w:rPr>
            </w:pPr>
          </w:p>
        </w:tc>
        <w:tc>
          <w:tcPr>
            <w:tcW w:w="50" w:type="pct"/>
            <w:shd w:val="clear" w:color="auto" w:fill="auto"/>
            <w:vAlign w:val="bottom"/>
          </w:tcPr>
          <w:p w14:paraId="07DCDEF2" w14:textId="77777777" w:rsidR="00AE727E" w:rsidRDefault="00AE727E">
            <w:pPr>
              <w:rPr>
                <w:rFonts w:ascii="宋体"/>
              </w:rPr>
            </w:pPr>
          </w:p>
        </w:tc>
        <w:tc>
          <w:tcPr>
            <w:tcW w:w="404" w:type="pct"/>
            <w:shd w:val="clear" w:color="auto" w:fill="auto"/>
            <w:vAlign w:val="bottom"/>
          </w:tcPr>
          <w:p w14:paraId="07DCDEF3" w14:textId="77777777" w:rsidR="00AE727E" w:rsidRDefault="00AE727E">
            <w:pPr>
              <w:rPr>
                <w:rFonts w:ascii="宋体"/>
              </w:rPr>
            </w:pPr>
          </w:p>
        </w:tc>
        <w:tc>
          <w:tcPr>
            <w:tcW w:w="5" w:type="pct"/>
            <w:shd w:val="clear" w:color="auto" w:fill="auto"/>
            <w:vAlign w:val="bottom"/>
          </w:tcPr>
          <w:p w14:paraId="07DCDEF4" w14:textId="77777777" w:rsidR="00AE727E" w:rsidRDefault="00AE727E">
            <w:pPr>
              <w:rPr>
                <w:rFonts w:ascii="宋体"/>
              </w:rPr>
            </w:pPr>
          </w:p>
        </w:tc>
        <w:tc>
          <w:tcPr>
            <w:tcW w:w="5" w:type="pct"/>
            <w:shd w:val="clear" w:color="auto" w:fill="auto"/>
            <w:vAlign w:val="bottom"/>
          </w:tcPr>
          <w:p w14:paraId="07DCDEF5" w14:textId="77777777" w:rsidR="00AE727E" w:rsidRDefault="00AE727E">
            <w:pPr>
              <w:rPr>
                <w:rFonts w:ascii="宋体"/>
              </w:rPr>
            </w:pPr>
          </w:p>
        </w:tc>
        <w:tc>
          <w:tcPr>
            <w:tcW w:w="17" w:type="pct"/>
            <w:shd w:val="clear" w:color="auto" w:fill="auto"/>
            <w:vAlign w:val="bottom"/>
          </w:tcPr>
          <w:p w14:paraId="07DCDEF6" w14:textId="77777777" w:rsidR="00AE727E" w:rsidRDefault="00AE727E">
            <w:pPr>
              <w:rPr>
                <w:rFonts w:ascii="宋体"/>
              </w:rPr>
            </w:pPr>
          </w:p>
        </w:tc>
        <w:tc>
          <w:tcPr>
            <w:tcW w:w="5" w:type="pct"/>
            <w:shd w:val="clear" w:color="auto" w:fill="auto"/>
            <w:vAlign w:val="bottom"/>
          </w:tcPr>
          <w:p w14:paraId="07DCDEF7" w14:textId="77777777" w:rsidR="00AE727E" w:rsidRDefault="00AE727E">
            <w:pPr>
              <w:rPr>
                <w:rFonts w:ascii="宋体"/>
              </w:rPr>
            </w:pPr>
          </w:p>
        </w:tc>
        <w:tc>
          <w:tcPr>
            <w:tcW w:w="50" w:type="pct"/>
            <w:shd w:val="clear" w:color="auto" w:fill="auto"/>
            <w:vAlign w:val="bottom"/>
          </w:tcPr>
          <w:p w14:paraId="07DCDEF8" w14:textId="77777777" w:rsidR="00AE727E" w:rsidRDefault="00AE727E">
            <w:pPr>
              <w:rPr>
                <w:rFonts w:ascii="宋体"/>
              </w:rPr>
            </w:pPr>
          </w:p>
        </w:tc>
        <w:tc>
          <w:tcPr>
            <w:tcW w:w="524" w:type="pct"/>
            <w:shd w:val="clear" w:color="auto" w:fill="auto"/>
            <w:vAlign w:val="bottom"/>
          </w:tcPr>
          <w:p w14:paraId="07DCDEF9" w14:textId="77777777" w:rsidR="00AE727E" w:rsidRDefault="00AE727E">
            <w:pPr>
              <w:rPr>
                <w:rFonts w:ascii="宋体"/>
              </w:rPr>
            </w:pPr>
          </w:p>
        </w:tc>
        <w:tc>
          <w:tcPr>
            <w:tcW w:w="5" w:type="pct"/>
            <w:shd w:val="clear" w:color="auto" w:fill="auto"/>
            <w:vAlign w:val="bottom"/>
          </w:tcPr>
          <w:p w14:paraId="07DCDEFA" w14:textId="77777777" w:rsidR="00AE727E" w:rsidRDefault="00AE727E">
            <w:pPr>
              <w:rPr>
                <w:rFonts w:ascii="宋体"/>
              </w:rPr>
            </w:pPr>
          </w:p>
        </w:tc>
        <w:tc>
          <w:tcPr>
            <w:tcW w:w="5" w:type="pct"/>
            <w:shd w:val="clear" w:color="auto" w:fill="auto"/>
            <w:vAlign w:val="bottom"/>
          </w:tcPr>
          <w:p w14:paraId="07DCDEFB" w14:textId="77777777" w:rsidR="00AE727E" w:rsidRDefault="00AE727E">
            <w:pPr>
              <w:rPr>
                <w:rFonts w:ascii="宋体"/>
              </w:rPr>
            </w:pPr>
          </w:p>
        </w:tc>
        <w:tc>
          <w:tcPr>
            <w:tcW w:w="17" w:type="pct"/>
            <w:shd w:val="clear" w:color="auto" w:fill="auto"/>
            <w:vAlign w:val="bottom"/>
          </w:tcPr>
          <w:p w14:paraId="07DCDEFC" w14:textId="77777777" w:rsidR="00AE727E" w:rsidRDefault="00AE727E">
            <w:pPr>
              <w:rPr>
                <w:rFonts w:ascii="宋体"/>
              </w:rPr>
            </w:pPr>
          </w:p>
        </w:tc>
        <w:tc>
          <w:tcPr>
            <w:tcW w:w="5" w:type="pct"/>
            <w:shd w:val="clear" w:color="auto" w:fill="auto"/>
            <w:vAlign w:val="bottom"/>
          </w:tcPr>
          <w:p w14:paraId="07DCDEFD" w14:textId="77777777" w:rsidR="00AE727E" w:rsidRDefault="00AE727E">
            <w:pPr>
              <w:rPr>
                <w:rFonts w:ascii="宋体"/>
              </w:rPr>
            </w:pPr>
          </w:p>
        </w:tc>
        <w:tc>
          <w:tcPr>
            <w:tcW w:w="50" w:type="pct"/>
            <w:shd w:val="clear" w:color="auto" w:fill="auto"/>
            <w:vAlign w:val="bottom"/>
          </w:tcPr>
          <w:p w14:paraId="07DCDEFE" w14:textId="77777777" w:rsidR="00AE727E" w:rsidRDefault="00AE727E">
            <w:pPr>
              <w:rPr>
                <w:rFonts w:ascii="宋体"/>
              </w:rPr>
            </w:pPr>
          </w:p>
        </w:tc>
        <w:tc>
          <w:tcPr>
            <w:tcW w:w="524" w:type="pct"/>
            <w:shd w:val="clear" w:color="auto" w:fill="auto"/>
            <w:vAlign w:val="bottom"/>
          </w:tcPr>
          <w:p w14:paraId="07DCDEFF" w14:textId="77777777" w:rsidR="00AE727E" w:rsidRDefault="00AE727E">
            <w:pPr>
              <w:rPr>
                <w:rFonts w:ascii="宋体"/>
              </w:rPr>
            </w:pPr>
          </w:p>
        </w:tc>
        <w:tc>
          <w:tcPr>
            <w:tcW w:w="5" w:type="pct"/>
            <w:shd w:val="clear" w:color="auto" w:fill="auto"/>
            <w:vAlign w:val="bottom"/>
          </w:tcPr>
          <w:p w14:paraId="07DCDF00" w14:textId="77777777" w:rsidR="00AE727E" w:rsidRDefault="00AE727E">
            <w:pPr>
              <w:rPr>
                <w:rFonts w:ascii="宋体"/>
              </w:rPr>
            </w:pPr>
          </w:p>
        </w:tc>
        <w:tc>
          <w:tcPr>
            <w:tcW w:w="5" w:type="pct"/>
            <w:shd w:val="clear" w:color="auto" w:fill="auto"/>
            <w:vAlign w:val="bottom"/>
          </w:tcPr>
          <w:p w14:paraId="07DCDF01" w14:textId="77777777" w:rsidR="00AE727E" w:rsidRDefault="00AE727E">
            <w:pPr>
              <w:rPr>
                <w:rFonts w:ascii="宋体"/>
              </w:rPr>
            </w:pPr>
          </w:p>
        </w:tc>
        <w:tc>
          <w:tcPr>
            <w:tcW w:w="38" w:type="pct"/>
            <w:shd w:val="clear" w:color="auto" w:fill="auto"/>
            <w:vAlign w:val="bottom"/>
          </w:tcPr>
          <w:p w14:paraId="07DCDF02" w14:textId="77777777" w:rsidR="00AE727E" w:rsidRDefault="00AE727E">
            <w:pPr>
              <w:rPr>
                <w:rFonts w:ascii="宋体"/>
              </w:rPr>
            </w:pPr>
          </w:p>
        </w:tc>
        <w:tc>
          <w:tcPr>
            <w:tcW w:w="5" w:type="pct"/>
            <w:shd w:val="clear" w:color="auto" w:fill="auto"/>
            <w:vAlign w:val="bottom"/>
          </w:tcPr>
          <w:p w14:paraId="07DCDF03" w14:textId="77777777" w:rsidR="00AE727E" w:rsidRDefault="00AE727E">
            <w:pPr>
              <w:rPr>
                <w:rFonts w:ascii="宋体"/>
              </w:rPr>
            </w:pPr>
          </w:p>
        </w:tc>
        <w:tc>
          <w:tcPr>
            <w:tcW w:w="50" w:type="pct"/>
            <w:shd w:val="clear" w:color="auto" w:fill="auto"/>
            <w:vAlign w:val="bottom"/>
          </w:tcPr>
          <w:p w14:paraId="07DCDF04" w14:textId="77777777" w:rsidR="00AE727E" w:rsidRDefault="00AE727E">
            <w:pPr>
              <w:rPr>
                <w:rFonts w:ascii="宋体"/>
              </w:rPr>
            </w:pPr>
          </w:p>
        </w:tc>
        <w:tc>
          <w:tcPr>
            <w:tcW w:w="340" w:type="pct"/>
            <w:shd w:val="clear" w:color="auto" w:fill="auto"/>
            <w:vAlign w:val="bottom"/>
          </w:tcPr>
          <w:p w14:paraId="07DCDF05" w14:textId="77777777" w:rsidR="00AE727E" w:rsidRDefault="00AE727E">
            <w:pPr>
              <w:rPr>
                <w:rFonts w:ascii="宋体"/>
              </w:rPr>
            </w:pPr>
          </w:p>
        </w:tc>
        <w:tc>
          <w:tcPr>
            <w:tcW w:w="5" w:type="pct"/>
            <w:shd w:val="clear" w:color="auto" w:fill="auto"/>
            <w:vAlign w:val="bottom"/>
          </w:tcPr>
          <w:p w14:paraId="07DCDF06" w14:textId="77777777" w:rsidR="00AE727E" w:rsidRDefault="00AE727E">
            <w:pPr>
              <w:rPr>
                <w:rFonts w:ascii="宋体"/>
              </w:rPr>
            </w:pPr>
          </w:p>
        </w:tc>
        <w:tc>
          <w:tcPr>
            <w:tcW w:w="5" w:type="pct"/>
            <w:shd w:val="clear" w:color="auto" w:fill="auto"/>
            <w:vAlign w:val="bottom"/>
          </w:tcPr>
          <w:p w14:paraId="07DCDF07" w14:textId="77777777" w:rsidR="00AE727E" w:rsidRDefault="00AE727E">
            <w:pPr>
              <w:rPr>
                <w:rFonts w:ascii="宋体"/>
              </w:rPr>
            </w:pPr>
          </w:p>
        </w:tc>
        <w:tc>
          <w:tcPr>
            <w:tcW w:w="17" w:type="pct"/>
            <w:shd w:val="clear" w:color="auto" w:fill="auto"/>
            <w:vAlign w:val="bottom"/>
          </w:tcPr>
          <w:p w14:paraId="07DCDF08" w14:textId="77777777" w:rsidR="00AE727E" w:rsidRDefault="00AE727E">
            <w:pPr>
              <w:rPr>
                <w:rFonts w:ascii="宋体"/>
              </w:rPr>
            </w:pPr>
          </w:p>
        </w:tc>
        <w:tc>
          <w:tcPr>
            <w:tcW w:w="5" w:type="pct"/>
            <w:shd w:val="clear" w:color="auto" w:fill="auto"/>
            <w:vAlign w:val="bottom"/>
          </w:tcPr>
          <w:p w14:paraId="07DCDF09" w14:textId="77777777" w:rsidR="00AE727E" w:rsidRDefault="00AE727E">
            <w:pPr>
              <w:rPr>
                <w:rFonts w:ascii="宋体"/>
              </w:rPr>
            </w:pPr>
          </w:p>
        </w:tc>
        <w:tc>
          <w:tcPr>
            <w:tcW w:w="50" w:type="pct"/>
            <w:shd w:val="clear" w:color="auto" w:fill="auto"/>
            <w:vAlign w:val="bottom"/>
          </w:tcPr>
          <w:p w14:paraId="07DCDF0A" w14:textId="77777777" w:rsidR="00AE727E" w:rsidRDefault="00AE727E">
            <w:pPr>
              <w:rPr>
                <w:rFonts w:ascii="宋体"/>
              </w:rPr>
            </w:pPr>
          </w:p>
        </w:tc>
        <w:tc>
          <w:tcPr>
            <w:tcW w:w="399" w:type="pct"/>
            <w:shd w:val="clear" w:color="auto" w:fill="auto"/>
            <w:vAlign w:val="bottom"/>
          </w:tcPr>
          <w:p w14:paraId="07DCDF0B" w14:textId="77777777" w:rsidR="00AE727E" w:rsidRDefault="00AE727E">
            <w:pPr>
              <w:rPr>
                <w:rFonts w:ascii="宋体"/>
              </w:rPr>
            </w:pPr>
          </w:p>
        </w:tc>
        <w:tc>
          <w:tcPr>
            <w:tcW w:w="5" w:type="pct"/>
            <w:shd w:val="clear" w:color="auto" w:fill="auto"/>
            <w:vAlign w:val="bottom"/>
          </w:tcPr>
          <w:p w14:paraId="07DCDF0C" w14:textId="77777777" w:rsidR="00AE727E" w:rsidRDefault="00AE727E">
            <w:pPr>
              <w:rPr>
                <w:rFonts w:ascii="宋体"/>
              </w:rPr>
            </w:pPr>
          </w:p>
        </w:tc>
      </w:tr>
      <w:tr w:rsidR="00AE727E" w14:paraId="07DCDF1C" w14:textId="77777777">
        <w:tc>
          <w:tcPr>
            <w:tcW w:w="0" w:type="auto"/>
            <w:gridSpan w:val="3"/>
            <w:shd w:val="clear" w:color="auto" w:fill="auto"/>
            <w:tcMar>
              <w:top w:w="0" w:type="dxa"/>
              <w:left w:w="20" w:type="dxa"/>
              <w:bottom w:w="0" w:type="dxa"/>
              <w:right w:w="20" w:type="dxa"/>
            </w:tcMar>
            <w:vAlign w:val="bottom"/>
          </w:tcPr>
          <w:p w14:paraId="07DCDF0E"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F0F" w14:textId="77777777" w:rsidR="00AE727E" w:rsidRDefault="008433E0">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DCDF1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DF11" w14:textId="77777777" w:rsidR="00AE727E" w:rsidRDefault="008433E0">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DCDF1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6"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9"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DF1B" w14:textId="77777777" w:rsidR="00AE727E" w:rsidRDefault="00AE727E">
            <w:pPr>
              <w:rPr>
                <w:rFonts w:ascii="宋体"/>
              </w:rPr>
            </w:pPr>
          </w:p>
        </w:tc>
      </w:tr>
      <w:tr w:rsidR="00AE727E" w14:paraId="07DCDF2F" w14:textId="77777777">
        <w:tc>
          <w:tcPr>
            <w:tcW w:w="0" w:type="auto"/>
            <w:gridSpan w:val="3"/>
            <w:shd w:val="clear" w:color="auto" w:fill="auto"/>
            <w:tcMar>
              <w:top w:w="40" w:type="dxa"/>
              <w:left w:w="20" w:type="dxa"/>
              <w:bottom w:w="40" w:type="dxa"/>
              <w:right w:w="20" w:type="dxa"/>
            </w:tcMar>
          </w:tcPr>
          <w:p w14:paraId="07DCDF1D" w14:textId="77777777" w:rsidR="00AE727E" w:rsidRDefault="008433E0">
            <w:pPr>
              <w:textAlignment w:val="top"/>
            </w:pPr>
            <w:r>
              <w:rPr>
                <w:rFonts w:ascii="Times New Roman" w:eastAsia="宋体" w:hAnsi="Times New Roman"/>
                <w:b/>
                <w:bCs/>
                <w:color w:val="000000"/>
                <w:sz w:val="16"/>
                <w:szCs w:val="16"/>
              </w:rPr>
              <w:t>Nine Months Ended October 30,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F1E" w14:textId="77777777" w:rsidR="00AE727E" w:rsidRDefault="008433E0">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F1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F20"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F21"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F22" w14:textId="77777777" w:rsidR="00AE727E" w:rsidRDefault="008433E0">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DF2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DF24" w14:textId="77777777" w:rsidR="00AE727E" w:rsidRDefault="008433E0">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DCDF2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F26" w14:textId="77777777" w:rsidR="00AE727E" w:rsidRDefault="008433E0">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DCDF2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F28" w14:textId="77777777" w:rsidR="00AE727E" w:rsidRDefault="008433E0">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DCDF2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F2A" w14:textId="77777777" w:rsidR="00AE727E" w:rsidRDefault="008433E0">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DCDF2B"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F2C" w14:textId="77777777" w:rsidR="00AE727E" w:rsidRDefault="008433E0">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DCDF2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DF2E" w14:textId="77777777" w:rsidR="00AE727E" w:rsidRDefault="008433E0">
            <w:pPr>
              <w:jc w:val="center"/>
              <w:textAlignment w:val="bottom"/>
            </w:pPr>
            <w:r>
              <w:rPr>
                <w:rFonts w:ascii="Times New Roman" w:eastAsia="宋体" w:hAnsi="Times New Roman"/>
                <w:b/>
                <w:bCs/>
                <w:color w:val="000000"/>
                <w:sz w:val="16"/>
                <w:szCs w:val="16"/>
              </w:rPr>
              <w:t>Total Stockholders’ Equity (Deficit)</w:t>
            </w:r>
          </w:p>
        </w:tc>
      </w:tr>
      <w:tr w:rsidR="008433E0" w14:paraId="07DCDF53" w14:textId="77777777">
        <w:tc>
          <w:tcPr>
            <w:tcW w:w="0" w:type="auto"/>
            <w:gridSpan w:val="3"/>
            <w:shd w:val="clear" w:color="auto" w:fill="CCEEFF"/>
            <w:tcMar>
              <w:top w:w="40" w:type="dxa"/>
              <w:left w:w="20" w:type="dxa"/>
              <w:bottom w:w="40" w:type="dxa"/>
              <w:right w:w="20" w:type="dxa"/>
            </w:tcMar>
            <w:vAlign w:val="bottom"/>
          </w:tcPr>
          <w:p w14:paraId="07DCDF30" w14:textId="77777777" w:rsidR="00AE727E" w:rsidRDefault="008433E0">
            <w:pPr>
              <w:textAlignment w:val="bottom"/>
            </w:pPr>
            <w:r>
              <w:rPr>
                <w:rFonts w:ascii="Times New Roman" w:eastAsia="宋体" w:hAnsi="Times New Roman"/>
                <w:b/>
                <w:bCs/>
                <w:color w:val="000000"/>
                <w:sz w:val="16"/>
                <w:szCs w:val="16"/>
              </w:rPr>
              <w:t>Balances as of Januar</w:t>
            </w:r>
            <w:r>
              <w:rPr>
                <w:rFonts w:ascii="Times New Roman" w:eastAsia="宋体" w:hAnsi="Times New Roman"/>
                <w:b/>
                <w:bCs/>
                <w:color w:val="000000"/>
                <w:sz w:val="16"/>
                <w:szCs w:val="16"/>
              </w:rPr>
              <w:t>y 31,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DF31" w14:textId="77777777" w:rsidR="00AE727E" w:rsidRDefault="008433E0">
            <w:pPr>
              <w:jc w:val="right"/>
              <w:textAlignment w:val="bottom"/>
            </w:pPr>
            <w:r>
              <w:rPr>
                <w:rFonts w:ascii="Times New Roman" w:eastAsia="宋体" w:hAnsi="Times New Roman"/>
                <w:color w:val="000000"/>
                <w:sz w:val="16"/>
                <w:szCs w:val="16"/>
              </w:rPr>
              <w:t>745 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3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33"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3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35" w14:textId="77777777" w:rsidR="00AE727E" w:rsidRDefault="008433E0">
            <w:pPr>
              <w:jc w:val="right"/>
              <w:textAlignment w:val="bottom"/>
            </w:pPr>
            <w:r>
              <w:rPr>
                <w:rFonts w:ascii="Times New Roman" w:eastAsia="宋体" w:hAnsi="Times New Roman"/>
                <w:color w:val="000000"/>
                <w:sz w:val="16"/>
                <w:szCs w:val="16"/>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3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37"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38"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39" w14:textId="77777777" w:rsidR="00AE727E" w:rsidRDefault="008433E0">
            <w:pPr>
              <w:jc w:val="right"/>
              <w:textAlignment w:val="bottom"/>
            </w:pPr>
            <w:r>
              <w:rPr>
                <w:rFonts w:ascii="Times New Roman" w:eastAsia="宋体" w:hAnsi="Times New Roman"/>
                <w:color w:val="000000"/>
                <w:sz w:val="16"/>
                <w:szCs w:val="16"/>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3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3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3C"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3D" w14:textId="77777777" w:rsidR="00AE727E" w:rsidRDefault="008433E0">
            <w:pPr>
              <w:jc w:val="right"/>
              <w:textAlignment w:val="bottom"/>
            </w:pPr>
            <w:r>
              <w:rPr>
                <w:rFonts w:ascii="Times New Roman" w:eastAsia="宋体" w:hAnsi="Times New Roman"/>
                <w:color w:val="000000"/>
                <w:sz w:val="16"/>
                <w:szCs w:val="16"/>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3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3F"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40"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41" w14:textId="77777777" w:rsidR="00AE727E" w:rsidRDefault="008433E0">
            <w:pPr>
              <w:jc w:val="right"/>
              <w:textAlignment w:val="bottom"/>
            </w:pPr>
            <w:r>
              <w:rPr>
                <w:rFonts w:ascii="Times New Roman" w:eastAsia="宋体" w:hAnsi="Times New Roman"/>
                <w:color w:val="000000"/>
                <w:sz w:val="16"/>
                <w:szCs w:val="16"/>
              </w:rPr>
              <w:t>(16,891)</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43"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44"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45" w14:textId="77777777" w:rsidR="00AE727E" w:rsidRDefault="008433E0">
            <w:pPr>
              <w:jc w:val="right"/>
              <w:textAlignment w:val="bottom"/>
            </w:pPr>
            <w:r>
              <w:rPr>
                <w:rFonts w:ascii="Times New Roman" w:eastAsia="宋体" w:hAnsi="Times New Roman"/>
                <w:color w:val="000000"/>
                <w:sz w:val="16"/>
                <w:szCs w:val="16"/>
              </w:rPr>
              <w:t>(709)</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4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47"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48"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49" w14:textId="77777777" w:rsidR="00AE727E" w:rsidRDefault="008433E0">
            <w:pPr>
              <w:jc w:val="right"/>
              <w:textAlignment w:val="bottom"/>
            </w:pPr>
            <w:r>
              <w:rPr>
                <w:rFonts w:ascii="Times New Roman" w:eastAsia="宋体" w:hAnsi="Times New Roman"/>
                <w:color w:val="000000"/>
                <w:sz w:val="16"/>
                <w:szCs w:val="16"/>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4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4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4C"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4D" w14:textId="77777777" w:rsidR="00AE727E" w:rsidRDefault="008433E0">
            <w:pPr>
              <w:jc w:val="right"/>
              <w:textAlignment w:val="bottom"/>
            </w:pPr>
            <w:r>
              <w:rPr>
                <w:rFonts w:ascii="Times New Roman" w:eastAsia="宋体" w:hAnsi="Times New Roman"/>
                <w:color w:val="000000"/>
                <w:sz w:val="16"/>
                <w:szCs w:val="16"/>
              </w:rPr>
              <w:t>4,729 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4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4F"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DF50"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DF51" w14:textId="77777777" w:rsidR="00AE727E" w:rsidRDefault="008433E0">
            <w:pPr>
              <w:jc w:val="right"/>
              <w:textAlignment w:val="bottom"/>
            </w:pPr>
            <w:r>
              <w:rPr>
                <w:rFonts w:ascii="Times New Roman" w:eastAsia="宋体" w:hAnsi="Times New Roman"/>
                <w:color w:val="000000"/>
                <w:sz w:val="16"/>
                <w:szCs w:val="16"/>
              </w:rPr>
              <w:t>3,155 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DF52" w14:textId="77777777" w:rsidR="00AE727E" w:rsidRDefault="00AE727E">
            <w:pPr>
              <w:jc w:val="right"/>
              <w:rPr>
                <w:rFonts w:ascii="宋体"/>
              </w:rPr>
            </w:pPr>
          </w:p>
        </w:tc>
      </w:tr>
      <w:tr w:rsidR="00AE727E" w14:paraId="07DCDF6F" w14:textId="77777777">
        <w:tc>
          <w:tcPr>
            <w:tcW w:w="0" w:type="auto"/>
            <w:gridSpan w:val="3"/>
            <w:shd w:val="clear" w:color="auto" w:fill="FFFFFF"/>
            <w:tcMar>
              <w:top w:w="40" w:type="dxa"/>
              <w:left w:w="155" w:type="dxa"/>
              <w:bottom w:w="40" w:type="dxa"/>
              <w:right w:w="20" w:type="dxa"/>
            </w:tcMar>
            <w:vAlign w:val="bottom"/>
          </w:tcPr>
          <w:p w14:paraId="07DCDF54" w14:textId="77777777" w:rsidR="00AE727E" w:rsidRDefault="008433E0">
            <w:pPr>
              <w:textAlignment w:val="bottom"/>
            </w:pPr>
            <w:r>
              <w:rPr>
                <w:rFonts w:ascii="Times New Roman" w:eastAsia="宋体" w:hAnsi="Times New Roman"/>
                <w:color w:val="000000"/>
                <w:sz w:val="16"/>
                <w:szCs w:val="16"/>
              </w:rPr>
              <w:t xml:space="preserve">Adjustment for adoption of accounting standards </w:t>
            </w:r>
          </w:p>
        </w:tc>
        <w:tc>
          <w:tcPr>
            <w:tcW w:w="0" w:type="auto"/>
            <w:gridSpan w:val="2"/>
            <w:shd w:val="clear" w:color="auto" w:fill="FFFFFF"/>
            <w:tcMar>
              <w:top w:w="40" w:type="dxa"/>
              <w:left w:w="20" w:type="dxa"/>
              <w:bottom w:w="40" w:type="dxa"/>
              <w:right w:w="0" w:type="dxa"/>
            </w:tcMar>
            <w:vAlign w:val="bottom"/>
          </w:tcPr>
          <w:p w14:paraId="07DCDF5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5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5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5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5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5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5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5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5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5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5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6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61" w14:textId="77777777" w:rsidR="00AE727E" w:rsidRDefault="008433E0">
            <w:pPr>
              <w:jc w:val="right"/>
              <w:textAlignment w:val="bottom"/>
            </w:pPr>
            <w:r>
              <w:rPr>
                <w:rFonts w:ascii="Times New Roman" w:eastAsia="宋体" w:hAnsi="Times New Roman"/>
                <w:color w:val="000000"/>
                <w:sz w:val="16"/>
                <w:szCs w:val="16"/>
              </w:rPr>
              <w:t>(110)</w:t>
            </w:r>
          </w:p>
        </w:tc>
        <w:tc>
          <w:tcPr>
            <w:tcW w:w="0" w:type="auto"/>
            <w:shd w:val="clear" w:color="auto" w:fill="FFFFFF"/>
            <w:tcMar>
              <w:top w:w="40" w:type="dxa"/>
              <w:left w:w="0" w:type="dxa"/>
              <w:bottom w:w="40" w:type="dxa"/>
              <w:right w:w="20" w:type="dxa"/>
            </w:tcMar>
            <w:vAlign w:val="bottom"/>
          </w:tcPr>
          <w:p w14:paraId="07DCDF6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6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6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6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6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67" w14:textId="77777777" w:rsidR="00AE727E" w:rsidRDefault="008433E0">
            <w:pPr>
              <w:jc w:val="right"/>
              <w:textAlignment w:val="bottom"/>
            </w:pPr>
            <w:r>
              <w:rPr>
                <w:rFonts w:ascii="Times New Roman" w:eastAsia="宋体" w:hAnsi="Times New Roman"/>
                <w:color w:val="000000"/>
                <w:sz w:val="16"/>
                <w:szCs w:val="16"/>
              </w:rPr>
              <w:t>(110)</w:t>
            </w:r>
          </w:p>
        </w:tc>
        <w:tc>
          <w:tcPr>
            <w:tcW w:w="0" w:type="auto"/>
            <w:shd w:val="clear" w:color="auto" w:fill="FFFFFF"/>
            <w:tcMar>
              <w:top w:w="40" w:type="dxa"/>
              <w:left w:w="0" w:type="dxa"/>
              <w:bottom w:w="40" w:type="dxa"/>
              <w:right w:w="20" w:type="dxa"/>
            </w:tcMar>
            <w:vAlign w:val="bottom"/>
          </w:tcPr>
          <w:p w14:paraId="07DCDF6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6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6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6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6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6D" w14:textId="77777777" w:rsidR="00AE727E" w:rsidRDefault="008433E0">
            <w:pPr>
              <w:jc w:val="right"/>
              <w:textAlignment w:val="bottom"/>
            </w:pPr>
            <w:r>
              <w:rPr>
                <w:rFonts w:ascii="Times New Roman" w:eastAsia="宋体" w:hAnsi="Times New Roman"/>
                <w:color w:val="000000"/>
                <w:sz w:val="16"/>
                <w:szCs w:val="16"/>
              </w:rPr>
              <w:t>(110)</w:t>
            </w:r>
          </w:p>
        </w:tc>
        <w:tc>
          <w:tcPr>
            <w:tcW w:w="0" w:type="auto"/>
            <w:shd w:val="clear" w:color="auto" w:fill="FFFFFF"/>
            <w:tcMar>
              <w:top w:w="40" w:type="dxa"/>
              <w:left w:w="0" w:type="dxa"/>
              <w:bottom w:w="40" w:type="dxa"/>
              <w:right w:w="20" w:type="dxa"/>
            </w:tcMar>
            <w:vAlign w:val="bottom"/>
          </w:tcPr>
          <w:p w14:paraId="07DCDF6E" w14:textId="77777777" w:rsidR="00AE727E" w:rsidRDefault="00AE727E">
            <w:pPr>
              <w:jc w:val="right"/>
              <w:rPr>
                <w:rFonts w:ascii="宋体"/>
              </w:rPr>
            </w:pPr>
          </w:p>
        </w:tc>
      </w:tr>
      <w:tr w:rsidR="00AE727E" w14:paraId="07DCDF8B" w14:textId="77777777">
        <w:tc>
          <w:tcPr>
            <w:tcW w:w="0" w:type="auto"/>
            <w:gridSpan w:val="3"/>
            <w:shd w:val="clear" w:color="auto" w:fill="CCEEFF"/>
            <w:tcMar>
              <w:top w:w="40" w:type="dxa"/>
              <w:left w:w="155" w:type="dxa"/>
              <w:bottom w:w="40" w:type="dxa"/>
              <w:right w:w="20" w:type="dxa"/>
            </w:tcMar>
            <w:vAlign w:val="bottom"/>
          </w:tcPr>
          <w:p w14:paraId="07DCDF70" w14:textId="77777777" w:rsidR="00AE727E" w:rsidRDefault="008433E0">
            <w:pPr>
              <w:textAlignment w:val="bottom"/>
            </w:pPr>
            <w:r>
              <w:rPr>
                <w:rFonts w:ascii="Times New Roman" w:eastAsia="宋体" w:hAnsi="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14:paraId="07DCDF7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7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7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7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7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7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7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7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7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7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7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7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7D" w14:textId="77777777" w:rsidR="00AE727E" w:rsidRDefault="008433E0">
            <w:pPr>
              <w:jc w:val="right"/>
              <w:textAlignment w:val="bottom"/>
            </w:pPr>
            <w:r>
              <w:rPr>
                <w:rFonts w:ascii="Times New Roman" w:eastAsia="宋体" w:hAnsi="Times New Roman"/>
                <w:color w:val="000000"/>
                <w:sz w:val="16"/>
                <w:szCs w:val="16"/>
              </w:rPr>
              <w:t>2,023 </w:t>
            </w:r>
          </w:p>
        </w:tc>
        <w:tc>
          <w:tcPr>
            <w:tcW w:w="0" w:type="auto"/>
            <w:shd w:val="clear" w:color="auto" w:fill="CCEEFF"/>
            <w:tcMar>
              <w:top w:w="40" w:type="dxa"/>
              <w:left w:w="0" w:type="dxa"/>
              <w:bottom w:w="40" w:type="dxa"/>
              <w:right w:w="20" w:type="dxa"/>
            </w:tcMar>
            <w:vAlign w:val="bottom"/>
          </w:tcPr>
          <w:p w14:paraId="07DCDF7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7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8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8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8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83" w14:textId="77777777" w:rsidR="00AE727E" w:rsidRDefault="008433E0">
            <w:pPr>
              <w:jc w:val="right"/>
              <w:textAlignment w:val="bottom"/>
            </w:pPr>
            <w:r>
              <w:rPr>
                <w:rFonts w:ascii="Times New Roman" w:eastAsia="宋体" w:hAnsi="Times New Roman"/>
                <w:color w:val="000000"/>
                <w:sz w:val="16"/>
                <w:szCs w:val="16"/>
              </w:rPr>
              <w:t>2,023 </w:t>
            </w:r>
          </w:p>
        </w:tc>
        <w:tc>
          <w:tcPr>
            <w:tcW w:w="0" w:type="auto"/>
            <w:shd w:val="clear" w:color="auto" w:fill="CCEEFF"/>
            <w:tcMar>
              <w:top w:w="40" w:type="dxa"/>
              <w:left w:w="0" w:type="dxa"/>
              <w:bottom w:w="40" w:type="dxa"/>
              <w:right w:w="20" w:type="dxa"/>
            </w:tcMar>
            <w:vAlign w:val="bottom"/>
          </w:tcPr>
          <w:p w14:paraId="07DCDF8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8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86" w14:textId="77777777" w:rsidR="00AE727E" w:rsidRDefault="008433E0">
            <w:pPr>
              <w:jc w:val="right"/>
              <w:textAlignment w:val="bottom"/>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bottom"/>
          </w:tcPr>
          <w:p w14:paraId="07DCDF8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8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89" w14:textId="77777777" w:rsidR="00AE727E" w:rsidRDefault="008433E0">
            <w:pPr>
              <w:jc w:val="right"/>
              <w:textAlignment w:val="bottom"/>
            </w:pPr>
            <w:r>
              <w:rPr>
                <w:rFonts w:ascii="Times New Roman" w:eastAsia="宋体" w:hAnsi="Times New Roman"/>
                <w:color w:val="000000"/>
                <w:sz w:val="16"/>
                <w:szCs w:val="16"/>
              </w:rPr>
              <w:t>2,162 </w:t>
            </w:r>
          </w:p>
        </w:tc>
        <w:tc>
          <w:tcPr>
            <w:tcW w:w="0" w:type="auto"/>
            <w:shd w:val="clear" w:color="auto" w:fill="CCEEFF"/>
            <w:tcMar>
              <w:top w:w="40" w:type="dxa"/>
              <w:left w:w="0" w:type="dxa"/>
              <w:bottom w:w="40" w:type="dxa"/>
              <w:right w:w="20" w:type="dxa"/>
            </w:tcMar>
            <w:vAlign w:val="bottom"/>
          </w:tcPr>
          <w:p w14:paraId="07DCDF8A" w14:textId="77777777" w:rsidR="00AE727E" w:rsidRDefault="00AE727E">
            <w:pPr>
              <w:jc w:val="right"/>
              <w:rPr>
                <w:rFonts w:ascii="宋体"/>
              </w:rPr>
            </w:pPr>
          </w:p>
        </w:tc>
      </w:tr>
      <w:tr w:rsidR="00AE727E" w14:paraId="07DCDFA7" w14:textId="77777777">
        <w:tc>
          <w:tcPr>
            <w:tcW w:w="0" w:type="auto"/>
            <w:gridSpan w:val="3"/>
            <w:shd w:val="clear" w:color="auto" w:fill="FFFFFF"/>
            <w:tcMar>
              <w:top w:w="40" w:type="dxa"/>
              <w:left w:w="155" w:type="dxa"/>
              <w:bottom w:w="40" w:type="dxa"/>
              <w:right w:w="20" w:type="dxa"/>
            </w:tcMar>
            <w:vAlign w:val="bottom"/>
          </w:tcPr>
          <w:p w14:paraId="07DCDF8C" w14:textId="77777777" w:rsidR="00AE727E" w:rsidRDefault="008433E0">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FFFFFF"/>
            <w:tcMar>
              <w:top w:w="40" w:type="dxa"/>
              <w:left w:w="20" w:type="dxa"/>
              <w:bottom w:w="40" w:type="dxa"/>
              <w:right w:w="0" w:type="dxa"/>
            </w:tcMar>
            <w:vAlign w:val="bottom"/>
          </w:tcPr>
          <w:p w14:paraId="07DCDF8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8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8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9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9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9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9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9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9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9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9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C" w14:textId="77777777" w:rsidR="00AE727E" w:rsidRDefault="008433E0">
            <w:pPr>
              <w:jc w:val="right"/>
              <w:textAlignment w:val="bottom"/>
            </w:pPr>
            <w:r>
              <w:rPr>
                <w:rFonts w:ascii="Times New Roman" w:eastAsia="宋体" w:hAnsi="Times New Roman"/>
                <w:color w:val="000000"/>
                <w:sz w:val="16"/>
                <w:szCs w:val="16"/>
              </w:rPr>
              <w:t>243 </w:t>
            </w:r>
          </w:p>
        </w:tc>
        <w:tc>
          <w:tcPr>
            <w:tcW w:w="0" w:type="auto"/>
            <w:shd w:val="clear" w:color="auto" w:fill="FFFFFF"/>
            <w:tcMar>
              <w:top w:w="40" w:type="dxa"/>
              <w:left w:w="0" w:type="dxa"/>
              <w:bottom w:w="40" w:type="dxa"/>
              <w:right w:w="20" w:type="dxa"/>
            </w:tcMar>
            <w:vAlign w:val="bottom"/>
          </w:tcPr>
          <w:p w14:paraId="07DCDF9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9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9F" w14:textId="77777777" w:rsidR="00AE727E" w:rsidRDefault="008433E0">
            <w:pPr>
              <w:jc w:val="right"/>
              <w:textAlignment w:val="bottom"/>
            </w:pPr>
            <w:r>
              <w:rPr>
                <w:rFonts w:ascii="Times New Roman" w:eastAsia="宋体" w:hAnsi="Times New Roman"/>
                <w:color w:val="000000"/>
                <w:sz w:val="16"/>
                <w:szCs w:val="16"/>
              </w:rPr>
              <w:t>243 </w:t>
            </w:r>
          </w:p>
        </w:tc>
        <w:tc>
          <w:tcPr>
            <w:tcW w:w="0" w:type="auto"/>
            <w:shd w:val="clear" w:color="auto" w:fill="FFFFFF"/>
            <w:tcMar>
              <w:top w:w="40" w:type="dxa"/>
              <w:left w:w="0" w:type="dxa"/>
              <w:bottom w:w="40" w:type="dxa"/>
              <w:right w:w="20" w:type="dxa"/>
            </w:tcMar>
            <w:vAlign w:val="bottom"/>
          </w:tcPr>
          <w:p w14:paraId="07DCDFA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A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A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A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A5" w14:textId="77777777" w:rsidR="00AE727E" w:rsidRDefault="008433E0">
            <w:pPr>
              <w:jc w:val="right"/>
              <w:textAlignment w:val="bottom"/>
            </w:pPr>
            <w:r>
              <w:rPr>
                <w:rFonts w:ascii="Times New Roman" w:eastAsia="宋体" w:hAnsi="Times New Roman"/>
                <w:color w:val="000000"/>
                <w:sz w:val="16"/>
                <w:szCs w:val="16"/>
              </w:rPr>
              <w:t>243 </w:t>
            </w:r>
          </w:p>
        </w:tc>
        <w:tc>
          <w:tcPr>
            <w:tcW w:w="0" w:type="auto"/>
            <w:shd w:val="clear" w:color="auto" w:fill="FFFFFF"/>
            <w:tcMar>
              <w:top w:w="40" w:type="dxa"/>
              <w:left w:w="0" w:type="dxa"/>
              <w:bottom w:w="40" w:type="dxa"/>
              <w:right w:w="20" w:type="dxa"/>
            </w:tcMar>
            <w:vAlign w:val="bottom"/>
          </w:tcPr>
          <w:p w14:paraId="07DCDFA6" w14:textId="77777777" w:rsidR="00AE727E" w:rsidRDefault="00AE727E">
            <w:pPr>
              <w:jc w:val="right"/>
              <w:rPr>
                <w:rFonts w:ascii="宋体"/>
              </w:rPr>
            </w:pPr>
          </w:p>
        </w:tc>
      </w:tr>
      <w:tr w:rsidR="00AE727E" w14:paraId="07DCDFC3" w14:textId="77777777">
        <w:tc>
          <w:tcPr>
            <w:tcW w:w="0" w:type="auto"/>
            <w:gridSpan w:val="3"/>
            <w:shd w:val="clear" w:color="auto" w:fill="CCEEFF"/>
            <w:tcMar>
              <w:top w:w="40" w:type="dxa"/>
              <w:left w:w="155" w:type="dxa"/>
              <w:bottom w:w="40" w:type="dxa"/>
              <w:right w:w="20" w:type="dxa"/>
            </w:tcMar>
            <w:vAlign w:val="bottom"/>
          </w:tcPr>
          <w:p w14:paraId="07DCDFA8" w14:textId="77777777" w:rsidR="00AE727E" w:rsidRDefault="008433E0">
            <w:pPr>
              <w:textAlignment w:val="bottom"/>
            </w:pPr>
            <w:r>
              <w:rPr>
                <w:rFonts w:ascii="Times New Roman" w:eastAsia="宋体" w:hAnsi="Times New Roman"/>
                <w:color w:val="000000"/>
                <w:sz w:val="16"/>
                <w:szCs w:val="16"/>
              </w:rPr>
              <w:t>Cash flow hedges, net change</w:t>
            </w:r>
          </w:p>
        </w:tc>
        <w:tc>
          <w:tcPr>
            <w:tcW w:w="0" w:type="auto"/>
            <w:gridSpan w:val="2"/>
            <w:shd w:val="clear" w:color="auto" w:fill="CCEEFF"/>
            <w:tcMar>
              <w:top w:w="40" w:type="dxa"/>
              <w:left w:w="20" w:type="dxa"/>
              <w:bottom w:w="40" w:type="dxa"/>
              <w:right w:w="0" w:type="dxa"/>
            </w:tcMar>
            <w:vAlign w:val="bottom"/>
          </w:tcPr>
          <w:p w14:paraId="07DCDFA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A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A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A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A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A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AF"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B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B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B2"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B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B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B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B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B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B8" w14:textId="77777777" w:rsidR="00AE727E" w:rsidRDefault="008433E0">
            <w:pPr>
              <w:jc w:val="right"/>
              <w:textAlignment w:val="bottom"/>
            </w:pPr>
            <w:r>
              <w:rPr>
                <w:rFonts w:ascii="Times New Roman" w:eastAsia="宋体" w:hAnsi="Times New Roman"/>
                <w:color w:val="000000"/>
                <w:sz w:val="16"/>
                <w:szCs w:val="16"/>
              </w:rPr>
              <w:t>(69)</w:t>
            </w:r>
          </w:p>
        </w:tc>
        <w:tc>
          <w:tcPr>
            <w:tcW w:w="0" w:type="auto"/>
            <w:shd w:val="clear" w:color="auto" w:fill="CCEEFF"/>
            <w:tcMar>
              <w:top w:w="40" w:type="dxa"/>
              <w:left w:w="0" w:type="dxa"/>
              <w:bottom w:w="40" w:type="dxa"/>
              <w:right w:w="20" w:type="dxa"/>
            </w:tcMar>
            <w:vAlign w:val="bottom"/>
          </w:tcPr>
          <w:p w14:paraId="07DCDF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BB" w14:textId="77777777" w:rsidR="00AE727E" w:rsidRDefault="008433E0">
            <w:pPr>
              <w:jc w:val="right"/>
              <w:textAlignment w:val="bottom"/>
            </w:pPr>
            <w:r>
              <w:rPr>
                <w:rFonts w:ascii="Times New Roman" w:eastAsia="宋体" w:hAnsi="Times New Roman"/>
                <w:color w:val="000000"/>
                <w:sz w:val="16"/>
                <w:szCs w:val="16"/>
              </w:rPr>
              <w:t>(69)</w:t>
            </w:r>
          </w:p>
        </w:tc>
        <w:tc>
          <w:tcPr>
            <w:tcW w:w="0" w:type="auto"/>
            <w:shd w:val="clear" w:color="auto" w:fill="CCEEFF"/>
            <w:tcMar>
              <w:top w:w="40" w:type="dxa"/>
              <w:left w:w="0" w:type="dxa"/>
              <w:bottom w:w="40" w:type="dxa"/>
              <w:right w:w="20" w:type="dxa"/>
            </w:tcMar>
            <w:vAlign w:val="bottom"/>
          </w:tcPr>
          <w:p w14:paraId="07DCDFB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B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B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B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C1" w14:textId="77777777" w:rsidR="00AE727E" w:rsidRDefault="008433E0">
            <w:pPr>
              <w:jc w:val="right"/>
              <w:textAlignment w:val="bottom"/>
            </w:pPr>
            <w:r>
              <w:rPr>
                <w:rFonts w:ascii="Times New Roman" w:eastAsia="宋体" w:hAnsi="Times New Roman"/>
                <w:color w:val="000000"/>
                <w:sz w:val="16"/>
                <w:szCs w:val="16"/>
              </w:rPr>
              <w:t>(69)</w:t>
            </w:r>
          </w:p>
        </w:tc>
        <w:tc>
          <w:tcPr>
            <w:tcW w:w="0" w:type="auto"/>
            <w:shd w:val="clear" w:color="auto" w:fill="CCEEFF"/>
            <w:tcMar>
              <w:top w:w="40" w:type="dxa"/>
              <w:left w:w="0" w:type="dxa"/>
              <w:bottom w:w="40" w:type="dxa"/>
              <w:right w:w="20" w:type="dxa"/>
            </w:tcMar>
            <w:vAlign w:val="bottom"/>
          </w:tcPr>
          <w:p w14:paraId="07DCDFC2" w14:textId="77777777" w:rsidR="00AE727E" w:rsidRDefault="00AE727E">
            <w:pPr>
              <w:jc w:val="right"/>
              <w:rPr>
                <w:rFonts w:ascii="宋体"/>
              </w:rPr>
            </w:pPr>
          </w:p>
        </w:tc>
      </w:tr>
      <w:tr w:rsidR="00AE727E" w14:paraId="07DCDFDF" w14:textId="77777777">
        <w:tc>
          <w:tcPr>
            <w:tcW w:w="0" w:type="auto"/>
            <w:gridSpan w:val="3"/>
            <w:shd w:val="clear" w:color="auto" w:fill="FFFFFF"/>
            <w:tcMar>
              <w:top w:w="40" w:type="dxa"/>
              <w:left w:w="155" w:type="dxa"/>
              <w:bottom w:w="40" w:type="dxa"/>
              <w:right w:w="20" w:type="dxa"/>
            </w:tcMar>
            <w:vAlign w:val="bottom"/>
          </w:tcPr>
          <w:p w14:paraId="07DCDFC4" w14:textId="77777777" w:rsidR="00AE727E" w:rsidRDefault="008433E0">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FFFFFF"/>
            <w:tcMar>
              <w:top w:w="40" w:type="dxa"/>
              <w:left w:w="20" w:type="dxa"/>
              <w:bottom w:w="40" w:type="dxa"/>
              <w:right w:w="0" w:type="dxa"/>
            </w:tcMar>
            <w:vAlign w:val="bottom"/>
          </w:tcPr>
          <w:p w14:paraId="07DCDFC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C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C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C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C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C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C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C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C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D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D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D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D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D4" w14:textId="77777777" w:rsidR="00AE727E" w:rsidRDefault="008433E0">
            <w:pPr>
              <w:jc w:val="right"/>
              <w:textAlignment w:val="bottom"/>
            </w:pPr>
            <w:r>
              <w:rPr>
                <w:rFonts w:ascii="Times New Roman" w:eastAsia="宋体" w:hAnsi="Times New Roman"/>
                <w:color w:val="000000"/>
                <w:sz w:val="16"/>
                <w:szCs w:val="16"/>
              </w:rPr>
              <w:t>(18)</w:t>
            </w:r>
          </w:p>
        </w:tc>
        <w:tc>
          <w:tcPr>
            <w:tcW w:w="0" w:type="auto"/>
            <w:shd w:val="clear" w:color="auto" w:fill="FFFFFF"/>
            <w:tcMar>
              <w:top w:w="40" w:type="dxa"/>
              <w:left w:w="0" w:type="dxa"/>
              <w:bottom w:w="40" w:type="dxa"/>
              <w:right w:w="20" w:type="dxa"/>
            </w:tcMar>
            <w:vAlign w:val="bottom"/>
          </w:tcPr>
          <w:p w14:paraId="07DCDFD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D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D7" w14:textId="77777777" w:rsidR="00AE727E" w:rsidRDefault="008433E0">
            <w:pPr>
              <w:jc w:val="right"/>
              <w:textAlignment w:val="bottom"/>
            </w:pPr>
            <w:r>
              <w:rPr>
                <w:rFonts w:ascii="Times New Roman" w:eastAsia="宋体" w:hAnsi="Times New Roman"/>
                <w:color w:val="000000"/>
                <w:sz w:val="16"/>
                <w:szCs w:val="16"/>
              </w:rPr>
              <w:t>(18)</w:t>
            </w:r>
          </w:p>
        </w:tc>
        <w:tc>
          <w:tcPr>
            <w:tcW w:w="0" w:type="auto"/>
            <w:shd w:val="clear" w:color="auto" w:fill="FFFFFF"/>
            <w:tcMar>
              <w:top w:w="40" w:type="dxa"/>
              <w:left w:w="0" w:type="dxa"/>
              <w:bottom w:w="40" w:type="dxa"/>
              <w:right w:w="20" w:type="dxa"/>
            </w:tcMar>
            <w:vAlign w:val="bottom"/>
          </w:tcPr>
          <w:p w14:paraId="07DCDFD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D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D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D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D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DFDD" w14:textId="77777777" w:rsidR="00AE727E" w:rsidRDefault="008433E0">
            <w:pPr>
              <w:jc w:val="right"/>
              <w:textAlignment w:val="bottom"/>
            </w:pPr>
            <w:r>
              <w:rPr>
                <w:rFonts w:ascii="Times New Roman" w:eastAsia="宋体" w:hAnsi="Times New Roman"/>
                <w:color w:val="000000"/>
                <w:sz w:val="16"/>
                <w:szCs w:val="16"/>
              </w:rPr>
              <w:t>(18)</w:t>
            </w:r>
          </w:p>
        </w:tc>
        <w:tc>
          <w:tcPr>
            <w:tcW w:w="0" w:type="auto"/>
            <w:shd w:val="clear" w:color="auto" w:fill="FFFFFF"/>
            <w:tcMar>
              <w:top w:w="40" w:type="dxa"/>
              <w:left w:w="0" w:type="dxa"/>
              <w:bottom w:w="40" w:type="dxa"/>
              <w:right w:w="20" w:type="dxa"/>
            </w:tcMar>
            <w:vAlign w:val="bottom"/>
          </w:tcPr>
          <w:p w14:paraId="07DCDFDE" w14:textId="77777777" w:rsidR="00AE727E" w:rsidRDefault="00AE727E">
            <w:pPr>
              <w:jc w:val="right"/>
              <w:rPr>
                <w:rFonts w:ascii="宋体"/>
              </w:rPr>
            </w:pPr>
          </w:p>
        </w:tc>
      </w:tr>
      <w:tr w:rsidR="00AE727E" w14:paraId="07DCDFFB" w14:textId="77777777">
        <w:tc>
          <w:tcPr>
            <w:tcW w:w="0" w:type="auto"/>
            <w:gridSpan w:val="3"/>
            <w:shd w:val="clear" w:color="auto" w:fill="CCEEFF"/>
            <w:tcMar>
              <w:top w:w="40" w:type="dxa"/>
              <w:left w:w="155" w:type="dxa"/>
              <w:bottom w:w="40" w:type="dxa"/>
              <w:right w:w="20" w:type="dxa"/>
            </w:tcMar>
            <w:vAlign w:val="bottom"/>
          </w:tcPr>
          <w:p w14:paraId="07DCDFE0" w14:textId="77777777" w:rsidR="00AE727E" w:rsidRDefault="008433E0">
            <w:pPr>
              <w:textAlignment w:val="bottom"/>
            </w:pPr>
            <w:r>
              <w:rPr>
                <w:rFonts w:ascii="Times New Roman" w:eastAsia="宋体" w:hAnsi="Times New Roman"/>
                <w:color w:val="000000"/>
                <w:sz w:val="16"/>
                <w:szCs w:val="16"/>
              </w:rPr>
              <w:t>Issuance of common stock</w:t>
            </w:r>
          </w:p>
        </w:tc>
        <w:tc>
          <w:tcPr>
            <w:tcW w:w="0" w:type="auto"/>
            <w:gridSpan w:val="2"/>
            <w:shd w:val="clear" w:color="auto" w:fill="CCEEFF"/>
            <w:tcMar>
              <w:top w:w="40" w:type="dxa"/>
              <w:left w:w="20" w:type="dxa"/>
              <w:bottom w:w="40" w:type="dxa"/>
              <w:right w:w="0" w:type="dxa"/>
            </w:tcMar>
            <w:vAlign w:val="bottom"/>
          </w:tcPr>
          <w:p w14:paraId="07DCDFE1" w14:textId="77777777" w:rsidR="00AE727E" w:rsidRDefault="008433E0">
            <w:pPr>
              <w:jc w:val="right"/>
              <w:textAlignment w:val="bottom"/>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bottom"/>
          </w:tcPr>
          <w:p w14:paraId="07DCDFE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E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E4" w14:textId="77777777" w:rsidR="00AE727E" w:rsidRDefault="008433E0">
            <w:pPr>
              <w:jc w:val="right"/>
              <w:textAlignment w:val="bottom"/>
            </w:pPr>
            <w:r>
              <w:rPr>
                <w:rFonts w:ascii="Times New Roman" w:eastAsia="宋体" w:hAnsi="Times New Roman"/>
                <w:color w:val="000000"/>
                <w:sz w:val="16"/>
                <w:szCs w:val="16"/>
              </w:rPr>
              <w:t>124 </w:t>
            </w:r>
          </w:p>
        </w:tc>
        <w:tc>
          <w:tcPr>
            <w:tcW w:w="0" w:type="auto"/>
            <w:shd w:val="clear" w:color="auto" w:fill="CCEEFF"/>
            <w:tcMar>
              <w:top w:w="40" w:type="dxa"/>
              <w:left w:w="0" w:type="dxa"/>
              <w:bottom w:w="40" w:type="dxa"/>
              <w:right w:w="20" w:type="dxa"/>
            </w:tcMar>
            <w:vAlign w:val="bottom"/>
          </w:tcPr>
          <w:p w14:paraId="07DCDFE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E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E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E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E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E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E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E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E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E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E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F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F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F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F3" w14:textId="77777777" w:rsidR="00AE727E" w:rsidRDefault="008433E0">
            <w:pPr>
              <w:jc w:val="right"/>
              <w:textAlignment w:val="bottom"/>
            </w:pPr>
            <w:r>
              <w:rPr>
                <w:rFonts w:ascii="Times New Roman" w:eastAsia="宋体" w:hAnsi="Times New Roman"/>
                <w:color w:val="000000"/>
                <w:sz w:val="16"/>
                <w:szCs w:val="16"/>
              </w:rPr>
              <w:t>124 </w:t>
            </w:r>
          </w:p>
        </w:tc>
        <w:tc>
          <w:tcPr>
            <w:tcW w:w="0" w:type="auto"/>
            <w:shd w:val="clear" w:color="auto" w:fill="CCEEFF"/>
            <w:tcMar>
              <w:top w:w="40" w:type="dxa"/>
              <w:left w:w="0" w:type="dxa"/>
              <w:bottom w:w="40" w:type="dxa"/>
              <w:right w:w="20" w:type="dxa"/>
            </w:tcMar>
            <w:vAlign w:val="bottom"/>
          </w:tcPr>
          <w:p w14:paraId="07DCDFF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F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F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DFF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DFF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DFF9" w14:textId="77777777" w:rsidR="00AE727E" w:rsidRDefault="008433E0">
            <w:pPr>
              <w:jc w:val="right"/>
              <w:textAlignment w:val="bottom"/>
            </w:pPr>
            <w:r>
              <w:rPr>
                <w:rFonts w:ascii="Times New Roman" w:eastAsia="宋体" w:hAnsi="Times New Roman"/>
                <w:color w:val="000000"/>
                <w:sz w:val="16"/>
                <w:szCs w:val="16"/>
              </w:rPr>
              <w:t>124 </w:t>
            </w:r>
          </w:p>
        </w:tc>
        <w:tc>
          <w:tcPr>
            <w:tcW w:w="0" w:type="auto"/>
            <w:shd w:val="clear" w:color="auto" w:fill="CCEEFF"/>
            <w:tcMar>
              <w:top w:w="40" w:type="dxa"/>
              <w:left w:w="0" w:type="dxa"/>
              <w:bottom w:w="40" w:type="dxa"/>
              <w:right w:w="20" w:type="dxa"/>
            </w:tcMar>
            <w:vAlign w:val="bottom"/>
          </w:tcPr>
          <w:p w14:paraId="07DCDFFA" w14:textId="77777777" w:rsidR="00AE727E" w:rsidRDefault="00AE727E">
            <w:pPr>
              <w:jc w:val="right"/>
              <w:rPr>
                <w:rFonts w:ascii="宋体"/>
              </w:rPr>
            </w:pPr>
          </w:p>
        </w:tc>
      </w:tr>
      <w:tr w:rsidR="00AE727E" w14:paraId="07DCE017" w14:textId="77777777">
        <w:tc>
          <w:tcPr>
            <w:tcW w:w="0" w:type="auto"/>
            <w:gridSpan w:val="3"/>
            <w:shd w:val="clear" w:color="auto" w:fill="FFFFFF"/>
            <w:tcMar>
              <w:top w:w="40" w:type="dxa"/>
              <w:left w:w="155" w:type="dxa"/>
              <w:bottom w:w="40" w:type="dxa"/>
              <w:right w:w="20" w:type="dxa"/>
            </w:tcMar>
            <w:vAlign w:val="bottom"/>
          </w:tcPr>
          <w:p w14:paraId="07DCDFFC" w14:textId="77777777" w:rsidR="00AE727E" w:rsidRDefault="008433E0">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FFFFFF"/>
            <w:tcMar>
              <w:top w:w="40" w:type="dxa"/>
              <w:left w:w="20" w:type="dxa"/>
              <w:bottom w:w="40" w:type="dxa"/>
              <w:right w:w="0" w:type="dxa"/>
            </w:tcMar>
            <w:vAlign w:val="bottom"/>
          </w:tcPr>
          <w:p w14:paraId="07DCDFF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DFF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DFF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0" w14:textId="77777777" w:rsidR="00AE727E" w:rsidRDefault="008433E0">
            <w:pPr>
              <w:jc w:val="right"/>
              <w:textAlignment w:val="bottom"/>
            </w:pPr>
            <w:r>
              <w:rPr>
                <w:rFonts w:ascii="Times New Roman" w:eastAsia="宋体" w:hAnsi="Times New Roman"/>
                <w:color w:val="000000"/>
                <w:sz w:val="16"/>
                <w:szCs w:val="16"/>
              </w:rPr>
              <w:t>332 </w:t>
            </w:r>
          </w:p>
        </w:tc>
        <w:tc>
          <w:tcPr>
            <w:tcW w:w="0" w:type="auto"/>
            <w:shd w:val="clear" w:color="auto" w:fill="FFFFFF"/>
            <w:tcMar>
              <w:top w:w="40" w:type="dxa"/>
              <w:left w:w="0" w:type="dxa"/>
              <w:bottom w:w="40" w:type="dxa"/>
              <w:right w:w="20" w:type="dxa"/>
            </w:tcMar>
            <w:vAlign w:val="bottom"/>
          </w:tcPr>
          <w:p w14:paraId="07DCE00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0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3"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0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0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6"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0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0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0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0F" w14:textId="77777777" w:rsidR="00AE727E" w:rsidRDefault="008433E0">
            <w:pPr>
              <w:jc w:val="right"/>
              <w:textAlignment w:val="bottom"/>
            </w:pPr>
            <w:r>
              <w:rPr>
                <w:rFonts w:ascii="Times New Roman" w:eastAsia="宋体" w:hAnsi="Times New Roman"/>
                <w:color w:val="000000"/>
                <w:sz w:val="16"/>
                <w:szCs w:val="16"/>
              </w:rPr>
              <w:t>332 </w:t>
            </w:r>
          </w:p>
        </w:tc>
        <w:tc>
          <w:tcPr>
            <w:tcW w:w="0" w:type="auto"/>
            <w:shd w:val="clear" w:color="auto" w:fill="FFFFFF"/>
            <w:tcMar>
              <w:top w:w="40" w:type="dxa"/>
              <w:left w:w="0" w:type="dxa"/>
              <w:bottom w:w="40" w:type="dxa"/>
              <w:right w:w="20" w:type="dxa"/>
            </w:tcMar>
            <w:vAlign w:val="bottom"/>
          </w:tcPr>
          <w:p w14:paraId="07DCE0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1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12" w14:textId="77777777" w:rsidR="00AE727E" w:rsidRDefault="008433E0">
            <w:pPr>
              <w:jc w:val="right"/>
              <w:textAlignment w:val="bottom"/>
            </w:pPr>
            <w:r>
              <w:rPr>
                <w:rFonts w:ascii="Times New Roman" w:eastAsia="宋体" w:hAnsi="Times New Roman"/>
                <w:color w:val="000000"/>
                <w:sz w:val="16"/>
                <w:szCs w:val="16"/>
              </w:rPr>
              <w:t>887 </w:t>
            </w:r>
          </w:p>
        </w:tc>
        <w:tc>
          <w:tcPr>
            <w:tcW w:w="0" w:type="auto"/>
            <w:shd w:val="clear" w:color="auto" w:fill="FFFFFF"/>
            <w:tcMar>
              <w:top w:w="40" w:type="dxa"/>
              <w:left w:w="0" w:type="dxa"/>
              <w:bottom w:w="40" w:type="dxa"/>
              <w:right w:w="20" w:type="dxa"/>
            </w:tcMar>
            <w:vAlign w:val="bottom"/>
          </w:tcPr>
          <w:p w14:paraId="07DCE0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1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15" w14:textId="77777777" w:rsidR="00AE727E" w:rsidRDefault="008433E0">
            <w:pPr>
              <w:jc w:val="right"/>
              <w:textAlignment w:val="bottom"/>
            </w:pPr>
            <w:r>
              <w:rPr>
                <w:rFonts w:ascii="Times New Roman" w:eastAsia="宋体" w:hAnsi="Times New Roman"/>
                <w:color w:val="000000"/>
                <w:sz w:val="16"/>
                <w:szCs w:val="16"/>
              </w:rPr>
              <w:t>1,219 </w:t>
            </w:r>
          </w:p>
        </w:tc>
        <w:tc>
          <w:tcPr>
            <w:tcW w:w="0" w:type="auto"/>
            <w:shd w:val="clear" w:color="auto" w:fill="FFFFFF"/>
            <w:tcMar>
              <w:top w:w="40" w:type="dxa"/>
              <w:left w:w="0" w:type="dxa"/>
              <w:bottom w:w="40" w:type="dxa"/>
              <w:right w:w="20" w:type="dxa"/>
            </w:tcMar>
            <w:vAlign w:val="bottom"/>
          </w:tcPr>
          <w:p w14:paraId="07DCE016" w14:textId="77777777" w:rsidR="00AE727E" w:rsidRDefault="00AE727E">
            <w:pPr>
              <w:jc w:val="right"/>
              <w:rPr>
                <w:rFonts w:ascii="宋体"/>
              </w:rPr>
            </w:pPr>
          </w:p>
        </w:tc>
      </w:tr>
      <w:tr w:rsidR="00AE727E" w14:paraId="07DCE033" w14:textId="77777777">
        <w:tc>
          <w:tcPr>
            <w:tcW w:w="0" w:type="auto"/>
            <w:gridSpan w:val="3"/>
            <w:shd w:val="clear" w:color="auto" w:fill="CCEEFF"/>
            <w:tcMar>
              <w:top w:w="40" w:type="dxa"/>
              <w:left w:w="155" w:type="dxa"/>
              <w:bottom w:w="40" w:type="dxa"/>
              <w:right w:w="20" w:type="dxa"/>
            </w:tcMar>
            <w:vAlign w:val="bottom"/>
          </w:tcPr>
          <w:p w14:paraId="07DCE018" w14:textId="77777777" w:rsidR="00AE727E" w:rsidRDefault="008433E0">
            <w:pPr>
              <w:textAlignment w:val="bottom"/>
            </w:pPr>
            <w:r>
              <w:rPr>
                <w:rFonts w:ascii="Times New Roman" w:eastAsia="宋体" w:hAnsi="Times New Roman"/>
                <w:color w:val="000000"/>
                <w:sz w:val="16"/>
                <w:szCs w:val="16"/>
              </w:rPr>
              <w:t>Treasury stock repurchases</w:t>
            </w:r>
          </w:p>
        </w:tc>
        <w:tc>
          <w:tcPr>
            <w:tcW w:w="0" w:type="auto"/>
            <w:gridSpan w:val="2"/>
            <w:shd w:val="clear" w:color="auto" w:fill="CCEEFF"/>
            <w:tcMar>
              <w:top w:w="40" w:type="dxa"/>
              <w:left w:w="20" w:type="dxa"/>
              <w:bottom w:w="40" w:type="dxa"/>
              <w:right w:w="0" w:type="dxa"/>
            </w:tcMar>
            <w:vAlign w:val="bottom"/>
          </w:tcPr>
          <w:p w14:paraId="07DCE019"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1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1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1C"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1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1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1F" w14:textId="77777777" w:rsidR="00AE727E" w:rsidRDefault="008433E0">
            <w:pPr>
              <w:jc w:val="right"/>
              <w:textAlignment w:val="bottom"/>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bottom"/>
          </w:tcPr>
          <w:p w14:paraId="07DCE02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2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22" w14:textId="77777777" w:rsidR="00AE727E" w:rsidRDefault="008433E0">
            <w:pPr>
              <w:jc w:val="right"/>
              <w:textAlignment w:val="bottom"/>
            </w:pPr>
            <w:r>
              <w:rPr>
                <w:rFonts w:ascii="Times New Roman" w:eastAsia="宋体" w:hAnsi="Times New Roman"/>
                <w:color w:val="000000"/>
                <w:sz w:val="16"/>
                <w:szCs w:val="16"/>
              </w:rPr>
              <w:t>(240)</w:t>
            </w:r>
          </w:p>
        </w:tc>
        <w:tc>
          <w:tcPr>
            <w:tcW w:w="0" w:type="auto"/>
            <w:shd w:val="clear" w:color="auto" w:fill="CCEEFF"/>
            <w:tcMar>
              <w:top w:w="40" w:type="dxa"/>
              <w:left w:w="0" w:type="dxa"/>
              <w:bottom w:w="40" w:type="dxa"/>
              <w:right w:w="20" w:type="dxa"/>
            </w:tcMar>
            <w:vAlign w:val="bottom"/>
          </w:tcPr>
          <w:p w14:paraId="07DCE02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2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2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2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2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28"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2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2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2B" w14:textId="77777777" w:rsidR="00AE727E" w:rsidRDefault="008433E0">
            <w:pPr>
              <w:jc w:val="right"/>
              <w:textAlignment w:val="bottom"/>
            </w:pPr>
            <w:r>
              <w:rPr>
                <w:rFonts w:ascii="Times New Roman" w:eastAsia="宋体" w:hAnsi="Times New Roman"/>
                <w:color w:val="000000"/>
                <w:sz w:val="16"/>
                <w:szCs w:val="16"/>
              </w:rPr>
              <w:t>(240)</w:t>
            </w:r>
          </w:p>
        </w:tc>
        <w:tc>
          <w:tcPr>
            <w:tcW w:w="0" w:type="auto"/>
            <w:shd w:val="clear" w:color="auto" w:fill="CCEEFF"/>
            <w:tcMar>
              <w:top w:w="40" w:type="dxa"/>
              <w:left w:w="0" w:type="dxa"/>
              <w:bottom w:w="40" w:type="dxa"/>
              <w:right w:w="20" w:type="dxa"/>
            </w:tcMar>
            <w:vAlign w:val="bottom"/>
          </w:tcPr>
          <w:p w14:paraId="07DCE02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2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2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2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3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31" w14:textId="77777777" w:rsidR="00AE727E" w:rsidRDefault="008433E0">
            <w:pPr>
              <w:jc w:val="right"/>
              <w:textAlignment w:val="bottom"/>
            </w:pPr>
            <w:r>
              <w:rPr>
                <w:rFonts w:ascii="Times New Roman" w:eastAsia="宋体" w:hAnsi="Times New Roman"/>
                <w:color w:val="000000"/>
                <w:sz w:val="16"/>
                <w:szCs w:val="16"/>
              </w:rPr>
              <w:t>(240)</w:t>
            </w:r>
          </w:p>
        </w:tc>
        <w:tc>
          <w:tcPr>
            <w:tcW w:w="0" w:type="auto"/>
            <w:shd w:val="clear" w:color="auto" w:fill="CCEEFF"/>
            <w:tcMar>
              <w:top w:w="40" w:type="dxa"/>
              <w:left w:w="0" w:type="dxa"/>
              <w:bottom w:w="40" w:type="dxa"/>
              <w:right w:w="20" w:type="dxa"/>
            </w:tcMar>
            <w:vAlign w:val="bottom"/>
          </w:tcPr>
          <w:p w14:paraId="07DCE032" w14:textId="77777777" w:rsidR="00AE727E" w:rsidRDefault="00AE727E">
            <w:pPr>
              <w:jc w:val="right"/>
              <w:rPr>
                <w:rFonts w:ascii="宋体"/>
              </w:rPr>
            </w:pPr>
          </w:p>
        </w:tc>
      </w:tr>
      <w:tr w:rsidR="00AE727E" w14:paraId="07DCE04F" w14:textId="77777777">
        <w:tc>
          <w:tcPr>
            <w:tcW w:w="0" w:type="auto"/>
            <w:gridSpan w:val="3"/>
            <w:shd w:val="clear" w:color="auto" w:fill="FFFFFF"/>
            <w:tcMar>
              <w:top w:w="40" w:type="dxa"/>
              <w:left w:w="155" w:type="dxa"/>
              <w:bottom w:w="40" w:type="dxa"/>
              <w:right w:w="20" w:type="dxa"/>
            </w:tcMar>
            <w:vAlign w:val="bottom"/>
          </w:tcPr>
          <w:p w14:paraId="07DCE034" w14:textId="77777777" w:rsidR="00AE727E" w:rsidRDefault="008433E0">
            <w:pPr>
              <w:textAlignment w:val="bottom"/>
            </w:pPr>
            <w:r>
              <w:rPr>
                <w:rFonts w:ascii="Times New Roman" w:eastAsia="宋体" w:hAnsi="Times New Roman"/>
                <w:color w:val="000000"/>
                <w:sz w:val="16"/>
                <w:szCs w:val="16"/>
              </w:rPr>
              <w:t>Revaluation of redeemable shares</w:t>
            </w:r>
          </w:p>
        </w:tc>
        <w:tc>
          <w:tcPr>
            <w:tcW w:w="0" w:type="auto"/>
            <w:gridSpan w:val="2"/>
            <w:shd w:val="clear" w:color="auto" w:fill="FFFFFF"/>
            <w:tcMar>
              <w:top w:w="40" w:type="dxa"/>
              <w:left w:w="20" w:type="dxa"/>
              <w:bottom w:w="40" w:type="dxa"/>
              <w:right w:w="0" w:type="dxa"/>
            </w:tcMar>
            <w:vAlign w:val="bottom"/>
          </w:tcPr>
          <w:p w14:paraId="07DCE035"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3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3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38" w14:textId="77777777" w:rsidR="00AE727E" w:rsidRDefault="008433E0">
            <w:pPr>
              <w:jc w:val="right"/>
              <w:textAlignment w:val="bottom"/>
            </w:pPr>
            <w:r>
              <w:rPr>
                <w:rFonts w:ascii="Times New Roman" w:eastAsia="宋体" w:hAnsi="Times New Roman"/>
                <w:color w:val="000000"/>
                <w:sz w:val="16"/>
                <w:szCs w:val="16"/>
              </w:rPr>
              <w:t>102 </w:t>
            </w:r>
          </w:p>
        </w:tc>
        <w:tc>
          <w:tcPr>
            <w:tcW w:w="0" w:type="auto"/>
            <w:shd w:val="clear" w:color="auto" w:fill="FFFFFF"/>
            <w:tcMar>
              <w:top w:w="40" w:type="dxa"/>
              <w:left w:w="0" w:type="dxa"/>
              <w:bottom w:w="40" w:type="dxa"/>
              <w:right w:w="20" w:type="dxa"/>
            </w:tcMar>
            <w:vAlign w:val="bottom"/>
          </w:tcPr>
          <w:p w14:paraId="07DCE03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3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3B"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3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3E"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3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4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4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4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44"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4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47" w14:textId="77777777" w:rsidR="00AE727E" w:rsidRDefault="008433E0">
            <w:pPr>
              <w:jc w:val="right"/>
              <w:textAlignment w:val="bottom"/>
            </w:pPr>
            <w:r>
              <w:rPr>
                <w:rFonts w:ascii="Times New Roman" w:eastAsia="宋体" w:hAnsi="Times New Roman"/>
                <w:color w:val="000000"/>
                <w:sz w:val="16"/>
                <w:szCs w:val="16"/>
              </w:rPr>
              <w:t>102 </w:t>
            </w:r>
          </w:p>
        </w:tc>
        <w:tc>
          <w:tcPr>
            <w:tcW w:w="0" w:type="auto"/>
            <w:shd w:val="clear" w:color="auto" w:fill="FFFFFF"/>
            <w:tcMar>
              <w:top w:w="40" w:type="dxa"/>
              <w:left w:w="0" w:type="dxa"/>
              <w:bottom w:w="40" w:type="dxa"/>
              <w:right w:w="20" w:type="dxa"/>
            </w:tcMar>
            <w:vAlign w:val="bottom"/>
          </w:tcPr>
          <w:p w14:paraId="07DCE04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4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4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DCE04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4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04D" w14:textId="77777777" w:rsidR="00AE727E" w:rsidRDefault="008433E0">
            <w:pPr>
              <w:jc w:val="right"/>
              <w:textAlignment w:val="bottom"/>
            </w:pPr>
            <w:r>
              <w:rPr>
                <w:rFonts w:ascii="Times New Roman" w:eastAsia="宋体" w:hAnsi="Times New Roman"/>
                <w:color w:val="000000"/>
                <w:sz w:val="16"/>
                <w:szCs w:val="16"/>
              </w:rPr>
              <w:t>102 </w:t>
            </w:r>
          </w:p>
        </w:tc>
        <w:tc>
          <w:tcPr>
            <w:tcW w:w="0" w:type="auto"/>
            <w:shd w:val="clear" w:color="auto" w:fill="FFFFFF"/>
            <w:tcMar>
              <w:top w:w="40" w:type="dxa"/>
              <w:left w:w="0" w:type="dxa"/>
              <w:bottom w:w="40" w:type="dxa"/>
              <w:right w:w="20" w:type="dxa"/>
            </w:tcMar>
            <w:vAlign w:val="bottom"/>
          </w:tcPr>
          <w:p w14:paraId="07DCE04E" w14:textId="77777777" w:rsidR="00AE727E" w:rsidRDefault="00AE727E">
            <w:pPr>
              <w:jc w:val="right"/>
              <w:rPr>
                <w:rFonts w:ascii="宋体"/>
              </w:rPr>
            </w:pPr>
          </w:p>
        </w:tc>
      </w:tr>
      <w:tr w:rsidR="00AE727E" w14:paraId="07DCE06B" w14:textId="77777777">
        <w:tc>
          <w:tcPr>
            <w:tcW w:w="0" w:type="auto"/>
            <w:gridSpan w:val="3"/>
            <w:shd w:val="clear" w:color="auto" w:fill="CCEEFF"/>
            <w:tcMar>
              <w:top w:w="40" w:type="dxa"/>
              <w:left w:w="155" w:type="dxa"/>
              <w:bottom w:w="40" w:type="dxa"/>
              <w:right w:w="20" w:type="dxa"/>
            </w:tcMar>
            <w:vAlign w:val="bottom"/>
          </w:tcPr>
          <w:p w14:paraId="07DCE050" w14:textId="77777777" w:rsidR="00AE727E" w:rsidRDefault="008433E0">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07DCE051"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5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5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54" w14:textId="77777777" w:rsidR="00AE727E" w:rsidRDefault="008433E0">
            <w:pPr>
              <w:jc w:val="right"/>
              <w:textAlignment w:val="bottom"/>
            </w:pPr>
            <w:r>
              <w:rPr>
                <w:rFonts w:ascii="Times New Roman" w:eastAsia="宋体" w:hAnsi="Times New Roman"/>
                <w:color w:val="000000"/>
                <w:sz w:val="16"/>
                <w:szCs w:val="16"/>
              </w:rPr>
              <w:t>70 </w:t>
            </w:r>
          </w:p>
        </w:tc>
        <w:tc>
          <w:tcPr>
            <w:tcW w:w="0" w:type="auto"/>
            <w:shd w:val="clear" w:color="auto" w:fill="CCEEFF"/>
            <w:tcMar>
              <w:top w:w="40" w:type="dxa"/>
              <w:left w:w="0" w:type="dxa"/>
              <w:bottom w:w="40" w:type="dxa"/>
              <w:right w:w="20" w:type="dxa"/>
            </w:tcMar>
            <w:vAlign w:val="bottom"/>
          </w:tcPr>
          <w:p w14:paraId="07DCE0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5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57"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5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5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5A"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5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5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5D"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5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5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60" w14:textId="77777777" w:rsidR="00AE727E" w:rsidRDefault="008433E0">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DCE0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6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63" w14:textId="77777777" w:rsidR="00AE727E" w:rsidRDefault="008433E0">
            <w:pPr>
              <w:jc w:val="right"/>
              <w:textAlignment w:val="bottom"/>
            </w:pPr>
            <w:r>
              <w:rPr>
                <w:rFonts w:ascii="Times New Roman" w:eastAsia="宋体" w:hAnsi="Times New Roman"/>
                <w:color w:val="000000"/>
                <w:sz w:val="16"/>
                <w:szCs w:val="16"/>
              </w:rPr>
              <w:t>70 </w:t>
            </w:r>
          </w:p>
        </w:tc>
        <w:tc>
          <w:tcPr>
            <w:tcW w:w="0" w:type="auto"/>
            <w:shd w:val="clear" w:color="auto" w:fill="CCEEFF"/>
            <w:tcMar>
              <w:top w:w="40" w:type="dxa"/>
              <w:left w:w="0" w:type="dxa"/>
              <w:bottom w:w="40" w:type="dxa"/>
              <w:right w:w="20" w:type="dxa"/>
            </w:tcMar>
            <w:vAlign w:val="bottom"/>
          </w:tcPr>
          <w:p w14:paraId="07DCE06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6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66" w14:textId="77777777" w:rsidR="00AE727E" w:rsidRDefault="008433E0">
            <w:pPr>
              <w:jc w:val="right"/>
              <w:textAlignment w:val="bottom"/>
            </w:pPr>
            <w:r>
              <w:rPr>
                <w:rFonts w:ascii="Times New Roman" w:eastAsia="宋体" w:hAnsi="Times New Roman"/>
                <w:color w:val="000000"/>
                <w:sz w:val="16"/>
                <w:szCs w:val="16"/>
              </w:rPr>
              <w:t>(699)</w:t>
            </w:r>
          </w:p>
        </w:tc>
        <w:tc>
          <w:tcPr>
            <w:tcW w:w="0" w:type="auto"/>
            <w:shd w:val="clear" w:color="auto" w:fill="CCEEFF"/>
            <w:tcMar>
              <w:top w:w="40" w:type="dxa"/>
              <w:left w:w="0" w:type="dxa"/>
              <w:bottom w:w="40" w:type="dxa"/>
              <w:right w:w="20" w:type="dxa"/>
            </w:tcMar>
            <w:vAlign w:val="bottom"/>
          </w:tcPr>
          <w:p w14:paraId="07DCE06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06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069" w14:textId="77777777" w:rsidR="00AE727E" w:rsidRDefault="008433E0">
            <w:pPr>
              <w:jc w:val="right"/>
              <w:textAlignment w:val="bottom"/>
            </w:pPr>
            <w:r>
              <w:rPr>
                <w:rFonts w:ascii="Times New Roman" w:eastAsia="宋体" w:hAnsi="Times New Roman"/>
                <w:color w:val="000000"/>
                <w:sz w:val="16"/>
                <w:szCs w:val="16"/>
              </w:rPr>
              <w:t>(629)</w:t>
            </w:r>
          </w:p>
        </w:tc>
        <w:tc>
          <w:tcPr>
            <w:tcW w:w="0" w:type="auto"/>
            <w:shd w:val="clear" w:color="auto" w:fill="CCEEFF"/>
            <w:tcMar>
              <w:top w:w="40" w:type="dxa"/>
              <w:left w:w="0" w:type="dxa"/>
              <w:bottom w:w="40" w:type="dxa"/>
              <w:right w:w="20" w:type="dxa"/>
            </w:tcMar>
            <w:vAlign w:val="bottom"/>
          </w:tcPr>
          <w:p w14:paraId="07DCE06A" w14:textId="77777777" w:rsidR="00AE727E" w:rsidRDefault="00AE727E">
            <w:pPr>
              <w:jc w:val="right"/>
              <w:rPr>
                <w:rFonts w:ascii="宋体"/>
              </w:rPr>
            </w:pPr>
          </w:p>
        </w:tc>
      </w:tr>
      <w:tr w:rsidR="00AE727E" w14:paraId="07DCE07E" w14:textId="77777777">
        <w:trPr>
          <w:hidden/>
        </w:trPr>
        <w:tc>
          <w:tcPr>
            <w:tcW w:w="0" w:type="auto"/>
            <w:gridSpan w:val="3"/>
            <w:shd w:val="clear" w:color="auto" w:fill="auto"/>
            <w:vAlign w:val="bottom"/>
          </w:tcPr>
          <w:p w14:paraId="07DCE06C" w14:textId="77777777" w:rsidR="00AE727E" w:rsidRDefault="00AE727E">
            <w:pPr>
              <w:rPr>
                <w:rFonts w:ascii="宋体"/>
                <w:vanish/>
              </w:rPr>
            </w:pPr>
          </w:p>
        </w:tc>
        <w:tc>
          <w:tcPr>
            <w:tcW w:w="0" w:type="auto"/>
            <w:gridSpan w:val="3"/>
            <w:shd w:val="clear" w:color="auto" w:fill="auto"/>
            <w:vAlign w:val="bottom"/>
          </w:tcPr>
          <w:p w14:paraId="07DCE06D" w14:textId="77777777" w:rsidR="00AE727E" w:rsidRDefault="00AE727E">
            <w:pPr>
              <w:rPr>
                <w:rFonts w:ascii="宋体"/>
                <w:vanish/>
              </w:rPr>
            </w:pPr>
          </w:p>
        </w:tc>
        <w:tc>
          <w:tcPr>
            <w:tcW w:w="0" w:type="auto"/>
            <w:gridSpan w:val="3"/>
            <w:shd w:val="clear" w:color="auto" w:fill="auto"/>
            <w:vAlign w:val="bottom"/>
          </w:tcPr>
          <w:p w14:paraId="07DCE06E" w14:textId="77777777" w:rsidR="00AE727E" w:rsidRDefault="00AE727E">
            <w:pPr>
              <w:rPr>
                <w:rFonts w:ascii="宋体"/>
                <w:vanish/>
              </w:rPr>
            </w:pPr>
          </w:p>
        </w:tc>
        <w:tc>
          <w:tcPr>
            <w:tcW w:w="0" w:type="auto"/>
            <w:gridSpan w:val="3"/>
            <w:shd w:val="clear" w:color="auto" w:fill="auto"/>
            <w:vAlign w:val="bottom"/>
          </w:tcPr>
          <w:p w14:paraId="07DCE06F" w14:textId="77777777" w:rsidR="00AE727E" w:rsidRDefault="00AE727E">
            <w:pPr>
              <w:rPr>
                <w:rFonts w:ascii="宋体"/>
                <w:vanish/>
              </w:rPr>
            </w:pPr>
          </w:p>
        </w:tc>
        <w:tc>
          <w:tcPr>
            <w:tcW w:w="0" w:type="auto"/>
            <w:gridSpan w:val="3"/>
            <w:shd w:val="clear" w:color="auto" w:fill="auto"/>
            <w:vAlign w:val="bottom"/>
          </w:tcPr>
          <w:p w14:paraId="07DCE070" w14:textId="77777777" w:rsidR="00AE727E" w:rsidRDefault="00AE727E">
            <w:pPr>
              <w:rPr>
                <w:rFonts w:ascii="宋体"/>
                <w:vanish/>
              </w:rPr>
            </w:pPr>
          </w:p>
        </w:tc>
        <w:tc>
          <w:tcPr>
            <w:tcW w:w="0" w:type="auto"/>
            <w:gridSpan w:val="3"/>
            <w:shd w:val="clear" w:color="auto" w:fill="auto"/>
            <w:vAlign w:val="bottom"/>
          </w:tcPr>
          <w:p w14:paraId="07DCE071" w14:textId="77777777" w:rsidR="00AE727E" w:rsidRDefault="00AE727E">
            <w:pPr>
              <w:rPr>
                <w:rFonts w:ascii="宋体"/>
                <w:vanish/>
              </w:rPr>
            </w:pPr>
          </w:p>
        </w:tc>
        <w:tc>
          <w:tcPr>
            <w:tcW w:w="0" w:type="auto"/>
            <w:gridSpan w:val="3"/>
            <w:shd w:val="clear" w:color="auto" w:fill="auto"/>
            <w:vAlign w:val="bottom"/>
          </w:tcPr>
          <w:p w14:paraId="07DCE072" w14:textId="77777777" w:rsidR="00AE727E" w:rsidRDefault="00AE727E">
            <w:pPr>
              <w:rPr>
                <w:rFonts w:ascii="宋体"/>
                <w:vanish/>
              </w:rPr>
            </w:pPr>
          </w:p>
        </w:tc>
        <w:tc>
          <w:tcPr>
            <w:tcW w:w="0" w:type="auto"/>
            <w:gridSpan w:val="3"/>
            <w:shd w:val="clear" w:color="auto" w:fill="auto"/>
            <w:vAlign w:val="bottom"/>
          </w:tcPr>
          <w:p w14:paraId="07DCE073" w14:textId="77777777" w:rsidR="00AE727E" w:rsidRDefault="00AE727E">
            <w:pPr>
              <w:rPr>
                <w:rFonts w:ascii="宋体"/>
                <w:vanish/>
              </w:rPr>
            </w:pPr>
          </w:p>
        </w:tc>
        <w:tc>
          <w:tcPr>
            <w:tcW w:w="0" w:type="auto"/>
            <w:gridSpan w:val="3"/>
            <w:shd w:val="clear" w:color="auto" w:fill="auto"/>
            <w:vAlign w:val="bottom"/>
          </w:tcPr>
          <w:p w14:paraId="07DCE074" w14:textId="77777777" w:rsidR="00AE727E" w:rsidRDefault="00AE727E">
            <w:pPr>
              <w:rPr>
                <w:rFonts w:ascii="宋体"/>
                <w:vanish/>
              </w:rPr>
            </w:pPr>
          </w:p>
        </w:tc>
        <w:tc>
          <w:tcPr>
            <w:tcW w:w="0" w:type="auto"/>
            <w:gridSpan w:val="3"/>
            <w:shd w:val="clear" w:color="auto" w:fill="auto"/>
            <w:vAlign w:val="bottom"/>
          </w:tcPr>
          <w:p w14:paraId="07DCE075" w14:textId="77777777" w:rsidR="00AE727E" w:rsidRDefault="00AE727E">
            <w:pPr>
              <w:rPr>
                <w:rFonts w:ascii="宋体"/>
                <w:vanish/>
              </w:rPr>
            </w:pPr>
          </w:p>
        </w:tc>
        <w:tc>
          <w:tcPr>
            <w:tcW w:w="0" w:type="auto"/>
            <w:gridSpan w:val="3"/>
            <w:shd w:val="clear" w:color="auto" w:fill="auto"/>
            <w:vAlign w:val="bottom"/>
          </w:tcPr>
          <w:p w14:paraId="07DCE076" w14:textId="77777777" w:rsidR="00AE727E" w:rsidRDefault="00AE727E">
            <w:pPr>
              <w:rPr>
                <w:rFonts w:ascii="宋体"/>
                <w:vanish/>
              </w:rPr>
            </w:pPr>
          </w:p>
        </w:tc>
        <w:tc>
          <w:tcPr>
            <w:tcW w:w="0" w:type="auto"/>
            <w:gridSpan w:val="3"/>
            <w:shd w:val="clear" w:color="auto" w:fill="auto"/>
            <w:vAlign w:val="bottom"/>
          </w:tcPr>
          <w:p w14:paraId="07DCE077" w14:textId="77777777" w:rsidR="00AE727E" w:rsidRDefault="00AE727E">
            <w:pPr>
              <w:rPr>
                <w:rFonts w:ascii="宋体"/>
                <w:vanish/>
              </w:rPr>
            </w:pPr>
          </w:p>
        </w:tc>
        <w:tc>
          <w:tcPr>
            <w:tcW w:w="0" w:type="auto"/>
            <w:gridSpan w:val="3"/>
            <w:shd w:val="clear" w:color="auto" w:fill="auto"/>
            <w:vAlign w:val="bottom"/>
          </w:tcPr>
          <w:p w14:paraId="07DCE078" w14:textId="77777777" w:rsidR="00AE727E" w:rsidRDefault="00AE727E">
            <w:pPr>
              <w:rPr>
                <w:rFonts w:ascii="宋体"/>
                <w:vanish/>
              </w:rPr>
            </w:pPr>
          </w:p>
        </w:tc>
        <w:tc>
          <w:tcPr>
            <w:tcW w:w="0" w:type="auto"/>
            <w:gridSpan w:val="3"/>
            <w:shd w:val="clear" w:color="auto" w:fill="auto"/>
            <w:vAlign w:val="bottom"/>
          </w:tcPr>
          <w:p w14:paraId="07DCE079" w14:textId="77777777" w:rsidR="00AE727E" w:rsidRDefault="00AE727E">
            <w:pPr>
              <w:rPr>
                <w:rFonts w:ascii="宋体"/>
                <w:vanish/>
              </w:rPr>
            </w:pPr>
          </w:p>
        </w:tc>
        <w:tc>
          <w:tcPr>
            <w:tcW w:w="0" w:type="auto"/>
            <w:gridSpan w:val="3"/>
            <w:shd w:val="clear" w:color="auto" w:fill="auto"/>
            <w:vAlign w:val="bottom"/>
          </w:tcPr>
          <w:p w14:paraId="07DCE07A" w14:textId="77777777" w:rsidR="00AE727E" w:rsidRDefault="00AE727E">
            <w:pPr>
              <w:rPr>
                <w:rFonts w:ascii="宋体"/>
                <w:vanish/>
              </w:rPr>
            </w:pPr>
          </w:p>
        </w:tc>
        <w:tc>
          <w:tcPr>
            <w:tcW w:w="0" w:type="auto"/>
            <w:gridSpan w:val="3"/>
            <w:shd w:val="clear" w:color="auto" w:fill="auto"/>
            <w:vAlign w:val="bottom"/>
          </w:tcPr>
          <w:p w14:paraId="07DCE07B" w14:textId="77777777" w:rsidR="00AE727E" w:rsidRDefault="00AE727E">
            <w:pPr>
              <w:rPr>
                <w:rFonts w:ascii="宋体"/>
                <w:vanish/>
              </w:rPr>
            </w:pPr>
          </w:p>
        </w:tc>
        <w:tc>
          <w:tcPr>
            <w:tcW w:w="0" w:type="auto"/>
            <w:gridSpan w:val="3"/>
            <w:shd w:val="clear" w:color="auto" w:fill="auto"/>
            <w:vAlign w:val="bottom"/>
          </w:tcPr>
          <w:p w14:paraId="07DCE07C" w14:textId="77777777" w:rsidR="00AE727E" w:rsidRDefault="00AE727E">
            <w:pPr>
              <w:rPr>
                <w:rFonts w:ascii="宋体"/>
                <w:vanish/>
              </w:rPr>
            </w:pPr>
          </w:p>
        </w:tc>
        <w:tc>
          <w:tcPr>
            <w:tcW w:w="0" w:type="auto"/>
            <w:gridSpan w:val="3"/>
            <w:shd w:val="clear" w:color="auto" w:fill="auto"/>
            <w:vAlign w:val="bottom"/>
          </w:tcPr>
          <w:p w14:paraId="07DCE07D" w14:textId="77777777" w:rsidR="00AE727E" w:rsidRDefault="00AE727E">
            <w:pPr>
              <w:rPr>
                <w:rFonts w:ascii="宋体"/>
                <w:vanish/>
              </w:rPr>
            </w:pPr>
          </w:p>
        </w:tc>
      </w:tr>
      <w:tr w:rsidR="008433E0" w14:paraId="07DCE0A1" w14:textId="77777777">
        <w:tc>
          <w:tcPr>
            <w:tcW w:w="0" w:type="auto"/>
            <w:gridSpan w:val="3"/>
            <w:shd w:val="clear" w:color="auto" w:fill="FFFFFF"/>
            <w:tcMar>
              <w:top w:w="40" w:type="dxa"/>
              <w:left w:w="20" w:type="dxa"/>
              <w:bottom w:w="40" w:type="dxa"/>
              <w:right w:w="20" w:type="dxa"/>
            </w:tcMar>
            <w:vAlign w:val="bottom"/>
          </w:tcPr>
          <w:p w14:paraId="07DCE07F" w14:textId="77777777" w:rsidR="00AE727E" w:rsidRDefault="008433E0">
            <w:pPr>
              <w:textAlignment w:val="bottom"/>
            </w:pPr>
            <w:r>
              <w:rPr>
                <w:rFonts w:ascii="Times New Roman" w:eastAsia="宋体" w:hAnsi="Times New Roman"/>
                <w:b/>
                <w:bCs/>
                <w:color w:val="000000"/>
                <w:sz w:val="16"/>
                <w:szCs w:val="16"/>
              </w:rPr>
              <w:t>Balances as of October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80" w14:textId="77777777" w:rsidR="00AE727E" w:rsidRDefault="008433E0">
            <w:pPr>
              <w:jc w:val="right"/>
              <w:textAlignment w:val="bottom"/>
            </w:pPr>
            <w:r>
              <w:rPr>
                <w:rFonts w:ascii="Times New Roman" w:eastAsia="宋体" w:hAnsi="Times New Roman"/>
                <w:color w:val="000000"/>
                <w:sz w:val="16"/>
                <w:szCs w:val="16"/>
              </w:rPr>
              <w:t>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8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8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83"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84" w14:textId="77777777" w:rsidR="00AE727E" w:rsidRDefault="008433E0">
            <w:pPr>
              <w:jc w:val="right"/>
              <w:textAlignment w:val="bottom"/>
            </w:pPr>
            <w:r>
              <w:rPr>
                <w:rFonts w:ascii="Times New Roman" w:eastAsia="宋体" w:hAnsi="Times New Roman"/>
                <w:color w:val="000000"/>
                <w:sz w:val="16"/>
                <w:szCs w:val="16"/>
              </w:rPr>
              <w:t>16,719 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86"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87" w14:textId="77777777" w:rsidR="00AE727E" w:rsidRDefault="008433E0">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8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8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8A"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8B" w14:textId="77777777" w:rsidR="00AE727E" w:rsidRDefault="008433E0">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8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8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8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8F" w14:textId="77777777" w:rsidR="00AE727E" w:rsidRDefault="008433E0">
            <w:pPr>
              <w:jc w:val="right"/>
              <w:textAlignment w:val="bottom"/>
            </w:pPr>
            <w:r>
              <w:rPr>
                <w:rFonts w:ascii="Times New Roman" w:eastAsia="宋体" w:hAnsi="Times New Roman"/>
                <w:color w:val="000000"/>
                <w:sz w:val="16"/>
                <w:szCs w:val="16"/>
              </w:rPr>
              <w:t>(14,978)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9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9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92"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93" w14:textId="77777777" w:rsidR="00AE727E" w:rsidRDefault="008433E0">
            <w:pPr>
              <w:jc w:val="right"/>
              <w:textAlignment w:val="bottom"/>
            </w:pPr>
            <w:r>
              <w:rPr>
                <w:rFonts w:ascii="Times New Roman" w:eastAsia="宋体" w:hAnsi="Times New Roman"/>
                <w:color w:val="000000"/>
                <w:sz w:val="16"/>
                <w:szCs w:val="16"/>
              </w:rPr>
              <w:t>(553)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9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9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96"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97" w14:textId="77777777" w:rsidR="00AE727E" w:rsidRDefault="008433E0">
            <w:pPr>
              <w:jc w:val="right"/>
              <w:textAlignment w:val="bottom"/>
            </w:pPr>
            <w:r>
              <w:rPr>
                <w:rFonts w:ascii="Times New Roman" w:eastAsia="宋体" w:hAnsi="Times New Roman"/>
                <w:color w:val="000000"/>
                <w:sz w:val="16"/>
                <w:szCs w:val="16"/>
              </w:rPr>
              <w:t>883 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9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9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9A"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9B" w14:textId="77777777" w:rsidR="00AE727E" w:rsidRDefault="008433E0">
            <w:pPr>
              <w:jc w:val="right"/>
              <w:textAlignment w:val="bottom"/>
            </w:pPr>
            <w:r>
              <w:rPr>
                <w:rFonts w:ascii="Times New Roman" w:eastAsia="宋体" w:hAnsi="Times New Roman"/>
                <w:color w:val="000000"/>
                <w:sz w:val="16"/>
                <w:szCs w:val="16"/>
              </w:rPr>
              <w:t>5,056 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9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09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09E" w14:textId="77777777" w:rsidR="00AE727E" w:rsidRDefault="008433E0">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09F" w14:textId="77777777" w:rsidR="00AE727E" w:rsidRDefault="008433E0">
            <w:pPr>
              <w:jc w:val="right"/>
              <w:textAlignment w:val="bottom"/>
            </w:pPr>
            <w:r>
              <w:rPr>
                <w:rFonts w:ascii="Times New Roman" w:eastAsia="宋体" w:hAnsi="Times New Roman"/>
                <w:color w:val="000000"/>
                <w:sz w:val="16"/>
                <w:szCs w:val="16"/>
              </w:rPr>
              <w:t>5,939 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0A0" w14:textId="77777777" w:rsidR="00AE727E" w:rsidRDefault="00AE727E">
            <w:pPr>
              <w:jc w:val="right"/>
              <w:rPr>
                <w:rFonts w:ascii="宋体"/>
              </w:rPr>
            </w:pPr>
          </w:p>
        </w:tc>
      </w:tr>
    </w:tbl>
    <w:p w14:paraId="07DCE0A2" w14:textId="77777777" w:rsidR="00AE727E" w:rsidRDefault="00AE727E"/>
    <w:p w14:paraId="07DCE0A3" w14:textId="77777777" w:rsidR="00AE727E" w:rsidRDefault="008433E0">
      <w:pPr>
        <w:jc w:val="center"/>
      </w:pPr>
      <w:r>
        <w:rPr>
          <w:rFonts w:ascii="Times New Roman" w:eastAsia="宋体" w:hAnsi="Times New Roman"/>
          <w:color w:val="000000"/>
          <w:sz w:val="20"/>
          <w:szCs w:val="20"/>
        </w:rPr>
        <w:t>The accompanying notes are an integral part of these Condensed Consolidated Financial Statements.</w:t>
      </w:r>
    </w:p>
    <w:p w14:paraId="07DCE0A4" w14:textId="77777777" w:rsidR="00AE727E" w:rsidRDefault="00AE727E">
      <w:pPr>
        <w:jc w:val="center"/>
      </w:pPr>
    </w:p>
    <w:p w14:paraId="07DCE0A5" w14:textId="77777777" w:rsidR="00AE727E" w:rsidRDefault="008433E0">
      <w:pPr>
        <w:jc w:val="center"/>
      </w:pPr>
      <w:r>
        <w:rPr>
          <w:rFonts w:ascii="Times New Roman" w:eastAsia="宋体" w:hAnsi="Times New Roman"/>
          <w:color w:val="000000"/>
          <w:sz w:val="20"/>
          <w:szCs w:val="20"/>
        </w:rPr>
        <w:t>10</w:t>
      </w:r>
    </w:p>
    <w:p w14:paraId="07DCE0A6" w14:textId="77777777" w:rsidR="00AE727E" w:rsidRDefault="00AE727E">
      <w:pPr>
        <w:jc w:val="center"/>
      </w:pPr>
    </w:p>
    <w:p w14:paraId="07DCE0A7" w14:textId="77777777" w:rsidR="00AE727E" w:rsidRDefault="008433E0">
      <w:r>
        <w:pict w14:anchorId="07DD18DA">
          <v:rect id="_x0000_i1034" style="width:415.3pt;height:1.5pt" o:hralign="center" o:hrstd="t" o:hr="t" fillcolor="#a0a0a0" stroked="f"/>
        </w:pict>
      </w:r>
    </w:p>
    <w:p w14:paraId="07DCE0A8" w14:textId="77777777" w:rsidR="00AE727E" w:rsidRDefault="008433E0">
      <w:hyperlink r:id="rId135" w:anchor="i1c8279be622a460ea19600488436f115_10" w:history="1">
        <w:r>
          <w:rPr>
            <w:rStyle w:val="a5"/>
            <w:rFonts w:ascii="Times New Roman" w:eastAsia="宋体" w:hAnsi="Times New Roman"/>
            <w:sz w:val="20"/>
            <w:szCs w:val="20"/>
          </w:rPr>
          <w:t>Table of Contents</w:t>
        </w:r>
      </w:hyperlink>
    </w:p>
    <w:p w14:paraId="07DCE0A9"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0AA"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w:t>
      </w:r>
    </w:p>
    <w:p w14:paraId="07DCE0AB"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0AC" w14:textId="77777777" w:rsidR="00AE727E" w:rsidRDefault="00AE727E">
      <w:pPr>
        <w:jc w:val="center"/>
      </w:pPr>
    </w:p>
    <w:p w14:paraId="07DCE0AD" w14:textId="77777777" w:rsidR="00AE727E" w:rsidRDefault="00AE727E"/>
    <w:p w14:paraId="07DCE0AE" w14:textId="77777777" w:rsidR="00AE727E" w:rsidRDefault="00AE727E">
      <w:pPr>
        <w:spacing w:before="240"/>
      </w:pPr>
    </w:p>
    <w:p w14:paraId="07DCE0AF" w14:textId="77777777" w:rsidR="00AE727E" w:rsidRDefault="008433E0">
      <w:r>
        <w:rPr>
          <w:rFonts w:ascii="Times New Roman" w:eastAsia="宋体" w:hAnsi="Times New Roman"/>
          <w:b/>
          <w:bCs/>
          <w:color w:val="000000"/>
          <w:sz w:val="20"/>
          <w:szCs w:val="20"/>
        </w:rPr>
        <w:t xml:space="preserve">NOTE 1 — OVERVIEW AND BASIS OF PRESENTATION </w:t>
      </w:r>
    </w:p>
    <w:p w14:paraId="07DCE0B0" w14:textId="77777777" w:rsidR="00AE727E" w:rsidRDefault="00AE727E"/>
    <w:p w14:paraId="07DCE0B1" w14:textId="77777777" w:rsidR="00AE727E" w:rsidRDefault="008433E0">
      <w:r>
        <w:rPr>
          <w:rFonts w:ascii="Times New Roman" w:eastAsia="宋体" w:hAnsi="Times New Roman"/>
          <w:color w:val="000000"/>
          <w:sz w:val="20"/>
          <w:szCs w:val="20"/>
        </w:rPr>
        <w:t>References in these Notes to the Condensed Consolidated Financial Statements to the “Company” or “Dell Technologies” mean Dell Technologies Inc. individually and together with its consolidated subsidiaries.</w:t>
      </w:r>
    </w:p>
    <w:p w14:paraId="07DCE0B2" w14:textId="77777777" w:rsidR="00AE727E" w:rsidRDefault="00AE727E"/>
    <w:p w14:paraId="07DCE0B3" w14:textId="77777777" w:rsidR="00AE727E" w:rsidRDefault="008433E0">
      <w:r>
        <w:rPr>
          <w:rFonts w:ascii="Times New Roman" w:eastAsia="宋体" w:hAnsi="Times New Roman"/>
          <w:i/>
          <w:iCs/>
          <w:color w:val="000000"/>
          <w:sz w:val="20"/>
          <w:szCs w:val="20"/>
        </w:rPr>
        <w:t>Ba</w:t>
      </w:r>
      <w:r>
        <w:rPr>
          <w:rFonts w:ascii="Times New Roman" w:eastAsia="宋体" w:hAnsi="Times New Roman"/>
          <w:i/>
          <w:iCs/>
          <w:color w:val="000000"/>
          <w:sz w:val="20"/>
          <w:szCs w:val="20"/>
        </w:rPr>
        <w:t xml:space="preserve">sis of Presentation — </w:t>
      </w:r>
      <w:r>
        <w:rPr>
          <w:rFonts w:ascii="Times New Roman" w:eastAsia="宋体" w:hAnsi="Times New Roman"/>
          <w:color w:val="000000"/>
          <w:sz w:val="20"/>
          <w:szCs w:val="20"/>
        </w:rPr>
        <w:t xml:space="preserve">The accompanying unaudited Condensed Consolidated Financial Statements should be read in conjunction with the audited Consolidated Financial Statements and accompanying Notes filed with the U.S. Securities and Exchange </w:t>
      </w:r>
      <w:r>
        <w:rPr>
          <w:rFonts w:ascii="Times New Roman" w:eastAsia="宋体" w:hAnsi="Times New Roman"/>
          <w:color w:val="000000"/>
          <w:sz w:val="20"/>
          <w:szCs w:val="20"/>
        </w:rPr>
        <w:t>Commission (“SEC”) in the Company’s Annual Report on Form 10-K for the fiscal year ended January 29, 2021. These Condensed Consolidated Financial Statements have been prepared in accordance with accounting principles generally accepted in the United States</w:t>
      </w:r>
      <w:r>
        <w:rPr>
          <w:rFonts w:ascii="Times New Roman" w:eastAsia="宋体" w:hAnsi="Times New Roman"/>
          <w:color w:val="000000"/>
          <w:sz w:val="20"/>
          <w:szCs w:val="20"/>
        </w:rPr>
        <w:t xml:space="preserve"> of America (“GAAP”). In the opinion of management, the accompanying Condensed Consolidated Financial Statements reflect all adjustments of a normal recurring nature considered necessary to fairly state the financial position of Dell Technologies Inc. as o</w:t>
      </w:r>
      <w:r>
        <w:rPr>
          <w:rFonts w:ascii="Times New Roman" w:eastAsia="宋体" w:hAnsi="Times New Roman"/>
          <w:color w:val="000000"/>
          <w:sz w:val="20"/>
          <w:szCs w:val="20"/>
        </w:rPr>
        <w:t>f October 29, 2021 and January 29, 2021, the results of its operations and corresponding comprehensive income (loss) for the three and nine months ended October 29, 2021 and October 30, 2020, its cash flows for the nine months ended October 29, 2021 and Oc</w:t>
      </w:r>
      <w:r>
        <w:rPr>
          <w:rFonts w:ascii="Times New Roman" w:eastAsia="宋体" w:hAnsi="Times New Roman"/>
          <w:color w:val="000000"/>
          <w:sz w:val="20"/>
          <w:szCs w:val="20"/>
        </w:rPr>
        <w:t>tober 30, 2020, and its statements of stockholders’ equity for the three and nine months ended October 29, 2021 and October 30, 2020.</w:t>
      </w:r>
    </w:p>
    <w:p w14:paraId="07DCE0B4" w14:textId="77777777" w:rsidR="00AE727E" w:rsidRDefault="00AE727E"/>
    <w:p w14:paraId="07DCE0B5" w14:textId="77777777" w:rsidR="00AE727E" w:rsidRDefault="008433E0">
      <w:r>
        <w:rPr>
          <w:rFonts w:ascii="Times New Roman" w:eastAsia="宋体" w:hAnsi="Times New Roman"/>
          <w:color w:val="000000"/>
          <w:sz w:val="20"/>
          <w:szCs w:val="20"/>
        </w:rPr>
        <w:t>The preparation of financial statements in accordance with GAAP requires management to make estimates and assumptions tha</w:t>
      </w:r>
      <w:r>
        <w:rPr>
          <w:rFonts w:ascii="Times New Roman" w:eastAsia="宋体" w:hAnsi="Times New Roman"/>
          <w:color w:val="000000"/>
          <w:sz w:val="20"/>
          <w:szCs w:val="20"/>
        </w:rPr>
        <w:t>t affect the amounts reported in the Condensed Consolidated Financial Statements and the accompanying Notes. Management has considered the actual and potential economic impacts of the coronavirus disease 2019 (“COVID-19”) pandemic on the Company’s critical</w:t>
      </w:r>
      <w:r>
        <w:rPr>
          <w:rFonts w:ascii="Times New Roman" w:eastAsia="宋体" w:hAnsi="Times New Roman"/>
          <w:color w:val="000000"/>
          <w:sz w:val="20"/>
          <w:szCs w:val="20"/>
        </w:rPr>
        <w:t xml:space="preserve"> and significant accounting estimates. Actual results could differ materially from those estimates. The results of operations and comprehensive income (loss), cash flows, and statements of stockholders’ equity for the three and nine months ended October 29</w:t>
      </w:r>
      <w:r>
        <w:rPr>
          <w:rFonts w:ascii="Times New Roman" w:eastAsia="宋体" w:hAnsi="Times New Roman"/>
          <w:color w:val="000000"/>
          <w:sz w:val="20"/>
          <w:szCs w:val="20"/>
        </w:rPr>
        <w:t>, 2021 and October 30, 2020 are not necessarily indicative of the results to be expected for the full fiscal year or for any other fiscal period.</w:t>
      </w:r>
    </w:p>
    <w:p w14:paraId="07DCE0B6" w14:textId="77777777" w:rsidR="00AE727E" w:rsidRDefault="00AE727E"/>
    <w:p w14:paraId="07DCE0B7" w14:textId="77777777" w:rsidR="00AE727E" w:rsidRDefault="008433E0">
      <w:r>
        <w:rPr>
          <w:rFonts w:ascii="Times New Roman" w:eastAsia="宋体" w:hAnsi="Times New Roman"/>
          <w:color w:val="000000"/>
          <w:sz w:val="20"/>
          <w:szCs w:val="20"/>
        </w:rPr>
        <w:t>The Company’s fiscal year is the 52- or 53-week period ending on the Friday nearest January 31. Both the fisc</w:t>
      </w:r>
      <w:r>
        <w:rPr>
          <w:rFonts w:ascii="Times New Roman" w:eastAsia="宋体" w:hAnsi="Times New Roman"/>
          <w:color w:val="000000"/>
          <w:sz w:val="20"/>
          <w:szCs w:val="20"/>
        </w:rPr>
        <w:t>al year ending January 28, 2022 (“Fiscal 2022”) and fiscal year ended January 29, 2021 (“Fiscal 2021”) are 52-week periods.</w:t>
      </w:r>
    </w:p>
    <w:p w14:paraId="07DCE0B8" w14:textId="77777777" w:rsidR="00AE727E" w:rsidRDefault="00AE727E"/>
    <w:p w14:paraId="07DCE0B9" w14:textId="77777777" w:rsidR="00AE727E" w:rsidRDefault="008433E0">
      <w:r>
        <w:rPr>
          <w:rFonts w:ascii="Times New Roman" w:eastAsia="宋体" w:hAnsi="Times New Roman"/>
          <w:i/>
          <w:iCs/>
          <w:color w:val="000000"/>
          <w:sz w:val="20"/>
          <w:szCs w:val="20"/>
        </w:rPr>
        <w:t xml:space="preserve">Principles of Consolidation </w:t>
      </w:r>
      <w:r>
        <w:rPr>
          <w:rFonts w:ascii="Times New Roman" w:eastAsia="宋体" w:hAnsi="Times New Roman"/>
          <w:color w:val="000000"/>
          <w:sz w:val="20"/>
          <w:szCs w:val="20"/>
        </w:rPr>
        <w:t>— These Condensed Consolidated Financial Statements include the accounts of Dell Technologies and its w</w:t>
      </w:r>
      <w:r>
        <w:rPr>
          <w:rFonts w:ascii="Times New Roman" w:eastAsia="宋体" w:hAnsi="Times New Roman"/>
          <w:color w:val="000000"/>
          <w:sz w:val="20"/>
          <w:szCs w:val="20"/>
        </w:rPr>
        <w:t>holly-owned subsidiaries, as well as the accounts of VMware, Inc. and SecureWorks Corp. (“Secureworks”), each of which is majority-owned by Dell Technologies. All intercompany transactions have been eliminated.</w:t>
      </w:r>
    </w:p>
    <w:p w14:paraId="07DCE0BA" w14:textId="77777777" w:rsidR="00AE727E" w:rsidRDefault="00AE727E"/>
    <w:p w14:paraId="07DCE0BB" w14:textId="77777777" w:rsidR="00AE727E" w:rsidRDefault="008433E0">
      <w:r>
        <w:rPr>
          <w:rFonts w:ascii="Times New Roman" w:eastAsia="宋体" w:hAnsi="Times New Roman"/>
          <w:color w:val="000000"/>
          <w:sz w:val="20"/>
          <w:szCs w:val="20"/>
        </w:rPr>
        <w:t>Unless the context indicates otherwise, refe</w:t>
      </w:r>
      <w:r>
        <w:rPr>
          <w:rFonts w:ascii="Times New Roman" w:eastAsia="宋体" w:hAnsi="Times New Roman"/>
          <w:color w:val="000000"/>
          <w:sz w:val="20"/>
          <w:szCs w:val="20"/>
        </w:rPr>
        <w:t>rences in these Notes to the Condensed Consolidated Financial Statements to “VMware” mean the VMware reportable segment, which reflects the operations of VMware, Inc. (NYSE: VMW) within Dell Technologies.</w:t>
      </w:r>
    </w:p>
    <w:p w14:paraId="07DCE0BC" w14:textId="77777777" w:rsidR="00AE727E" w:rsidRDefault="00AE727E"/>
    <w:p w14:paraId="07DCE0BD" w14:textId="77777777" w:rsidR="00AE727E" w:rsidRDefault="008433E0">
      <w:r>
        <w:rPr>
          <w:rFonts w:ascii="Times New Roman" w:eastAsia="宋体" w:hAnsi="Times New Roman"/>
          <w:color w:val="000000"/>
          <w:sz w:val="20"/>
          <w:szCs w:val="20"/>
        </w:rPr>
        <w:t>The Company also consolidates Variable Interest En</w:t>
      </w:r>
      <w:r>
        <w:rPr>
          <w:rFonts w:ascii="Times New Roman" w:eastAsia="宋体" w:hAnsi="Times New Roman"/>
          <w:color w:val="000000"/>
          <w:sz w:val="20"/>
          <w:szCs w:val="20"/>
        </w:rPr>
        <w:t>tities ("VIEs") where it has been determined that the Company is the primary beneficiary of the applicable entities’ operations. For each VIE, the primary beneficiary is the party that has both the power to direct the activities that most significantly imp</w:t>
      </w:r>
      <w:r>
        <w:rPr>
          <w:rFonts w:ascii="Times New Roman" w:eastAsia="宋体" w:hAnsi="Times New Roman"/>
          <w:color w:val="000000"/>
          <w:sz w:val="20"/>
          <w:szCs w:val="20"/>
        </w:rPr>
        <w:t>act the VIE's economic performance and the obligation to absorb losses or the right to receive benefits of the VIE that could potentially be significant to such VIE. In evaluating whether the Company is the primary beneficiary of each entity, the Company e</w:t>
      </w:r>
      <w:r>
        <w:rPr>
          <w:rFonts w:ascii="Times New Roman" w:eastAsia="宋体" w:hAnsi="Times New Roman"/>
          <w:color w:val="000000"/>
          <w:sz w:val="20"/>
          <w:szCs w:val="20"/>
        </w:rPr>
        <w:t>valuates its power to direct the most significant activities of the VIE by considering the purpose and design of each entity and the risks each entity was designed to create and pass through to its respective variable interest holders. The Company also eva</w:t>
      </w:r>
      <w:r>
        <w:rPr>
          <w:rFonts w:ascii="Times New Roman" w:eastAsia="宋体" w:hAnsi="Times New Roman"/>
          <w:color w:val="000000"/>
          <w:sz w:val="20"/>
          <w:szCs w:val="20"/>
        </w:rPr>
        <w:t>luates its economic interests in each of the VIEs. See Note 3 of the Notes to the Condensed Consolidated Financial Statements for more information regarding consolidated VIEs.</w:t>
      </w:r>
    </w:p>
    <w:p w14:paraId="07DCE0BE" w14:textId="77777777" w:rsidR="00AE727E" w:rsidRDefault="00AE727E"/>
    <w:p w14:paraId="07DCE0BF" w14:textId="77777777" w:rsidR="00AE727E" w:rsidRDefault="008433E0">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November 1, 2021, subsequent to the close of the </w:t>
      </w:r>
      <w:r>
        <w:rPr>
          <w:rFonts w:ascii="Times New Roman" w:eastAsia="宋体" w:hAnsi="Times New Roman"/>
          <w:color w:val="000000"/>
          <w:sz w:val="20"/>
          <w:szCs w:val="20"/>
        </w:rPr>
        <w:t>Company’s third quarter of Fiscal 2022, the Company completed its previously announced spin-off of VMware, Inc. by means of a special stock dividend (the “VMware Spin-off”). The VMware Spin-off was effectuated pursuant to a Separation and Distribution Agre</w:t>
      </w:r>
      <w:r>
        <w:rPr>
          <w:rFonts w:ascii="Times New Roman" w:eastAsia="宋体" w:hAnsi="Times New Roman"/>
          <w:color w:val="000000"/>
          <w:sz w:val="20"/>
          <w:szCs w:val="20"/>
        </w:rPr>
        <w:t xml:space="preserve">ement, dated as of April 14, 2021 (the “Separation and Distribution Agreement”). </w:t>
      </w:r>
    </w:p>
    <w:p w14:paraId="07DCE0C0" w14:textId="77777777" w:rsidR="00AE727E" w:rsidRDefault="00AE727E"/>
    <w:p w14:paraId="07DCE0C1" w14:textId="77777777" w:rsidR="00AE727E" w:rsidRDefault="008433E0">
      <w:r>
        <w:rPr>
          <w:rFonts w:ascii="Times New Roman" w:eastAsia="宋体" w:hAnsi="Times New Roman"/>
          <w:color w:val="000000"/>
          <w:sz w:val="20"/>
          <w:szCs w:val="20"/>
        </w:rPr>
        <w:t>Immediately prior to the VMware Spin-off, on November 1, 2021, VMware paid a special cash dividend of $11.5 billion, in aggregate, to VMware, Inc. common stockholders of rec</w:t>
      </w:r>
      <w:r>
        <w:rPr>
          <w:rFonts w:ascii="Times New Roman" w:eastAsia="宋体" w:hAnsi="Times New Roman"/>
          <w:color w:val="000000"/>
          <w:sz w:val="20"/>
          <w:szCs w:val="20"/>
        </w:rPr>
        <w:t>ord as of 5:00 p.m., New York City time, on October 29, 2021 (the “Record Date”), of which Dell Technologies received approximately $9.3 billion. Dell Technologies used the net proceeds from its pro rata share of the cash dividend to repay a portion of its</w:t>
      </w:r>
      <w:r>
        <w:rPr>
          <w:rFonts w:ascii="Times New Roman" w:eastAsia="宋体" w:hAnsi="Times New Roman"/>
          <w:color w:val="000000"/>
          <w:sz w:val="20"/>
          <w:szCs w:val="20"/>
        </w:rPr>
        <w:t xml:space="preserve"> outstanding core debt.</w:t>
      </w:r>
    </w:p>
    <w:p w14:paraId="07DCE0C2" w14:textId="77777777" w:rsidR="00AE727E" w:rsidRDefault="00AE727E">
      <w:pPr>
        <w:jc w:val="center"/>
      </w:pPr>
    </w:p>
    <w:p w14:paraId="07DCE0C3" w14:textId="77777777" w:rsidR="00AE727E" w:rsidRDefault="008433E0">
      <w:pPr>
        <w:jc w:val="center"/>
      </w:pPr>
      <w:r>
        <w:rPr>
          <w:rFonts w:ascii="Times New Roman" w:eastAsia="宋体" w:hAnsi="Times New Roman"/>
          <w:color w:val="000000"/>
          <w:sz w:val="20"/>
          <w:szCs w:val="20"/>
        </w:rPr>
        <w:t>11</w:t>
      </w:r>
    </w:p>
    <w:p w14:paraId="07DCE0C4" w14:textId="77777777" w:rsidR="00AE727E" w:rsidRDefault="00AE727E">
      <w:pPr>
        <w:jc w:val="center"/>
      </w:pPr>
    </w:p>
    <w:p w14:paraId="07DCE0C5" w14:textId="77777777" w:rsidR="00AE727E" w:rsidRDefault="008433E0">
      <w:r>
        <w:pict w14:anchorId="07DD18DB">
          <v:rect id="_x0000_i1035" style="width:415.3pt;height:1.5pt" o:hralign="center" o:hrstd="t" o:hr="t" fillcolor="#a0a0a0" stroked="f"/>
        </w:pict>
      </w:r>
    </w:p>
    <w:p w14:paraId="07DCE0C6" w14:textId="77777777" w:rsidR="00AE727E" w:rsidRDefault="008433E0">
      <w:hyperlink r:id="rId136" w:anchor="i1c8279be622a460ea19600488436f115_10" w:history="1">
        <w:r>
          <w:rPr>
            <w:rStyle w:val="a5"/>
            <w:rFonts w:ascii="Times New Roman" w:eastAsia="宋体" w:hAnsi="Times New Roman"/>
            <w:sz w:val="20"/>
            <w:szCs w:val="20"/>
          </w:rPr>
          <w:t>Table of Contents</w:t>
        </w:r>
      </w:hyperlink>
    </w:p>
    <w:p w14:paraId="07DCE0C7"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0C8"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w:t>
      </w:r>
      <w:r>
        <w:rPr>
          <w:rFonts w:ascii="Times New Roman" w:eastAsia="宋体" w:hAnsi="Times New Roman"/>
          <w:b/>
          <w:bCs/>
          <w:color w:val="000000"/>
          <w:sz w:val="20"/>
          <w:szCs w:val="20"/>
          <w:shd w:val="clear" w:color="auto" w:fill="FFFFFF"/>
        </w:rPr>
        <w:t>DATED FINANCIAL STATEMENTS (Continued)</w:t>
      </w:r>
    </w:p>
    <w:p w14:paraId="07DCE0C9"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0CA" w14:textId="77777777" w:rsidR="00AE727E" w:rsidRDefault="00AE727E">
      <w:pPr>
        <w:jc w:val="center"/>
      </w:pPr>
    </w:p>
    <w:p w14:paraId="07DCE0CB" w14:textId="77777777" w:rsidR="00AE727E" w:rsidRDefault="00AE727E"/>
    <w:p w14:paraId="07DCE0CC" w14:textId="77777777" w:rsidR="00AE727E" w:rsidRDefault="008433E0">
      <w:r>
        <w:rPr>
          <w:rFonts w:ascii="Times New Roman" w:eastAsia="宋体" w:hAnsi="Times New Roman"/>
          <w:color w:val="000000"/>
          <w:sz w:val="20"/>
          <w:szCs w:val="20"/>
        </w:rPr>
        <w:t xml:space="preserve">Dell Technologies stockholders received approximately 0.440626 of a share of VMware Class A common stock for each share of Dell Technologies common stock held as of the Record Date, based on shares </w:t>
      </w:r>
      <w:r>
        <w:rPr>
          <w:rFonts w:ascii="Times New Roman" w:eastAsia="宋体" w:hAnsi="Times New Roman"/>
          <w:color w:val="000000"/>
          <w:sz w:val="20"/>
          <w:szCs w:val="20"/>
        </w:rPr>
        <w:t>outstanding as of the completion of the VMware Spin-off, with no change to the capital structure of Dell Technologies. As a result of the VMware Spin-off, the pre-transaction stockholders of Dell Technologies own shares in two separate public companies, co</w:t>
      </w:r>
      <w:r>
        <w:rPr>
          <w:rFonts w:ascii="Times New Roman" w:eastAsia="宋体" w:hAnsi="Times New Roman"/>
          <w:color w:val="000000"/>
          <w:sz w:val="20"/>
          <w:szCs w:val="20"/>
        </w:rPr>
        <w:t>nsisting of (1) VMware, Inc., which continues to own the businesses of VMware, Inc. and its subsidiaries, and (2) Dell Technologies, which continues to own Dell Technologies’ other businesses and subsidiaries.</w:t>
      </w:r>
    </w:p>
    <w:p w14:paraId="07DCE0CD" w14:textId="77777777" w:rsidR="00AE727E" w:rsidRDefault="00AE727E"/>
    <w:p w14:paraId="07DCE0CE" w14:textId="77777777" w:rsidR="00AE727E" w:rsidRDefault="008433E0">
      <w:r>
        <w:rPr>
          <w:rFonts w:ascii="Times New Roman" w:eastAsia="宋体" w:hAnsi="Times New Roman"/>
          <w:color w:val="000000"/>
          <w:sz w:val="20"/>
          <w:szCs w:val="20"/>
        </w:rPr>
        <w:t>Pursuant to the Dell Technologies Inc. 2013 S</w:t>
      </w:r>
      <w:r>
        <w:rPr>
          <w:rFonts w:ascii="Times New Roman" w:eastAsia="宋体" w:hAnsi="Times New Roman"/>
          <w:color w:val="000000"/>
          <w:sz w:val="20"/>
          <w:szCs w:val="20"/>
        </w:rPr>
        <w:t>tock Incentive Plan that provides for equitable adjustments in the event of a restructuring event, stock awards that were outstanding at the time of the VMware spin-off were adjusted in the ratio of approximately 1.97 to 1. The conversion ratio was based o</w:t>
      </w:r>
      <w:r>
        <w:rPr>
          <w:rFonts w:ascii="Times New Roman" w:eastAsia="宋体" w:hAnsi="Times New Roman"/>
          <w:color w:val="000000"/>
          <w:sz w:val="20"/>
          <w:szCs w:val="20"/>
        </w:rPr>
        <w:t>n the Company’s pre-VMware Spin-off closing stock price on November 1, 2021 and post-VMware Spin-off opening stock price on November 2, 2021. The adjustment resulted in an increase of 30.1 million restricted stock units and 1.9 million stock options. The a</w:t>
      </w:r>
      <w:r>
        <w:rPr>
          <w:rFonts w:ascii="Times New Roman" w:eastAsia="宋体" w:hAnsi="Times New Roman"/>
          <w:color w:val="000000"/>
          <w:sz w:val="20"/>
          <w:szCs w:val="20"/>
        </w:rPr>
        <w:t xml:space="preserve">djustment did not result in material incremental stock-based compensation expense as it was required by the Company’s equity incentive plan. </w:t>
      </w:r>
    </w:p>
    <w:p w14:paraId="07DCE0CF" w14:textId="77777777" w:rsidR="00AE727E" w:rsidRDefault="00AE727E"/>
    <w:p w14:paraId="07DCE0D0" w14:textId="77777777" w:rsidR="00AE727E" w:rsidRDefault="008433E0">
      <w:r>
        <w:rPr>
          <w:rFonts w:ascii="Times New Roman" w:eastAsia="宋体" w:hAnsi="Times New Roman"/>
          <w:color w:val="000000"/>
          <w:sz w:val="20"/>
          <w:szCs w:val="20"/>
        </w:rPr>
        <w:t>In connection with and upon completion of the VMware Spin-off, Dell Technologies and VMware, Inc. entered into va</w:t>
      </w:r>
      <w:r>
        <w:rPr>
          <w:rFonts w:ascii="Times New Roman" w:eastAsia="宋体" w:hAnsi="Times New Roman"/>
          <w:color w:val="000000"/>
          <w:sz w:val="20"/>
          <w:szCs w:val="20"/>
        </w:rPr>
        <w:t>rious agreements that provide a framework for the relationship between the companies after the transaction, including, among others, a commercial framework agreement, a tax matters agreement, and a transition services agreement.</w:t>
      </w:r>
    </w:p>
    <w:p w14:paraId="07DCE0D1" w14:textId="77777777" w:rsidR="00AE727E" w:rsidRDefault="00AE727E"/>
    <w:p w14:paraId="07DCE0D2" w14:textId="77777777" w:rsidR="00AE727E" w:rsidRDefault="008433E0">
      <w:r>
        <w:rPr>
          <w:rFonts w:ascii="Times New Roman" w:eastAsia="宋体" w:hAnsi="Times New Roman"/>
          <w:color w:val="000000"/>
          <w:sz w:val="20"/>
          <w:szCs w:val="20"/>
        </w:rPr>
        <w:t>The Commercial Framework A</w:t>
      </w:r>
      <w:r>
        <w:rPr>
          <w:rFonts w:ascii="Times New Roman" w:eastAsia="宋体" w:hAnsi="Times New Roman"/>
          <w:color w:val="000000"/>
          <w:sz w:val="20"/>
          <w:szCs w:val="20"/>
        </w:rPr>
        <w:t>greement (“CFA”) provides a framework under which the Company and VMware, Inc. will continue their strategic commercial relationship after the transaction, particularly with respect to projects mutually agreed by the parties as having the potential to acce</w:t>
      </w:r>
      <w:r>
        <w:rPr>
          <w:rFonts w:ascii="Times New Roman" w:eastAsia="宋体" w:hAnsi="Times New Roman"/>
          <w:color w:val="000000"/>
          <w:sz w:val="20"/>
          <w:szCs w:val="20"/>
        </w:rPr>
        <w:t>lerate the growth of an industry, product, service, or platform that may provide one or both companies with a strategic market opportunity. The CFA has an initial term of five years, with automatic one-year renewals occurring annually thereafter, subject t</w:t>
      </w:r>
      <w:r>
        <w:rPr>
          <w:rFonts w:ascii="Times New Roman" w:eastAsia="宋体" w:hAnsi="Times New Roman"/>
          <w:color w:val="000000"/>
          <w:sz w:val="20"/>
          <w:szCs w:val="20"/>
        </w:rPr>
        <w:t>o certain terms and conditions.</w:t>
      </w:r>
    </w:p>
    <w:p w14:paraId="07DCE0D3" w14:textId="77777777" w:rsidR="00AE727E" w:rsidRDefault="00AE727E"/>
    <w:p w14:paraId="07DCE0D4" w14:textId="77777777" w:rsidR="00AE727E" w:rsidRDefault="008433E0">
      <w:r>
        <w:rPr>
          <w:rFonts w:ascii="Times New Roman" w:eastAsia="宋体" w:hAnsi="Times New Roman"/>
          <w:color w:val="000000"/>
          <w:sz w:val="20"/>
          <w:szCs w:val="20"/>
        </w:rPr>
        <w:t xml:space="preserve">The Tax Matters Agreement governs the respective rights, responsibilities, and obligations of Dell Technologies and VMware, Inc. with respect to tax liabilities (including taxes, if any, incurred as a result of any failure </w:t>
      </w:r>
      <w:r>
        <w:rPr>
          <w:rFonts w:ascii="Times New Roman" w:eastAsia="宋体" w:hAnsi="Times New Roman"/>
          <w:color w:val="000000"/>
          <w:sz w:val="20"/>
          <w:szCs w:val="20"/>
        </w:rPr>
        <w:t>of the VMware Spin-off to qualify for tax-free treatment for U.S. federal income tax purposes) and benefits, tax attributes, the preparation and filing of tax returns, the control of audits and other tax proceedings, cooperation, and other matters regardin</w:t>
      </w:r>
      <w:r>
        <w:rPr>
          <w:rFonts w:ascii="Times New Roman" w:eastAsia="宋体" w:hAnsi="Times New Roman"/>
          <w:color w:val="000000"/>
          <w:sz w:val="20"/>
          <w:szCs w:val="20"/>
        </w:rPr>
        <w:t>g tax.</w:t>
      </w:r>
    </w:p>
    <w:p w14:paraId="07DCE0D5" w14:textId="77777777" w:rsidR="00AE727E" w:rsidRDefault="00AE727E"/>
    <w:p w14:paraId="07DCE0D6" w14:textId="77777777" w:rsidR="00AE727E" w:rsidRDefault="008433E0">
      <w:r>
        <w:rPr>
          <w:rFonts w:ascii="Times New Roman" w:eastAsia="宋体" w:hAnsi="Times New Roman"/>
          <w:color w:val="000000"/>
          <w:sz w:val="20"/>
          <w:szCs w:val="20"/>
        </w:rPr>
        <w:t>The Company will report VMware, Inc. results as discontinued operations beginning in the fourth quarter of Fiscal 2022.</w:t>
      </w:r>
    </w:p>
    <w:p w14:paraId="07DCE0D7" w14:textId="77777777" w:rsidR="00AE727E" w:rsidRDefault="00AE727E"/>
    <w:p w14:paraId="07DCE0D8" w14:textId="77777777" w:rsidR="00AE727E" w:rsidRDefault="008433E0">
      <w:r>
        <w:rPr>
          <w:rFonts w:ascii="Times New Roman" w:eastAsia="宋体" w:hAnsi="Times New Roman"/>
          <w:color w:val="000000"/>
          <w:sz w:val="20"/>
          <w:szCs w:val="20"/>
        </w:rPr>
        <w:t xml:space="preserve">See Note 5 and Note 18 of the Notes to the Condensed Consolidated Financial Statements for more information regarding debt </w:t>
      </w:r>
      <w:r>
        <w:rPr>
          <w:rFonts w:ascii="Times New Roman" w:eastAsia="宋体" w:hAnsi="Times New Roman"/>
          <w:color w:val="000000"/>
          <w:sz w:val="20"/>
          <w:szCs w:val="20"/>
        </w:rPr>
        <w:t>repayments and the completion of the VMware Spin-off.</w:t>
      </w:r>
    </w:p>
    <w:p w14:paraId="07DCE0D9" w14:textId="77777777" w:rsidR="00AE727E" w:rsidRDefault="00AE727E"/>
    <w:p w14:paraId="07DCE0DA" w14:textId="77777777" w:rsidR="00AE727E" w:rsidRDefault="008433E0">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 On October 1, 2021, Dell Technologies completed the sale of Boomi and certain related assets to Francisco Partners and TPG Capital. At the completion of the sale, the Company receiv</w:t>
      </w:r>
      <w:r>
        <w:rPr>
          <w:rFonts w:ascii="Times New Roman" w:eastAsia="宋体" w:hAnsi="Times New Roman"/>
          <w:color w:val="000000"/>
          <w:sz w:val="20"/>
          <w:szCs w:val="20"/>
        </w:rPr>
        <w:t>ed total cash consideration of approximately $4.0 billion, resulting in a pre-tax gain on sale of $4.0 billion. The Company ultimately recorded a $3.0 billion gain, net of $1.0 billion in tax expense. The transaction was intended to support the Company’s f</w:t>
      </w:r>
      <w:r>
        <w:rPr>
          <w:rFonts w:ascii="Times New Roman" w:eastAsia="宋体" w:hAnsi="Times New Roman"/>
          <w:color w:val="000000"/>
          <w:sz w:val="20"/>
          <w:szCs w:val="20"/>
        </w:rPr>
        <w:t>ocus on fueling growth initiatives through targeted investments to modernize Dell Technologies’ core infrastructure and by expanding in high-priority areas, including hybrid and private cloud, edge, telecommunications solutions, and the Company’s APEX offe</w:t>
      </w:r>
      <w:r>
        <w:rPr>
          <w:rFonts w:ascii="Times New Roman" w:eastAsia="宋体" w:hAnsi="Times New Roman"/>
          <w:color w:val="000000"/>
          <w:sz w:val="20"/>
          <w:szCs w:val="20"/>
        </w:rPr>
        <w:t xml:space="preserve">rings. Prior to the divestiture, Boomi’s operating results were included within Other businesses and did not qualify for presentation as a discontinued operation. </w:t>
      </w:r>
    </w:p>
    <w:p w14:paraId="07DCE0DB" w14:textId="77777777" w:rsidR="00AE727E" w:rsidRDefault="00AE727E"/>
    <w:p w14:paraId="07DCE0DC" w14:textId="77777777" w:rsidR="00AE727E" w:rsidRDefault="008433E0">
      <w:r>
        <w:rPr>
          <w:rFonts w:ascii="Times New Roman" w:eastAsia="宋体" w:hAnsi="Times New Roman"/>
          <w:i/>
          <w:iCs/>
          <w:color w:val="000000"/>
          <w:sz w:val="20"/>
          <w:szCs w:val="20"/>
        </w:rPr>
        <w:t>RSA Security Divestiture</w:t>
      </w:r>
      <w:r>
        <w:rPr>
          <w:rFonts w:ascii="Times New Roman" w:eastAsia="宋体" w:hAnsi="Times New Roman"/>
          <w:color w:val="000000"/>
          <w:sz w:val="20"/>
          <w:szCs w:val="20"/>
        </w:rPr>
        <w:t xml:space="preserve"> — On September 1, 2020, Dell Technologies completed the sale of RS</w:t>
      </w:r>
      <w:r>
        <w:rPr>
          <w:rFonts w:ascii="Times New Roman" w:eastAsia="宋体" w:hAnsi="Times New Roman"/>
          <w:color w:val="000000"/>
          <w:sz w:val="20"/>
          <w:szCs w:val="20"/>
        </w:rPr>
        <w:t>A Security to a consortium led by Symphony Technology Group, Ontario Teachers’ Pension Plan Board and AlpInvest Partners for total cash consideration of approximately $2.082 billion, resulting in a pre-tax gain on sale of $338 million. The Company ultimate</w:t>
      </w:r>
      <w:r>
        <w:rPr>
          <w:rFonts w:ascii="Times New Roman" w:eastAsia="宋体" w:hAnsi="Times New Roman"/>
          <w:color w:val="000000"/>
          <w:sz w:val="20"/>
          <w:szCs w:val="20"/>
        </w:rPr>
        <w:t>ly recorded a $21 million loss, net of $359 million in tax expense due to the relatively low tax basis for the assets sold, particularly goodwill. The transaction included the sale of RSA Archer, RSA NetWitness Platform, RSA SecurID, RSA Fraud and Risk Int</w:t>
      </w:r>
      <w:r>
        <w:rPr>
          <w:rFonts w:ascii="Times New Roman" w:eastAsia="宋体" w:hAnsi="Times New Roman"/>
          <w:color w:val="000000"/>
          <w:sz w:val="20"/>
          <w:szCs w:val="20"/>
        </w:rPr>
        <w:t>elligence, and RSA Conference and was intended to further simplify Dell Technologies’ product portfolio and corporate structure. Prior to the divestiture, RSA Security’s operating results were included within Other businesses and did not qualify for presen</w:t>
      </w:r>
      <w:r>
        <w:rPr>
          <w:rFonts w:ascii="Times New Roman" w:eastAsia="宋体" w:hAnsi="Times New Roman"/>
          <w:color w:val="000000"/>
          <w:sz w:val="20"/>
          <w:szCs w:val="20"/>
        </w:rPr>
        <w:t>tation as a discontinued operation.</w:t>
      </w:r>
    </w:p>
    <w:p w14:paraId="07DCE0DD" w14:textId="77777777" w:rsidR="00AE727E" w:rsidRDefault="00AE727E"/>
    <w:p w14:paraId="07DCE0DE" w14:textId="77777777" w:rsidR="00AE727E" w:rsidRDefault="00AE727E"/>
    <w:p w14:paraId="07DCE0DF" w14:textId="77777777" w:rsidR="00AE727E" w:rsidRDefault="00AE727E"/>
    <w:p w14:paraId="07DCE0E0" w14:textId="77777777" w:rsidR="00AE727E" w:rsidRDefault="00AE727E">
      <w:pPr>
        <w:jc w:val="center"/>
      </w:pPr>
    </w:p>
    <w:p w14:paraId="07DCE0E1" w14:textId="77777777" w:rsidR="00AE727E" w:rsidRDefault="008433E0">
      <w:pPr>
        <w:jc w:val="center"/>
      </w:pPr>
      <w:r>
        <w:rPr>
          <w:rFonts w:ascii="Times New Roman" w:eastAsia="宋体" w:hAnsi="Times New Roman"/>
          <w:color w:val="000000"/>
          <w:sz w:val="20"/>
          <w:szCs w:val="20"/>
        </w:rPr>
        <w:t>12</w:t>
      </w:r>
    </w:p>
    <w:p w14:paraId="07DCE0E2" w14:textId="77777777" w:rsidR="00AE727E" w:rsidRDefault="00AE727E">
      <w:pPr>
        <w:jc w:val="center"/>
      </w:pPr>
    </w:p>
    <w:p w14:paraId="07DCE0E3" w14:textId="77777777" w:rsidR="00AE727E" w:rsidRDefault="008433E0">
      <w:r>
        <w:pict w14:anchorId="07DD18DC">
          <v:rect id="_x0000_i1036" style="width:415.3pt;height:1.5pt" o:hralign="center" o:hrstd="t" o:hr="t" fillcolor="#a0a0a0" stroked="f"/>
        </w:pict>
      </w:r>
    </w:p>
    <w:p w14:paraId="07DCE0E4" w14:textId="77777777" w:rsidR="00AE727E" w:rsidRDefault="008433E0">
      <w:hyperlink r:id="rId137" w:anchor="i1c8279be622a460ea19600488436f115_10" w:history="1">
        <w:r>
          <w:rPr>
            <w:rStyle w:val="a5"/>
            <w:rFonts w:ascii="Times New Roman" w:eastAsia="宋体" w:hAnsi="Times New Roman"/>
            <w:sz w:val="20"/>
            <w:szCs w:val="20"/>
          </w:rPr>
          <w:t>Table of Contents</w:t>
        </w:r>
      </w:hyperlink>
    </w:p>
    <w:p w14:paraId="07DCE0E5"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0E6"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0E7"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0E8" w14:textId="77777777" w:rsidR="00AE727E" w:rsidRDefault="00AE727E">
      <w:pPr>
        <w:jc w:val="center"/>
      </w:pPr>
    </w:p>
    <w:p w14:paraId="07DCE0E9" w14:textId="77777777" w:rsidR="00AE727E" w:rsidRDefault="008433E0">
      <w:r>
        <w:rPr>
          <w:rFonts w:ascii="Times New Roman" w:eastAsia="宋体" w:hAnsi="Times New Roman"/>
          <w:i/>
          <w:iCs/>
          <w:color w:val="000000"/>
          <w:sz w:val="20"/>
          <w:szCs w:val="20"/>
        </w:rPr>
        <w:t xml:space="preserve">VMware, Inc. Acquisition of Pivotal </w:t>
      </w:r>
      <w:r>
        <w:rPr>
          <w:rFonts w:ascii="Times New Roman" w:eastAsia="宋体" w:hAnsi="Times New Roman"/>
          <w:color w:val="000000"/>
          <w:sz w:val="20"/>
          <w:szCs w:val="20"/>
        </w:rPr>
        <w:t>— On December 30, 2019, VMware, Inc. completed its acquisition of Pivotal Software, Inc. (“Pivotal”) from the Company by merger (the “Pivo</w:t>
      </w:r>
      <w:r>
        <w:rPr>
          <w:rFonts w:ascii="Times New Roman" w:eastAsia="宋体" w:hAnsi="Times New Roman"/>
          <w:color w:val="000000"/>
          <w:sz w:val="20"/>
          <w:szCs w:val="20"/>
        </w:rPr>
        <w:t xml:space="preserve">tal acquisition”). As of the transaction date, Pivotal’s Class A common stock (NYSE: PVTL) ceased to be listed and traded on the New York Stock Exchange (“NYSE”). Due to the Company’s ownership of a controlling interest in Pivotal, the Company and VMware, </w:t>
      </w:r>
      <w:r>
        <w:rPr>
          <w:rFonts w:ascii="Times New Roman" w:eastAsia="宋体" w:hAnsi="Times New Roman"/>
          <w:color w:val="000000"/>
          <w:sz w:val="20"/>
          <w:szCs w:val="20"/>
        </w:rPr>
        <w:t>Inc. accounted for the acquisition of the controlling interest in Pivotal as a transaction between entities under common control, and, consequently, the transaction had no net effect on the Company’s consolidated financial statements. Subsequent to the Piv</w:t>
      </w:r>
      <w:r>
        <w:rPr>
          <w:rFonts w:ascii="Times New Roman" w:eastAsia="宋体" w:hAnsi="Times New Roman"/>
          <w:color w:val="000000"/>
          <w:sz w:val="20"/>
          <w:szCs w:val="20"/>
        </w:rPr>
        <w:t>otal acquisition, Pivotal operates as a wholly-owned subsidiary of VMware, Inc. and Dell Technologies reports Pivotal results within the VMware reportable segment. Prior to the Pivotal acquisition, Pivotal results were reported within Other businesses. Thi</w:t>
      </w:r>
      <w:r>
        <w:rPr>
          <w:rFonts w:ascii="Times New Roman" w:eastAsia="宋体" w:hAnsi="Times New Roman"/>
          <w:color w:val="000000"/>
          <w:sz w:val="20"/>
          <w:szCs w:val="20"/>
        </w:rPr>
        <w:t>s change in Pivotal segment classification was reflected retrospectively in the Company’s reportable segment results.</w:t>
      </w:r>
    </w:p>
    <w:p w14:paraId="07DCE0EA" w14:textId="77777777" w:rsidR="00AE727E" w:rsidRDefault="00AE727E"/>
    <w:p w14:paraId="07DCE0EB" w14:textId="77777777" w:rsidR="00AE727E" w:rsidRDefault="008433E0">
      <w:r>
        <w:rPr>
          <w:rFonts w:ascii="Times New Roman" w:eastAsia="宋体" w:hAnsi="Times New Roman"/>
          <w:i/>
          <w:iCs/>
          <w:color w:val="000000"/>
          <w:sz w:val="20"/>
          <w:szCs w:val="20"/>
        </w:rPr>
        <w:t>Class V Transaction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December 28, 2018, the Company completed a transaction (the “Class V transaction”) in which it paid $14.0 billio</w:t>
      </w:r>
      <w:r>
        <w:rPr>
          <w:rFonts w:ascii="Times New Roman" w:eastAsia="宋体" w:hAnsi="Times New Roman"/>
          <w:color w:val="000000"/>
          <w:sz w:val="20"/>
          <w:szCs w:val="20"/>
        </w:rPr>
        <w:t>n in cash and issued 149,387,617 shares of its Class C Common Stock to holders of its Class V Common Stock in exchange for all outstanding shares of Class V Common Stock. The non-cash consideration portion of the Class V transaction totaled $6.9 billion. A</w:t>
      </w:r>
      <w:r>
        <w:rPr>
          <w:rFonts w:ascii="Times New Roman" w:eastAsia="宋体" w:hAnsi="Times New Roman"/>
          <w:color w:val="000000"/>
          <w:sz w:val="20"/>
          <w:szCs w:val="20"/>
        </w:rPr>
        <w:t xml:space="preserve">s a result of the Class V transaction, the tracking stock feature of the Company’s capital structure associated with the Class V Common Stock was terminated. The Class C Common Stock is traded on the NYSE. </w:t>
      </w:r>
    </w:p>
    <w:p w14:paraId="07DCE0EC" w14:textId="77777777" w:rsidR="00AE727E" w:rsidRDefault="00AE727E"/>
    <w:p w14:paraId="07DCE0ED" w14:textId="77777777" w:rsidR="00AE727E" w:rsidRDefault="008433E0">
      <w:r>
        <w:rPr>
          <w:rFonts w:ascii="Times New Roman" w:eastAsia="宋体" w:hAnsi="Times New Roman"/>
          <w:i/>
          <w:iCs/>
          <w:color w:val="000000"/>
          <w:sz w:val="20"/>
          <w:szCs w:val="20"/>
        </w:rPr>
        <w:t>EMC Merger Transaction</w:t>
      </w:r>
      <w:r>
        <w:rPr>
          <w:rFonts w:ascii="Times New Roman" w:eastAsia="宋体" w:hAnsi="Times New Roman"/>
          <w:color w:val="000000"/>
          <w:sz w:val="20"/>
          <w:szCs w:val="20"/>
        </w:rPr>
        <w:t xml:space="preserve"> — On September 7, 2016, t</w:t>
      </w:r>
      <w:r>
        <w:rPr>
          <w:rFonts w:ascii="Times New Roman" w:eastAsia="宋体" w:hAnsi="Times New Roman"/>
          <w:color w:val="000000"/>
          <w:sz w:val="20"/>
          <w:szCs w:val="20"/>
        </w:rPr>
        <w:t xml:space="preserve">he Company completed its acquisition of EMC Corporation (“EMC”) by merger (the “EMC merger transaction”). </w:t>
      </w:r>
    </w:p>
    <w:p w14:paraId="07DCE0EE" w14:textId="77777777" w:rsidR="00AE727E" w:rsidRDefault="00AE727E"/>
    <w:p w14:paraId="07DCE0EF" w14:textId="77777777" w:rsidR="00AE727E" w:rsidRDefault="008433E0">
      <w:r>
        <w:rPr>
          <w:rFonts w:ascii="Times New Roman" w:eastAsia="宋体" w:hAnsi="Times New Roman"/>
          <w:i/>
          <w:iCs/>
          <w:color w:val="000000"/>
          <w:sz w:val="20"/>
          <w:szCs w:val="20"/>
          <w:u w:val="single"/>
        </w:rPr>
        <w:t>Recently Issued Accounting Pronouncements</w:t>
      </w:r>
    </w:p>
    <w:p w14:paraId="07DCE0F0" w14:textId="77777777" w:rsidR="00AE727E" w:rsidRDefault="00AE727E"/>
    <w:p w14:paraId="07DCE0F1" w14:textId="77777777" w:rsidR="00AE727E" w:rsidRDefault="008433E0">
      <w:r>
        <w:rPr>
          <w:rFonts w:ascii="Times New Roman" w:eastAsia="宋体" w:hAnsi="Times New Roman"/>
          <w:i/>
          <w:iCs/>
          <w:color w:val="000000"/>
          <w:sz w:val="20"/>
          <w:szCs w:val="20"/>
        </w:rPr>
        <w:t xml:space="preserve">Accounting for Contract Assets and Contract Liabilities from Contracts with Customers </w:t>
      </w:r>
      <w:r>
        <w:rPr>
          <w:rFonts w:ascii="Times New Roman" w:eastAsia="宋体" w:hAnsi="Times New Roman"/>
          <w:color w:val="000000"/>
          <w:sz w:val="20"/>
          <w:szCs w:val="20"/>
        </w:rPr>
        <w:t xml:space="preserve">— In October 2021, the Financial Accounting Standards Board (“FASB”) issued guidance which requires companies to apply Topic 606, </w:t>
      </w:r>
      <w:r>
        <w:rPr>
          <w:rFonts w:ascii="Times New Roman" w:eastAsia="宋体" w:hAnsi="Times New Roman"/>
          <w:i/>
          <w:iCs/>
          <w:color w:val="000000"/>
          <w:sz w:val="20"/>
          <w:szCs w:val="20"/>
        </w:rPr>
        <w:t>Revenue from Contracts with Customers</w:t>
      </w:r>
      <w:r>
        <w:rPr>
          <w:rFonts w:ascii="Times New Roman" w:eastAsia="宋体" w:hAnsi="Times New Roman"/>
          <w:color w:val="000000"/>
          <w:sz w:val="20"/>
          <w:szCs w:val="20"/>
        </w:rPr>
        <w:t>, t</w:t>
      </w:r>
      <w:r>
        <w:rPr>
          <w:rFonts w:ascii="Times New Roman" w:eastAsia="宋体" w:hAnsi="Times New Roman"/>
          <w:color w:val="000000"/>
          <w:sz w:val="20"/>
          <w:szCs w:val="20"/>
        </w:rPr>
        <w:t>o recognize and measure contract assets and contract liabilities from contracts with customers acquired in a business combination. Public entities must adopt the new guidance for fiscal years beginning after December 15, 2022 and interim periods within tho</w:t>
      </w:r>
      <w:r>
        <w:rPr>
          <w:rFonts w:ascii="Times New Roman" w:eastAsia="宋体" w:hAnsi="Times New Roman"/>
          <w:color w:val="000000"/>
          <w:sz w:val="20"/>
          <w:szCs w:val="20"/>
        </w:rPr>
        <w:t>se fiscal years, with early adoption permitted. The Company is currently evaluating the impact and timing of adoption of this guidance.</w:t>
      </w:r>
    </w:p>
    <w:p w14:paraId="07DCE0F2" w14:textId="77777777" w:rsidR="00AE727E" w:rsidRDefault="00AE727E"/>
    <w:p w14:paraId="07DCE0F3" w14:textId="77777777" w:rsidR="00AE727E" w:rsidRDefault="008433E0">
      <w:r>
        <w:rPr>
          <w:rFonts w:ascii="Times New Roman" w:eastAsia="宋体" w:hAnsi="Times New Roman"/>
          <w:i/>
          <w:iCs/>
          <w:color w:val="000000"/>
          <w:sz w:val="20"/>
          <w:szCs w:val="20"/>
        </w:rPr>
        <w:t xml:space="preserve">Reference Rate Reform </w:t>
      </w:r>
      <w:r>
        <w:rPr>
          <w:rFonts w:ascii="Times New Roman" w:eastAsia="宋体" w:hAnsi="Times New Roman"/>
          <w:color w:val="000000"/>
          <w:sz w:val="20"/>
          <w:szCs w:val="20"/>
        </w:rPr>
        <w:t>— In March 2020, the FASB issued guidance which provides temporary optional expedients and except</w:t>
      </w:r>
      <w:r>
        <w:rPr>
          <w:rFonts w:ascii="Times New Roman" w:eastAsia="宋体" w:hAnsi="Times New Roman"/>
          <w:color w:val="000000"/>
          <w:sz w:val="20"/>
          <w:szCs w:val="20"/>
        </w:rPr>
        <w:t>ions to GAAP guidance on contract modifications and certain hedging relationships to ease the financial reporting burdens related to the expected market transition from the London Interbank Offered Rate to alternative reference rates. The Company may elect</w:t>
      </w:r>
      <w:r>
        <w:rPr>
          <w:rFonts w:ascii="Times New Roman" w:eastAsia="宋体" w:hAnsi="Times New Roman"/>
          <w:color w:val="000000"/>
          <w:sz w:val="20"/>
          <w:szCs w:val="20"/>
        </w:rPr>
        <w:t xml:space="preserve"> to apply the amendments prospectively through December 31, 2022. Adoption of the new guidance is not expected to have a material impact on the Company’s financial results.</w:t>
      </w:r>
    </w:p>
    <w:p w14:paraId="07DCE0F4" w14:textId="77777777" w:rsidR="00AE727E" w:rsidRDefault="00AE727E"/>
    <w:p w14:paraId="07DCE0F5" w14:textId="77777777" w:rsidR="00AE727E" w:rsidRDefault="008433E0">
      <w:r>
        <w:rPr>
          <w:rFonts w:ascii="Times New Roman" w:eastAsia="宋体" w:hAnsi="Times New Roman"/>
          <w:i/>
          <w:iCs/>
          <w:color w:val="000000"/>
          <w:sz w:val="20"/>
          <w:szCs w:val="20"/>
          <w:u w:val="single"/>
        </w:rPr>
        <w:t>Recently Adopted Accounting Pronouncements</w:t>
      </w:r>
    </w:p>
    <w:p w14:paraId="07DCE0F6" w14:textId="77777777" w:rsidR="00AE727E" w:rsidRDefault="00AE727E"/>
    <w:p w14:paraId="07DCE0F7" w14:textId="77777777" w:rsidR="00AE727E" w:rsidRDefault="008433E0">
      <w:r>
        <w:rPr>
          <w:rFonts w:ascii="Times New Roman" w:eastAsia="宋体" w:hAnsi="Times New Roman"/>
          <w:i/>
          <w:iCs/>
          <w:color w:val="000000"/>
          <w:sz w:val="20"/>
          <w:szCs w:val="20"/>
        </w:rPr>
        <w:t>Accounting for Convertible Instruments</w:t>
      </w:r>
      <w:r>
        <w:rPr>
          <w:rFonts w:ascii="Times New Roman" w:eastAsia="宋体" w:hAnsi="Times New Roman"/>
          <w:i/>
          <w:iCs/>
          <w:color w:val="000000"/>
          <w:sz w:val="20"/>
          <w:szCs w:val="20"/>
        </w:rPr>
        <w:t xml:space="preserve"> and Contracts in an Entity’s Own Equity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2020, the FASB issued guidance to simplify the accounting for convertible debt instruments and convertible preferred stock, and the derivatives scope exception for contracts in an entity's own equity. In</w:t>
      </w:r>
      <w:r>
        <w:rPr>
          <w:rFonts w:ascii="Times New Roman" w:eastAsia="宋体" w:hAnsi="Times New Roman"/>
          <w:color w:val="000000"/>
          <w:sz w:val="20"/>
          <w:szCs w:val="20"/>
        </w:rPr>
        <w:t xml:space="preserve"> addition, the guidance on calculating diluted earnings per share has been simplified and made more internally consistent. The Company early adopted this standard as of January 30, 2021. There was no impact on the Condensed Consolidated Financial Statement</w:t>
      </w:r>
      <w:r>
        <w:rPr>
          <w:rFonts w:ascii="Times New Roman" w:eastAsia="宋体" w:hAnsi="Times New Roman"/>
          <w:color w:val="000000"/>
          <w:sz w:val="20"/>
          <w:szCs w:val="20"/>
        </w:rPr>
        <w:t xml:space="preserve">s or to diluted earnings per share as of the adoption date. </w:t>
      </w:r>
    </w:p>
    <w:p w14:paraId="07DCE0F8" w14:textId="77777777" w:rsidR="00AE727E" w:rsidRDefault="00AE727E"/>
    <w:p w14:paraId="07DCE0F9" w14:textId="77777777" w:rsidR="00AE727E" w:rsidRDefault="008433E0">
      <w:r>
        <w:rPr>
          <w:rFonts w:ascii="Times New Roman" w:eastAsia="宋体" w:hAnsi="Times New Roman"/>
          <w:i/>
          <w:iCs/>
          <w:color w:val="000000"/>
          <w:sz w:val="20"/>
          <w:szCs w:val="20"/>
        </w:rPr>
        <w:t xml:space="preserve">Simplifying Accounting for Income Taxes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December 2019, the FASB issued guidance to simplify the accounting for income taxes by removing certain exceptions to the general principles in Topic</w:t>
      </w:r>
      <w:r>
        <w:rPr>
          <w:rFonts w:ascii="Times New Roman" w:eastAsia="宋体" w:hAnsi="Times New Roman"/>
          <w:color w:val="000000"/>
          <w:sz w:val="20"/>
          <w:szCs w:val="20"/>
        </w:rPr>
        <w:t xml:space="preserve"> 740,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xml:space="preserve">, and by clarifying and amending existing guidance in order to improve consistent application of GAAP for other areas of Topic 740. The Company adopted the standard during the three months ended April 30, 2021. The impact of the adoption </w:t>
      </w:r>
      <w:r>
        <w:rPr>
          <w:rFonts w:ascii="Times New Roman" w:eastAsia="宋体" w:hAnsi="Times New Roman"/>
          <w:color w:val="000000"/>
          <w:sz w:val="20"/>
          <w:szCs w:val="20"/>
        </w:rPr>
        <w:t>of this standard was immaterial to the Condensed Consolidated Financial Statements.</w:t>
      </w:r>
    </w:p>
    <w:p w14:paraId="07DCE0FA" w14:textId="77777777" w:rsidR="00AE727E" w:rsidRDefault="00AE727E">
      <w:pPr>
        <w:jc w:val="center"/>
      </w:pPr>
    </w:p>
    <w:p w14:paraId="07DCE0FB" w14:textId="77777777" w:rsidR="00AE727E" w:rsidRDefault="008433E0">
      <w:pPr>
        <w:jc w:val="center"/>
      </w:pPr>
      <w:r>
        <w:rPr>
          <w:rFonts w:ascii="Times New Roman" w:eastAsia="宋体" w:hAnsi="Times New Roman"/>
          <w:color w:val="000000"/>
          <w:sz w:val="20"/>
          <w:szCs w:val="20"/>
        </w:rPr>
        <w:t>13</w:t>
      </w:r>
    </w:p>
    <w:p w14:paraId="07DCE0FC" w14:textId="77777777" w:rsidR="00AE727E" w:rsidRDefault="00AE727E">
      <w:pPr>
        <w:jc w:val="center"/>
      </w:pPr>
    </w:p>
    <w:p w14:paraId="07DCE0FD" w14:textId="77777777" w:rsidR="00AE727E" w:rsidRDefault="008433E0">
      <w:r>
        <w:pict w14:anchorId="07DD18DD">
          <v:rect id="_x0000_i1037" style="width:415.3pt;height:1.5pt" o:hralign="center" o:hrstd="t" o:hr="t" fillcolor="#a0a0a0" stroked="f"/>
        </w:pict>
      </w:r>
    </w:p>
    <w:p w14:paraId="07DCE0FE" w14:textId="77777777" w:rsidR="00AE727E" w:rsidRDefault="008433E0">
      <w:hyperlink r:id="rId138" w:anchor="i1c8279be622a460ea19600488436f115_10"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07DCE0FF"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100"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101"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102" w14:textId="77777777" w:rsidR="00AE727E" w:rsidRDefault="00AE727E">
      <w:pPr>
        <w:jc w:val="center"/>
      </w:pPr>
    </w:p>
    <w:p w14:paraId="07DCE103" w14:textId="77777777" w:rsidR="00AE727E" w:rsidRDefault="008433E0">
      <w:r>
        <w:rPr>
          <w:rFonts w:ascii="Times New Roman" w:eastAsia="宋体" w:hAnsi="Times New Roman"/>
          <w:b/>
          <w:bCs/>
          <w:color w:val="000000"/>
          <w:sz w:val="20"/>
          <w:szCs w:val="20"/>
        </w:rPr>
        <w:t xml:space="preserve">NOTE 2 — FAIR VALUE MEASUREMENTS AND INVESTMENTS </w:t>
      </w:r>
    </w:p>
    <w:p w14:paraId="07DCE104" w14:textId="77777777" w:rsidR="00AE727E" w:rsidRDefault="00AE727E"/>
    <w:p w14:paraId="07DCE105" w14:textId="77777777" w:rsidR="00AE727E" w:rsidRDefault="008433E0">
      <w:pPr>
        <w:spacing w:after="60"/>
      </w:pPr>
      <w:r>
        <w:rPr>
          <w:rFonts w:ascii="Times New Roman" w:eastAsia="宋体" w:hAnsi="Times New Roman"/>
          <w:color w:val="000000"/>
          <w:sz w:val="20"/>
          <w:szCs w:val="20"/>
        </w:rPr>
        <w:t xml:space="preserve">The following table presents the Company’s hierarchy for its assets and </w:t>
      </w:r>
      <w:r>
        <w:rPr>
          <w:rFonts w:ascii="Times New Roman" w:eastAsia="宋体" w:hAnsi="Times New Roman"/>
          <w:color w:val="000000"/>
          <w:sz w:val="20"/>
          <w:szCs w:val="20"/>
        </w:rPr>
        <w:t>liabilities measured and recorded at fair value on a recurring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8"/>
        <w:gridCol w:w="979"/>
        <w:gridCol w:w="36"/>
        <w:gridCol w:w="113"/>
        <w:gridCol w:w="559"/>
        <w:gridCol w:w="35"/>
        <w:gridCol w:w="36"/>
        <w:gridCol w:w="35"/>
        <w:gridCol w:w="35"/>
        <w:gridCol w:w="115"/>
        <w:gridCol w:w="717"/>
        <w:gridCol w:w="36"/>
        <w:gridCol w:w="36"/>
        <w:gridCol w:w="36"/>
        <w:gridCol w:w="36"/>
        <w:gridCol w:w="116"/>
        <w:gridCol w:w="856"/>
        <w:gridCol w:w="36"/>
        <w:gridCol w:w="36"/>
        <w:gridCol w:w="36"/>
        <w:gridCol w:w="36"/>
        <w:gridCol w:w="114"/>
        <w:gridCol w:w="560"/>
        <w:gridCol w:w="36"/>
        <w:gridCol w:w="36"/>
        <w:gridCol w:w="36"/>
        <w:gridCol w:w="36"/>
        <w:gridCol w:w="115"/>
        <w:gridCol w:w="562"/>
        <w:gridCol w:w="36"/>
        <w:gridCol w:w="36"/>
        <w:gridCol w:w="36"/>
        <w:gridCol w:w="36"/>
        <w:gridCol w:w="115"/>
        <w:gridCol w:w="717"/>
        <w:gridCol w:w="36"/>
        <w:gridCol w:w="36"/>
        <w:gridCol w:w="36"/>
        <w:gridCol w:w="36"/>
        <w:gridCol w:w="116"/>
        <w:gridCol w:w="856"/>
        <w:gridCol w:w="36"/>
        <w:gridCol w:w="36"/>
        <w:gridCol w:w="36"/>
        <w:gridCol w:w="36"/>
        <w:gridCol w:w="114"/>
        <w:gridCol w:w="467"/>
        <w:gridCol w:w="36"/>
      </w:tblGrid>
      <w:tr w:rsidR="00AE727E" w14:paraId="07DCE136" w14:textId="77777777">
        <w:tc>
          <w:tcPr>
            <w:tcW w:w="50" w:type="pct"/>
            <w:shd w:val="clear" w:color="auto" w:fill="auto"/>
            <w:vAlign w:val="bottom"/>
          </w:tcPr>
          <w:p w14:paraId="07DCE106" w14:textId="77777777" w:rsidR="00AE727E" w:rsidRDefault="00AE727E">
            <w:pPr>
              <w:rPr>
                <w:rFonts w:ascii="宋体"/>
              </w:rPr>
            </w:pPr>
          </w:p>
        </w:tc>
        <w:tc>
          <w:tcPr>
            <w:tcW w:w="997" w:type="pct"/>
            <w:shd w:val="clear" w:color="auto" w:fill="auto"/>
            <w:vAlign w:val="bottom"/>
          </w:tcPr>
          <w:p w14:paraId="07DCE107" w14:textId="77777777" w:rsidR="00AE727E" w:rsidRDefault="00AE727E">
            <w:pPr>
              <w:rPr>
                <w:rFonts w:ascii="宋体"/>
              </w:rPr>
            </w:pPr>
          </w:p>
        </w:tc>
        <w:tc>
          <w:tcPr>
            <w:tcW w:w="5" w:type="pct"/>
            <w:shd w:val="clear" w:color="auto" w:fill="auto"/>
            <w:vAlign w:val="bottom"/>
          </w:tcPr>
          <w:p w14:paraId="07DCE108" w14:textId="77777777" w:rsidR="00AE727E" w:rsidRDefault="00AE727E">
            <w:pPr>
              <w:rPr>
                <w:rFonts w:ascii="宋体"/>
              </w:rPr>
            </w:pPr>
          </w:p>
        </w:tc>
        <w:tc>
          <w:tcPr>
            <w:tcW w:w="50" w:type="pct"/>
            <w:shd w:val="clear" w:color="auto" w:fill="auto"/>
            <w:vAlign w:val="bottom"/>
          </w:tcPr>
          <w:p w14:paraId="07DCE109" w14:textId="77777777" w:rsidR="00AE727E" w:rsidRDefault="00AE727E">
            <w:pPr>
              <w:rPr>
                <w:rFonts w:ascii="宋体"/>
              </w:rPr>
            </w:pPr>
          </w:p>
        </w:tc>
        <w:tc>
          <w:tcPr>
            <w:tcW w:w="412" w:type="pct"/>
            <w:shd w:val="clear" w:color="auto" w:fill="auto"/>
            <w:vAlign w:val="bottom"/>
          </w:tcPr>
          <w:p w14:paraId="07DCE10A" w14:textId="77777777" w:rsidR="00AE727E" w:rsidRDefault="00AE727E">
            <w:pPr>
              <w:rPr>
                <w:rFonts w:ascii="宋体"/>
              </w:rPr>
            </w:pPr>
          </w:p>
        </w:tc>
        <w:tc>
          <w:tcPr>
            <w:tcW w:w="5" w:type="pct"/>
            <w:shd w:val="clear" w:color="auto" w:fill="auto"/>
            <w:vAlign w:val="bottom"/>
          </w:tcPr>
          <w:p w14:paraId="07DCE10B" w14:textId="77777777" w:rsidR="00AE727E" w:rsidRDefault="00AE727E">
            <w:pPr>
              <w:rPr>
                <w:rFonts w:ascii="宋体"/>
              </w:rPr>
            </w:pPr>
          </w:p>
        </w:tc>
        <w:tc>
          <w:tcPr>
            <w:tcW w:w="5" w:type="pct"/>
            <w:shd w:val="clear" w:color="auto" w:fill="auto"/>
            <w:vAlign w:val="bottom"/>
          </w:tcPr>
          <w:p w14:paraId="07DCE10C" w14:textId="77777777" w:rsidR="00AE727E" w:rsidRDefault="00AE727E">
            <w:pPr>
              <w:rPr>
                <w:rFonts w:ascii="宋体"/>
              </w:rPr>
            </w:pPr>
          </w:p>
        </w:tc>
        <w:tc>
          <w:tcPr>
            <w:tcW w:w="19" w:type="pct"/>
            <w:shd w:val="clear" w:color="auto" w:fill="auto"/>
            <w:vAlign w:val="bottom"/>
          </w:tcPr>
          <w:p w14:paraId="07DCE10D" w14:textId="77777777" w:rsidR="00AE727E" w:rsidRDefault="00AE727E">
            <w:pPr>
              <w:rPr>
                <w:rFonts w:ascii="宋体"/>
              </w:rPr>
            </w:pPr>
          </w:p>
        </w:tc>
        <w:tc>
          <w:tcPr>
            <w:tcW w:w="5" w:type="pct"/>
            <w:shd w:val="clear" w:color="auto" w:fill="auto"/>
            <w:vAlign w:val="bottom"/>
          </w:tcPr>
          <w:p w14:paraId="07DCE10E" w14:textId="77777777" w:rsidR="00AE727E" w:rsidRDefault="00AE727E">
            <w:pPr>
              <w:rPr>
                <w:rFonts w:ascii="宋体"/>
              </w:rPr>
            </w:pPr>
          </w:p>
        </w:tc>
        <w:tc>
          <w:tcPr>
            <w:tcW w:w="50" w:type="pct"/>
            <w:shd w:val="clear" w:color="auto" w:fill="auto"/>
            <w:vAlign w:val="bottom"/>
          </w:tcPr>
          <w:p w14:paraId="07DCE10F" w14:textId="77777777" w:rsidR="00AE727E" w:rsidRDefault="00AE727E">
            <w:pPr>
              <w:rPr>
                <w:rFonts w:ascii="宋体"/>
              </w:rPr>
            </w:pPr>
          </w:p>
        </w:tc>
        <w:tc>
          <w:tcPr>
            <w:tcW w:w="412" w:type="pct"/>
            <w:shd w:val="clear" w:color="auto" w:fill="auto"/>
            <w:vAlign w:val="bottom"/>
          </w:tcPr>
          <w:p w14:paraId="07DCE110" w14:textId="77777777" w:rsidR="00AE727E" w:rsidRDefault="00AE727E">
            <w:pPr>
              <w:rPr>
                <w:rFonts w:ascii="宋体"/>
              </w:rPr>
            </w:pPr>
          </w:p>
        </w:tc>
        <w:tc>
          <w:tcPr>
            <w:tcW w:w="5" w:type="pct"/>
            <w:shd w:val="clear" w:color="auto" w:fill="auto"/>
            <w:vAlign w:val="bottom"/>
          </w:tcPr>
          <w:p w14:paraId="07DCE111" w14:textId="77777777" w:rsidR="00AE727E" w:rsidRDefault="00AE727E">
            <w:pPr>
              <w:rPr>
                <w:rFonts w:ascii="宋体"/>
              </w:rPr>
            </w:pPr>
          </w:p>
        </w:tc>
        <w:tc>
          <w:tcPr>
            <w:tcW w:w="5" w:type="pct"/>
            <w:shd w:val="clear" w:color="auto" w:fill="auto"/>
            <w:vAlign w:val="bottom"/>
          </w:tcPr>
          <w:p w14:paraId="07DCE112" w14:textId="77777777" w:rsidR="00AE727E" w:rsidRDefault="00AE727E">
            <w:pPr>
              <w:rPr>
                <w:rFonts w:ascii="宋体"/>
              </w:rPr>
            </w:pPr>
          </w:p>
        </w:tc>
        <w:tc>
          <w:tcPr>
            <w:tcW w:w="19" w:type="pct"/>
            <w:shd w:val="clear" w:color="auto" w:fill="auto"/>
            <w:vAlign w:val="bottom"/>
          </w:tcPr>
          <w:p w14:paraId="07DCE113" w14:textId="77777777" w:rsidR="00AE727E" w:rsidRDefault="00AE727E">
            <w:pPr>
              <w:rPr>
                <w:rFonts w:ascii="宋体"/>
              </w:rPr>
            </w:pPr>
          </w:p>
        </w:tc>
        <w:tc>
          <w:tcPr>
            <w:tcW w:w="5" w:type="pct"/>
            <w:shd w:val="clear" w:color="auto" w:fill="auto"/>
            <w:vAlign w:val="bottom"/>
          </w:tcPr>
          <w:p w14:paraId="07DCE114" w14:textId="77777777" w:rsidR="00AE727E" w:rsidRDefault="00AE727E">
            <w:pPr>
              <w:rPr>
                <w:rFonts w:ascii="宋体"/>
              </w:rPr>
            </w:pPr>
          </w:p>
        </w:tc>
        <w:tc>
          <w:tcPr>
            <w:tcW w:w="50" w:type="pct"/>
            <w:shd w:val="clear" w:color="auto" w:fill="auto"/>
            <w:vAlign w:val="bottom"/>
          </w:tcPr>
          <w:p w14:paraId="07DCE115" w14:textId="77777777" w:rsidR="00AE727E" w:rsidRDefault="00AE727E">
            <w:pPr>
              <w:rPr>
                <w:rFonts w:ascii="宋体"/>
              </w:rPr>
            </w:pPr>
          </w:p>
        </w:tc>
        <w:tc>
          <w:tcPr>
            <w:tcW w:w="412" w:type="pct"/>
            <w:shd w:val="clear" w:color="auto" w:fill="auto"/>
            <w:vAlign w:val="bottom"/>
          </w:tcPr>
          <w:p w14:paraId="07DCE116" w14:textId="77777777" w:rsidR="00AE727E" w:rsidRDefault="00AE727E">
            <w:pPr>
              <w:rPr>
                <w:rFonts w:ascii="宋体"/>
              </w:rPr>
            </w:pPr>
          </w:p>
        </w:tc>
        <w:tc>
          <w:tcPr>
            <w:tcW w:w="5" w:type="pct"/>
            <w:shd w:val="clear" w:color="auto" w:fill="auto"/>
            <w:vAlign w:val="bottom"/>
          </w:tcPr>
          <w:p w14:paraId="07DCE117" w14:textId="77777777" w:rsidR="00AE727E" w:rsidRDefault="00AE727E">
            <w:pPr>
              <w:rPr>
                <w:rFonts w:ascii="宋体"/>
              </w:rPr>
            </w:pPr>
          </w:p>
        </w:tc>
        <w:tc>
          <w:tcPr>
            <w:tcW w:w="5" w:type="pct"/>
            <w:shd w:val="clear" w:color="auto" w:fill="auto"/>
            <w:vAlign w:val="bottom"/>
          </w:tcPr>
          <w:p w14:paraId="07DCE118" w14:textId="77777777" w:rsidR="00AE727E" w:rsidRDefault="00AE727E">
            <w:pPr>
              <w:rPr>
                <w:rFonts w:ascii="宋体"/>
              </w:rPr>
            </w:pPr>
          </w:p>
        </w:tc>
        <w:tc>
          <w:tcPr>
            <w:tcW w:w="19" w:type="pct"/>
            <w:shd w:val="clear" w:color="auto" w:fill="auto"/>
            <w:vAlign w:val="bottom"/>
          </w:tcPr>
          <w:p w14:paraId="07DCE119" w14:textId="77777777" w:rsidR="00AE727E" w:rsidRDefault="00AE727E">
            <w:pPr>
              <w:rPr>
                <w:rFonts w:ascii="宋体"/>
              </w:rPr>
            </w:pPr>
          </w:p>
        </w:tc>
        <w:tc>
          <w:tcPr>
            <w:tcW w:w="5" w:type="pct"/>
            <w:shd w:val="clear" w:color="auto" w:fill="auto"/>
            <w:vAlign w:val="bottom"/>
          </w:tcPr>
          <w:p w14:paraId="07DCE11A" w14:textId="77777777" w:rsidR="00AE727E" w:rsidRDefault="00AE727E">
            <w:pPr>
              <w:rPr>
                <w:rFonts w:ascii="宋体"/>
              </w:rPr>
            </w:pPr>
          </w:p>
        </w:tc>
        <w:tc>
          <w:tcPr>
            <w:tcW w:w="50" w:type="pct"/>
            <w:shd w:val="clear" w:color="auto" w:fill="auto"/>
            <w:vAlign w:val="bottom"/>
          </w:tcPr>
          <w:p w14:paraId="07DCE11B" w14:textId="77777777" w:rsidR="00AE727E" w:rsidRDefault="00AE727E">
            <w:pPr>
              <w:rPr>
                <w:rFonts w:ascii="宋体"/>
              </w:rPr>
            </w:pPr>
          </w:p>
        </w:tc>
        <w:tc>
          <w:tcPr>
            <w:tcW w:w="412" w:type="pct"/>
            <w:shd w:val="clear" w:color="auto" w:fill="auto"/>
            <w:vAlign w:val="bottom"/>
          </w:tcPr>
          <w:p w14:paraId="07DCE11C" w14:textId="77777777" w:rsidR="00AE727E" w:rsidRDefault="00AE727E">
            <w:pPr>
              <w:rPr>
                <w:rFonts w:ascii="宋体"/>
              </w:rPr>
            </w:pPr>
          </w:p>
        </w:tc>
        <w:tc>
          <w:tcPr>
            <w:tcW w:w="5" w:type="pct"/>
            <w:shd w:val="clear" w:color="auto" w:fill="auto"/>
            <w:vAlign w:val="bottom"/>
          </w:tcPr>
          <w:p w14:paraId="07DCE11D" w14:textId="77777777" w:rsidR="00AE727E" w:rsidRDefault="00AE727E">
            <w:pPr>
              <w:rPr>
                <w:rFonts w:ascii="宋体"/>
              </w:rPr>
            </w:pPr>
          </w:p>
        </w:tc>
        <w:tc>
          <w:tcPr>
            <w:tcW w:w="5" w:type="pct"/>
            <w:shd w:val="clear" w:color="auto" w:fill="auto"/>
            <w:vAlign w:val="bottom"/>
          </w:tcPr>
          <w:p w14:paraId="07DCE11E" w14:textId="77777777" w:rsidR="00AE727E" w:rsidRDefault="00AE727E">
            <w:pPr>
              <w:rPr>
                <w:rFonts w:ascii="宋体"/>
              </w:rPr>
            </w:pPr>
          </w:p>
        </w:tc>
        <w:tc>
          <w:tcPr>
            <w:tcW w:w="19" w:type="pct"/>
            <w:shd w:val="clear" w:color="auto" w:fill="auto"/>
            <w:vAlign w:val="bottom"/>
          </w:tcPr>
          <w:p w14:paraId="07DCE11F" w14:textId="77777777" w:rsidR="00AE727E" w:rsidRDefault="00AE727E">
            <w:pPr>
              <w:rPr>
                <w:rFonts w:ascii="宋体"/>
              </w:rPr>
            </w:pPr>
          </w:p>
        </w:tc>
        <w:tc>
          <w:tcPr>
            <w:tcW w:w="5" w:type="pct"/>
            <w:shd w:val="clear" w:color="auto" w:fill="auto"/>
            <w:vAlign w:val="bottom"/>
          </w:tcPr>
          <w:p w14:paraId="07DCE120" w14:textId="77777777" w:rsidR="00AE727E" w:rsidRDefault="00AE727E">
            <w:pPr>
              <w:rPr>
                <w:rFonts w:ascii="宋体"/>
              </w:rPr>
            </w:pPr>
          </w:p>
        </w:tc>
        <w:tc>
          <w:tcPr>
            <w:tcW w:w="50" w:type="pct"/>
            <w:shd w:val="clear" w:color="auto" w:fill="auto"/>
            <w:vAlign w:val="bottom"/>
          </w:tcPr>
          <w:p w14:paraId="07DCE121" w14:textId="77777777" w:rsidR="00AE727E" w:rsidRDefault="00AE727E">
            <w:pPr>
              <w:rPr>
                <w:rFonts w:ascii="宋体"/>
              </w:rPr>
            </w:pPr>
          </w:p>
        </w:tc>
        <w:tc>
          <w:tcPr>
            <w:tcW w:w="412" w:type="pct"/>
            <w:shd w:val="clear" w:color="auto" w:fill="auto"/>
            <w:vAlign w:val="bottom"/>
          </w:tcPr>
          <w:p w14:paraId="07DCE122" w14:textId="77777777" w:rsidR="00AE727E" w:rsidRDefault="00AE727E">
            <w:pPr>
              <w:rPr>
                <w:rFonts w:ascii="宋体"/>
              </w:rPr>
            </w:pPr>
          </w:p>
        </w:tc>
        <w:tc>
          <w:tcPr>
            <w:tcW w:w="5" w:type="pct"/>
            <w:shd w:val="clear" w:color="auto" w:fill="auto"/>
            <w:vAlign w:val="bottom"/>
          </w:tcPr>
          <w:p w14:paraId="07DCE123" w14:textId="77777777" w:rsidR="00AE727E" w:rsidRDefault="00AE727E">
            <w:pPr>
              <w:rPr>
                <w:rFonts w:ascii="宋体"/>
              </w:rPr>
            </w:pPr>
          </w:p>
        </w:tc>
        <w:tc>
          <w:tcPr>
            <w:tcW w:w="5" w:type="pct"/>
            <w:shd w:val="clear" w:color="auto" w:fill="auto"/>
            <w:vAlign w:val="bottom"/>
          </w:tcPr>
          <w:p w14:paraId="07DCE124" w14:textId="77777777" w:rsidR="00AE727E" w:rsidRDefault="00AE727E">
            <w:pPr>
              <w:rPr>
                <w:rFonts w:ascii="宋体"/>
              </w:rPr>
            </w:pPr>
          </w:p>
        </w:tc>
        <w:tc>
          <w:tcPr>
            <w:tcW w:w="19" w:type="pct"/>
            <w:shd w:val="clear" w:color="auto" w:fill="auto"/>
            <w:vAlign w:val="bottom"/>
          </w:tcPr>
          <w:p w14:paraId="07DCE125" w14:textId="77777777" w:rsidR="00AE727E" w:rsidRDefault="00AE727E">
            <w:pPr>
              <w:rPr>
                <w:rFonts w:ascii="宋体"/>
              </w:rPr>
            </w:pPr>
          </w:p>
        </w:tc>
        <w:tc>
          <w:tcPr>
            <w:tcW w:w="5" w:type="pct"/>
            <w:shd w:val="clear" w:color="auto" w:fill="auto"/>
            <w:vAlign w:val="bottom"/>
          </w:tcPr>
          <w:p w14:paraId="07DCE126" w14:textId="77777777" w:rsidR="00AE727E" w:rsidRDefault="00AE727E">
            <w:pPr>
              <w:rPr>
                <w:rFonts w:ascii="宋体"/>
              </w:rPr>
            </w:pPr>
          </w:p>
        </w:tc>
        <w:tc>
          <w:tcPr>
            <w:tcW w:w="50" w:type="pct"/>
            <w:shd w:val="clear" w:color="auto" w:fill="auto"/>
            <w:vAlign w:val="bottom"/>
          </w:tcPr>
          <w:p w14:paraId="07DCE127" w14:textId="77777777" w:rsidR="00AE727E" w:rsidRDefault="00AE727E">
            <w:pPr>
              <w:rPr>
                <w:rFonts w:ascii="宋体"/>
              </w:rPr>
            </w:pPr>
          </w:p>
        </w:tc>
        <w:tc>
          <w:tcPr>
            <w:tcW w:w="412" w:type="pct"/>
            <w:shd w:val="clear" w:color="auto" w:fill="auto"/>
            <w:vAlign w:val="bottom"/>
          </w:tcPr>
          <w:p w14:paraId="07DCE128" w14:textId="77777777" w:rsidR="00AE727E" w:rsidRDefault="00AE727E">
            <w:pPr>
              <w:rPr>
                <w:rFonts w:ascii="宋体"/>
              </w:rPr>
            </w:pPr>
          </w:p>
        </w:tc>
        <w:tc>
          <w:tcPr>
            <w:tcW w:w="5" w:type="pct"/>
            <w:shd w:val="clear" w:color="auto" w:fill="auto"/>
            <w:vAlign w:val="bottom"/>
          </w:tcPr>
          <w:p w14:paraId="07DCE129" w14:textId="77777777" w:rsidR="00AE727E" w:rsidRDefault="00AE727E">
            <w:pPr>
              <w:rPr>
                <w:rFonts w:ascii="宋体"/>
              </w:rPr>
            </w:pPr>
          </w:p>
        </w:tc>
        <w:tc>
          <w:tcPr>
            <w:tcW w:w="5" w:type="pct"/>
            <w:shd w:val="clear" w:color="auto" w:fill="auto"/>
            <w:vAlign w:val="bottom"/>
          </w:tcPr>
          <w:p w14:paraId="07DCE12A" w14:textId="77777777" w:rsidR="00AE727E" w:rsidRDefault="00AE727E">
            <w:pPr>
              <w:rPr>
                <w:rFonts w:ascii="宋体"/>
              </w:rPr>
            </w:pPr>
          </w:p>
        </w:tc>
        <w:tc>
          <w:tcPr>
            <w:tcW w:w="19" w:type="pct"/>
            <w:shd w:val="clear" w:color="auto" w:fill="auto"/>
            <w:vAlign w:val="bottom"/>
          </w:tcPr>
          <w:p w14:paraId="07DCE12B" w14:textId="77777777" w:rsidR="00AE727E" w:rsidRDefault="00AE727E">
            <w:pPr>
              <w:rPr>
                <w:rFonts w:ascii="宋体"/>
              </w:rPr>
            </w:pPr>
          </w:p>
        </w:tc>
        <w:tc>
          <w:tcPr>
            <w:tcW w:w="5" w:type="pct"/>
            <w:shd w:val="clear" w:color="auto" w:fill="auto"/>
            <w:vAlign w:val="bottom"/>
          </w:tcPr>
          <w:p w14:paraId="07DCE12C" w14:textId="77777777" w:rsidR="00AE727E" w:rsidRDefault="00AE727E">
            <w:pPr>
              <w:rPr>
                <w:rFonts w:ascii="宋体"/>
              </w:rPr>
            </w:pPr>
          </w:p>
        </w:tc>
        <w:tc>
          <w:tcPr>
            <w:tcW w:w="50" w:type="pct"/>
            <w:shd w:val="clear" w:color="auto" w:fill="auto"/>
            <w:vAlign w:val="bottom"/>
          </w:tcPr>
          <w:p w14:paraId="07DCE12D" w14:textId="77777777" w:rsidR="00AE727E" w:rsidRDefault="00AE727E">
            <w:pPr>
              <w:rPr>
                <w:rFonts w:ascii="宋体"/>
              </w:rPr>
            </w:pPr>
          </w:p>
        </w:tc>
        <w:tc>
          <w:tcPr>
            <w:tcW w:w="412" w:type="pct"/>
            <w:shd w:val="clear" w:color="auto" w:fill="auto"/>
            <w:vAlign w:val="bottom"/>
          </w:tcPr>
          <w:p w14:paraId="07DCE12E" w14:textId="77777777" w:rsidR="00AE727E" w:rsidRDefault="00AE727E">
            <w:pPr>
              <w:rPr>
                <w:rFonts w:ascii="宋体"/>
              </w:rPr>
            </w:pPr>
          </w:p>
        </w:tc>
        <w:tc>
          <w:tcPr>
            <w:tcW w:w="5" w:type="pct"/>
            <w:shd w:val="clear" w:color="auto" w:fill="auto"/>
            <w:vAlign w:val="bottom"/>
          </w:tcPr>
          <w:p w14:paraId="07DCE12F" w14:textId="77777777" w:rsidR="00AE727E" w:rsidRDefault="00AE727E">
            <w:pPr>
              <w:rPr>
                <w:rFonts w:ascii="宋体"/>
              </w:rPr>
            </w:pPr>
          </w:p>
        </w:tc>
        <w:tc>
          <w:tcPr>
            <w:tcW w:w="5" w:type="pct"/>
            <w:shd w:val="clear" w:color="auto" w:fill="auto"/>
            <w:vAlign w:val="bottom"/>
          </w:tcPr>
          <w:p w14:paraId="07DCE130" w14:textId="77777777" w:rsidR="00AE727E" w:rsidRDefault="00AE727E">
            <w:pPr>
              <w:rPr>
                <w:rFonts w:ascii="宋体"/>
              </w:rPr>
            </w:pPr>
          </w:p>
        </w:tc>
        <w:tc>
          <w:tcPr>
            <w:tcW w:w="19" w:type="pct"/>
            <w:shd w:val="clear" w:color="auto" w:fill="auto"/>
            <w:vAlign w:val="bottom"/>
          </w:tcPr>
          <w:p w14:paraId="07DCE131" w14:textId="77777777" w:rsidR="00AE727E" w:rsidRDefault="00AE727E">
            <w:pPr>
              <w:rPr>
                <w:rFonts w:ascii="宋体"/>
              </w:rPr>
            </w:pPr>
          </w:p>
        </w:tc>
        <w:tc>
          <w:tcPr>
            <w:tcW w:w="5" w:type="pct"/>
            <w:shd w:val="clear" w:color="auto" w:fill="auto"/>
            <w:vAlign w:val="bottom"/>
          </w:tcPr>
          <w:p w14:paraId="07DCE132" w14:textId="77777777" w:rsidR="00AE727E" w:rsidRDefault="00AE727E">
            <w:pPr>
              <w:rPr>
                <w:rFonts w:ascii="宋体"/>
              </w:rPr>
            </w:pPr>
          </w:p>
        </w:tc>
        <w:tc>
          <w:tcPr>
            <w:tcW w:w="50" w:type="pct"/>
            <w:shd w:val="clear" w:color="auto" w:fill="auto"/>
            <w:vAlign w:val="bottom"/>
          </w:tcPr>
          <w:p w14:paraId="07DCE133" w14:textId="77777777" w:rsidR="00AE727E" w:rsidRDefault="00AE727E">
            <w:pPr>
              <w:rPr>
                <w:rFonts w:ascii="宋体"/>
              </w:rPr>
            </w:pPr>
          </w:p>
        </w:tc>
        <w:tc>
          <w:tcPr>
            <w:tcW w:w="413" w:type="pct"/>
            <w:shd w:val="clear" w:color="auto" w:fill="auto"/>
            <w:vAlign w:val="bottom"/>
          </w:tcPr>
          <w:p w14:paraId="07DCE134" w14:textId="77777777" w:rsidR="00AE727E" w:rsidRDefault="00AE727E">
            <w:pPr>
              <w:rPr>
                <w:rFonts w:ascii="宋体"/>
              </w:rPr>
            </w:pPr>
          </w:p>
        </w:tc>
        <w:tc>
          <w:tcPr>
            <w:tcW w:w="5" w:type="pct"/>
            <w:shd w:val="clear" w:color="auto" w:fill="auto"/>
            <w:vAlign w:val="bottom"/>
          </w:tcPr>
          <w:p w14:paraId="07DCE135" w14:textId="77777777" w:rsidR="00AE727E" w:rsidRDefault="00AE727E">
            <w:pPr>
              <w:rPr>
                <w:rFonts w:ascii="宋体"/>
              </w:rPr>
            </w:pPr>
          </w:p>
        </w:tc>
      </w:tr>
      <w:tr w:rsidR="00AE727E" w14:paraId="07DCE13B" w14:textId="77777777">
        <w:tc>
          <w:tcPr>
            <w:tcW w:w="0" w:type="auto"/>
            <w:gridSpan w:val="3"/>
            <w:shd w:val="clear" w:color="auto" w:fill="auto"/>
            <w:tcMar>
              <w:top w:w="40" w:type="dxa"/>
              <w:left w:w="20" w:type="dxa"/>
              <w:bottom w:w="40" w:type="dxa"/>
              <w:right w:w="20" w:type="dxa"/>
            </w:tcMar>
            <w:vAlign w:val="bottom"/>
          </w:tcPr>
          <w:p w14:paraId="07DCE137" w14:textId="77777777" w:rsidR="00AE727E" w:rsidRDefault="008433E0">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7DCE13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139" w14:textId="77777777" w:rsidR="00AE727E" w:rsidRDefault="00AE727E">
            <w:pPr>
              <w:rPr>
                <w:rFonts w:ascii="宋体"/>
              </w:rPr>
            </w:pPr>
          </w:p>
        </w:tc>
        <w:tc>
          <w:tcPr>
            <w:tcW w:w="0" w:type="auto"/>
            <w:gridSpan w:val="21"/>
            <w:shd w:val="clear" w:color="auto" w:fill="auto"/>
            <w:tcMar>
              <w:top w:w="40" w:type="dxa"/>
              <w:left w:w="20" w:type="dxa"/>
              <w:bottom w:w="40" w:type="dxa"/>
              <w:right w:w="20" w:type="dxa"/>
            </w:tcMar>
            <w:vAlign w:val="bottom"/>
          </w:tcPr>
          <w:p w14:paraId="07DCE13A"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14C" w14:textId="77777777">
        <w:tc>
          <w:tcPr>
            <w:tcW w:w="0" w:type="auto"/>
            <w:gridSpan w:val="3"/>
            <w:shd w:val="clear" w:color="auto" w:fill="auto"/>
            <w:tcMar>
              <w:top w:w="40" w:type="dxa"/>
              <w:left w:w="20" w:type="dxa"/>
              <w:bottom w:w="40" w:type="dxa"/>
              <w:right w:w="20" w:type="dxa"/>
            </w:tcMar>
            <w:vAlign w:val="bottom"/>
          </w:tcPr>
          <w:p w14:paraId="07DCE13C" w14:textId="77777777" w:rsidR="00AE727E" w:rsidRDefault="008433E0">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3D" w14:textId="77777777" w:rsidR="00AE727E" w:rsidRDefault="008433E0">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3E"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3F" w14:textId="77777777" w:rsidR="00AE727E" w:rsidRDefault="008433E0">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4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1" w14:textId="77777777" w:rsidR="00AE727E" w:rsidRDefault="008433E0">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42"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3" w14:textId="77777777" w:rsidR="00AE727E" w:rsidRDefault="008433E0">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E144"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5" w14:textId="77777777" w:rsidR="00AE727E" w:rsidRDefault="008433E0">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46"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7" w14:textId="77777777" w:rsidR="00AE727E" w:rsidRDefault="008433E0">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48"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9" w14:textId="77777777" w:rsidR="00AE727E" w:rsidRDefault="008433E0">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14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B"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15D" w14:textId="77777777">
        <w:tc>
          <w:tcPr>
            <w:tcW w:w="0" w:type="auto"/>
            <w:gridSpan w:val="3"/>
            <w:shd w:val="clear" w:color="auto" w:fill="auto"/>
            <w:tcMar>
              <w:top w:w="40" w:type="dxa"/>
              <w:left w:w="20" w:type="dxa"/>
              <w:bottom w:w="40" w:type="dxa"/>
              <w:right w:w="20" w:type="dxa"/>
            </w:tcMar>
            <w:vAlign w:val="bottom"/>
          </w:tcPr>
          <w:p w14:paraId="07DCE14D" w14:textId="77777777" w:rsidR="00AE727E" w:rsidRDefault="008433E0">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14E" w14:textId="77777777" w:rsidR="00AE727E" w:rsidRDefault="008433E0">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07DCE14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0" w14:textId="77777777" w:rsidR="00AE727E" w:rsidRDefault="008433E0">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07DCE15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2" w14:textId="77777777" w:rsidR="00AE727E" w:rsidRDefault="008433E0">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07DCE15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4" w14:textId="77777777" w:rsidR="00AE727E" w:rsidRDefault="008433E0">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vAlign w:val="bottom"/>
          </w:tcPr>
          <w:p w14:paraId="07DCE15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6" w14:textId="77777777" w:rsidR="00AE727E" w:rsidRDefault="008433E0">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07DCE15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8" w14:textId="77777777" w:rsidR="00AE727E" w:rsidRDefault="008433E0">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07DCE15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A" w14:textId="77777777" w:rsidR="00AE727E" w:rsidRDefault="008433E0">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07DCE15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15C" w14:textId="77777777" w:rsidR="00AE727E" w:rsidRDefault="008433E0">
            <w:pPr>
              <w:jc w:val="center"/>
              <w:textAlignment w:val="bottom"/>
            </w:pPr>
            <w:r>
              <w:rPr>
                <w:rFonts w:ascii="Times New Roman" w:eastAsia="宋体" w:hAnsi="Times New Roman"/>
                <w:b/>
                <w:bCs/>
                <w:color w:val="000000"/>
                <w:sz w:val="17"/>
                <w:szCs w:val="17"/>
              </w:rPr>
              <w:t> </w:t>
            </w:r>
          </w:p>
        </w:tc>
      </w:tr>
      <w:tr w:rsidR="00AE727E" w14:paraId="07DCE160" w14:textId="77777777">
        <w:tc>
          <w:tcPr>
            <w:tcW w:w="0" w:type="auto"/>
            <w:gridSpan w:val="3"/>
            <w:shd w:val="clear" w:color="auto" w:fill="auto"/>
            <w:tcMar>
              <w:top w:w="40" w:type="dxa"/>
              <w:left w:w="20" w:type="dxa"/>
              <w:bottom w:w="40" w:type="dxa"/>
              <w:right w:w="20" w:type="dxa"/>
            </w:tcMar>
            <w:vAlign w:val="center"/>
          </w:tcPr>
          <w:p w14:paraId="07DCE15E" w14:textId="77777777" w:rsidR="00AE727E" w:rsidRDefault="008433E0">
            <w:pPr>
              <w:jc w:val="center"/>
              <w:textAlignment w:val="center"/>
            </w:pPr>
            <w:r>
              <w:rPr>
                <w:rFonts w:ascii="Times New Roman" w:eastAsia="宋体" w:hAnsi="Times New Roman"/>
                <w:color w:val="000000"/>
                <w:sz w:val="18"/>
                <w:szCs w:val="18"/>
              </w:rPr>
              <w:t> </w:t>
            </w: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07DCE15F"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171" w14:textId="77777777">
        <w:tc>
          <w:tcPr>
            <w:tcW w:w="0" w:type="auto"/>
            <w:gridSpan w:val="3"/>
            <w:shd w:val="clear" w:color="auto" w:fill="CCEEFF"/>
            <w:tcMar>
              <w:top w:w="40" w:type="dxa"/>
              <w:left w:w="20" w:type="dxa"/>
              <w:bottom w:w="40" w:type="dxa"/>
              <w:right w:w="20" w:type="dxa"/>
            </w:tcMar>
            <w:vAlign w:val="center"/>
          </w:tcPr>
          <w:p w14:paraId="07DCE161" w14:textId="77777777" w:rsidR="00AE727E" w:rsidRDefault="008433E0">
            <w:pPr>
              <w:textAlignment w:val="center"/>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center"/>
          </w:tcPr>
          <w:p w14:paraId="07DCE162"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3"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4"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5"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6"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7"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8"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A"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B"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C"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D"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6E"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16F"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170" w14:textId="77777777" w:rsidR="00AE727E" w:rsidRDefault="008433E0">
            <w:pPr>
              <w:jc w:val="right"/>
              <w:textAlignment w:val="center"/>
            </w:pPr>
            <w:r>
              <w:rPr>
                <w:rFonts w:ascii="Times New Roman" w:eastAsia="宋体" w:hAnsi="Times New Roman"/>
                <w:color w:val="000000"/>
                <w:sz w:val="20"/>
                <w:szCs w:val="20"/>
              </w:rPr>
              <w:t> </w:t>
            </w:r>
          </w:p>
        </w:tc>
      </w:tr>
      <w:tr w:rsidR="00AE727E" w14:paraId="07DCE182" w14:textId="77777777">
        <w:trPr>
          <w:hidden/>
        </w:trPr>
        <w:tc>
          <w:tcPr>
            <w:tcW w:w="0" w:type="auto"/>
            <w:gridSpan w:val="3"/>
            <w:shd w:val="clear" w:color="auto" w:fill="auto"/>
            <w:vAlign w:val="bottom"/>
          </w:tcPr>
          <w:p w14:paraId="07DCE172" w14:textId="77777777" w:rsidR="00AE727E" w:rsidRDefault="00AE727E">
            <w:pPr>
              <w:rPr>
                <w:rFonts w:ascii="宋体"/>
                <w:vanish/>
              </w:rPr>
            </w:pPr>
          </w:p>
        </w:tc>
        <w:tc>
          <w:tcPr>
            <w:tcW w:w="0" w:type="auto"/>
            <w:gridSpan w:val="3"/>
            <w:shd w:val="clear" w:color="auto" w:fill="auto"/>
            <w:vAlign w:val="bottom"/>
          </w:tcPr>
          <w:p w14:paraId="07DCE173" w14:textId="77777777" w:rsidR="00AE727E" w:rsidRDefault="00AE727E">
            <w:pPr>
              <w:rPr>
                <w:rFonts w:ascii="宋体"/>
                <w:vanish/>
              </w:rPr>
            </w:pPr>
          </w:p>
        </w:tc>
        <w:tc>
          <w:tcPr>
            <w:tcW w:w="0" w:type="auto"/>
            <w:gridSpan w:val="3"/>
            <w:shd w:val="clear" w:color="auto" w:fill="auto"/>
            <w:vAlign w:val="bottom"/>
          </w:tcPr>
          <w:p w14:paraId="07DCE174" w14:textId="77777777" w:rsidR="00AE727E" w:rsidRDefault="00AE727E">
            <w:pPr>
              <w:rPr>
                <w:rFonts w:ascii="宋体"/>
                <w:vanish/>
              </w:rPr>
            </w:pPr>
          </w:p>
        </w:tc>
        <w:tc>
          <w:tcPr>
            <w:tcW w:w="0" w:type="auto"/>
            <w:gridSpan w:val="3"/>
            <w:shd w:val="clear" w:color="auto" w:fill="auto"/>
            <w:vAlign w:val="bottom"/>
          </w:tcPr>
          <w:p w14:paraId="07DCE175" w14:textId="77777777" w:rsidR="00AE727E" w:rsidRDefault="00AE727E">
            <w:pPr>
              <w:rPr>
                <w:rFonts w:ascii="宋体"/>
                <w:vanish/>
              </w:rPr>
            </w:pPr>
          </w:p>
        </w:tc>
        <w:tc>
          <w:tcPr>
            <w:tcW w:w="0" w:type="auto"/>
            <w:gridSpan w:val="3"/>
            <w:shd w:val="clear" w:color="auto" w:fill="auto"/>
            <w:vAlign w:val="bottom"/>
          </w:tcPr>
          <w:p w14:paraId="07DCE176" w14:textId="77777777" w:rsidR="00AE727E" w:rsidRDefault="00AE727E">
            <w:pPr>
              <w:rPr>
                <w:rFonts w:ascii="宋体"/>
                <w:vanish/>
              </w:rPr>
            </w:pPr>
          </w:p>
        </w:tc>
        <w:tc>
          <w:tcPr>
            <w:tcW w:w="0" w:type="auto"/>
            <w:gridSpan w:val="3"/>
            <w:shd w:val="clear" w:color="auto" w:fill="auto"/>
            <w:vAlign w:val="bottom"/>
          </w:tcPr>
          <w:p w14:paraId="07DCE177" w14:textId="77777777" w:rsidR="00AE727E" w:rsidRDefault="00AE727E">
            <w:pPr>
              <w:rPr>
                <w:rFonts w:ascii="宋体"/>
                <w:vanish/>
              </w:rPr>
            </w:pPr>
          </w:p>
        </w:tc>
        <w:tc>
          <w:tcPr>
            <w:tcW w:w="0" w:type="auto"/>
            <w:gridSpan w:val="3"/>
            <w:shd w:val="clear" w:color="auto" w:fill="auto"/>
            <w:vAlign w:val="bottom"/>
          </w:tcPr>
          <w:p w14:paraId="07DCE178" w14:textId="77777777" w:rsidR="00AE727E" w:rsidRDefault="00AE727E">
            <w:pPr>
              <w:rPr>
                <w:rFonts w:ascii="宋体"/>
                <w:vanish/>
              </w:rPr>
            </w:pPr>
          </w:p>
        </w:tc>
        <w:tc>
          <w:tcPr>
            <w:tcW w:w="0" w:type="auto"/>
            <w:gridSpan w:val="3"/>
            <w:shd w:val="clear" w:color="auto" w:fill="auto"/>
            <w:vAlign w:val="bottom"/>
          </w:tcPr>
          <w:p w14:paraId="07DCE179" w14:textId="77777777" w:rsidR="00AE727E" w:rsidRDefault="00AE727E">
            <w:pPr>
              <w:rPr>
                <w:rFonts w:ascii="宋体"/>
                <w:vanish/>
              </w:rPr>
            </w:pPr>
          </w:p>
        </w:tc>
        <w:tc>
          <w:tcPr>
            <w:tcW w:w="0" w:type="auto"/>
            <w:gridSpan w:val="3"/>
            <w:shd w:val="clear" w:color="auto" w:fill="auto"/>
            <w:vAlign w:val="bottom"/>
          </w:tcPr>
          <w:p w14:paraId="07DCE17A" w14:textId="77777777" w:rsidR="00AE727E" w:rsidRDefault="00AE727E">
            <w:pPr>
              <w:rPr>
                <w:rFonts w:ascii="宋体"/>
                <w:vanish/>
              </w:rPr>
            </w:pPr>
          </w:p>
        </w:tc>
        <w:tc>
          <w:tcPr>
            <w:tcW w:w="0" w:type="auto"/>
            <w:gridSpan w:val="3"/>
            <w:shd w:val="clear" w:color="auto" w:fill="auto"/>
            <w:vAlign w:val="bottom"/>
          </w:tcPr>
          <w:p w14:paraId="07DCE17B" w14:textId="77777777" w:rsidR="00AE727E" w:rsidRDefault="00AE727E">
            <w:pPr>
              <w:rPr>
                <w:rFonts w:ascii="宋体"/>
                <w:vanish/>
              </w:rPr>
            </w:pPr>
          </w:p>
        </w:tc>
        <w:tc>
          <w:tcPr>
            <w:tcW w:w="0" w:type="auto"/>
            <w:gridSpan w:val="3"/>
            <w:shd w:val="clear" w:color="auto" w:fill="auto"/>
            <w:vAlign w:val="bottom"/>
          </w:tcPr>
          <w:p w14:paraId="07DCE17C" w14:textId="77777777" w:rsidR="00AE727E" w:rsidRDefault="00AE727E">
            <w:pPr>
              <w:rPr>
                <w:rFonts w:ascii="宋体"/>
                <w:vanish/>
              </w:rPr>
            </w:pPr>
          </w:p>
        </w:tc>
        <w:tc>
          <w:tcPr>
            <w:tcW w:w="0" w:type="auto"/>
            <w:gridSpan w:val="3"/>
            <w:shd w:val="clear" w:color="auto" w:fill="auto"/>
            <w:vAlign w:val="bottom"/>
          </w:tcPr>
          <w:p w14:paraId="07DCE17D" w14:textId="77777777" w:rsidR="00AE727E" w:rsidRDefault="00AE727E">
            <w:pPr>
              <w:rPr>
                <w:rFonts w:ascii="宋体"/>
                <w:vanish/>
              </w:rPr>
            </w:pPr>
          </w:p>
        </w:tc>
        <w:tc>
          <w:tcPr>
            <w:tcW w:w="0" w:type="auto"/>
            <w:gridSpan w:val="3"/>
            <w:shd w:val="clear" w:color="auto" w:fill="auto"/>
            <w:vAlign w:val="bottom"/>
          </w:tcPr>
          <w:p w14:paraId="07DCE17E" w14:textId="77777777" w:rsidR="00AE727E" w:rsidRDefault="00AE727E">
            <w:pPr>
              <w:rPr>
                <w:rFonts w:ascii="宋体"/>
                <w:vanish/>
              </w:rPr>
            </w:pPr>
          </w:p>
        </w:tc>
        <w:tc>
          <w:tcPr>
            <w:tcW w:w="0" w:type="auto"/>
            <w:gridSpan w:val="3"/>
            <w:shd w:val="clear" w:color="auto" w:fill="auto"/>
            <w:vAlign w:val="bottom"/>
          </w:tcPr>
          <w:p w14:paraId="07DCE17F" w14:textId="77777777" w:rsidR="00AE727E" w:rsidRDefault="00AE727E">
            <w:pPr>
              <w:rPr>
                <w:rFonts w:ascii="宋体"/>
                <w:vanish/>
              </w:rPr>
            </w:pPr>
          </w:p>
        </w:tc>
        <w:tc>
          <w:tcPr>
            <w:tcW w:w="0" w:type="auto"/>
            <w:gridSpan w:val="3"/>
            <w:shd w:val="clear" w:color="auto" w:fill="auto"/>
            <w:vAlign w:val="bottom"/>
          </w:tcPr>
          <w:p w14:paraId="07DCE180" w14:textId="77777777" w:rsidR="00AE727E" w:rsidRDefault="00AE727E">
            <w:pPr>
              <w:rPr>
                <w:rFonts w:ascii="宋体"/>
                <w:vanish/>
              </w:rPr>
            </w:pPr>
          </w:p>
        </w:tc>
        <w:tc>
          <w:tcPr>
            <w:tcW w:w="0" w:type="auto"/>
            <w:gridSpan w:val="3"/>
            <w:shd w:val="clear" w:color="auto" w:fill="auto"/>
            <w:vAlign w:val="bottom"/>
          </w:tcPr>
          <w:p w14:paraId="07DCE181" w14:textId="77777777" w:rsidR="00AE727E" w:rsidRDefault="00AE727E">
            <w:pPr>
              <w:rPr>
                <w:rFonts w:ascii="宋体"/>
                <w:vanish/>
              </w:rPr>
            </w:pPr>
          </w:p>
        </w:tc>
      </w:tr>
      <w:tr w:rsidR="008433E0" w14:paraId="07DCE1A3" w14:textId="77777777">
        <w:tc>
          <w:tcPr>
            <w:tcW w:w="0" w:type="auto"/>
            <w:gridSpan w:val="3"/>
            <w:shd w:val="clear" w:color="auto" w:fill="FFFFFF"/>
            <w:tcMar>
              <w:top w:w="40" w:type="dxa"/>
              <w:left w:w="155" w:type="dxa"/>
              <w:bottom w:w="40" w:type="dxa"/>
              <w:right w:w="20" w:type="dxa"/>
            </w:tcMar>
            <w:vAlign w:val="center"/>
          </w:tcPr>
          <w:p w14:paraId="07DCE183" w14:textId="77777777" w:rsidR="00AE727E" w:rsidRDefault="008433E0">
            <w:pPr>
              <w:textAlignment w:val="center"/>
            </w:pPr>
            <w:r>
              <w:rPr>
                <w:rFonts w:ascii="Times New Roman" w:eastAsia="宋体" w:hAnsi="Times New Roman"/>
                <w:color w:val="000000"/>
                <w:sz w:val="20"/>
                <w:szCs w:val="20"/>
              </w:rPr>
              <w:t>Money market funds</w:t>
            </w:r>
          </w:p>
        </w:tc>
        <w:tc>
          <w:tcPr>
            <w:tcW w:w="0" w:type="auto"/>
            <w:shd w:val="clear" w:color="auto" w:fill="FFFFFF"/>
            <w:tcMar>
              <w:top w:w="40" w:type="dxa"/>
              <w:left w:w="20" w:type="dxa"/>
              <w:bottom w:w="40" w:type="dxa"/>
              <w:right w:w="0" w:type="dxa"/>
            </w:tcMar>
            <w:vAlign w:val="center"/>
          </w:tcPr>
          <w:p w14:paraId="07DCE18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85" w14:textId="77777777" w:rsidR="00AE727E" w:rsidRDefault="008433E0">
            <w:pPr>
              <w:jc w:val="right"/>
              <w:textAlignment w:val="center"/>
            </w:pPr>
            <w:r>
              <w:rPr>
                <w:rFonts w:ascii="Times New Roman" w:eastAsia="宋体" w:hAnsi="Times New Roman"/>
                <w:color w:val="000000"/>
                <w:sz w:val="20"/>
                <w:szCs w:val="20"/>
              </w:rPr>
              <w:t>16,757 </w:t>
            </w:r>
          </w:p>
        </w:tc>
        <w:tc>
          <w:tcPr>
            <w:tcW w:w="0" w:type="auto"/>
            <w:shd w:val="clear" w:color="auto" w:fill="FFFFFF"/>
            <w:tcMar>
              <w:top w:w="40" w:type="dxa"/>
              <w:left w:w="0" w:type="dxa"/>
              <w:bottom w:w="40" w:type="dxa"/>
              <w:right w:w="20" w:type="dxa"/>
            </w:tcMar>
            <w:vAlign w:val="center"/>
          </w:tcPr>
          <w:p w14:paraId="07DCE18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87"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8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89"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18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8B"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8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8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18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8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9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91" w14:textId="77777777" w:rsidR="00AE727E" w:rsidRDefault="008433E0">
            <w:pPr>
              <w:jc w:val="right"/>
              <w:textAlignment w:val="center"/>
            </w:pPr>
            <w:r>
              <w:rPr>
                <w:rFonts w:ascii="Times New Roman" w:eastAsia="宋体" w:hAnsi="Times New Roman"/>
                <w:color w:val="000000"/>
                <w:sz w:val="20"/>
                <w:szCs w:val="20"/>
              </w:rPr>
              <w:t>16,757 </w:t>
            </w:r>
          </w:p>
        </w:tc>
        <w:tc>
          <w:tcPr>
            <w:tcW w:w="0" w:type="auto"/>
            <w:shd w:val="clear" w:color="auto" w:fill="FFFFFF"/>
            <w:tcMar>
              <w:top w:w="40" w:type="dxa"/>
              <w:left w:w="0" w:type="dxa"/>
              <w:bottom w:w="40" w:type="dxa"/>
              <w:right w:w="20" w:type="dxa"/>
            </w:tcMar>
            <w:vAlign w:val="center"/>
          </w:tcPr>
          <w:p w14:paraId="07DCE19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9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9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95" w14:textId="77777777" w:rsidR="00AE727E" w:rsidRDefault="008433E0">
            <w:pPr>
              <w:jc w:val="right"/>
              <w:textAlignment w:val="center"/>
            </w:pPr>
            <w:r>
              <w:rPr>
                <w:rFonts w:ascii="Times New Roman" w:eastAsia="宋体" w:hAnsi="Times New Roman"/>
                <w:color w:val="000000"/>
                <w:sz w:val="20"/>
                <w:szCs w:val="20"/>
              </w:rPr>
              <w:t>8,846 </w:t>
            </w:r>
          </w:p>
        </w:tc>
        <w:tc>
          <w:tcPr>
            <w:tcW w:w="0" w:type="auto"/>
            <w:shd w:val="clear" w:color="auto" w:fill="FFFFFF"/>
            <w:tcMar>
              <w:top w:w="40" w:type="dxa"/>
              <w:left w:w="0" w:type="dxa"/>
              <w:bottom w:w="40" w:type="dxa"/>
              <w:right w:w="20" w:type="dxa"/>
            </w:tcMar>
            <w:vAlign w:val="center"/>
          </w:tcPr>
          <w:p w14:paraId="07DCE19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97"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9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99"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19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9B"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9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9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1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19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1A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1A1" w14:textId="77777777" w:rsidR="00AE727E" w:rsidRDefault="008433E0">
            <w:pPr>
              <w:jc w:val="right"/>
              <w:textAlignment w:val="center"/>
            </w:pPr>
            <w:r>
              <w:rPr>
                <w:rFonts w:ascii="Times New Roman" w:eastAsia="宋体" w:hAnsi="Times New Roman"/>
                <w:color w:val="000000"/>
                <w:sz w:val="20"/>
                <w:szCs w:val="20"/>
              </w:rPr>
              <w:t>8,846 </w:t>
            </w:r>
          </w:p>
        </w:tc>
        <w:tc>
          <w:tcPr>
            <w:tcW w:w="0" w:type="auto"/>
            <w:shd w:val="clear" w:color="auto" w:fill="FFFFFF"/>
            <w:tcMar>
              <w:top w:w="40" w:type="dxa"/>
              <w:left w:w="0" w:type="dxa"/>
              <w:bottom w:w="40" w:type="dxa"/>
              <w:right w:w="20" w:type="dxa"/>
            </w:tcMar>
            <w:vAlign w:val="center"/>
          </w:tcPr>
          <w:p w14:paraId="07DCE1A2" w14:textId="77777777" w:rsidR="00AE727E" w:rsidRDefault="00AE727E">
            <w:pPr>
              <w:jc w:val="right"/>
              <w:rPr>
                <w:rFonts w:ascii="宋体"/>
              </w:rPr>
            </w:pPr>
          </w:p>
        </w:tc>
      </w:tr>
      <w:tr w:rsidR="00AE727E" w14:paraId="07DCE1B4" w14:textId="77777777">
        <w:trPr>
          <w:hidden/>
        </w:trPr>
        <w:tc>
          <w:tcPr>
            <w:tcW w:w="0" w:type="auto"/>
            <w:gridSpan w:val="3"/>
            <w:shd w:val="clear" w:color="auto" w:fill="auto"/>
            <w:vAlign w:val="bottom"/>
          </w:tcPr>
          <w:p w14:paraId="07DCE1A4" w14:textId="77777777" w:rsidR="00AE727E" w:rsidRDefault="00AE727E">
            <w:pPr>
              <w:rPr>
                <w:rFonts w:ascii="宋体"/>
                <w:vanish/>
              </w:rPr>
            </w:pPr>
          </w:p>
        </w:tc>
        <w:tc>
          <w:tcPr>
            <w:tcW w:w="0" w:type="auto"/>
            <w:gridSpan w:val="3"/>
            <w:shd w:val="clear" w:color="auto" w:fill="auto"/>
            <w:vAlign w:val="bottom"/>
          </w:tcPr>
          <w:p w14:paraId="07DCE1A5" w14:textId="77777777" w:rsidR="00AE727E" w:rsidRDefault="00AE727E">
            <w:pPr>
              <w:rPr>
                <w:rFonts w:ascii="宋体"/>
                <w:vanish/>
              </w:rPr>
            </w:pPr>
          </w:p>
        </w:tc>
        <w:tc>
          <w:tcPr>
            <w:tcW w:w="0" w:type="auto"/>
            <w:gridSpan w:val="3"/>
            <w:shd w:val="clear" w:color="auto" w:fill="auto"/>
            <w:vAlign w:val="bottom"/>
          </w:tcPr>
          <w:p w14:paraId="07DCE1A6" w14:textId="77777777" w:rsidR="00AE727E" w:rsidRDefault="00AE727E">
            <w:pPr>
              <w:rPr>
                <w:rFonts w:ascii="宋体"/>
                <w:vanish/>
              </w:rPr>
            </w:pPr>
          </w:p>
        </w:tc>
        <w:tc>
          <w:tcPr>
            <w:tcW w:w="0" w:type="auto"/>
            <w:gridSpan w:val="3"/>
            <w:shd w:val="clear" w:color="auto" w:fill="auto"/>
            <w:vAlign w:val="bottom"/>
          </w:tcPr>
          <w:p w14:paraId="07DCE1A7" w14:textId="77777777" w:rsidR="00AE727E" w:rsidRDefault="00AE727E">
            <w:pPr>
              <w:rPr>
                <w:rFonts w:ascii="宋体"/>
                <w:vanish/>
              </w:rPr>
            </w:pPr>
          </w:p>
        </w:tc>
        <w:tc>
          <w:tcPr>
            <w:tcW w:w="0" w:type="auto"/>
            <w:gridSpan w:val="3"/>
            <w:shd w:val="clear" w:color="auto" w:fill="auto"/>
            <w:vAlign w:val="bottom"/>
          </w:tcPr>
          <w:p w14:paraId="07DCE1A8" w14:textId="77777777" w:rsidR="00AE727E" w:rsidRDefault="00AE727E">
            <w:pPr>
              <w:rPr>
                <w:rFonts w:ascii="宋体"/>
                <w:vanish/>
              </w:rPr>
            </w:pPr>
          </w:p>
        </w:tc>
        <w:tc>
          <w:tcPr>
            <w:tcW w:w="0" w:type="auto"/>
            <w:gridSpan w:val="3"/>
            <w:shd w:val="clear" w:color="auto" w:fill="auto"/>
            <w:vAlign w:val="bottom"/>
          </w:tcPr>
          <w:p w14:paraId="07DCE1A9" w14:textId="77777777" w:rsidR="00AE727E" w:rsidRDefault="00AE727E">
            <w:pPr>
              <w:rPr>
                <w:rFonts w:ascii="宋体"/>
                <w:vanish/>
              </w:rPr>
            </w:pPr>
          </w:p>
        </w:tc>
        <w:tc>
          <w:tcPr>
            <w:tcW w:w="0" w:type="auto"/>
            <w:gridSpan w:val="3"/>
            <w:shd w:val="clear" w:color="auto" w:fill="auto"/>
            <w:vAlign w:val="bottom"/>
          </w:tcPr>
          <w:p w14:paraId="07DCE1AA" w14:textId="77777777" w:rsidR="00AE727E" w:rsidRDefault="00AE727E">
            <w:pPr>
              <w:rPr>
                <w:rFonts w:ascii="宋体"/>
                <w:vanish/>
              </w:rPr>
            </w:pPr>
          </w:p>
        </w:tc>
        <w:tc>
          <w:tcPr>
            <w:tcW w:w="0" w:type="auto"/>
            <w:gridSpan w:val="3"/>
            <w:shd w:val="clear" w:color="auto" w:fill="auto"/>
            <w:vAlign w:val="bottom"/>
          </w:tcPr>
          <w:p w14:paraId="07DCE1AB" w14:textId="77777777" w:rsidR="00AE727E" w:rsidRDefault="00AE727E">
            <w:pPr>
              <w:rPr>
                <w:rFonts w:ascii="宋体"/>
                <w:vanish/>
              </w:rPr>
            </w:pPr>
          </w:p>
        </w:tc>
        <w:tc>
          <w:tcPr>
            <w:tcW w:w="0" w:type="auto"/>
            <w:gridSpan w:val="3"/>
            <w:shd w:val="clear" w:color="auto" w:fill="auto"/>
            <w:vAlign w:val="bottom"/>
          </w:tcPr>
          <w:p w14:paraId="07DCE1AC" w14:textId="77777777" w:rsidR="00AE727E" w:rsidRDefault="00AE727E">
            <w:pPr>
              <w:rPr>
                <w:rFonts w:ascii="宋体"/>
                <w:vanish/>
              </w:rPr>
            </w:pPr>
          </w:p>
        </w:tc>
        <w:tc>
          <w:tcPr>
            <w:tcW w:w="0" w:type="auto"/>
            <w:gridSpan w:val="3"/>
            <w:shd w:val="clear" w:color="auto" w:fill="auto"/>
            <w:vAlign w:val="bottom"/>
          </w:tcPr>
          <w:p w14:paraId="07DCE1AD" w14:textId="77777777" w:rsidR="00AE727E" w:rsidRDefault="00AE727E">
            <w:pPr>
              <w:rPr>
                <w:rFonts w:ascii="宋体"/>
                <w:vanish/>
              </w:rPr>
            </w:pPr>
          </w:p>
        </w:tc>
        <w:tc>
          <w:tcPr>
            <w:tcW w:w="0" w:type="auto"/>
            <w:gridSpan w:val="3"/>
            <w:shd w:val="clear" w:color="auto" w:fill="auto"/>
            <w:vAlign w:val="bottom"/>
          </w:tcPr>
          <w:p w14:paraId="07DCE1AE" w14:textId="77777777" w:rsidR="00AE727E" w:rsidRDefault="00AE727E">
            <w:pPr>
              <w:rPr>
                <w:rFonts w:ascii="宋体"/>
                <w:vanish/>
              </w:rPr>
            </w:pPr>
          </w:p>
        </w:tc>
        <w:tc>
          <w:tcPr>
            <w:tcW w:w="0" w:type="auto"/>
            <w:gridSpan w:val="3"/>
            <w:shd w:val="clear" w:color="auto" w:fill="auto"/>
            <w:vAlign w:val="bottom"/>
          </w:tcPr>
          <w:p w14:paraId="07DCE1AF" w14:textId="77777777" w:rsidR="00AE727E" w:rsidRDefault="00AE727E">
            <w:pPr>
              <w:rPr>
                <w:rFonts w:ascii="宋体"/>
                <w:vanish/>
              </w:rPr>
            </w:pPr>
          </w:p>
        </w:tc>
        <w:tc>
          <w:tcPr>
            <w:tcW w:w="0" w:type="auto"/>
            <w:gridSpan w:val="3"/>
            <w:shd w:val="clear" w:color="auto" w:fill="auto"/>
            <w:vAlign w:val="bottom"/>
          </w:tcPr>
          <w:p w14:paraId="07DCE1B0" w14:textId="77777777" w:rsidR="00AE727E" w:rsidRDefault="00AE727E">
            <w:pPr>
              <w:rPr>
                <w:rFonts w:ascii="宋体"/>
                <w:vanish/>
              </w:rPr>
            </w:pPr>
          </w:p>
        </w:tc>
        <w:tc>
          <w:tcPr>
            <w:tcW w:w="0" w:type="auto"/>
            <w:gridSpan w:val="3"/>
            <w:shd w:val="clear" w:color="auto" w:fill="auto"/>
            <w:vAlign w:val="bottom"/>
          </w:tcPr>
          <w:p w14:paraId="07DCE1B1" w14:textId="77777777" w:rsidR="00AE727E" w:rsidRDefault="00AE727E">
            <w:pPr>
              <w:rPr>
                <w:rFonts w:ascii="宋体"/>
                <w:vanish/>
              </w:rPr>
            </w:pPr>
          </w:p>
        </w:tc>
        <w:tc>
          <w:tcPr>
            <w:tcW w:w="0" w:type="auto"/>
            <w:gridSpan w:val="3"/>
            <w:shd w:val="clear" w:color="auto" w:fill="auto"/>
            <w:vAlign w:val="bottom"/>
          </w:tcPr>
          <w:p w14:paraId="07DCE1B2" w14:textId="77777777" w:rsidR="00AE727E" w:rsidRDefault="00AE727E">
            <w:pPr>
              <w:rPr>
                <w:rFonts w:ascii="宋体"/>
                <w:vanish/>
              </w:rPr>
            </w:pPr>
          </w:p>
        </w:tc>
        <w:tc>
          <w:tcPr>
            <w:tcW w:w="0" w:type="auto"/>
            <w:gridSpan w:val="3"/>
            <w:shd w:val="clear" w:color="auto" w:fill="auto"/>
            <w:vAlign w:val="bottom"/>
          </w:tcPr>
          <w:p w14:paraId="07DCE1B3" w14:textId="77777777" w:rsidR="00AE727E" w:rsidRDefault="00AE727E">
            <w:pPr>
              <w:rPr>
                <w:rFonts w:ascii="宋体"/>
                <w:vanish/>
              </w:rPr>
            </w:pPr>
          </w:p>
        </w:tc>
      </w:tr>
      <w:tr w:rsidR="00AE727E" w14:paraId="07DCE1C5" w14:textId="77777777">
        <w:trPr>
          <w:hidden/>
        </w:trPr>
        <w:tc>
          <w:tcPr>
            <w:tcW w:w="0" w:type="auto"/>
            <w:gridSpan w:val="3"/>
            <w:shd w:val="clear" w:color="auto" w:fill="auto"/>
            <w:vAlign w:val="bottom"/>
          </w:tcPr>
          <w:p w14:paraId="07DCE1B5" w14:textId="77777777" w:rsidR="00AE727E" w:rsidRDefault="00AE727E">
            <w:pPr>
              <w:rPr>
                <w:rFonts w:ascii="宋体"/>
                <w:vanish/>
              </w:rPr>
            </w:pPr>
          </w:p>
        </w:tc>
        <w:tc>
          <w:tcPr>
            <w:tcW w:w="0" w:type="auto"/>
            <w:gridSpan w:val="3"/>
            <w:shd w:val="clear" w:color="auto" w:fill="auto"/>
            <w:vAlign w:val="bottom"/>
          </w:tcPr>
          <w:p w14:paraId="07DCE1B6" w14:textId="77777777" w:rsidR="00AE727E" w:rsidRDefault="00AE727E">
            <w:pPr>
              <w:rPr>
                <w:rFonts w:ascii="宋体"/>
                <w:vanish/>
              </w:rPr>
            </w:pPr>
          </w:p>
        </w:tc>
        <w:tc>
          <w:tcPr>
            <w:tcW w:w="0" w:type="auto"/>
            <w:gridSpan w:val="3"/>
            <w:shd w:val="clear" w:color="auto" w:fill="auto"/>
            <w:vAlign w:val="bottom"/>
          </w:tcPr>
          <w:p w14:paraId="07DCE1B7" w14:textId="77777777" w:rsidR="00AE727E" w:rsidRDefault="00AE727E">
            <w:pPr>
              <w:rPr>
                <w:rFonts w:ascii="宋体"/>
                <w:vanish/>
              </w:rPr>
            </w:pPr>
          </w:p>
        </w:tc>
        <w:tc>
          <w:tcPr>
            <w:tcW w:w="0" w:type="auto"/>
            <w:gridSpan w:val="3"/>
            <w:shd w:val="clear" w:color="auto" w:fill="auto"/>
            <w:vAlign w:val="bottom"/>
          </w:tcPr>
          <w:p w14:paraId="07DCE1B8" w14:textId="77777777" w:rsidR="00AE727E" w:rsidRDefault="00AE727E">
            <w:pPr>
              <w:rPr>
                <w:rFonts w:ascii="宋体"/>
                <w:vanish/>
              </w:rPr>
            </w:pPr>
          </w:p>
        </w:tc>
        <w:tc>
          <w:tcPr>
            <w:tcW w:w="0" w:type="auto"/>
            <w:gridSpan w:val="3"/>
            <w:shd w:val="clear" w:color="auto" w:fill="auto"/>
            <w:vAlign w:val="bottom"/>
          </w:tcPr>
          <w:p w14:paraId="07DCE1B9" w14:textId="77777777" w:rsidR="00AE727E" w:rsidRDefault="00AE727E">
            <w:pPr>
              <w:rPr>
                <w:rFonts w:ascii="宋体"/>
                <w:vanish/>
              </w:rPr>
            </w:pPr>
          </w:p>
        </w:tc>
        <w:tc>
          <w:tcPr>
            <w:tcW w:w="0" w:type="auto"/>
            <w:gridSpan w:val="3"/>
            <w:shd w:val="clear" w:color="auto" w:fill="auto"/>
            <w:vAlign w:val="bottom"/>
          </w:tcPr>
          <w:p w14:paraId="07DCE1BA" w14:textId="77777777" w:rsidR="00AE727E" w:rsidRDefault="00AE727E">
            <w:pPr>
              <w:rPr>
                <w:rFonts w:ascii="宋体"/>
                <w:vanish/>
              </w:rPr>
            </w:pPr>
          </w:p>
        </w:tc>
        <w:tc>
          <w:tcPr>
            <w:tcW w:w="0" w:type="auto"/>
            <w:gridSpan w:val="3"/>
            <w:shd w:val="clear" w:color="auto" w:fill="auto"/>
            <w:vAlign w:val="bottom"/>
          </w:tcPr>
          <w:p w14:paraId="07DCE1BB" w14:textId="77777777" w:rsidR="00AE727E" w:rsidRDefault="00AE727E">
            <w:pPr>
              <w:rPr>
                <w:rFonts w:ascii="宋体"/>
                <w:vanish/>
              </w:rPr>
            </w:pPr>
          </w:p>
        </w:tc>
        <w:tc>
          <w:tcPr>
            <w:tcW w:w="0" w:type="auto"/>
            <w:gridSpan w:val="3"/>
            <w:shd w:val="clear" w:color="auto" w:fill="auto"/>
            <w:vAlign w:val="bottom"/>
          </w:tcPr>
          <w:p w14:paraId="07DCE1BC" w14:textId="77777777" w:rsidR="00AE727E" w:rsidRDefault="00AE727E">
            <w:pPr>
              <w:rPr>
                <w:rFonts w:ascii="宋体"/>
                <w:vanish/>
              </w:rPr>
            </w:pPr>
          </w:p>
        </w:tc>
        <w:tc>
          <w:tcPr>
            <w:tcW w:w="0" w:type="auto"/>
            <w:gridSpan w:val="3"/>
            <w:shd w:val="clear" w:color="auto" w:fill="auto"/>
            <w:vAlign w:val="bottom"/>
          </w:tcPr>
          <w:p w14:paraId="07DCE1BD" w14:textId="77777777" w:rsidR="00AE727E" w:rsidRDefault="00AE727E">
            <w:pPr>
              <w:rPr>
                <w:rFonts w:ascii="宋体"/>
                <w:vanish/>
              </w:rPr>
            </w:pPr>
          </w:p>
        </w:tc>
        <w:tc>
          <w:tcPr>
            <w:tcW w:w="0" w:type="auto"/>
            <w:gridSpan w:val="3"/>
            <w:shd w:val="clear" w:color="auto" w:fill="auto"/>
            <w:vAlign w:val="bottom"/>
          </w:tcPr>
          <w:p w14:paraId="07DCE1BE" w14:textId="77777777" w:rsidR="00AE727E" w:rsidRDefault="00AE727E">
            <w:pPr>
              <w:rPr>
                <w:rFonts w:ascii="宋体"/>
                <w:vanish/>
              </w:rPr>
            </w:pPr>
          </w:p>
        </w:tc>
        <w:tc>
          <w:tcPr>
            <w:tcW w:w="0" w:type="auto"/>
            <w:gridSpan w:val="3"/>
            <w:shd w:val="clear" w:color="auto" w:fill="auto"/>
            <w:vAlign w:val="bottom"/>
          </w:tcPr>
          <w:p w14:paraId="07DCE1BF" w14:textId="77777777" w:rsidR="00AE727E" w:rsidRDefault="00AE727E">
            <w:pPr>
              <w:rPr>
                <w:rFonts w:ascii="宋体"/>
                <w:vanish/>
              </w:rPr>
            </w:pPr>
          </w:p>
        </w:tc>
        <w:tc>
          <w:tcPr>
            <w:tcW w:w="0" w:type="auto"/>
            <w:gridSpan w:val="3"/>
            <w:shd w:val="clear" w:color="auto" w:fill="auto"/>
            <w:vAlign w:val="bottom"/>
          </w:tcPr>
          <w:p w14:paraId="07DCE1C0" w14:textId="77777777" w:rsidR="00AE727E" w:rsidRDefault="00AE727E">
            <w:pPr>
              <w:rPr>
                <w:rFonts w:ascii="宋体"/>
                <w:vanish/>
              </w:rPr>
            </w:pPr>
          </w:p>
        </w:tc>
        <w:tc>
          <w:tcPr>
            <w:tcW w:w="0" w:type="auto"/>
            <w:gridSpan w:val="3"/>
            <w:shd w:val="clear" w:color="auto" w:fill="auto"/>
            <w:vAlign w:val="bottom"/>
          </w:tcPr>
          <w:p w14:paraId="07DCE1C1" w14:textId="77777777" w:rsidR="00AE727E" w:rsidRDefault="00AE727E">
            <w:pPr>
              <w:rPr>
                <w:rFonts w:ascii="宋体"/>
                <w:vanish/>
              </w:rPr>
            </w:pPr>
          </w:p>
        </w:tc>
        <w:tc>
          <w:tcPr>
            <w:tcW w:w="0" w:type="auto"/>
            <w:gridSpan w:val="3"/>
            <w:shd w:val="clear" w:color="auto" w:fill="auto"/>
            <w:vAlign w:val="bottom"/>
          </w:tcPr>
          <w:p w14:paraId="07DCE1C2" w14:textId="77777777" w:rsidR="00AE727E" w:rsidRDefault="00AE727E">
            <w:pPr>
              <w:rPr>
                <w:rFonts w:ascii="宋体"/>
                <w:vanish/>
              </w:rPr>
            </w:pPr>
          </w:p>
        </w:tc>
        <w:tc>
          <w:tcPr>
            <w:tcW w:w="0" w:type="auto"/>
            <w:gridSpan w:val="3"/>
            <w:shd w:val="clear" w:color="auto" w:fill="auto"/>
            <w:vAlign w:val="bottom"/>
          </w:tcPr>
          <w:p w14:paraId="07DCE1C3" w14:textId="77777777" w:rsidR="00AE727E" w:rsidRDefault="00AE727E">
            <w:pPr>
              <w:rPr>
                <w:rFonts w:ascii="宋体"/>
                <w:vanish/>
              </w:rPr>
            </w:pPr>
          </w:p>
        </w:tc>
        <w:tc>
          <w:tcPr>
            <w:tcW w:w="0" w:type="auto"/>
            <w:gridSpan w:val="3"/>
            <w:shd w:val="clear" w:color="auto" w:fill="auto"/>
            <w:vAlign w:val="bottom"/>
          </w:tcPr>
          <w:p w14:paraId="07DCE1C4" w14:textId="77777777" w:rsidR="00AE727E" w:rsidRDefault="00AE727E">
            <w:pPr>
              <w:rPr>
                <w:rFonts w:ascii="宋体"/>
                <w:vanish/>
              </w:rPr>
            </w:pPr>
          </w:p>
        </w:tc>
      </w:tr>
      <w:tr w:rsidR="00AE727E" w14:paraId="07DCE1D6" w14:textId="77777777">
        <w:trPr>
          <w:hidden/>
        </w:trPr>
        <w:tc>
          <w:tcPr>
            <w:tcW w:w="0" w:type="auto"/>
            <w:gridSpan w:val="3"/>
            <w:shd w:val="clear" w:color="auto" w:fill="auto"/>
            <w:vAlign w:val="bottom"/>
          </w:tcPr>
          <w:p w14:paraId="07DCE1C6" w14:textId="77777777" w:rsidR="00AE727E" w:rsidRDefault="00AE727E">
            <w:pPr>
              <w:rPr>
                <w:rFonts w:ascii="宋体"/>
                <w:vanish/>
              </w:rPr>
            </w:pPr>
          </w:p>
        </w:tc>
        <w:tc>
          <w:tcPr>
            <w:tcW w:w="0" w:type="auto"/>
            <w:gridSpan w:val="3"/>
            <w:shd w:val="clear" w:color="auto" w:fill="auto"/>
            <w:vAlign w:val="bottom"/>
          </w:tcPr>
          <w:p w14:paraId="07DCE1C7" w14:textId="77777777" w:rsidR="00AE727E" w:rsidRDefault="00AE727E">
            <w:pPr>
              <w:rPr>
                <w:rFonts w:ascii="宋体"/>
                <w:vanish/>
              </w:rPr>
            </w:pPr>
          </w:p>
        </w:tc>
        <w:tc>
          <w:tcPr>
            <w:tcW w:w="0" w:type="auto"/>
            <w:gridSpan w:val="3"/>
            <w:shd w:val="clear" w:color="auto" w:fill="auto"/>
            <w:vAlign w:val="bottom"/>
          </w:tcPr>
          <w:p w14:paraId="07DCE1C8" w14:textId="77777777" w:rsidR="00AE727E" w:rsidRDefault="00AE727E">
            <w:pPr>
              <w:rPr>
                <w:rFonts w:ascii="宋体"/>
                <w:vanish/>
              </w:rPr>
            </w:pPr>
          </w:p>
        </w:tc>
        <w:tc>
          <w:tcPr>
            <w:tcW w:w="0" w:type="auto"/>
            <w:gridSpan w:val="3"/>
            <w:shd w:val="clear" w:color="auto" w:fill="auto"/>
            <w:vAlign w:val="bottom"/>
          </w:tcPr>
          <w:p w14:paraId="07DCE1C9" w14:textId="77777777" w:rsidR="00AE727E" w:rsidRDefault="00AE727E">
            <w:pPr>
              <w:rPr>
                <w:rFonts w:ascii="宋体"/>
                <w:vanish/>
              </w:rPr>
            </w:pPr>
          </w:p>
        </w:tc>
        <w:tc>
          <w:tcPr>
            <w:tcW w:w="0" w:type="auto"/>
            <w:gridSpan w:val="3"/>
            <w:shd w:val="clear" w:color="auto" w:fill="auto"/>
            <w:vAlign w:val="bottom"/>
          </w:tcPr>
          <w:p w14:paraId="07DCE1CA" w14:textId="77777777" w:rsidR="00AE727E" w:rsidRDefault="00AE727E">
            <w:pPr>
              <w:rPr>
                <w:rFonts w:ascii="宋体"/>
                <w:vanish/>
              </w:rPr>
            </w:pPr>
          </w:p>
        </w:tc>
        <w:tc>
          <w:tcPr>
            <w:tcW w:w="0" w:type="auto"/>
            <w:gridSpan w:val="3"/>
            <w:shd w:val="clear" w:color="auto" w:fill="auto"/>
            <w:vAlign w:val="bottom"/>
          </w:tcPr>
          <w:p w14:paraId="07DCE1CB" w14:textId="77777777" w:rsidR="00AE727E" w:rsidRDefault="00AE727E">
            <w:pPr>
              <w:rPr>
                <w:rFonts w:ascii="宋体"/>
                <w:vanish/>
              </w:rPr>
            </w:pPr>
          </w:p>
        </w:tc>
        <w:tc>
          <w:tcPr>
            <w:tcW w:w="0" w:type="auto"/>
            <w:gridSpan w:val="3"/>
            <w:shd w:val="clear" w:color="auto" w:fill="auto"/>
            <w:vAlign w:val="bottom"/>
          </w:tcPr>
          <w:p w14:paraId="07DCE1CC" w14:textId="77777777" w:rsidR="00AE727E" w:rsidRDefault="00AE727E">
            <w:pPr>
              <w:rPr>
                <w:rFonts w:ascii="宋体"/>
                <w:vanish/>
              </w:rPr>
            </w:pPr>
          </w:p>
        </w:tc>
        <w:tc>
          <w:tcPr>
            <w:tcW w:w="0" w:type="auto"/>
            <w:gridSpan w:val="3"/>
            <w:shd w:val="clear" w:color="auto" w:fill="auto"/>
            <w:vAlign w:val="bottom"/>
          </w:tcPr>
          <w:p w14:paraId="07DCE1CD" w14:textId="77777777" w:rsidR="00AE727E" w:rsidRDefault="00AE727E">
            <w:pPr>
              <w:rPr>
                <w:rFonts w:ascii="宋体"/>
                <w:vanish/>
              </w:rPr>
            </w:pPr>
          </w:p>
        </w:tc>
        <w:tc>
          <w:tcPr>
            <w:tcW w:w="0" w:type="auto"/>
            <w:gridSpan w:val="3"/>
            <w:shd w:val="clear" w:color="auto" w:fill="auto"/>
            <w:vAlign w:val="bottom"/>
          </w:tcPr>
          <w:p w14:paraId="07DCE1CE" w14:textId="77777777" w:rsidR="00AE727E" w:rsidRDefault="00AE727E">
            <w:pPr>
              <w:rPr>
                <w:rFonts w:ascii="宋体"/>
                <w:vanish/>
              </w:rPr>
            </w:pPr>
          </w:p>
        </w:tc>
        <w:tc>
          <w:tcPr>
            <w:tcW w:w="0" w:type="auto"/>
            <w:gridSpan w:val="3"/>
            <w:shd w:val="clear" w:color="auto" w:fill="auto"/>
            <w:vAlign w:val="bottom"/>
          </w:tcPr>
          <w:p w14:paraId="07DCE1CF" w14:textId="77777777" w:rsidR="00AE727E" w:rsidRDefault="00AE727E">
            <w:pPr>
              <w:rPr>
                <w:rFonts w:ascii="宋体"/>
                <w:vanish/>
              </w:rPr>
            </w:pPr>
          </w:p>
        </w:tc>
        <w:tc>
          <w:tcPr>
            <w:tcW w:w="0" w:type="auto"/>
            <w:gridSpan w:val="3"/>
            <w:shd w:val="clear" w:color="auto" w:fill="auto"/>
            <w:vAlign w:val="bottom"/>
          </w:tcPr>
          <w:p w14:paraId="07DCE1D0" w14:textId="77777777" w:rsidR="00AE727E" w:rsidRDefault="00AE727E">
            <w:pPr>
              <w:rPr>
                <w:rFonts w:ascii="宋体"/>
                <w:vanish/>
              </w:rPr>
            </w:pPr>
          </w:p>
        </w:tc>
        <w:tc>
          <w:tcPr>
            <w:tcW w:w="0" w:type="auto"/>
            <w:gridSpan w:val="3"/>
            <w:shd w:val="clear" w:color="auto" w:fill="auto"/>
            <w:vAlign w:val="bottom"/>
          </w:tcPr>
          <w:p w14:paraId="07DCE1D1" w14:textId="77777777" w:rsidR="00AE727E" w:rsidRDefault="00AE727E">
            <w:pPr>
              <w:rPr>
                <w:rFonts w:ascii="宋体"/>
                <w:vanish/>
              </w:rPr>
            </w:pPr>
          </w:p>
        </w:tc>
        <w:tc>
          <w:tcPr>
            <w:tcW w:w="0" w:type="auto"/>
            <w:gridSpan w:val="3"/>
            <w:shd w:val="clear" w:color="auto" w:fill="auto"/>
            <w:vAlign w:val="bottom"/>
          </w:tcPr>
          <w:p w14:paraId="07DCE1D2" w14:textId="77777777" w:rsidR="00AE727E" w:rsidRDefault="00AE727E">
            <w:pPr>
              <w:rPr>
                <w:rFonts w:ascii="宋体"/>
                <w:vanish/>
              </w:rPr>
            </w:pPr>
          </w:p>
        </w:tc>
        <w:tc>
          <w:tcPr>
            <w:tcW w:w="0" w:type="auto"/>
            <w:gridSpan w:val="3"/>
            <w:shd w:val="clear" w:color="auto" w:fill="auto"/>
            <w:vAlign w:val="bottom"/>
          </w:tcPr>
          <w:p w14:paraId="07DCE1D3" w14:textId="77777777" w:rsidR="00AE727E" w:rsidRDefault="00AE727E">
            <w:pPr>
              <w:rPr>
                <w:rFonts w:ascii="宋体"/>
                <w:vanish/>
              </w:rPr>
            </w:pPr>
          </w:p>
        </w:tc>
        <w:tc>
          <w:tcPr>
            <w:tcW w:w="0" w:type="auto"/>
            <w:gridSpan w:val="3"/>
            <w:shd w:val="clear" w:color="auto" w:fill="auto"/>
            <w:vAlign w:val="bottom"/>
          </w:tcPr>
          <w:p w14:paraId="07DCE1D4" w14:textId="77777777" w:rsidR="00AE727E" w:rsidRDefault="00AE727E">
            <w:pPr>
              <w:rPr>
                <w:rFonts w:ascii="宋体"/>
                <w:vanish/>
              </w:rPr>
            </w:pPr>
          </w:p>
        </w:tc>
        <w:tc>
          <w:tcPr>
            <w:tcW w:w="0" w:type="auto"/>
            <w:gridSpan w:val="3"/>
            <w:shd w:val="clear" w:color="auto" w:fill="auto"/>
            <w:vAlign w:val="bottom"/>
          </w:tcPr>
          <w:p w14:paraId="07DCE1D5" w14:textId="77777777" w:rsidR="00AE727E" w:rsidRDefault="00AE727E">
            <w:pPr>
              <w:rPr>
                <w:rFonts w:ascii="宋体"/>
                <w:vanish/>
              </w:rPr>
            </w:pPr>
          </w:p>
        </w:tc>
      </w:tr>
      <w:tr w:rsidR="00AE727E" w14:paraId="07DCE1E7" w14:textId="77777777">
        <w:trPr>
          <w:hidden/>
        </w:trPr>
        <w:tc>
          <w:tcPr>
            <w:tcW w:w="0" w:type="auto"/>
            <w:gridSpan w:val="3"/>
            <w:shd w:val="clear" w:color="auto" w:fill="auto"/>
            <w:vAlign w:val="bottom"/>
          </w:tcPr>
          <w:p w14:paraId="07DCE1D7" w14:textId="77777777" w:rsidR="00AE727E" w:rsidRDefault="00AE727E">
            <w:pPr>
              <w:rPr>
                <w:rFonts w:ascii="宋体"/>
                <w:vanish/>
              </w:rPr>
            </w:pPr>
          </w:p>
        </w:tc>
        <w:tc>
          <w:tcPr>
            <w:tcW w:w="0" w:type="auto"/>
            <w:gridSpan w:val="3"/>
            <w:shd w:val="clear" w:color="auto" w:fill="auto"/>
            <w:vAlign w:val="bottom"/>
          </w:tcPr>
          <w:p w14:paraId="07DCE1D8" w14:textId="77777777" w:rsidR="00AE727E" w:rsidRDefault="00AE727E">
            <w:pPr>
              <w:rPr>
                <w:rFonts w:ascii="宋体"/>
                <w:vanish/>
              </w:rPr>
            </w:pPr>
          </w:p>
        </w:tc>
        <w:tc>
          <w:tcPr>
            <w:tcW w:w="0" w:type="auto"/>
            <w:gridSpan w:val="3"/>
            <w:shd w:val="clear" w:color="auto" w:fill="auto"/>
            <w:vAlign w:val="bottom"/>
          </w:tcPr>
          <w:p w14:paraId="07DCE1D9" w14:textId="77777777" w:rsidR="00AE727E" w:rsidRDefault="00AE727E">
            <w:pPr>
              <w:rPr>
                <w:rFonts w:ascii="宋体"/>
                <w:vanish/>
              </w:rPr>
            </w:pPr>
          </w:p>
        </w:tc>
        <w:tc>
          <w:tcPr>
            <w:tcW w:w="0" w:type="auto"/>
            <w:gridSpan w:val="3"/>
            <w:shd w:val="clear" w:color="auto" w:fill="auto"/>
            <w:vAlign w:val="bottom"/>
          </w:tcPr>
          <w:p w14:paraId="07DCE1DA" w14:textId="77777777" w:rsidR="00AE727E" w:rsidRDefault="00AE727E">
            <w:pPr>
              <w:rPr>
                <w:rFonts w:ascii="宋体"/>
                <w:vanish/>
              </w:rPr>
            </w:pPr>
          </w:p>
        </w:tc>
        <w:tc>
          <w:tcPr>
            <w:tcW w:w="0" w:type="auto"/>
            <w:gridSpan w:val="3"/>
            <w:shd w:val="clear" w:color="auto" w:fill="auto"/>
            <w:vAlign w:val="bottom"/>
          </w:tcPr>
          <w:p w14:paraId="07DCE1DB" w14:textId="77777777" w:rsidR="00AE727E" w:rsidRDefault="00AE727E">
            <w:pPr>
              <w:rPr>
                <w:rFonts w:ascii="宋体"/>
                <w:vanish/>
              </w:rPr>
            </w:pPr>
          </w:p>
        </w:tc>
        <w:tc>
          <w:tcPr>
            <w:tcW w:w="0" w:type="auto"/>
            <w:gridSpan w:val="3"/>
            <w:shd w:val="clear" w:color="auto" w:fill="auto"/>
            <w:vAlign w:val="bottom"/>
          </w:tcPr>
          <w:p w14:paraId="07DCE1DC" w14:textId="77777777" w:rsidR="00AE727E" w:rsidRDefault="00AE727E">
            <w:pPr>
              <w:rPr>
                <w:rFonts w:ascii="宋体"/>
                <w:vanish/>
              </w:rPr>
            </w:pPr>
          </w:p>
        </w:tc>
        <w:tc>
          <w:tcPr>
            <w:tcW w:w="0" w:type="auto"/>
            <w:gridSpan w:val="3"/>
            <w:shd w:val="clear" w:color="auto" w:fill="auto"/>
            <w:vAlign w:val="bottom"/>
          </w:tcPr>
          <w:p w14:paraId="07DCE1DD" w14:textId="77777777" w:rsidR="00AE727E" w:rsidRDefault="00AE727E">
            <w:pPr>
              <w:rPr>
                <w:rFonts w:ascii="宋体"/>
                <w:vanish/>
              </w:rPr>
            </w:pPr>
          </w:p>
        </w:tc>
        <w:tc>
          <w:tcPr>
            <w:tcW w:w="0" w:type="auto"/>
            <w:gridSpan w:val="3"/>
            <w:shd w:val="clear" w:color="auto" w:fill="auto"/>
            <w:vAlign w:val="bottom"/>
          </w:tcPr>
          <w:p w14:paraId="07DCE1DE" w14:textId="77777777" w:rsidR="00AE727E" w:rsidRDefault="00AE727E">
            <w:pPr>
              <w:rPr>
                <w:rFonts w:ascii="宋体"/>
                <w:vanish/>
              </w:rPr>
            </w:pPr>
          </w:p>
        </w:tc>
        <w:tc>
          <w:tcPr>
            <w:tcW w:w="0" w:type="auto"/>
            <w:gridSpan w:val="3"/>
            <w:shd w:val="clear" w:color="auto" w:fill="auto"/>
            <w:vAlign w:val="bottom"/>
          </w:tcPr>
          <w:p w14:paraId="07DCE1DF" w14:textId="77777777" w:rsidR="00AE727E" w:rsidRDefault="00AE727E">
            <w:pPr>
              <w:rPr>
                <w:rFonts w:ascii="宋体"/>
                <w:vanish/>
              </w:rPr>
            </w:pPr>
          </w:p>
        </w:tc>
        <w:tc>
          <w:tcPr>
            <w:tcW w:w="0" w:type="auto"/>
            <w:gridSpan w:val="3"/>
            <w:shd w:val="clear" w:color="auto" w:fill="auto"/>
            <w:vAlign w:val="bottom"/>
          </w:tcPr>
          <w:p w14:paraId="07DCE1E0" w14:textId="77777777" w:rsidR="00AE727E" w:rsidRDefault="00AE727E">
            <w:pPr>
              <w:rPr>
                <w:rFonts w:ascii="宋体"/>
                <w:vanish/>
              </w:rPr>
            </w:pPr>
          </w:p>
        </w:tc>
        <w:tc>
          <w:tcPr>
            <w:tcW w:w="0" w:type="auto"/>
            <w:gridSpan w:val="3"/>
            <w:shd w:val="clear" w:color="auto" w:fill="auto"/>
            <w:vAlign w:val="bottom"/>
          </w:tcPr>
          <w:p w14:paraId="07DCE1E1" w14:textId="77777777" w:rsidR="00AE727E" w:rsidRDefault="00AE727E">
            <w:pPr>
              <w:rPr>
                <w:rFonts w:ascii="宋体"/>
                <w:vanish/>
              </w:rPr>
            </w:pPr>
          </w:p>
        </w:tc>
        <w:tc>
          <w:tcPr>
            <w:tcW w:w="0" w:type="auto"/>
            <w:gridSpan w:val="3"/>
            <w:shd w:val="clear" w:color="auto" w:fill="auto"/>
            <w:vAlign w:val="bottom"/>
          </w:tcPr>
          <w:p w14:paraId="07DCE1E2" w14:textId="77777777" w:rsidR="00AE727E" w:rsidRDefault="00AE727E">
            <w:pPr>
              <w:rPr>
                <w:rFonts w:ascii="宋体"/>
                <w:vanish/>
              </w:rPr>
            </w:pPr>
          </w:p>
        </w:tc>
        <w:tc>
          <w:tcPr>
            <w:tcW w:w="0" w:type="auto"/>
            <w:gridSpan w:val="3"/>
            <w:shd w:val="clear" w:color="auto" w:fill="auto"/>
            <w:vAlign w:val="bottom"/>
          </w:tcPr>
          <w:p w14:paraId="07DCE1E3" w14:textId="77777777" w:rsidR="00AE727E" w:rsidRDefault="00AE727E">
            <w:pPr>
              <w:rPr>
                <w:rFonts w:ascii="宋体"/>
                <w:vanish/>
              </w:rPr>
            </w:pPr>
          </w:p>
        </w:tc>
        <w:tc>
          <w:tcPr>
            <w:tcW w:w="0" w:type="auto"/>
            <w:gridSpan w:val="3"/>
            <w:shd w:val="clear" w:color="auto" w:fill="auto"/>
            <w:vAlign w:val="bottom"/>
          </w:tcPr>
          <w:p w14:paraId="07DCE1E4" w14:textId="77777777" w:rsidR="00AE727E" w:rsidRDefault="00AE727E">
            <w:pPr>
              <w:rPr>
                <w:rFonts w:ascii="宋体"/>
                <w:vanish/>
              </w:rPr>
            </w:pPr>
          </w:p>
        </w:tc>
        <w:tc>
          <w:tcPr>
            <w:tcW w:w="0" w:type="auto"/>
            <w:gridSpan w:val="3"/>
            <w:shd w:val="clear" w:color="auto" w:fill="auto"/>
            <w:vAlign w:val="bottom"/>
          </w:tcPr>
          <w:p w14:paraId="07DCE1E5" w14:textId="77777777" w:rsidR="00AE727E" w:rsidRDefault="00AE727E">
            <w:pPr>
              <w:rPr>
                <w:rFonts w:ascii="宋体"/>
                <w:vanish/>
              </w:rPr>
            </w:pPr>
          </w:p>
        </w:tc>
        <w:tc>
          <w:tcPr>
            <w:tcW w:w="0" w:type="auto"/>
            <w:gridSpan w:val="3"/>
            <w:shd w:val="clear" w:color="auto" w:fill="auto"/>
            <w:vAlign w:val="bottom"/>
          </w:tcPr>
          <w:p w14:paraId="07DCE1E6" w14:textId="77777777" w:rsidR="00AE727E" w:rsidRDefault="00AE727E">
            <w:pPr>
              <w:rPr>
                <w:rFonts w:ascii="宋体"/>
                <w:vanish/>
              </w:rPr>
            </w:pPr>
          </w:p>
        </w:tc>
      </w:tr>
      <w:tr w:rsidR="00AE727E" w14:paraId="07DCE1F8" w14:textId="77777777">
        <w:trPr>
          <w:hidden/>
        </w:trPr>
        <w:tc>
          <w:tcPr>
            <w:tcW w:w="0" w:type="auto"/>
            <w:gridSpan w:val="3"/>
            <w:shd w:val="clear" w:color="auto" w:fill="auto"/>
            <w:vAlign w:val="bottom"/>
          </w:tcPr>
          <w:p w14:paraId="07DCE1E8" w14:textId="77777777" w:rsidR="00AE727E" w:rsidRDefault="00AE727E">
            <w:pPr>
              <w:rPr>
                <w:rFonts w:ascii="宋体"/>
                <w:vanish/>
              </w:rPr>
            </w:pPr>
          </w:p>
        </w:tc>
        <w:tc>
          <w:tcPr>
            <w:tcW w:w="0" w:type="auto"/>
            <w:gridSpan w:val="3"/>
            <w:shd w:val="clear" w:color="auto" w:fill="auto"/>
            <w:vAlign w:val="bottom"/>
          </w:tcPr>
          <w:p w14:paraId="07DCE1E9" w14:textId="77777777" w:rsidR="00AE727E" w:rsidRDefault="00AE727E">
            <w:pPr>
              <w:rPr>
                <w:rFonts w:ascii="宋体"/>
                <w:vanish/>
              </w:rPr>
            </w:pPr>
          </w:p>
        </w:tc>
        <w:tc>
          <w:tcPr>
            <w:tcW w:w="0" w:type="auto"/>
            <w:gridSpan w:val="3"/>
            <w:shd w:val="clear" w:color="auto" w:fill="auto"/>
            <w:vAlign w:val="bottom"/>
          </w:tcPr>
          <w:p w14:paraId="07DCE1EA" w14:textId="77777777" w:rsidR="00AE727E" w:rsidRDefault="00AE727E">
            <w:pPr>
              <w:rPr>
                <w:rFonts w:ascii="宋体"/>
                <w:vanish/>
              </w:rPr>
            </w:pPr>
          </w:p>
        </w:tc>
        <w:tc>
          <w:tcPr>
            <w:tcW w:w="0" w:type="auto"/>
            <w:gridSpan w:val="3"/>
            <w:shd w:val="clear" w:color="auto" w:fill="auto"/>
            <w:vAlign w:val="bottom"/>
          </w:tcPr>
          <w:p w14:paraId="07DCE1EB" w14:textId="77777777" w:rsidR="00AE727E" w:rsidRDefault="00AE727E">
            <w:pPr>
              <w:rPr>
                <w:rFonts w:ascii="宋体"/>
                <w:vanish/>
              </w:rPr>
            </w:pPr>
          </w:p>
        </w:tc>
        <w:tc>
          <w:tcPr>
            <w:tcW w:w="0" w:type="auto"/>
            <w:gridSpan w:val="3"/>
            <w:shd w:val="clear" w:color="auto" w:fill="auto"/>
            <w:vAlign w:val="bottom"/>
          </w:tcPr>
          <w:p w14:paraId="07DCE1EC" w14:textId="77777777" w:rsidR="00AE727E" w:rsidRDefault="00AE727E">
            <w:pPr>
              <w:rPr>
                <w:rFonts w:ascii="宋体"/>
                <w:vanish/>
              </w:rPr>
            </w:pPr>
          </w:p>
        </w:tc>
        <w:tc>
          <w:tcPr>
            <w:tcW w:w="0" w:type="auto"/>
            <w:gridSpan w:val="3"/>
            <w:shd w:val="clear" w:color="auto" w:fill="auto"/>
            <w:vAlign w:val="bottom"/>
          </w:tcPr>
          <w:p w14:paraId="07DCE1ED" w14:textId="77777777" w:rsidR="00AE727E" w:rsidRDefault="00AE727E">
            <w:pPr>
              <w:rPr>
                <w:rFonts w:ascii="宋体"/>
                <w:vanish/>
              </w:rPr>
            </w:pPr>
          </w:p>
        </w:tc>
        <w:tc>
          <w:tcPr>
            <w:tcW w:w="0" w:type="auto"/>
            <w:gridSpan w:val="3"/>
            <w:shd w:val="clear" w:color="auto" w:fill="auto"/>
            <w:vAlign w:val="bottom"/>
          </w:tcPr>
          <w:p w14:paraId="07DCE1EE" w14:textId="77777777" w:rsidR="00AE727E" w:rsidRDefault="00AE727E">
            <w:pPr>
              <w:rPr>
                <w:rFonts w:ascii="宋体"/>
                <w:vanish/>
              </w:rPr>
            </w:pPr>
          </w:p>
        </w:tc>
        <w:tc>
          <w:tcPr>
            <w:tcW w:w="0" w:type="auto"/>
            <w:gridSpan w:val="3"/>
            <w:shd w:val="clear" w:color="auto" w:fill="auto"/>
            <w:vAlign w:val="bottom"/>
          </w:tcPr>
          <w:p w14:paraId="07DCE1EF" w14:textId="77777777" w:rsidR="00AE727E" w:rsidRDefault="00AE727E">
            <w:pPr>
              <w:rPr>
                <w:rFonts w:ascii="宋体"/>
                <w:vanish/>
              </w:rPr>
            </w:pPr>
          </w:p>
        </w:tc>
        <w:tc>
          <w:tcPr>
            <w:tcW w:w="0" w:type="auto"/>
            <w:gridSpan w:val="3"/>
            <w:shd w:val="clear" w:color="auto" w:fill="auto"/>
            <w:vAlign w:val="bottom"/>
          </w:tcPr>
          <w:p w14:paraId="07DCE1F0" w14:textId="77777777" w:rsidR="00AE727E" w:rsidRDefault="00AE727E">
            <w:pPr>
              <w:rPr>
                <w:rFonts w:ascii="宋体"/>
                <w:vanish/>
              </w:rPr>
            </w:pPr>
          </w:p>
        </w:tc>
        <w:tc>
          <w:tcPr>
            <w:tcW w:w="0" w:type="auto"/>
            <w:gridSpan w:val="3"/>
            <w:shd w:val="clear" w:color="auto" w:fill="auto"/>
            <w:vAlign w:val="bottom"/>
          </w:tcPr>
          <w:p w14:paraId="07DCE1F1" w14:textId="77777777" w:rsidR="00AE727E" w:rsidRDefault="00AE727E">
            <w:pPr>
              <w:rPr>
                <w:rFonts w:ascii="宋体"/>
                <w:vanish/>
              </w:rPr>
            </w:pPr>
          </w:p>
        </w:tc>
        <w:tc>
          <w:tcPr>
            <w:tcW w:w="0" w:type="auto"/>
            <w:gridSpan w:val="3"/>
            <w:shd w:val="clear" w:color="auto" w:fill="auto"/>
            <w:vAlign w:val="bottom"/>
          </w:tcPr>
          <w:p w14:paraId="07DCE1F2" w14:textId="77777777" w:rsidR="00AE727E" w:rsidRDefault="00AE727E">
            <w:pPr>
              <w:rPr>
                <w:rFonts w:ascii="宋体"/>
                <w:vanish/>
              </w:rPr>
            </w:pPr>
          </w:p>
        </w:tc>
        <w:tc>
          <w:tcPr>
            <w:tcW w:w="0" w:type="auto"/>
            <w:gridSpan w:val="3"/>
            <w:shd w:val="clear" w:color="auto" w:fill="auto"/>
            <w:vAlign w:val="bottom"/>
          </w:tcPr>
          <w:p w14:paraId="07DCE1F3" w14:textId="77777777" w:rsidR="00AE727E" w:rsidRDefault="00AE727E">
            <w:pPr>
              <w:rPr>
                <w:rFonts w:ascii="宋体"/>
                <w:vanish/>
              </w:rPr>
            </w:pPr>
          </w:p>
        </w:tc>
        <w:tc>
          <w:tcPr>
            <w:tcW w:w="0" w:type="auto"/>
            <w:gridSpan w:val="3"/>
            <w:shd w:val="clear" w:color="auto" w:fill="auto"/>
            <w:vAlign w:val="bottom"/>
          </w:tcPr>
          <w:p w14:paraId="07DCE1F4" w14:textId="77777777" w:rsidR="00AE727E" w:rsidRDefault="00AE727E">
            <w:pPr>
              <w:rPr>
                <w:rFonts w:ascii="宋体"/>
                <w:vanish/>
              </w:rPr>
            </w:pPr>
          </w:p>
        </w:tc>
        <w:tc>
          <w:tcPr>
            <w:tcW w:w="0" w:type="auto"/>
            <w:gridSpan w:val="3"/>
            <w:shd w:val="clear" w:color="auto" w:fill="auto"/>
            <w:vAlign w:val="bottom"/>
          </w:tcPr>
          <w:p w14:paraId="07DCE1F5" w14:textId="77777777" w:rsidR="00AE727E" w:rsidRDefault="00AE727E">
            <w:pPr>
              <w:rPr>
                <w:rFonts w:ascii="宋体"/>
                <w:vanish/>
              </w:rPr>
            </w:pPr>
          </w:p>
        </w:tc>
        <w:tc>
          <w:tcPr>
            <w:tcW w:w="0" w:type="auto"/>
            <w:gridSpan w:val="3"/>
            <w:shd w:val="clear" w:color="auto" w:fill="auto"/>
            <w:vAlign w:val="bottom"/>
          </w:tcPr>
          <w:p w14:paraId="07DCE1F6" w14:textId="77777777" w:rsidR="00AE727E" w:rsidRDefault="00AE727E">
            <w:pPr>
              <w:rPr>
                <w:rFonts w:ascii="宋体"/>
                <w:vanish/>
              </w:rPr>
            </w:pPr>
          </w:p>
        </w:tc>
        <w:tc>
          <w:tcPr>
            <w:tcW w:w="0" w:type="auto"/>
            <w:gridSpan w:val="3"/>
            <w:shd w:val="clear" w:color="auto" w:fill="auto"/>
            <w:vAlign w:val="bottom"/>
          </w:tcPr>
          <w:p w14:paraId="07DCE1F7" w14:textId="77777777" w:rsidR="00AE727E" w:rsidRDefault="00AE727E">
            <w:pPr>
              <w:rPr>
                <w:rFonts w:ascii="宋体"/>
                <w:vanish/>
              </w:rPr>
            </w:pPr>
          </w:p>
        </w:tc>
      </w:tr>
      <w:tr w:rsidR="00AE727E" w14:paraId="07DCE209" w14:textId="77777777">
        <w:trPr>
          <w:hidden/>
        </w:trPr>
        <w:tc>
          <w:tcPr>
            <w:tcW w:w="0" w:type="auto"/>
            <w:gridSpan w:val="3"/>
            <w:shd w:val="clear" w:color="auto" w:fill="auto"/>
            <w:vAlign w:val="bottom"/>
          </w:tcPr>
          <w:p w14:paraId="07DCE1F9" w14:textId="77777777" w:rsidR="00AE727E" w:rsidRDefault="00AE727E">
            <w:pPr>
              <w:rPr>
                <w:rFonts w:ascii="宋体"/>
                <w:vanish/>
              </w:rPr>
            </w:pPr>
          </w:p>
        </w:tc>
        <w:tc>
          <w:tcPr>
            <w:tcW w:w="0" w:type="auto"/>
            <w:gridSpan w:val="3"/>
            <w:shd w:val="clear" w:color="auto" w:fill="auto"/>
            <w:vAlign w:val="bottom"/>
          </w:tcPr>
          <w:p w14:paraId="07DCE1FA" w14:textId="77777777" w:rsidR="00AE727E" w:rsidRDefault="00AE727E">
            <w:pPr>
              <w:rPr>
                <w:rFonts w:ascii="宋体"/>
                <w:vanish/>
              </w:rPr>
            </w:pPr>
          </w:p>
        </w:tc>
        <w:tc>
          <w:tcPr>
            <w:tcW w:w="0" w:type="auto"/>
            <w:gridSpan w:val="3"/>
            <w:shd w:val="clear" w:color="auto" w:fill="auto"/>
            <w:vAlign w:val="bottom"/>
          </w:tcPr>
          <w:p w14:paraId="07DCE1FB" w14:textId="77777777" w:rsidR="00AE727E" w:rsidRDefault="00AE727E">
            <w:pPr>
              <w:rPr>
                <w:rFonts w:ascii="宋体"/>
                <w:vanish/>
              </w:rPr>
            </w:pPr>
          </w:p>
        </w:tc>
        <w:tc>
          <w:tcPr>
            <w:tcW w:w="0" w:type="auto"/>
            <w:gridSpan w:val="3"/>
            <w:shd w:val="clear" w:color="auto" w:fill="auto"/>
            <w:vAlign w:val="bottom"/>
          </w:tcPr>
          <w:p w14:paraId="07DCE1FC" w14:textId="77777777" w:rsidR="00AE727E" w:rsidRDefault="00AE727E">
            <w:pPr>
              <w:rPr>
                <w:rFonts w:ascii="宋体"/>
                <w:vanish/>
              </w:rPr>
            </w:pPr>
          </w:p>
        </w:tc>
        <w:tc>
          <w:tcPr>
            <w:tcW w:w="0" w:type="auto"/>
            <w:gridSpan w:val="3"/>
            <w:shd w:val="clear" w:color="auto" w:fill="auto"/>
            <w:vAlign w:val="bottom"/>
          </w:tcPr>
          <w:p w14:paraId="07DCE1FD" w14:textId="77777777" w:rsidR="00AE727E" w:rsidRDefault="00AE727E">
            <w:pPr>
              <w:rPr>
                <w:rFonts w:ascii="宋体"/>
                <w:vanish/>
              </w:rPr>
            </w:pPr>
          </w:p>
        </w:tc>
        <w:tc>
          <w:tcPr>
            <w:tcW w:w="0" w:type="auto"/>
            <w:gridSpan w:val="3"/>
            <w:shd w:val="clear" w:color="auto" w:fill="auto"/>
            <w:vAlign w:val="bottom"/>
          </w:tcPr>
          <w:p w14:paraId="07DCE1FE" w14:textId="77777777" w:rsidR="00AE727E" w:rsidRDefault="00AE727E">
            <w:pPr>
              <w:rPr>
                <w:rFonts w:ascii="宋体"/>
                <w:vanish/>
              </w:rPr>
            </w:pPr>
          </w:p>
        </w:tc>
        <w:tc>
          <w:tcPr>
            <w:tcW w:w="0" w:type="auto"/>
            <w:gridSpan w:val="3"/>
            <w:shd w:val="clear" w:color="auto" w:fill="auto"/>
            <w:vAlign w:val="bottom"/>
          </w:tcPr>
          <w:p w14:paraId="07DCE1FF" w14:textId="77777777" w:rsidR="00AE727E" w:rsidRDefault="00AE727E">
            <w:pPr>
              <w:rPr>
                <w:rFonts w:ascii="宋体"/>
                <w:vanish/>
              </w:rPr>
            </w:pPr>
          </w:p>
        </w:tc>
        <w:tc>
          <w:tcPr>
            <w:tcW w:w="0" w:type="auto"/>
            <w:gridSpan w:val="3"/>
            <w:shd w:val="clear" w:color="auto" w:fill="auto"/>
            <w:vAlign w:val="bottom"/>
          </w:tcPr>
          <w:p w14:paraId="07DCE200" w14:textId="77777777" w:rsidR="00AE727E" w:rsidRDefault="00AE727E">
            <w:pPr>
              <w:rPr>
                <w:rFonts w:ascii="宋体"/>
                <w:vanish/>
              </w:rPr>
            </w:pPr>
          </w:p>
        </w:tc>
        <w:tc>
          <w:tcPr>
            <w:tcW w:w="0" w:type="auto"/>
            <w:gridSpan w:val="3"/>
            <w:shd w:val="clear" w:color="auto" w:fill="auto"/>
            <w:vAlign w:val="bottom"/>
          </w:tcPr>
          <w:p w14:paraId="07DCE201" w14:textId="77777777" w:rsidR="00AE727E" w:rsidRDefault="00AE727E">
            <w:pPr>
              <w:rPr>
                <w:rFonts w:ascii="宋体"/>
                <w:vanish/>
              </w:rPr>
            </w:pPr>
          </w:p>
        </w:tc>
        <w:tc>
          <w:tcPr>
            <w:tcW w:w="0" w:type="auto"/>
            <w:gridSpan w:val="3"/>
            <w:shd w:val="clear" w:color="auto" w:fill="auto"/>
            <w:vAlign w:val="bottom"/>
          </w:tcPr>
          <w:p w14:paraId="07DCE202" w14:textId="77777777" w:rsidR="00AE727E" w:rsidRDefault="00AE727E">
            <w:pPr>
              <w:rPr>
                <w:rFonts w:ascii="宋体"/>
                <w:vanish/>
              </w:rPr>
            </w:pPr>
          </w:p>
        </w:tc>
        <w:tc>
          <w:tcPr>
            <w:tcW w:w="0" w:type="auto"/>
            <w:gridSpan w:val="3"/>
            <w:shd w:val="clear" w:color="auto" w:fill="auto"/>
            <w:vAlign w:val="bottom"/>
          </w:tcPr>
          <w:p w14:paraId="07DCE203" w14:textId="77777777" w:rsidR="00AE727E" w:rsidRDefault="00AE727E">
            <w:pPr>
              <w:rPr>
                <w:rFonts w:ascii="宋体"/>
                <w:vanish/>
              </w:rPr>
            </w:pPr>
          </w:p>
        </w:tc>
        <w:tc>
          <w:tcPr>
            <w:tcW w:w="0" w:type="auto"/>
            <w:gridSpan w:val="3"/>
            <w:shd w:val="clear" w:color="auto" w:fill="auto"/>
            <w:vAlign w:val="bottom"/>
          </w:tcPr>
          <w:p w14:paraId="07DCE204" w14:textId="77777777" w:rsidR="00AE727E" w:rsidRDefault="00AE727E">
            <w:pPr>
              <w:rPr>
                <w:rFonts w:ascii="宋体"/>
                <w:vanish/>
              </w:rPr>
            </w:pPr>
          </w:p>
        </w:tc>
        <w:tc>
          <w:tcPr>
            <w:tcW w:w="0" w:type="auto"/>
            <w:gridSpan w:val="3"/>
            <w:shd w:val="clear" w:color="auto" w:fill="auto"/>
            <w:vAlign w:val="bottom"/>
          </w:tcPr>
          <w:p w14:paraId="07DCE205" w14:textId="77777777" w:rsidR="00AE727E" w:rsidRDefault="00AE727E">
            <w:pPr>
              <w:rPr>
                <w:rFonts w:ascii="宋体"/>
                <w:vanish/>
              </w:rPr>
            </w:pPr>
          </w:p>
        </w:tc>
        <w:tc>
          <w:tcPr>
            <w:tcW w:w="0" w:type="auto"/>
            <w:gridSpan w:val="3"/>
            <w:shd w:val="clear" w:color="auto" w:fill="auto"/>
            <w:vAlign w:val="bottom"/>
          </w:tcPr>
          <w:p w14:paraId="07DCE206" w14:textId="77777777" w:rsidR="00AE727E" w:rsidRDefault="00AE727E">
            <w:pPr>
              <w:rPr>
                <w:rFonts w:ascii="宋体"/>
                <w:vanish/>
              </w:rPr>
            </w:pPr>
          </w:p>
        </w:tc>
        <w:tc>
          <w:tcPr>
            <w:tcW w:w="0" w:type="auto"/>
            <w:gridSpan w:val="3"/>
            <w:shd w:val="clear" w:color="auto" w:fill="auto"/>
            <w:vAlign w:val="bottom"/>
          </w:tcPr>
          <w:p w14:paraId="07DCE207" w14:textId="77777777" w:rsidR="00AE727E" w:rsidRDefault="00AE727E">
            <w:pPr>
              <w:rPr>
                <w:rFonts w:ascii="宋体"/>
                <w:vanish/>
              </w:rPr>
            </w:pPr>
          </w:p>
        </w:tc>
        <w:tc>
          <w:tcPr>
            <w:tcW w:w="0" w:type="auto"/>
            <w:gridSpan w:val="3"/>
            <w:shd w:val="clear" w:color="auto" w:fill="auto"/>
            <w:vAlign w:val="bottom"/>
          </w:tcPr>
          <w:p w14:paraId="07DCE208" w14:textId="77777777" w:rsidR="00AE727E" w:rsidRDefault="00AE727E">
            <w:pPr>
              <w:rPr>
                <w:rFonts w:ascii="宋体"/>
                <w:vanish/>
              </w:rPr>
            </w:pPr>
          </w:p>
        </w:tc>
      </w:tr>
      <w:tr w:rsidR="00AE727E" w14:paraId="07DCE222" w14:textId="77777777">
        <w:tc>
          <w:tcPr>
            <w:tcW w:w="0" w:type="auto"/>
            <w:gridSpan w:val="3"/>
            <w:shd w:val="clear" w:color="auto" w:fill="CCEEFF"/>
            <w:tcMar>
              <w:top w:w="40" w:type="dxa"/>
              <w:left w:w="155" w:type="dxa"/>
              <w:bottom w:w="40" w:type="dxa"/>
              <w:right w:w="20" w:type="dxa"/>
            </w:tcMar>
            <w:vAlign w:val="bottom"/>
          </w:tcPr>
          <w:p w14:paraId="07DCE20A" w14:textId="77777777" w:rsidR="00AE727E" w:rsidRDefault="008433E0">
            <w:pPr>
              <w:textAlignment w:val="bottom"/>
            </w:pPr>
            <w:r>
              <w:rPr>
                <w:rFonts w:ascii="Times New Roman" w:eastAsia="宋体" w:hAnsi="Times New Roman"/>
                <w:color w:val="000000"/>
                <w:sz w:val="20"/>
                <w:szCs w:val="20"/>
              </w:rPr>
              <w:t>Equity and other securities</w:t>
            </w:r>
          </w:p>
        </w:tc>
        <w:tc>
          <w:tcPr>
            <w:tcW w:w="0" w:type="auto"/>
            <w:gridSpan w:val="2"/>
            <w:shd w:val="clear" w:color="auto" w:fill="CCEEFF"/>
            <w:tcMar>
              <w:top w:w="40" w:type="dxa"/>
              <w:left w:w="20" w:type="dxa"/>
              <w:bottom w:w="40" w:type="dxa"/>
              <w:right w:w="0" w:type="dxa"/>
            </w:tcMar>
            <w:vAlign w:val="bottom"/>
          </w:tcPr>
          <w:p w14:paraId="07DCE20B" w14:textId="77777777" w:rsidR="00AE727E" w:rsidRDefault="008433E0">
            <w:pPr>
              <w:jc w:val="right"/>
              <w:textAlignment w:val="bottom"/>
            </w:pPr>
            <w:r>
              <w:rPr>
                <w:rFonts w:ascii="Times New Roman" w:eastAsia="宋体" w:hAnsi="Times New Roman"/>
                <w:color w:val="000000"/>
                <w:sz w:val="20"/>
                <w:szCs w:val="20"/>
              </w:rPr>
              <w:t>155 </w:t>
            </w:r>
          </w:p>
        </w:tc>
        <w:tc>
          <w:tcPr>
            <w:tcW w:w="0" w:type="auto"/>
            <w:shd w:val="clear" w:color="auto" w:fill="CCEEFF"/>
            <w:tcMar>
              <w:top w:w="40" w:type="dxa"/>
              <w:left w:w="0" w:type="dxa"/>
              <w:bottom w:w="40" w:type="dxa"/>
              <w:right w:w="20" w:type="dxa"/>
            </w:tcMar>
            <w:vAlign w:val="bottom"/>
          </w:tcPr>
          <w:p w14:paraId="07DCE2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0E"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20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11"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2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14" w14:textId="77777777" w:rsidR="00AE727E" w:rsidRDefault="008433E0">
            <w:pPr>
              <w:jc w:val="right"/>
              <w:textAlignment w:val="bottom"/>
            </w:pPr>
            <w:r>
              <w:rPr>
                <w:rFonts w:ascii="Times New Roman" w:eastAsia="宋体" w:hAnsi="Times New Roman"/>
                <w:color w:val="000000"/>
                <w:sz w:val="20"/>
                <w:szCs w:val="20"/>
              </w:rPr>
              <w:t>155 </w:t>
            </w:r>
          </w:p>
        </w:tc>
        <w:tc>
          <w:tcPr>
            <w:tcW w:w="0" w:type="auto"/>
            <w:shd w:val="clear" w:color="auto" w:fill="CCEEFF"/>
            <w:tcMar>
              <w:top w:w="40" w:type="dxa"/>
              <w:left w:w="0" w:type="dxa"/>
              <w:bottom w:w="40" w:type="dxa"/>
              <w:right w:w="20" w:type="dxa"/>
            </w:tcMar>
            <w:vAlign w:val="bottom"/>
          </w:tcPr>
          <w:p w14:paraId="07DCE21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17" w14:textId="77777777" w:rsidR="00AE727E" w:rsidRDefault="008433E0">
            <w:pPr>
              <w:jc w:val="right"/>
              <w:textAlignment w:val="bottom"/>
            </w:pPr>
            <w:r>
              <w:rPr>
                <w:rFonts w:ascii="Times New Roman" w:eastAsia="宋体" w:hAnsi="Times New Roman"/>
                <w:color w:val="000000"/>
                <w:sz w:val="20"/>
                <w:szCs w:val="20"/>
              </w:rPr>
              <w:t>449 </w:t>
            </w:r>
          </w:p>
        </w:tc>
        <w:tc>
          <w:tcPr>
            <w:tcW w:w="0" w:type="auto"/>
            <w:shd w:val="clear" w:color="auto" w:fill="CCEEFF"/>
            <w:tcMar>
              <w:top w:w="40" w:type="dxa"/>
              <w:left w:w="0" w:type="dxa"/>
              <w:bottom w:w="40" w:type="dxa"/>
              <w:right w:w="20" w:type="dxa"/>
            </w:tcMar>
            <w:vAlign w:val="bottom"/>
          </w:tcPr>
          <w:p w14:paraId="07DCE21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1A"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2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1D"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21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220" w14:textId="77777777" w:rsidR="00AE727E" w:rsidRDefault="008433E0">
            <w:pPr>
              <w:jc w:val="right"/>
              <w:textAlignment w:val="bottom"/>
            </w:pPr>
            <w:r>
              <w:rPr>
                <w:rFonts w:ascii="Times New Roman" w:eastAsia="宋体" w:hAnsi="Times New Roman"/>
                <w:color w:val="000000"/>
                <w:sz w:val="20"/>
                <w:szCs w:val="20"/>
              </w:rPr>
              <w:t>449 </w:t>
            </w:r>
          </w:p>
        </w:tc>
        <w:tc>
          <w:tcPr>
            <w:tcW w:w="0" w:type="auto"/>
            <w:shd w:val="clear" w:color="auto" w:fill="CCEEFF"/>
            <w:tcMar>
              <w:top w:w="40" w:type="dxa"/>
              <w:left w:w="0" w:type="dxa"/>
              <w:bottom w:w="40" w:type="dxa"/>
              <w:right w:w="20" w:type="dxa"/>
            </w:tcMar>
            <w:vAlign w:val="bottom"/>
          </w:tcPr>
          <w:p w14:paraId="07DCE221" w14:textId="77777777" w:rsidR="00AE727E" w:rsidRDefault="00AE727E">
            <w:pPr>
              <w:jc w:val="right"/>
              <w:rPr>
                <w:rFonts w:ascii="宋体"/>
              </w:rPr>
            </w:pPr>
          </w:p>
        </w:tc>
      </w:tr>
      <w:tr w:rsidR="00AE727E" w14:paraId="07DCE23B" w14:textId="77777777">
        <w:tc>
          <w:tcPr>
            <w:tcW w:w="0" w:type="auto"/>
            <w:gridSpan w:val="3"/>
            <w:shd w:val="clear" w:color="auto" w:fill="FFFFFF"/>
            <w:tcMar>
              <w:top w:w="40" w:type="dxa"/>
              <w:left w:w="155" w:type="dxa"/>
              <w:bottom w:w="40" w:type="dxa"/>
              <w:right w:w="20" w:type="dxa"/>
            </w:tcMar>
            <w:vAlign w:val="center"/>
          </w:tcPr>
          <w:p w14:paraId="07DCE223" w14:textId="77777777" w:rsidR="00AE727E" w:rsidRDefault="008433E0">
            <w:pPr>
              <w:textAlignment w:val="center"/>
            </w:pPr>
            <w:r>
              <w:rPr>
                <w:rFonts w:ascii="Times New Roman" w:eastAsia="宋体" w:hAnsi="Times New Roman"/>
                <w:color w:val="000000"/>
                <w:sz w:val="20"/>
                <w:szCs w:val="20"/>
              </w:rPr>
              <w:t>Derivative instruments</w:t>
            </w:r>
          </w:p>
        </w:tc>
        <w:tc>
          <w:tcPr>
            <w:tcW w:w="0" w:type="auto"/>
            <w:gridSpan w:val="2"/>
            <w:shd w:val="clear" w:color="auto" w:fill="FFFFFF"/>
            <w:tcMar>
              <w:top w:w="40" w:type="dxa"/>
              <w:left w:w="20" w:type="dxa"/>
              <w:bottom w:w="40" w:type="dxa"/>
              <w:right w:w="0" w:type="dxa"/>
            </w:tcMar>
            <w:vAlign w:val="center"/>
          </w:tcPr>
          <w:p w14:paraId="07DCE224"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22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2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27" w14:textId="77777777" w:rsidR="00AE727E" w:rsidRDefault="008433E0">
            <w:pPr>
              <w:jc w:val="right"/>
              <w:textAlignment w:val="center"/>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center"/>
          </w:tcPr>
          <w:p w14:paraId="07DCE22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2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2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22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2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2D" w14:textId="77777777" w:rsidR="00AE727E" w:rsidRDefault="008433E0">
            <w:pPr>
              <w:jc w:val="right"/>
              <w:textAlignment w:val="center"/>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center"/>
          </w:tcPr>
          <w:p w14:paraId="07DCE22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2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3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23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3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33" w14:textId="77777777" w:rsidR="00AE727E" w:rsidRDefault="008433E0">
            <w:pPr>
              <w:jc w:val="right"/>
              <w:textAlignment w:val="center"/>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center"/>
          </w:tcPr>
          <w:p w14:paraId="07DCE2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3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36"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23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3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239" w14:textId="77777777" w:rsidR="00AE727E" w:rsidRDefault="008433E0">
            <w:pPr>
              <w:jc w:val="right"/>
              <w:textAlignment w:val="center"/>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center"/>
          </w:tcPr>
          <w:p w14:paraId="07DCE23A" w14:textId="77777777" w:rsidR="00AE727E" w:rsidRDefault="00AE727E">
            <w:pPr>
              <w:jc w:val="right"/>
              <w:rPr>
                <w:rFonts w:ascii="宋体"/>
              </w:rPr>
            </w:pPr>
          </w:p>
        </w:tc>
      </w:tr>
      <w:tr w:rsidR="008433E0" w14:paraId="07DCE25C" w14:textId="77777777">
        <w:tc>
          <w:tcPr>
            <w:tcW w:w="0" w:type="auto"/>
            <w:gridSpan w:val="3"/>
            <w:shd w:val="clear" w:color="auto" w:fill="CCEEFF"/>
            <w:tcMar>
              <w:top w:w="40" w:type="dxa"/>
              <w:left w:w="245" w:type="dxa"/>
              <w:bottom w:w="40" w:type="dxa"/>
              <w:right w:w="20" w:type="dxa"/>
            </w:tcMar>
            <w:vAlign w:val="center"/>
          </w:tcPr>
          <w:p w14:paraId="07DCE23C" w14:textId="77777777" w:rsidR="00AE727E" w:rsidRDefault="008433E0">
            <w:pPr>
              <w:textAlignment w:val="center"/>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CCEEFF"/>
            <w:tcMar>
              <w:top w:w="40" w:type="dxa"/>
              <w:left w:w="20" w:type="dxa"/>
              <w:bottom w:w="40" w:type="dxa"/>
              <w:right w:w="0" w:type="dxa"/>
            </w:tcMar>
            <w:vAlign w:val="center"/>
          </w:tcPr>
          <w:p w14:paraId="07DCE23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3E" w14:textId="77777777" w:rsidR="00AE727E" w:rsidRDefault="008433E0">
            <w:pPr>
              <w:jc w:val="right"/>
              <w:textAlignment w:val="center"/>
            </w:pPr>
            <w:r>
              <w:rPr>
                <w:rFonts w:ascii="Times New Roman" w:eastAsia="宋体" w:hAnsi="Times New Roman"/>
                <w:color w:val="000000"/>
                <w:sz w:val="20"/>
                <w:szCs w:val="20"/>
              </w:rPr>
              <w:t>16,912 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3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4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4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42" w14:textId="77777777" w:rsidR="00AE727E" w:rsidRDefault="008433E0">
            <w:pPr>
              <w:jc w:val="right"/>
              <w:textAlignment w:val="center"/>
            </w:pPr>
            <w:r>
              <w:rPr>
                <w:rFonts w:ascii="Times New Roman" w:eastAsia="宋体" w:hAnsi="Times New Roman"/>
                <w:color w:val="000000"/>
                <w:sz w:val="20"/>
                <w:szCs w:val="20"/>
              </w:rPr>
              <w:t>195 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4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44"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4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46"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4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4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4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4A" w14:textId="77777777" w:rsidR="00AE727E" w:rsidRDefault="008433E0">
            <w:pPr>
              <w:jc w:val="right"/>
              <w:textAlignment w:val="center"/>
            </w:pPr>
            <w:r>
              <w:rPr>
                <w:rFonts w:ascii="Times New Roman" w:eastAsia="宋体" w:hAnsi="Times New Roman"/>
                <w:color w:val="000000"/>
                <w:sz w:val="20"/>
                <w:szCs w:val="20"/>
              </w:rPr>
              <w:t>17,107 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4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4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4E" w14:textId="77777777" w:rsidR="00AE727E" w:rsidRDefault="008433E0">
            <w:pPr>
              <w:jc w:val="right"/>
              <w:textAlignment w:val="center"/>
            </w:pPr>
            <w:r>
              <w:rPr>
                <w:rFonts w:ascii="Times New Roman" w:eastAsia="宋体" w:hAnsi="Times New Roman"/>
                <w:color w:val="000000"/>
                <w:sz w:val="20"/>
                <w:szCs w:val="20"/>
              </w:rPr>
              <w:t>9,295 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4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5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5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52" w14:textId="77777777" w:rsidR="00AE727E" w:rsidRDefault="008433E0">
            <w:pPr>
              <w:jc w:val="right"/>
              <w:textAlignment w:val="center"/>
            </w:pPr>
            <w:r>
              <w:rPr>
                <w:rFonts w:ascii="Times New Roman" w:eastAsia="宋体" w:hAnsi="Times New Roman"/>
                <w:color w:val="000000"/>
                <w:sz w:val="20"/>
                <w:szCs w:val="20"/>
              </w:rPr>
              <w:t>104 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5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54"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5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56"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5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5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E25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25A" w14:textId="77777777" w:rsidR="00AE727E" w:rsidRDefault="008433E0">
            <w:pPr>
              <w:jc w:val="right"/>
              <w:textAlignment w:val="center"/>
            </w:pPr>
            <w:r>
              <w:rPr>
                <w:rFonts w:ascii="Times New Roman" w:eastAsia="宋体" w:hAnsi="Times New Roman"/>
                <w:color w:val="000000"/>
                <w:sz w:val="20"/>
                <w:szCs w:val="20"/>
              </w:rPr>
              <w:t>9,399 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25B" w14:textId="77777777" w:rsidR="00AE727E" w:rsidRDefault="00AE727E">
            <w:pPr>
              <w:jc w:val="right"/>
              <w:rPr>
                <w:rFonts w:ascii="宋体"/>
              </w:rPr>
            </w:pPr>
          </w:p>
        </w:tc>
      </w:tr>
      <w:tr w:rsidR="00AE727E" w14:paraId="07DCE26D" w14:textId="77777777">
        <w:tc>
          <w:tcPr>
            <w:tcW w:w="0" w:type="auto"/>
            <w:gridSpan w:val="3"/>
            <w:shd w:val="clear" w:color="auto" w:fill="FFFFFF"/>
            <w:tcMar>
              <w:top w:w="40" w:type="dxa"/>
              <w:left w:w="20" w:type="dxa"/>
              <w:bottom w:w="40" w:type="dxa"/>
              <w:right w:w="20" w:type="dxa"/>
            </w:tcMar>
            <w:vAlign w:val="center"/>
          </w:tcPr>
          <w:p w14:paraId="07DCE25D" w14:textId="77777777" w:rsidR="00AE727E" w:rsidRDefault="008433E0">
            <w:pPr>
              <w:textAlignment w:val="center"/>
            </w:pPr>
            <w:r>
              <w:rPr>
                <w:rFonts w:ascii="Times New Roman" w:eastAsia="宋体" w:hAnsi="Times New Roman"/>
                <w:i/>
                <w:iCs/>
                <w:color w:val="000000"/>
                <w:sz w:val="20"/>
                <w:szCs w:val="20"/>
              </w:rPr>
              <w:t>Liabilities</w:t>
            </w:r>
            <w:r>
              <w:rPr>
                <w:rFonts w:ascii="Times New Roman" w:eastAsia="宋体" w:hAnsi="Times New Roman"/>
                <w:i/>
                <w:iCs/>
                <w:color w:val="000000"/>
                <w:sz w:val="20"/>
                <w:szCs w:val="20"/>
              </w:rPr>
              <w:t>:</w:t>
            </w: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5E"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5F"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0"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1"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2"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3"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4"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5"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6"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7"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8"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9"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A"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E26B" w14:textId="77777777" w:rsidR="00AE727E" w:rsidRDefault="00AE727E">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center"/>
          </w:tcPr>
          <w:p w14:paraId="07DCE26C" w14:textId="77777777" w:rsidR="00AE727E" w:rsidRDefault="008433E0">
            <w:pPr>
              <w:jc w:val="right"/>
              <w:textAlignment w:val="center"/>
            </w:pPr>
            <w:r>
              <w:rPr>
                <w:rFonts w:ascii="Times New Roman" w:eastAsia="宋体" w:hAnsi="Times New Roman"/>
                <w:color w:val="000000"/>
                <w:sz w:val="20"/>
                <w:szCs w:val="20"/>
              </w:rPr>
              <w:t> </w:t>
            </w:r>
          </w:p>
        </w:tc>
      </w:tr>
      <w:tr w:rsidR="008433E0" w14:paraId="07DCE28E" w14:textId="77777777">
        <w:tc>
          <w:tcPr>
            <w:tcW w:w="0" w:type="auto"/>
            <w:gridSpan w:val="3"/>
            <w:shd w:val="clear" w:color="auto" w:fill="CCEEFF"/>
            <w:tcMar>
              <w:top w:w="40" w:type="dxa"/>
              <w:left w:w="140" w:type="dxa"/>
              <w:bottom w:w="40" w:type="dxa"/>
              <w:right w:w="20" w:type="dxa"/>
            </w:tcMar>
            <w:vAlign w:val="center"/>
          </w:tcPr>
          <w:p w14:paraId="07DCE26E" w14:textId="77777777" w:rsidR="00AE727E" w:rsidRDefault="008433E0">
            <w:pPr>
              <w:textAlignment w:val="center"/>
            </w:pPr>
            <w:r>
              <w:rPr>
                <w:rFonts w:ascii="Times New Roman" w:eastAsia="宋体" w:hAnsi="Times New Roman"/>
                <w:color w:val="000000"/>
                <w:sz w:val="20"/>
                <w:szCs w:val="20"/>
              </w:rPr>
              <w:t>Derivative instruments</w:t>
            </w:r>
          </w:p>
        </w:tc>
        <w:tc>
          <w:tcPr>
            <w:tcW w:w="0" w:type="auto"/>
            <w:shd w:val="clear" w:color="auto" w:fill="CCEEFF"/>
            <w:tcMar>
              <w:top w:w="40" w:type="dxa"/>
              <w:left w:w="20" w:type="dxa"/>
              <w:bottom w:w="40" w:type="dxa"/>
              <w:right w:w="0" w:type="dxa"/>
            </w:tcMar>
            <w:vAlign w:val="center"/>
          </w:tcPr>
          <w:p w14:paraId="07DCE26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7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27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7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7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74" w14:textId="77777777" w:rsidR="00AE727E" w:rsidRDefault="008433E0">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07DCE27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7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7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78"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2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7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7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7C" w14:textId="77777777" w:rsidR="00AE727E" w:rsidRDefault="008433E0">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07DCE27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7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7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8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28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8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8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84" w14:textId="77777777" w:rsidR="00AE727E" w:rsidRDefault="008433E0">
            <w:pPr>
              <w:jc w:val="right"/>
              <w:textAlignment w:val="center"/>
            </w:pPr>
            <w:r>
              <w:rPr>
                <w:rFonts w:ascii="Times New Roman" w:eastAsia="宋体" w:hAnsi="Times New Roman"/>
                <w:color w:val="000000"/>
                <w:sz w:val="20"/>
                <w:szCs w:val="20"/>
              </w:rPr>
              <w:t>133 </w:t>
            </w:r>
          </w:p>
        </w:tc>
        <w:tc>
          <w:tcPr>
            <w:tcW w:w="0" w:type="auto"/>
            <w:shd w:val="clear" w:color="auto" w:fill="CCEEFF"/>
            <w:tcMar>
              <w:top w:w="40" w:type="dxa"/>
              <w:left w:w="0" w:type="dxa"/>
              <w:bottom w:w="40" w:type="dxa"/>
              <w:right w:w="20" w:type="dxa"/>
            </w:tcMar>
            <w:vAlign w:val="center"/>
          </w:tcPr>
          <w:p w14:paraId="07DCE2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8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8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88"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28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8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8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8C" w14:textId="77777777" w:rsidR="00AE727E" w:rsidRDefault="008433E0">
            <w:pPr>
              <w:jc w:val="right"/>
              <w:textAlignment w:val="center"/>
            </w:pPr>
            <w:r>
              <w:rPr>
                <w:rFonts w:ascii="Times New Roman" w:eastAsia="宋体" w:hAnsi="Times New Roman"/>
                <w:color w:val="000000"/>
                <w:sz w:val="20"/>
                <w:szCs w:val="20"/>
              </w:rPr>
              <w:t>133 </w:t>
            </w:r>
          </w:p>
        </w:tc>
        <w:tc>
          <w:tcPr>
            <w:tcW w:w="0" w:type="auto"/>
            <w:shd w:val="clear" w:color="auto" w:fill="CCEEFF"/>
            <w:tcMar>
              <w:top w:w="40" w:type="dxa"/>
              <w:left w:w="0" w:type="dxa"/>
              <w:bottom w:w="40" w:type="dxa"/>
              <w:right w:w="20" w:type="dxa"/>
            </w:tcMar>
            <w:vAlign w:val="center"/>
          </w:tcPr>
          <w:p w14:paraId="07DCE28D" w14:textId="77777777" w:rsidR="00AE727E" w:rsidRDefault="00AE727E">
            <w:pPr>
              <w:jc w:val="right"/>
              <w:rPr>
                <w:rFonts w:ascii="宋体"/>
              </w:rPr>
            </w:pPr>
          </w:p>
        </w:tc>
      </w:tr>
      <w:tr w:rsidR="008433E0" w14:paraId="07DCE2AF" w14:textId="77777777">
        <w:tc>
          <w:tcPr>
            <w:tcW w:w="0" w:type="auto"/>
            <w:gridSpan w:val="3"/>
            <w:shd w:val="clear" w:color="auto" w:fill="FFFFFF"/>
            <w:tcMar>
              <w:top w:w="40" w:type="dxa"/>
              <w:left w:w="245" w:type="dxa"/>
              <w:bottom w:w="40" w:type="dxa"/>
              <w:right w:w="20" w:type="dxa"/>
            </w:tcMar>
            <w:vAlign w:val="center"/>
          </w:tcPr>
          <w:p w14:paraId="07DCE28F" w14:textId="77777777" w:rsidR="00AE727E" w:rsidRDefault="008433E0">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9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91"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9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93"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9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95" w14:textId="77777777" w:rsidR="00AE727E" w:rsidRDefault="008433E0">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9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97"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98"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99"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9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9B"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9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9D" w14:textId="77777777" w:rsidR="00AE727E" w:rsidRDefault="008433E0">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9F"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A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A1"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A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A3"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A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A5" w14:textId="77777777" w:rsidR="00AE727E" w:rsidRDefault="008433E0">
            <w:pPr>
              <w:jc w:val="right"/>
              <w:textAlignment w:val="center"/>
            </w:pPr>
            <w:r>
              <w:rPr>
                <w:rFonts w:ascii="Times New Roman" w:eastAsia="宋体" w:hAnsi="Times New Roman"/>
                <w:color w:val="000000"/>
                <w:sz w:val="20"/>
                <w:szCs w:val="20"/>
              </w:rPr>
              <w:t>133 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A7"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A8"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A9"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A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2AB"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2A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2AD" w14:textId="77777777" w:rsidR="00AE727E" w:rsidRDefault="008433E0">
            <w:pPr>
              <w:jc w:val="right"/>
              <w:textAlignment w:val="center"/>
            </w:pPr>
            <w:r>
              <w:rPr>
                <w:rFonts w:ascii="Times New Roman" w:eastAsia="宋体" w:hAnsi="Times New Roman"/>
                <w:color w:val="000000"/>
                <w:sz w:val="20"/>
                <w:szCs w:val="20"/>
              </w:rPr>
              <w:t>133 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2AE" w14:textId="77777777" w:rsidR="00AE727E" w:rsidRDefault="00AE727E">
            <w:pPr>
              <w:jc w:val="right"/>
              <w:rPr>
                <w:rFonts w:ascii="宋体"/>
              </w:rPr>
            </w:pPr>
          </w:p>
        </w:tc>
      </w:tr>
    </w:tbl>
    <w:p w14:paraId="07DCE2B0" w14:textId="77777777" w:rsidR="00AE727E" w:rsidRDefault="00AE727E"/>
    <w:p w14:paraId="07DCE2B1" w14:textId="77777777" w:rsidR="00AE727E" w:rsidRDefault="008433E0">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07DCE2B2" w14:textId="77777777" w:rsidR="00AE727E" w:rsidRDefault="00AE727E"/>
    <w:p w14:paraId="07DCE2B3" w14:textId="77777777" w:rsidR="00AE727E" w:rsidRDefault="008433E0">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xml:space="preserve">— The Company’s investments in money market </w:t>
      </w:r>
      <w:r>
        <w:rPr>
          <w:rFonts w:ascii="Times New Roman" w:eastAsia="宋体" w:hAnsi="Times New Roman"/>
          <w:color w:val="000000"/>
          <w:sz w:val="20"/>
          <w:szCs w:val="20"/>
        </w:rPr>
        <w:t>funds that are classified as cash equivalents hold underlying investments with a weighted average maturity of 90 days or less and are recognized at fair value. The valuations of these securities are based on quoted prices in active markets for identical as</w:t>
      </w:r>
      <w:r>
        <w:rPr>
          <w:rFonts w:ascii="Times New Roman" w:eastAsia="宋体" w:hAnsi="Times New Roman"/>
          <w:color w:val="000000"/>
          <w:sz w:val="20"/>
          <w:szCs w:val="20"/>
        </w:rPr>
        <w:t>sets, when available, or pricing models whereby all significant inputs are observable or can be derived from or corroborated by observable market data. The Company reviews security pricing and assesses liquidity on a quarterly basis. As of October 29, 2021</w:t>
      </w:r>
      <w:r>
        <w:rPr>
          <w:rFonts w:ascii="Times New Roman" w:eastAsia="宋体" w:hAnsi="Times New Roman"/>
          <w:color w:val="000000"/>
          <w:sz w:val="20"/>
          <w:szCs w:val="20"/>
        </w:rPr>
        <w:t>, the Company’s U.S. portfolio had no material exposure to money market funds with a fluctuating net asset value.</w:t>
      </w:r>
    </w:p>
    <w:p w14:paraId="07DCE2B4" w14:textId="77777777" w:rsidR="00AE727E" w:rsidRDefault="00AE727E"/>
    <w:p w14:paraId="07DCE2B5" w14:textId="77777777" w:rsidR="00AE727E" w:rsidRDefault="008433E0">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majority of the Company’s investments in equity and other securities that are measured at fair value on a r</w:t>
      </w:r>
      <w:r>
        <w:rPr>
          <w:rFonts w:ascii="Times New Roman" w:eastAsia="宋体" w:hAnsi="Times New Roman"/>
          <w:color w:val="000000"/>
          <w:sz w:val="20"/>
          <w:szCs w:val="20"/>
        </w:rPr>
        <w:t xml:space="preserve">ecurring basis consist of strategic investments in publicly-traded companies. The valuation of these securities is based on quoted prices in active markets. </w:t>
      </w:r>
    </w:p>
    <w:p w14:paraId="07DCE2B6" w14:textId="77777777" w:rsidR="00AE727E" w:rsidRDefault="00AE727E"/>
    <w:p w14:paraId="07DCE2B7" w14:textId="77777777" w:rsidR="00AE727E" w:rsidRDefault="008433E0">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Company’s derivative financial instruments consist primarily of fore</w:t>
      </w:r>
      <w:r>
        <w:rPr>
          <w:rFonts w:ascii="Times New Roman" w:eastAsia="宋体" w:hAnsi="Times New Roman"/>
          <w:color w:val="000000"/>
          <w:sz w:val="20"/>
          <w:szCs w:val="20"/>
        </w:rPr>
        <w:t>ign currency forward and purchased option contracts and interest rate swaps. The fair value of the portfolio is determined using valuation models based on market observable inputs, including interest rate curves, forward and spot prices for currencies, and</w:t>
      </w:r>
      <w:r>
        <w:rPr>
          <w:rFonts w:ascii="Times New Roman" w:eastAsia="宋体" w:hAnsi="Times New Roman"/>
          <w:color w:val="000000"/>
          <w:sz w:val="20"/>
          <w:szCs w:val="20"/>
        </w:rPr>
        <w:t xml:space="preserve"> implied volatilities. Credit risk is also factored into the fair value calculation of the Company’s derivative financial instrument portfolio. See Note 6 of the Notes to the Condensed Consolidated Financial Statements for a description of the Company’s de</w:t>
      </w:r>
      <w:r>
        <w:rPr>
          <w:rFonts w:ascii="Times New Roman" w:eastAsia="宋体" w:hAnsi="Times New Roman"/>
          <w:color w:val="000000"/>
          <w:sz w:val="20"/>
          <w:szCs w:val="20"/>
        </w:rPr>
        <w:t>rivative financial instrument activities.</w:t>
      </w:r>
    </w:p>
    <w:p w14:paraId="07DCE2B8" w14:textId="77777777" w:rsidR="00AE727E" w:rsidRDefault="00AE727E"/>
    <w:p w14:paraId="07DCE2B9" w14:textId="77777777" w:rsidR="00AE727E" w:rsidRDefault="008433E0">
      <w:r>
        <w:rPr>
          <w:rFonts w:ascii="Times New Roman" w:eastAsia="宋体" w:hAnsi="Times New Roman"/>
          <w:i/>
          <w:iCs/>
          <w:color w:val="000000"/>
          <w:sz w:val="20"/>
          <w:szCs w:val="20"/>
        </w:rPr>
        <w:t>Deferred Compensation Plans</w:t>
      </w:r>
      <w:r>
        <w:rPr>
          <w:rFonts w:ascii="Times New Roman" w:eastAsia="宋体" w:hAnsi="Times New Roman"/>
          <w:color w:val="000000"/>
          <w:sz w:val="20"/>
          <w:szCs w:val="20"/>
        </w:rPr>
        <w:t xml:space="preserve"> — The Company offers deferred compensation plans for eligible employees, which allow participants to defer payment for a portion of their compensation. Assets were the same as liabiliti</w:t>
      </w:r>
      <w:r>
        <w:rPr>
          <w:rFonts w:ascii="Times New Roman" w:eastAsia="宋体" w:hAnsi="Times New Roman"/>
          <w:color w:val="000000"/>
          <w:sz w:val="20"/>
          <w:szCs w:val="20"/>
        </w:rPr>
        <w:t>es associated with the plans at approximately $361 million and $308 million as of October 29, 2021 and January 29, 2021, respectively, and are included in other assets and other liabilities on the Condensed Consolidated Statements of Financial Position. Th</w:t>
      </w:r>
      <w:r>
        <w:rPr>
          <w:rFonts w:ascii="Times New Roman" w:eastAsia="宋体" w:hAnsi="Times New Roman"/>
          <w:color w:val="000000"/>
          <w:sz w:val="20"/>
          <w:szCs w:val="20"/>
        </w:rPr>
        <w:t>e net impact to the Condensed Consolidated Statements of Income is not material since changes in the fair value of the assets substantially offset changes in the fair value of the liabilities. As such, assets and liabilities associated with these plans hav</w:t>
      </w:r>
      <w:r>
        <w:rPr>
          <w:rFonts w:ascii="Times New Roman" w:eastAsia="宋体" w:hAnsi="Times New Roman"/>
          <w:color w:val="000000"/>
          <w:sz w:val="20"/>
          <w:szCs w:val="20"/>
        </w:rPr>
        <w:t xml:space="preserve">e not been included in the recurring fair value table above. </w:t>
      </w:r>
    </w:p>
    <w:p w14:paraId="07DCE2BA" w14:textId="77777777" w:rsidR="00AE727E" w:rsidRDefault="00AE727E"/>
    <w:p w14:paraId="07DCE2BB" w14:textId="77777777" w:rsidR="00AE727E" w:rsidRDefault="00AE727E"/>
    <w:p w14:paraId="07DCE2BC" w14:textId="77777777" w:rsidR="00AE727E" w:rsidRDefault="00AE727E">
      <w:pPr>
        <w:jc w:val="center"/>
      </w:pPr>
    </w:p>
    <w:p w14:paraId="07DCE2BD" w14:textId="77777777" w:rsidR="00AE727E" w:rsidRDefault="008433E0">
      <w:pPr>
        <w:jc w:val="center"/>
      </w:pPr>
      <w:r>
        <w:rPr>
          <w:rFonts w:ascii="Times New Roman" w:eastAsia="宋体" w:hAnsi="Times New Roman"/>
          <w:color w:val="000000"/>
          <w:sz w:val="20"/>
          <w:szCs w:val="20"/>
        </w:rPr>
        <w:t>14</w:t>
      </w:r>
    </w:p>
    <w:p w14:paraId="07DCE2BE" w14:textId="77777777" w:rsidR="00AE727E" w:rsidRDefault="00AE727E">
      <w:pPr>
        <w:jc w:val="center"/>
      </w:pPr>
    </w:p>
    <w:p w14:paraId="07DCE2BF" w14:textId="77777777" w:rsidR="00AE727E" w:rsidRDefault="008433E0">
      <w:r>
        <w:pict w14:anchorId="07DD18DE">
          <v:rect id="_x0000_i1038" style="width:415.3pt;height:1.5pt" o:hralign="center" o:hrstd="t" o:hr="t" fillcolor="#a0a0a0" stroked="f"/>
        </w:pict>
      </w:r>
    </w:p>
    <w:p w14:paraId="07DCE2C0" w14:textId="77777777" w:rsidR="00AE727E" w:rsidRDefault="008433E0">
      <w:hyperlink r:id="rId139" w:anchor="i1c8279be622a460ea19600488436f115_10" w:history="1">
        <w:r>
          <w:rPr>
            <w:rStyle w:val="a5"/>
            <w:rFonts w:ascii="Times New Roman" w:eastAsia="宋体" w:hAnsi="Times New Roman"/>
            <w:sz w:val="20"/>
            <w:szCs w:val="20"/>
          </w:rPr>
          <w:t>Table of Contents</w:t>
        </w:r>
      </w:hyperlink>
    </w:p>
    <w:p w14:paraId="07DCE2C1"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2C2"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2C3"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2C4" w14:textId="77777777" w:rsidR="00AE727E" w:rsidRDefault="00AE727E">
      <w:pPr>
        <w:jc w:val="center"/>
      </w:pPr>
    </w:p>
    <w:p w14:paraId="07DCE2C5" w14:textId="77777777" w:rsidR="00AE727E" w:rsidRDefault="008433E0">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assets consist prim</w:t>
      </w:r>
      <w:r>
        <w:rPr>
          <w:rFonts w:ascii="Times New Roman" w:eastAsia="宋体" w:hAnsi="Times New Roman"/>
          <w:color w:val="000000"/>
          <w:sz w:val="20"/>
          <w:szCs w:val="20"/>
        </w:rPr>
        <w:t>arily of non-financial assets such as goodwill and intangible assets. See Note 7 of the Notes to the Condensed Consolidated Financial Statements for additional information about goodwill and intangible assets.</w:t>
      </w:r>
    </w:p>
    <w:p w14:paraId="07DCE2C6" w14:textId="77777777" w:rsidR="00AE727E" w:rsidRDefault="00AE727E"/>
    <w:p w14:paraId="07DCE2C7" w14:textId="77777777" w:rsidR="00AE727E" w:rsidRDefault="008433E0">
      <w:r>
        <w:rPr>
          <w:rFonts w:ascii="Times New Roman" w:eastAsia="宋体" w:hAnsi="Times New Roman"/>
          <w:color w:val="000000"/>
          <w:sz w:val="20"/>
          <w:szCs w:val="20"/>
        </w:rPr>
        <w:t xml:space="preserve">As of October 29, 2021 and January 29, 2021, </w:t>
      </w:r>
      <w:r>
        <w:rPr>
          <w:rFonts w:ascii="Times New Roman" w:eastAsia="宋体" w:hAnsi="Times New Roman"/>
          <w:color w:val="000000"/>
          <w:sz w:val="20"/>
          <w:szCs w:val="20"/>
        </w:rPr>
        <w:t>the Company held private strategic investments of $1.3 billion and $1.0 billion, respectively. As these investments represent early-stage companies without readily determinable fair values, they are not included in the recurring fair value table above.</w:t>
      </w:r>
    </w:p>
    <w:p w14:paraId="07DCE2C8" w14:textId="77777777" w:rsidR="00AE727E" w:rsidRDefault="00AE727E"/>
    <w:p w14:paraId="07DCE2C9" w14:textId="77777777" w:rsidR="00AE727E" w:rsidRDefault="008433E0">
      <w:r>
        <w:rPr>
          <w:rFonts w:ascii="Times New Roman" w:eastAsia="宋体" w:hAnsi="Times New Roman"/>
          <w:color w:val="000000"/>
          <w:sz w:val="20"/>
          <w:szCs w:val="20"/>
        </w:rPr>
        <w:t>The Company has elected to apply the measurement alternative for these investments. Under the alternative, the Company measures investments without readily determinable fair values at cost, less impairment, adjusted by observable price changes. The Company</w:t>
      </w:r>
      <w:r>
        <w:rPr>
          <w:rFonts w:ascii="Times New Roman" w:eastAsia="宋体" w:hAnsi="Times New Roman"/>
          <w:color w:val="000000"/>
          <w:sz w:val="20"/>
          <w:szCs w:val="20"/>
        </w:rPr>
        <w:t xml:space="preserve"> must make a separate election to use the alternative for each eligible investment and is required to reassess at each reporting period whether an investment qualifies for the alternative. In evaluating these investments for impairment or observable price </w:t>
      </w:r>
      <w:r>
        <w:rPr>
          <w:rFonts w:ascii="Times New Roman" w:eastAsia="宋体" w:hAnsi="Times New Roman"/>
          <w:color w:val="000000"/>
          <w:sz w:val="20"/>
          <w:szCs w:val="20"/>
        </w:rPr>
        <w:t>changes, the Company uses inputs including pre- and post-money valuations of recent financing events and the impact of those events on its fully diluted ownership percentages, as well as other available information regarding the issuer’s historical and for</w:t>
      </w:r>
      <w:r>
        <w:rPr>
          <w:rFonts w:ascii="Times New Roman" w:eastAsia="宋体" w:hAnsi="Times New Roman"/>
          <w:color w:val="000000"/>
          <w:sz w:val="20"/>
          <w:szCs w:val="20"/>
        </w:rPr>
        <w:t>ecasted performance.</w:t>
      </w:r>
    </w:p>
    <w:p w14:paraId="07DCE2CA" w14:textId="77777777" w:rsidR="00AE727E" w:rsidRDefault="00AE727E"/>
    <w:p w14:paraId="07DCE2CB" w14:textId="77777777" w:rsidR="00AE727E" w:rsidRDefault="008433E0">
      <w:pPr>
        <w:spacing w:after="60"/>
      </w:pPr>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The following table presents the carrying value and estimated fair value of the Company’s outstanding debt as described in Note 5 of the Notes to the Condensed Consolidated</w:t>
      </w:r>
      <w:r>
        <w:rPr>
          <w:rFonts w:ascii="Times New Roman" w:eastAsia="宋体" w:hAnsi="Times New Roman"/>
          <w:color w:val="000000"/>
          <w:sz w:val="20"/>
          <w:szCs w:val="20"/>
        </w:rPr>
        <w:t xml:space="preserve"> Financial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8"/>
        <w:gridCol w:w="37"/>
        <w:gridCol w:w="121"/>
        <w:gridCol w:w="1000"/>
        <w:gridCol w:w="36"/>
        <w:gridCol w:w="36"/>
        <w:gridCol w:w="36"/>
        <w:gridCol w:w="36"/>
        <w:gridCol w:w="120"/>
        <w:gridCol w:w="1001"/>
        <w:gridCol w:w="36"/>
        <w:gridCol w:w="36"/>
        <w:gridCol w:w="36"/>
        <w:gridCol w:w="36"/>
        <w:gridCol w:w="121"/>
        <w:gridCol w:w="1001"/>
        <w:gridCol w:w="36"/>
        <w:gridCol w:w="36"/>
        <w:gridCol w:w="36"/>
        <w:gridCol w:w="36"/>
        <w:gridCol w:w="120"/>
        <w:gridCol w:w="1001"/>
        <w:gridCol w:w="36"/>
      </w:tblGrid>
      <w:tr w:rsidR="00AE727E" w14:paraId="07DCE2E4" w14:textId="77777777">
        <w:trPr>
          <w:jc w:val="center"/>
        </w:trPr>
        <w:tc>
          <w:tcPr>
            <w:tcW w:w="50" w:type="pct"/>
            <w:shd w:val="clear" w:color="auto" w:fill="auto"/>
            <w:vAlign w:val="bottom"/>
          </w:tcPr>
          <w:p w14:paraId="07DCE2CC" w14:textId="77777777" w:rsidR="00AE727E" w:rsidRDefault="00AE727E">
            <w:pPr>
              <w:rPr>
                <w:rFonts w:ascii="宋体"/>
              </w:rPr>
            </w:pPr>
          </w:p>
        </w:tc>
        <w:tc>
          <w:tcPr>
            <w:tcW w:w="2050" w:type="pct"/>
            <w:shd w:val="clear" w:color="auto" w:fill="auto"/>
            <w:vAlign w:val="bottom"/>
          </w:tcPr>
          <w:p w14:paraId="07DCE2CD" w14:textId="77777777" w:rsidR="00AE727E" w:rsidRDefault="00AE727E">
            <w:pPr>
              <w:rPr>
                <w:rFonts w:ascii="宋体"/>
              </w:rPr>
            </w:pPr>
          </w:p>
        </w:tc>
        <w:tc>
          <w:tcPr>
            <w:tcW w:w="5" w:type="pct"/>
            <w:shd w:val="clear" w:color="auto" w:fill="auto"/>
            <w:vAlign w:val="bottom"/>
          </w:tcPr>
          <w:p w14:paraId="07DCE2CE" w14:textId="77777777" w:rsidR="00AE727E" w:rsidRDefault="00AE727E">
            <w:pPr>
              <w:rPr>
                <w:rFonts w:ascii="宋体"/>
              </w:rPr>
            </w:pPr>
          </w:p>
        </w:tc>
        <w:tc>
          <w:tcPr>
            <w:tcW w:w="50" w:type="pct"/>
            <w:shd w:val="clear" w:color="auto" w:fill="auto"/>
            <w:vAlign w:val="bottom"/>
          </w:tcPr>
          <w:p w14:paraId="07DCE2CF" w14:textId="77777777" w:rsidR="00AE727E" w:rsidRDefault="00AE727E">
            <w:pPr>
              <w:rPr>
                <w:rFonts w:ascii="宋体"/>
              </w:rPr>
            </w:pPr>
          </w:p>
        </w:tc>
        <w:tc>
          <w:tcPr>
            <w:tcW w:w="646" w:type="pct"/>
            <w:shd w:val="clear" w:color="auto" w:fill="auto"/>
            <w:vAlign w:val="bottom"/>
          </w:tcPr>
          <w:p w14:paraId="07DCE2D0" w14:textId="77777777" w:rsidR="00AE727E" w:rsidRDefault="00AE727E">
            <w:pPr>
              <w:rPr>
                <w:rFonts w:ascii="宋体"/>
              </w:rPr>
            </w:pPr>
          </w:p>
        </w:tc>
        <w:tc>
          <w:tcPr>
            <w:tcW w:w="5" w:type="pct"/>
            <w:shd w:val="clear" w:color="auto" w:fill="auto"/>
            <w:vAlign w:val="bottom"/>
          </w:tcPr>
          <w:p w14:paraId="07DCE2D1" w14:textId="77777777" w:rsidR="00AE727E" w:rsidRDefault="00AE727E">
            <w:pPr>
              <w:rPr>
                <w:rFonts w:ascii="宋体"/>
              </w:rPr>
            </w:pPr>
          </w:p>
        </w:tc>
        <w:tc>
          <w:tcPr>
            <w:tcW w:w="5" w:type="pct"/>
            <w:shd w:val="clear" w:color="auto" w:fill="auto"/>
            <w:vAlign w:val="bottom"/>
          </w:tcPr>
          <w:p w14:paraId="07DCE2D2" w14:textId="77777777" w:rsidR="00AE727E" w:rsidRDefault="00AE727E">
            <w:pPr>
              <w:rPr>
                <w:rFonts w:ascii="宋体"/>
              </w:rPr>
            </w:pPr>
          </w:p>
        </w:tc>
        <w:tc>
          <w:tcPr>
            <w:tcW w:w="19" w:type="pct"/>
            <w:shd w:val="clear" w:color="auto" w:fill="auto"/>
            <w:vAlign w:val="bottom"/>
          </w:tcPr>
          <w:p w14:paraId="07DCE2D3" w14:textId="77777777" w:rsidR="00AE727E" w:rsidRDefault="00AE727E">
            <w:pPr>
              <w:rPr>
                <w:rFonts w:ascii="宋体"/>
              </w:rPr>
            </w:pPr>
          </w:p>
        </w:tc>
        <w:tc>
          <w:tcPr>
            <w:tcW w:w="5" w:type="pct"/>
            <w:shd w:val="clear" w:color="auto" w:fill="auto"/>
            <w:vAlign w:val="bottom"/>
          </w:tcPr>
          <w:p w14:paraId="07DCE2D4" w14:textId="77777777" w:rsidR="00AE727E" w:rsidRDefault="00AE727E">
            <w:pPr>
              <w:rPr>
                <w:rFonts w:ascii="宋体"/>
              </w:rPr>
            </w:pPr>
          </w:p>
        </w:tc>
        <w:tc>
          <w:tcPr>
            <w:tcW w:w="50" w:type="pct"/>
            <w:shd w:val="clear" w:color="auto" w:fill="auto"/>
            <w:vAlign w:val="bottom"/>
          </w:tcPr>
          <w:p w14:paraId="07DCE2D5" w14:textId="77777777" w:rsidR="00AE727E" w:rsidRDefault="00AE727E">
            <w:pPr>
              <w:rPr>
                <w:rFonts w:ascii="宋体"/>
              </w:rPr>
            </w:pPr>
          </w:p>
        </w:tc>
        <w:tc>
          <w:tcPr>
            <w:tcW w:w="646" w:type="pct"/>
            <w:shd w:val="clear" w:color="auto" w:fill="auto"/>
            <w:vAlign w:val="bottom"/>
          </w:tcPr>
          <w:p w14:paraId="07DCE2D6" w14:textId="77777777" w:rsidR="00AE727E" w:rsidRDefault="00AE727E">
            <w:pPr>
              <w:rPr>
                <w:rFonts w:ascii="宋体"/>
              </w:rPr>
            </w:pPr>
          </w:p>
        </w:tc>
        <w:tc>
          <w:tcPr>
            <w:tcW w:w="5" w:type="pct"/>
            <w:shd w:val="clear" w:color="auto" w:fill="auto"/>
            <w:vAlign w:val="bottom"/>
          </w:tcPr>
          <w:p w14:paraId="07DCE2D7" w14:textId="77777777" w:rsidR="00AE727E" w:rsidRDefault="00AE727E">
            <w:pPr>
              <w:rPr>
                <w:rFonts w:ascii="宋体"/>
              </w:rPr>
            </w:pPr>
          </w:p>
        </w:tc>
        <w:tc>
          <w:tcPr>
            <w:tcW w:w="5" w:type="pct"/>
            <w:shd w:val="clear" w:color="auto" w:fill="auto"/>
            <w:vAlign w:val="bottom"/>
          </w:tcPr>
          <w:p w14:paraId="07DCE2D8" w14:textId="77777777" w:rsidR="00AE727E" w:rsidRDefault="00AE727E">
            <w:pPr>
              <w:rPr>
                <w:rFonts w:ascii="宋体"/>
              </w:rPr>
            </w:pPr>
          </w:p>
        </w:tc>
        <w:tc>
          <w:tcPr>
            <w:tcW w:w="19" w:type="pct"/>
            <w:shd w:val="clear" w:color="auto" w:fill="auto"/>
            <w:vAlign w:val="bottom"/>
          </w:tcPr>
          <w:p w14:paraId="07DCE2D9" w14:textId="77777777" w:rsidR="00AE727E" w:rsidRDefault="00AE727E">
            <w:pPr>
              <w:rPr>
                <w:rFonts w:ascii="宋体"/>
              </w:rPr>
            </w:pPr>
          </w:p>
        </w:tc>
        <w:tc>
          <w:tcPr>
            <w:tcW w:w="5" w:type="pct"/>
            <w:shd w:val="clear" w:color="auto" w:fill="auto"/>
            <w:vAlign w:val="bottom"/>
          </w:tcPr>
          <w:p w14:paraId="07DCE2DA" w14:textId="77777777" w:rsidR="00AE727E" w:rsidRDefault="00AE727E">
            <w:pPr>
              <w:rPr>
                <w:rFonts w:ascii="宋体"/>
              </w:rPr>
            </w:pPr>
          </w:p>
        </w:tc>
        <w:tc>
          <w:tcPr>
            <w:tcW w:w="50" w:type="pct"/>
            <w:shd w:val="clear" w:color="auto" w:fill="auto"/>
            <w:vAlign w:val="bottom"/>
          </w:tcPr>
          <w:p w14:paraId="07DCE2DB" w14:textId="77777777" w:rsidR="00AE727E" w:rsidRDefault="00AE727E">
            <w:pPr>
              <w:rPr>
                <w:rFonts w:ascii="宋体"/>
              </w:rPr>
            </w:pPr>
          </w:p>
        </w:tc>
        <w:tc>
          <w:tcPr>
            <w:tcW w:w="646" w:type="pct"/>
            <w:shd w:val="clear" w:color="auto" w:fill="auto"/>
            <w:vAlign w:val="bottom"/>
          </w:tcPr>
          <w:p w14:paraId="07DCE2DC" w14:textId="77777777" w:rsidR="00AE727E" w:rsidRDefault="00AE727E">
            <w:pPr>
              <w:rPr>
                <w:rFonts w:ascii="宋体"/>
              </w:rPr>
            </w:pPr>
          </w:p>
        </w:tc>
        <w:tc>
          <w:tcPr>
            <w:tcW w:w="5" w:type="pct"/>
            <w:shd w:val="clear" w:color="auto" w:fill="auto"/>
            <w:vAlign w:val="bottom"/>
          </w:tcPr>
          <w:p w14:paraId="07DCE2DD" w14:textId="77777777" w:rsidR="00AE727E" w:rsidRDefault="00AE727E">
            <w:pPr>
              <w:rPr>
                <w:rFonts w:ascii="宋体"/>
              </w:rPr>
            </w:pPr>
          </w:p>
        </w:tc>
        <w:tc>
          <w:tcPr>
            <w:tcW w:w="5" w:type="pct"/>
            <w:shd w:val="clear" w:color="auto" w:fill="auto"/>
            <w:vAlign w:val="bottom"/>
          </w:tcPr>
          <w:p w14:paraId="07DCE2DE" w14:textId="77777777" w:rsidR="00AE727E" w:rsidRDefault="00AE727E">
            <w:pPr>
              <w:rPr>
                <w:rFonts w:ascii="宋体"/>
              </w:rPr>
            </w:pPr>
          </w:p>
        </w:tc>
        <w:tc>
          <w:tcPr>
            <w:tcW w:w="19" w:type="pct"/>
            <w:shd w:val="clear" w:color="auto" w:fill="auto"/>
            <w:vAlign w:val="bottom"/>
          </w:tcPr>
          <w:p w14:paraId="07DCE2DF" w14:textId="77777777" w:rsidR="00AE727E" w:rsidRDefault="00AE727E">
            <w:pPr>
              <w:rPr>
                <w:rFonts w:ascii="宋体"/>
              </w:rPr>
            </w:pPr>
          </w:p>
        </w:tc>
        <w:tc>
          <w:tcPr>
            <w:tcW w:w="5" w:type="pct"/>
            <w:shd w:val="clear" w:color="auto" w:fill="auto"/>
            <w:vAlign w:val="bottom"/>
          </w:tcPr>
          <w:p w14:paraId="07DCE2E0" w14:textId="77777777" w:rsidR="00AE727E" w:rsidRDefault="00AE727E">
            <w:pPr>
              <w:rPr>
                <w:rFonts w:ascii="宋体"/>
              </w:rPr>
            </w:pPr>
          </w:p>
        </w:tc>
        <w:tc>
          <w:tcPr>
            <w:tcW w:w="50" w:type="pct"/>
            <w:shd w:val="clear" w:color="auto" w:fill="auto"/>
            <w:vAlign w:val="bottom"/>
          </w:tcPr>
          <w:p w14:paraId="07DCE2E1" w14:textId="77777777" w:rsidR="00AE727E" w:rsidRDefault="00AE727E">
            <w:pPr>
              <w:rPr>
                <w:rFonts w:ascii="宋体"/>
              </w:rPr>
            </w:pPr>
          </w:p>
        </w:tc>
        <w:tc>
          <w:tcPr>
            <w:tcW w:w="646" w:type="pct"/>
            <w:shd w:val="clear" w:color="auto" w:fill="auto"/>
            <w:vAlign w:val="bottom"/>
          </w:tcPr>
          <w:p w14:paraId="07DCE2E2" w14:textId="77777777" w:rsidR="00AE727E" w:rsidRDefault="00AE727E">
            <w:pPr>
              <w:rPr>
                <w:rFonts w:ascii="宋体"/>
              </w:rPr>
            </w:pPr>
          </w:p>
        </w:tc>
        <w:tc>
          <w:tcPr>
            <w:tcW w:w="5" w:type="pct"/>
            <w:shd w:val="clear" w:color="auto" w:fill="auto"/>
            <w:vAlign w:val="bottom"/>
          </w:tcPr>
          <w:p w14:paraId="07DCE2E3" w14:textId="77777777" w:rsidR="00AE727E" w:rsidRDefault="00AE727E">
            <w:pPr>
              <w:rPr>
                <w:rFonts w:ascii="宋体"/>
              </w:rPr>
            </w:pPr>
          </w:p>
        </w:tc>
      </w:tr>
      <w:tr w:rsidR="00AE727E" w14:paraId="07DCE2E9" w14:textId="77777777">
        <w:trPr>
          <w:jc w:val="center"/>
        </w:trPr>
        <w:tc>
          <w:tcPr>
            <w:tcW w:w="0" w:type="auto"/>
            <w:gridSpan w:val="3"/>
            <w:shd w:val="clear" w:color="auto" w:fill="auto"/>
            <w:tcMar>
              <w:top w:w="0" w:type="dxa"/>
              <w:left w:w="20" w:type="dxa"/>
              <w:bottom w:w="0" w:type="dxa"/>
              <w:right w:w="20" w:type="dxa"/>
            </w:tcMar>
            <w:vAlign w:val="bottom"/>
          </w:tcPr>
          <w:p w14:paraId="07DCE2E5"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2E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2E7"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2E8"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2F2" w14:textId="77777777">
        <w:trPr>
          <w:jc w:val="center"/>
        </w:trPr>
        <w:tc>
          <w:tcPr>
            <w:tcW w:w="0" w:type="auto"/>
            <w:gridSpan w:val="3"/>
            <w:shd w:val="clear" w:color="auto" w:fill="auto"/>
            <w:tcMar>
              <w:top w:w="0" w:type="dxa"/>
              <w:left w:w="20" w:type="dxa"/>
              <w:bottom w:w="0" w:type="dxa"/>
              <w:right w:w="20" w:type="dxa"/>
            </w:tcMar>
            <w:vAlign w:val="bottom"/>
          </w:tcPr>
          <w:p w14:paraId="07DCE2E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2EB" w14:textId="77777777" w:rsidR="00AE727E" w:rsidRDefault="008433E0">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2E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2ED" w14:textId="77777777" w:rsidR="00AE727E" w:rsidRDefault="008433E0">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vAlign w:val="bottom"/>
          </w:tcPr>
          <w:p w14:paraId="07DCE2E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2EF" w14:textId="77777777" w:rsidR="00AE727E" w:rsidRDefault="008433E0">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2F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2F1" w14:textId="77777777" w:rsidR="00AE727E" w:rsidRDefault="008433E0">
            <w:pPr>
              <w:jc w:val="center"/>
              <w:textAlignment w:val="bottom"/>
            </w:pPr>
            <w:r>
              <w:rPr>
                <w:rFonts w:ascii="Times New Roman" w:eastAsia="宋体" w:hAnsi="Times New Roman"/>
                <w:b/>
                <w:bCs/>
                <w:color w:val="000000"/>
                <w:sz w:val="20"/>
                <w:szCs w:val="20"/>
              </w:rPr>
              <w:t>Fair Value</w:t>
            </w:r>
          </w:p>
        </w:tc>
      </w:tr>
      <w:tr w:rsidR="00AE727E" w14:paraId="07DCE2F5" w14:textId="77777777">
        <w:trPr>
          <w:jc w:val="center"/>
        </w:trPr>
        <w:tc>
          <w:tcPr>
            <w:tcW w:w="0" w:type="auto"/>
            <w:gridSpan w:val="3"/>
            <w:shd w:val="clear" w:color="auto" w:fill="auto"/>
            <w:tcMar>
              <w:top w:w="0" w:type="dxa"/>
              <w:left w:w="20" w:type="dxa"/>
              <w:bottom w:w="0" w:type="dxa"/>
              <w:right w:w="20" w:type="dxa"/>
            </w:tcMar>
            <w:vAlign w:val="bottom"/>
          </w:tcPr>
          <w:p w14:paraId="07DCE2F3"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CE2F4" w14:textId="77777777" w:rsidR="00AE727E" w:rsidRDefault="008433E0">
            <w:pPr>
              <w:jc w:val="center"/>
              <w:textAlignment w:val="center"/>
            </w:pPr>
            <w:r>
              <w:rPr>
                <w:rFonts w:ascii="Times New Roman" w:eastAsia="宋体" w:hAnsi="Times New Roman"/>
                <w:color w:val="000000"/>
                <w:sz w:val="20"/>
                <w:szCs w:val="20"/>
              </w:rPr>
              <w:t>(in billions)</w:t>
            </w:r>
          </w:p>
        </w:tc>
      </w:tr>
      <w:tr w:rsidR="00AE727E" w14:paraId="07DCE306" w14:textId="77777777">
        <w:trPr>
          <w:jc w:val="center"/>
        </w:trPr>
        <w:tc>
          <w:tcPr>
            <w:tcW w:w="0" w:type="auto"/>
            <w:gridSpan w:val="3"/>
            <w:shd w:val="clear" w:color="auto" w:fill="CCEEFF"/>
            <w:tcMar>
              <w:top w:w="40" w:type="dxa"/>
              <w:left w:w="20" w:type="dxa"/>
              <w:bottom w:w="40" w:type="dxa"/>
              <w:right w:w="20" w:type="dxa"/>
            </w:tcMar>
            <w:vAlign w:val="center"/>
          </w:tcPr>
          <w:p w14:paraId="07DCE2F6" w14:textId="77777777" w:rsidR="00AE727E" w:rsidRDefault="008433E0">
            <w:pPr>
              <w:textAlignment w:val="center"/>
            </w:pPr>
            <w:r>
              <w:rPr>
                <w:rFonts w:ascii="Times New Roman" w:eastAsia="宋体" w:hAnsi="Times New Roman"/>
                <w:color w:val="000000"/>
                <w:sz w:val="20"/>
                <w:szCs w:val="20"/>
              </w:rPr>
              <w:t>Senior Secured Credit Facilities</w:t>
            </w:r>
          </w:p>
        </w:tc>
        <w:tc>
          <w:tcPr>
            <w:tcW w:w="0" w:type="auto"/>
            <w:shd w:val="clear" w:color="auto" w:fill="CCEEFF"/>
            <w:tcMar>
              <w:top w:w="40" w:type="dxa"/>
              <w:left w:w="20" w:type="dxa"/>
              <w:bottom w:w="40" w:type="dxa"/>
              <w:right w:w="0" w:type="dxa"/>
            </w:tcMar>
            <w:vAlign w:val="center"/>
          </w:tcPr>
          <w:p w14:paraId="07DCE2F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F8" w14:textId="77777777" w:rsidR="00AE727E" w:rsidRDefault="008433E0">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07DCE2F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F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F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2FC" w14:textId="77777777" w:rsidR="00AE727E" w:rsidRDefault="008433E0">
            <w:pPr>
              <w:jc w:val="right"/>
              <w:textAlignment w:val="center"/>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center"/>
          </w:tcPr>
          <w:p w14:paraId="07DCE2F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2F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2F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00" w14:textId="77777777" w:rsidR="00AE727E" w:rsidRDefault="008433E0">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07DCE30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0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0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04" w14:textId="77777777" w:rsidR="00AE727E" w:rsidRDefault="008433E0">
            <w:pPr>
              <w:jc w:val="right"/>
              <w:textAlignment w:val="center"/>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center"/>
          </w:tcPr>
          <w:p w14:paraId="07DCE305" w14:textId="77777777" w:rsidR="00AE727E" w:rsidRDefault="00AE727E">
            <w:pPr>
              <w:jc w:val="right"/>
              <w:rPr>
                <w:rFonts w:ascii="宋体"/>
              </w:rPr>
            </w:pPr>
          </w:p>
        </w:tc>
      </w:tr>
      <w:tr w:rsidR="00AE727E" w14:paraId="07DCE317" w14:textId="77777777">
        <w:trPr>
          <w:jc w:val="center"/>
        </w:trPr>
        <w:tc>
          <w:tcPr>
            <w:tcW w:w="0" w:type="auto"/>
            <w:gridSpan w:val="3"/>
            <w:shd w:val="clear" w:color="auto" w:fill="FFFFFF"/>
            <w:tcMar>
              <w:top w:w="40" w:type="dxa"/>
              <w:left w:w="20" w:type="dxa"/>
              <w:bottom w:w="40" w:type="dxa"/>
              <w:right w:w="20" w:type="dxa"/>
            </w:tcMar>
            <w:vAlign w:val="center"/>
          </w:tcPr>
          <w:p w14:paraId="07DCE307" w14:textId="77777777" w:rsidR="00AE727E" w:rsidRDefault="008433E0">
            <w:pPr>
              <w:textAlignment w:val="center"/>
            </w:pPr>
            <w:r>
              <w:rPr>
                <w:rFonts w:ascii="Times New Roman" w:eastAsia="宋体" w:hAnsi="Times New Roman"/>
                <w:color w:val="000000"/>
                <w:sz w:val="20"/>
                <w:szCs w:val="20"/>
              </w:rPr>
              <w:t>First Lien Notes</w:t>
            </w:r>
          </w:p>
        </w:tc>
        <w:tc>
          <w:tcPr>
            <w:tcW w:w="0" w:type="auto"/>
            <w:shd w:val="clear" w:color="auto" w:fill="FFFFFF"/>
            <w:tcMar>
              <w:top w:w="40" w:type="dxa"/>
              <w:left w:w="20" w:type="dxa"/>
              <w:bottom w:w="40" w:type="dxa"/>
              <w:right w:w="0" w:type="dxa"/>
            </w:tcMar>
            <w:vAlign w:val="center"/>
          </w:tcPr>
          <w:p w14:paraId="07DCE30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09" w14:textId="77777777" w:rsidR="00AE727E" w:rsidRDefault="008433E0">
            <w:pPr>
              <w:jc w:val="right"/>
              <w:textAlignment w:val="center"/>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center"/>
          </w:tcPr>
          <w:p w14:paraId="07DCE3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0B"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0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0D" w14:textId="77777777" w:rsidR="00AE727E" w:rsidRDefault="008433E0">
            <w:pPr>
              <w:jc w:val="right"/>
              <w:textAlignment w:val="center"/>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center"/>
          </w:tcPr>
          <w:p w14:paraId="07DCE30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0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1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11" w14:textId="77777777" w:rsidR="00AE727E" w:rsidRDefault="008433E0">
            <w:pPr>
              <w:jc w:val="right"/>
              <w:textAlignment w:val="center"/>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center"/>
          </w:tcPr>
          <w:p w14:paraId="07DCE31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1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1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15" w14:textId="77777777" w:rsidR="00AE727E" w:rsidRDefault="008433E0">
            <w:pPr>
              <w:jc w:val="right"/>
              <w:textAlignment w:val="center"/>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center"/>
          </w:tcPr>
          <w:p w14:paraId="07DCE316" w14:textId="77777777" w:rsidR="00AE727E" w:rsidRDefault="00AE727E">
            <w:pPr>
              <w:jc w:val="right"/>
              <w:rPr>
                <w:rFonts w:ascii="宋体"/>
              </w:rPr>
            </w:pPr>
          </w:p>
        </w:tc>
      </w:tr>
      <w:tr w:rsidR="00AE727E" w14:paraId="07DCE328" w14:textId="77777777">
        <w:trPr>
          <w:jc w:val="center"/>
        </w:trPr>
        <w:tc>
          <w:tcPr>
            <w:tcW w:w="0" w:type="auto"/>
            <w:gridSpan w:val="3"/>
            <w:shd w:val="clear" w:color="auto" w:fill="CCEEFF"/>
            <w:tcMar>
              <w:top w:w="40" w:type="dxa"/>
              <w:left w:w="20" w:type="dxa"/>
              <w:bottom w:w="40" w:type="dxa"/>
              <w:right w:w="20" w:type="dxa"/>
            </w:tcMar>
            <w:vAlign w:val="center"/>
          </w:tcPr>
          <w:p w14:paraId="07DCE318" w14:textId="77777777" w:rsidR="00AE727E" w:rsidRDefault="008433E0">
            <w:pPr>
              <w:textAlignment w:val="center"/>
            </w:pPr>
            <w:r>
              <w:rPr>
                <w:rFonts w:ascii="Times New Roman" w:eastAsia="宋体" w:hAnsi="Times New Roman"/>
                <w:color w:val="000000"/>
                <w:sz w:val="20"/>
                <w:szCs w:val="20"/>
              </w:rPr>
              <w:t>Unsecured Notes and Debentures</w:t>
            </w:r>
          </w:p>
        </w:tc>
        <w:tc>
          <w:tcPr>
            <w:tcW w:w="0" w:type="auto"/>
            <w:shd w:val="clear" w:color="auto" w:fill="CCEEFF"/>
            <w:tcMar>
              <w:top w:w="40" w:type="dxa"/>
              <w:left w:w="20" w:type="dxa"/>
              <w:bottom w:w="40" w:type="dxa"/>
              <w:right w:w="0" w:type="dxa"/>
            </w:tcMar>
            <w:vAlign w:val="center"/>
          </w:tcPr>
          <w:p w14:paraId="07DCE31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1A" w14:textId="77777777" w:rsidR="00AE727E" w:rsidRDefault="008433E0">
            <w:pPr>
              <w:jc w:val="right"/>
              <w:textAlignment w:val="center"/>
            </w:pPr>
            <w:r>
              <w:rPr>
                <w:rFonts w:ascii="Times New Roman" w:eastAsia="宋体" w:hAnsi="Times New Roman"/>
                <w:color w:val="000000"/>
                <w:sz w:val="20"/>
                <w:szCs w:val="20"/>
              </w:rPr>
              <w:t>0.8 </w:t>
            </w:r>
          </w:p>
        </w:tc>
        <w:tc>
          <w:tcPr>
            <w:tcW w:w="0" w:type="auto"/>
            <w:shd w:val="clear" w:color="auto" w:fill="CCEEFF"/>
            <w:tcMar>
              <w:top w:w="40" w:type="dxa"/>
              <w:left w:w="0" w:type="dxa"/>
              <w:bottom w:w="40" w:type="dxa"/>
              <w:right w:w="20" w:type="dxa"/>
            </w:tcMar>
            <w:vAlign w:val="center"/>
          </w:tcPr>
          <w:p w14:paraId="07DCE3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1C"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1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1E"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07DCE31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2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2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22"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07DCE32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2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2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26"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center"/>
          </w:tcPr>
          <w:p w14:paraId="07DCE327" w14:textId="77777777" w:rsidR="00AE727E" w:rsidRDefault="00AE727E">
            <w:pPr>
              <w:jc w:val="right"/>
              <w:rPr>
                <w:rFonts w:ascii="宋体"/>
              </w:rPr>
            </w:pPr>
          </w:p>
        </w:tc>
      </w:tr>
      <w:tr w:rsidR="00AE727E" w14:paraId="07DCE339" w14:textId="77777777">
        <w:trPr>
          <w:jc w:val="center"/>
        </w:trPr>
        <w:tc>
          <w:tcPr>
            <w:tcW w:w="0" w:type="auto"/>
            <w:gridSpan w:val="3"/>
            <w:shd w:val="clear" w:color="auto" w:fill="FFFFFF"/>
            <w:tcMar>
              <w:top w:w="40" w:type="dxa"/>
              <w:left w:w="20" w:type="dxa"/>
              <w:bottom w:w="40" w:type="dxa"/>
              <w:right w:w="20" w:type="dxa"/>
            </w:tcMar>
            <w:vAlign w:val="center"/>
          </w:tcPr>
          <w:p w14:paraId="07DCE329" w14:textId="77777777" w:rsidR="00AE727E" w:rsidRDefault="008433E0">
            <w:pPr>
              <w:textAlignment w:val="center"/>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center"/>
          </w:tcPr>
          <w:p w14:paraId="07DCE32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2B"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center"/>
          </w:tcPr>
          <w:p w14:paraId="07DCE3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2D"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2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2F"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CE33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3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3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33" w14:textId="77777777" w:rsidR="00AE727E" w:rsidRDefault="008433E0">
            <w:pPr>
              <w:jc w:val="right"/>
              <w:textAlignment w:val="center"/>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center"/>
          </w:tcPr>
          <w:p w14:paraId="07DCE3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3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3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37" w14:textId="77777777" w:rsidR="00AE727E" w:rsidRDefault="008433E0">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07DCE338" w14:textId="77777777" w:rsidR="00AE727E" w:rsidRDefault="00AE727E">
            <w:pPr>
              <w:jc w:val="right"/>
              <w:rPr>
                <w:rFonts w:ascii="宋体"/>
              </w:rPr>
            </w:pPr>
          </w:p>
        </w:tc>
      </w:tr>
      <w:tr w:rsidR="00AE727E" w14:paraId="07DCE34A" w14:textId="77777777">
        <w:trPr>
          <w:jc w:val="center"/>
        </w:trPr>
        <w:tc>
          <w:tcPr>
            <w:tcW w:w="0" w:type="auto"/>
            <w:gridSpan w:val="3"/>
            <w:shd w:val="clear" w:color="auto" w:fill="CCEEFF"/>
            <w:tcMar>
              <w:top w:w="40" w:type="dxa"/>
              <w:left w:w="20" w:type="dxa"/>
              <w:bottom w:w="40" w:type="dxa"/>
              <w:right w:w="20" w:type="dxa"/>
            </w:tcMar>
            <w:vAlign w:val="center"/>
          </w:tcPr>
          <w:p w14:paraId="07DCE33A" w14:textId="77777777" w:rsidR="00AE727E" w:rsidRDefault="008433E0">
            <w:pPr>
              <w:textAlignment w:val="center"/>
            </w:pPr>
            <w:r>
              <w:rPr>
                <w:rFonts w:ascii="Times New Roman" w:eastAsia="宋体" w:hAnsi="Times New Roman"/>
                <w:color w:val="000000"/>
                <w:sz w:val="20"/>
                <w:szCs w:val="20"/>
              </w:rPr>
              <w:t>EMC Notes</w:t>
            </w:r>
          </w:p>
        </w:tc>
        <w:tc>
          <w:tcPr>
            <w:tcW w:w="0" w:type="auto"/>
            <w:shd w:val="clear" w:color="auto" w:fill="CCEEFF"/>
            <w:tcMar>
              <w:top w:w="40" w:type="dxa"/>
              <w:left w:w="20" w:type="dxa"/>
              <w:bottom w:w="40" w:type="dxa"/>
              <w:right w:w="0" w:type="dxa"/>
            </w:tcMar>
            <w:vAlign w:val="center"/>
          </w:tcPr>
          <w:p w14:paraId="07DCE33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3C"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33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3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3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4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34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4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4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44"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07DCE34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4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4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48"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07DCE349" w14:textId="77777777" w:rsidR="00AE727E" w:rsidRDefault="00AE727E">
            <w:pPr>
              <w:jc w:val="right"/>
              <w:rPr>
                <w:rFonts w:ascii="宋体"/>
              </w:rPr>
            </w:pPr>
          </w:p>
        </w:tc>
      </w:tr>
      <w:tr w:rsidR="00AE727E" w14:paraId="07DCE35B" w14:textId="77777777">
        <w:trPr>
          <w:jc w:val="center"/>
        </w:trPr>
        <w:tc>
          <w:tcPr>
            <w:tcW w:w="0" w:type="auto"/>
            <w:gridSpan w:val="3"/>
            <w:shd w:val="clear" w:color="auto" w:fill="FFFFFF"/>
            <w:tcMar>
              <w:top w:w="40" w:type="dxa"/>
              <w:left w:w="20" w:type="dxa"/>
              <w:bottom w:w="40" w:type="dxa"/>
              <w:right w:w="20" w:type="dxa"/>
            </w:tcMar>
            <w:vAlign w:val="center"/>
          </w:tcPr>
          <w:p w14:paraId="07DCE34B" w14:textId="77777777" w:rsidR="00AE727E" w:rsidRDefault="008433E0">
            <w:pPr>
              <w:textAlignment w:val="center"/>
            </w:pPr>
            <w:r>
              <w:rPr>
                <w:rFonts w:ascii="Times New Roman" w:eastAsia="宋体" w:hAnsi="Times New Roman"/>
                <w:color w:val="000000"/>
                <w:sz w:val="20"/>
                <w:szCs w:val="20"/>
              </w:rPr>
              <w:t>VMware Notes</w:t>
            </w:r>
          </w:p>
        </w:tc>
        <w:tc>
          <w:tcPr>
            <w:tcW w:w="0" w:type="auto"/>
            <w:shd w:val="clear" w:color="auto" w:fill="FFFFFF"/>
            <w:tcMar>
              <w:top w:w="40" w:type="dxa"/>
              <w:left w:w="20" w:type="dxa"/>
              <w:bottom w:w="40" w:type="dxa"/>
              <w:right w:w="0" w:type="dxa"/>
            </w:tcMar>
            <w:vAlign w:val="center"/>
          </w:tcPr>
          <w:p w14:paraId="07DCE34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4D" w14:textId="77777777" w:rsidR="00AE727E" w:rsidRDefault="008433E0">
            <w:pPr>
              <w:jc w:val="right"/>
              <w:textAlignment w:val="center"/>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center"/>
          </w:tcPr>
          <w:p w14:paraId="07DCE34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4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5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51" w14:textId="77777777" w:rsidR="00AE727E" w:rsidRDefault="008433E0">
            <w:pPr>
              <w:jc w:val="right"/>
              <w:textAlignment w:val="center"/>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center"/>
          </w:tcPr>
          <w:p w14:paraId="07DCE35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5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5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55" w14:textId="77777777" w:rsidR="00AE727E" w:rsidRDefault="008433E0">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07DCE35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57"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35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359" w14:textId="77777777" w:rsidR="00AE727E" w:rsidRDefault="008433E0">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center"/>
          </w:tcPr>
          <w:p w14:paraId="07DCE35A" w14:textId="77777777" w:rsidR="00AE727E" w:rsidRDefault="00AE727E">
            <w:pPr>
              <w:jc w:val="right"/>
              <w:rPr>
                <w:rFonts w:ascii="宋体"/>
              </w:rPr>
            </w:pPr>
          </w:p>
        </w:tc>
      </w:tr>
      <w:tr w:rsidR="00AE727E" w14:paraId="07DCE36C" w14:textId="77777777">
        <w:trPr>
          <w:jc w:val="center"/>
        </w:trPr>
        <w:tc>
          <w:tcPr>
            <w:tcW w:w="0" w:type="auto"/>
            <w:gridSpan w:val="3"/>
            <w:shd w:val="clear" w:color="auto" w:fill="CCEEFF"/>
            <w:tcMar>
              <w:top w:w="40" w:type="dxa"/>
              <w:left w:w="20" w:type="dxa"/>
              <w:bottom w:w="40" w:type="dxa"/>
              <w:right w:w="20" w:type="dxa"/>
            </w:tcMar>
            <w:vAlign w:val="center"/>
          </w:tcPr>
          <w:p w14:paraId="07DCE35C" w14:textId="77777777" w:rsidR="00AE727E" w:rsidRDefault="008433E0">
            <w:pPr>
              <w:textAlignment w:val="center"/>
            </w:pPr>
            <w:r>
              <w:rPr>
                <w:rFonts w:ascii="Times New Roman" w:eastAsia="宋体" w:hAnsi="Times New Roman"/>
                <w:color w:val="000000"/>
                <w:sz w:val="20"/>
                <w:szCs w:val="20"/>
              </w:rPr>
              <w:t>Margin Loan Facility</w:t>
            </w:r>
          </w:p>
        </w:tc>
        <w:tc>
          <w:tcPr>
            <w:tcW w:w="0" w:type="auto"/>
            <w:shd w:val="clear" w:color="auto" w:fill="CCEEFF"/>
            <w:tcMar>
              <w:top w:w="40" w:type="dxa"/>
              <w:left w:w="20" w:type="dxa"/>
              <w:bottom w:w="40" w:type="dxa"/>
              <w:right w:w="0" w:type="dxa"/>
            </w:tcMar>
            <w:vAlign w:val="center"/>
          </w:tcPr>
          <w:p w14:paraId="07DCE35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5E"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35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6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6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6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3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6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6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66" w14:textId="77777777" w:rsidR="00AE727E" w:rsidRDefault="008433E0">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07DCE36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6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6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6A" w14:textId="77777777" w:rsidR="00AE727E" w:rsidRDefault="008433E0">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07DCE36B" w14:textId="77777777" w:rsidR="00AE727E" w:rsidRDefault="00AE727E">
            <w:pPr>
              <w:jc w:val="right"/>
              <w:rPr>
                <w:rFonts w:ascii="宋体"/>
              </w:rPr>
            </w:pPr>
          </w:p>
        </w:tc>
      </w:tr>
    </w:tbl>
    <w:p w14:paraId="07DCE36D" w14:textId="77777777" w:rsidR="00AE727E" w:rsidRDefault="00AE727E"/>
    <w:p w14:paraId="07DCE36E" w14:textId="77777777" w:rsidR="00AE727E" w:rsidRDefault="008433E0">
      <w:r>
        <w:rPr>
          <w:rFonts w:ascii="Times New Roman" w:eastAsia="宋体" w:hAnsi="Times New Roman"/>
          <w:color w:val="000000"/>
          <w:sz w:val="20"/>
          <w:szCs w:val="20"/>
        </w:rPr>
        <w:t>The fair values of the outstanding debt shown in the table above, as well as the debt of Dell Financial Services and its affiliates (“DFS”) described in Note 3 of the Notes to the Condensed Consolidated Financial Statements, were determined based on observ</w:t>
      </w:r>
      <w:r>
        <w:rPr>
          <w:rFonts w:ascii="Times New Roman" w:eastAsia="宋体" w:hAnsi="Times New Roman"/>
          <w:color w:val="000000"/>
          <w:sz w:val="20"/>
          <w:szCs w:val="20"/>
        </w:rPr>
        <w:t>able market prices in a less active market or based on valuation methodologies using observable inputs and were categorized as Level 2 in the fair value hierarchy. The carrying value of DFS debt approximates fair value. Outstanding debt is recorded at carr</w:t>
      </w:r>
      <w:r>
        <w:rPr>
          <w:rFonts w:ascii="Times New Roman" w:eastAsia="宋体" w:hAnsi="Times New Roman"/>
          <w:color w:val="000000"/>
          <w:sz w:val="20"/>
          <w:szCs w:val="20"/>
        </w:rPr>
        <w:t xml:space="preserve">ying value and, as such, is not included in the recurring fair value table above. </w:t>
      </w:r>
    </w:p>
    <w:p w14:paraId="07DCE36F" w14:textId="77777777" w:rsidR="00AE727E" w:rsidRDefault="00AE727E"/>
    <w:p w14:paraId="07DCE370" w14:textId="77777777" w:rsidR="00AE727E" w:rsidRDefault="00AE727E">
      <w:pPr>
        <w:jc w:val="center"/>
      </w:pPr>
    </w:p>
    <w:p w14:paraId="07DCE371" w14:textId="77777777" w:rsidR="00AE727E" w:rsidRDefault="008433E0">
      <w:pPr>
        <w:jc w:val="center"/>
      </w:pPr>
      <w:r>
        <w:rPr>
          <w:rFonts w:ascii="Times New Roman" w:eastAsia="宋体" w:hAnsi="Times New Roman"/>
          <w:color w:val="000000"/>
          <w:sz w:val="20"/>
          <w:szCs w:val="20"/>
        </w:rPr>
        <w:t>15</w:t>
      </w:r>
    </w:p>
    <w:p w14:paraId="07DCE372" w14:textId="77777777" w:rsidR="00AE727E" w:rsidRDefault="00AE727E">
      <w:pPr>
        <w:jc w:val="center"/>
      </w:pPr>
    </w:p>
    <w:p w14:paraId="07DCE373" w14:textId="77777777" w:rsidR="00AE727E" w:rsidRDefault="008433E0">
      <w:r>
        <w:pict w14:anchorId="07DD18DF">
          <v:rect id="_x0000_i1039" style="width:415.3pt;height:1.5pt" o:hralign="center" o:hrstd="t" o:hr="t" fillcolor="#a0a0a0" stroked="f"/>
        </w:pict>
      </w:r>
    </w:p>
    <w:p w14:paraId="07DCE374" w14:textId="77777777" w:rsidR="00AE727E" w:rsidRDefault="008433E0">
      <w:hyperlink r:id="rId140" w:anchor="i1c8279be622a460ea19600488436f115_10"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07DCE375"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376"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377"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378" w14:textId="77777777" w:rsidR="00AE727E" w:rsidRDefault="00AE727E">
      <w:pPr>
        <w:jc w:val="center"/>
      </w:pPr>
    </w:p>
    <w:p w14:paraId="07DCE379" w14:textId="77777777" w:rsidR="00AE727E" w:rsidRDefault="008433E0">
      <w:r>
        <w:rPr>
          <w:rFonts w:ascii="Times New Roman" w:eastAsia="宋体" w:hAnsi="Times New Roman"/>
          <w:b/>
          <w:bCs/>
          <w:color w:val="000000"/>
          <w:sz w:val="20"/>
          <w:szCs w:val="20"/>
        </w:rPr>
        <w:t>Investments</w:t>
      </w:r>
    </w:p>
    <w:p w14:paraId="07DCE37A" w14:textId="77777777" w:rsidR="00AE727E" w:rsidRDefault="00AE727E"/>
    <w:p w14:paraId="07DCE37B" w14:textId="77777777" w:rsidR="00AE727E" w:rsidRDefault="008433E0">
      <w:pPr>
        <w:spacing w:after="60"/>
      </w:pPr>
      <w:r>
        <w:rPr>
          <w:rFonts w:ascii="Times New Roman" w:eastAsia="宋体" w:hAnsi="Times New Roman"/>
          <w:color w:val="000000"/>
          <w:sz w:val="20"/>
          <w:szCs w:val="20"/>
        </w:rPr>
        <w:t>The following table presents the carrying value of the Company’s investments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984"/>
        <w:gridCol w:w="37"/>
        <w:gridCol w:w="120"/>
        <w:gridCol w:w="500"/>
        <w:gridCol w:w="36"/>
        <w:gridCol w:w="36"/>
        <w:gridCol w:w="36"/>
        <w:gridCol w:w="36"/>
        <w:gridCol w:w="121"/>
        <w:gridCol w:w="776"/>
        <w:gridCol w:w="36"/>
        <w:gridCol w:w="36"/>
        <w:gridCol w:w="36"/>
        <w:gridCol w:w="36"/>
        <w:gridCol w:w="121"/>
        <w:gridCol w:w="776"/>
        <w:gridCol w:w="36"/>
        <w:gridCol w:w="36"/>
        <w:gridCol w:w="36"/>
        <w:gridCol w:w="36"/>
        <w:gridCol w:w="121"/>
        <w:gridCol w:w="656"/>
        <w:gridCol w:w="36"/>
        <w:gridCol w:w="36"/>
        <w:gridCol w:w="36"/>
        <w:gridCol w:w="36"/>
        <w:gridCol w:w="120"/>
        <w:gridCol w:w="350"/>
        <w:gridCol w:w="36"/>
        <w:gridCol w:w="36"/>
        <w:gridCol w:w="36"/>
        <w:gridCol w:w="36"/>
        <w:gridCol w:w="121"/>
        <w:gridCol w:w="776"/>
        <w:gridCol w:w="36"/>
        <w:gridCol w:w="36"/>
        <w:gridCol w:w="36"/>
        <w:gridCol w:w="36"/>
        <w:gridCol w:w="121"/>
        <w:gridCol w:w="776"/>
        <w:gridCol w:w="36"/>
        <w:gridCol w:w="36"/>
        <w:gridCol w:w="36"/>
        <w:gridCol w:w="36"/>
        <w:gridCol w:w="121"/>
        <w:gridCol w:w="656"/>
        <w:gridCol w:w="36"/>
      </w:tblGrid>
      <w:tr w:rsidR="00AE727E" w14:paraId="07DCE3AC" w14:textId="77777777">
        <w:trPr>
          <w:jc w:val="center"/>
        </w:trPr>
        <w:tc>
          <w:tcPr>
            <w:tcW w:w="50" w:type="pct"/>
            <w:shd w:val="clear" w:color="auto" w:fill="auto"/>
            <w:vAlign w:val="bottom"/>
          </w:tcPr>
          <w:p w14:paraId="07DCE37C" w14:textId="77777777" w:rsidR="00AE727E" w:rsidRDefault="00AE727E">
            <w:pPr>
              <w:rPr>
                <w:rFonts w:ascii="宋体"/>
              </w:rPr>
            </w:pPr>
          </w:p>
        </w:tc>
        <w:tc>
          <w:tcPr>
            <w:tcW w:w="1129" w:type="pct"/>
            <w:shd w:val="clear" w:color="auto" w:fill="auto"/>
            <w:vAlign w:val="bottom"/>
          </w:tcPr>
          <w:p w14:paraId="07DCE37D" w14:textId="77777777" w:rsidR="00AE727E" w:rsidRDefault="00AE727E">
            <w:pPr>
              <w:rPr>
                <w:rFonts w:ascii="宋体"/>
              </w:rPr>
            </w:pPr>
          </w:p>
        </w:tc>
        <w:tc>
          <w:tcPr>
            <w:tcW w:w="5" w:type="pct"/>
            <w:shd w:val="clear" w:color="auto" w:fill="auto"/>
            <w:vAlign w:val="bottom"/>
          </w:tcPr>
          <w:p w14:paraId="07DCE37E" w14:textId="77777777" w:rsidR="00AE727E" w:rsidRDefault="00AE727E">
            <w:pPr>
              <w:rPr>
                <w:rFonts w:ascii="宋体"/>
              </w:rPr>
            </w:pPr>
          </w:p>
        </w:tc>
        <w:tc>
          <w:tcPr>
            <w:tcW w:w="50" w:type="pct"/>
            <w:shd w:val="clear" w:color="auto" w:fill="auto"/>
            <w:vAlign w:val="bottom"/>
          </w:tcPr>
          <w:p w14:paraId="07DCE37F" w14:textId="77777777" w:rsidR="00AE727E" w:rsidRDefault="00AE727E">
            <w:pPr>
              <w:rPr>
                <w:rFonts w:ascii="宋体"/>
              </w:rPr>
            </w:pPr>
          </w:p>
        </w:tc>
        <w:tc>
          <w:tcPr>
            <w:tcW w:w="376" w:type="pct"/>
            <w:shd w:val="clear" w:color="auto" w:fill="auto"/>
            <w:vAlign w:val="bottom"/>
          </w:tcPr>
          <w:p w14:paraId="07DCE380" w14:textId="77777777" w:rsidR="00AE727E" w:rsidRDefault="00AE727E">
            <w:pPr>
              <w:rPr>
                <w:rFonts w:ascii="宋体"/>
              </w:rPr>
            </w:pPr>
          </w:p>
        </w:tc>
        <w:tc>
          <w:tcPr>
            <w:tcW w:w="5" w:type="pct"/>
            <w:shd w:val="clear" w:color="auto" w:fill="auto"/>
            <w:vAlign w:val="bottom"/>
          </w:tcPr>
          <w:p w14:paraId="07DCE381" w14:textId="77777777" w:rsidR="00AE727E" w:rsidRDefault="00AE727E">
            <w:pPr>
              <w:rPr>
                <w:rFonts w:ascii="宋体"/>
              </w:rPr>
            </w:pPr>
          </w:p>
        </w:tc>
        <w:tc>
          <w:tcPr>
            <w:tcW w:w="5" w:type="pct"/>
            <w:shd w:val="clear" w:color="auto" w:fill="auto"/>
            <w:vAlign w:val="bottom"/>
          </w:tcPr>
          <w:p w14:paraId="07DCE382" w14:textId="77777777" w:rsidR="00AE727E" w:rsidRDefault="00AE727E">
            <w:pPr>
              <w:rPr>
                <w:rFonts w:ascii="宋体"/>
              </w:rPr>
            </w:pPr>
          </w:p>
        </w:tc>
        <w:tc>
          <w:tcPr>
            <w:tcW w:w="19" w:type="pct"/>
            <w:shd w:val="clear" w:color="auto" w:fill="auto"/>
            <w:vAlign w:val="bottom"/>
          </w:tcPr>
          <w:p w14:paraId="07DCE383" w14:textId="77777777" w:rsidR="00AE727E" w:rsidRDefault="00AE727E">
            <w:pPr>
              <w:rPr>
                <w:rFonts w:ascii="宋体"/>
              </w:rPr>
            </w:pPr>
          </w:p>
        </w:tc>
        <w:tc>
          <w:tcPr>
            <w:tcW w:w="5" w:type="pct"/>
            <w:shd w:val="clear" w:color="auto" w:fill="auto"/>
            <w:vAlign w:val="bottom"/>
          </w:tcPr>
          <w:p w14:paraId="07DCE384" w14:textId="77777777" w:rsidR="00AE727E" w:rsidRDefault="00AE727E">
            <w:pPr>
              <w:rPr>
                <w:rFonts w:ascii="宋体"/>
              </w:rPr>
            </w:pPr>
          </w:p>
        </w:tc>
        <w:tc>
          <w:tcPr>
            <w:tcW w:w="50" w:type="pct"/>
            <w:shd w:val="clear" w:color="auto" w:fill="auto"/>
            <w:vAlign w:val="bottom"/>
          </w:tcPr>
          <w:p w14:paraId="07DCE385" w14:textId="77777777" w:rsidR="00AE727E" w:rsidRDefault="00AE727E">
            <w:pPr>
              <w:rPr>
                <w:rFonts w:ascii="宋体"/>
              </w:rPr>
            </w:pPr>
          </w:p>
        </w:tc>
        <w:tc>
          <w:tcPr>
            <w:tcW w:w="412" w:type="pct"/>
            <w:shd w:val="clear" w:color="auto" w:fill="auto"/>
            <w:vAlign w:val="bottom"/>
          </w:tcPr>
          <w:p w14:paraId="07DCE386" w14:textId="77777777" w:rsidR="00AE727E" w:rsidRDefault="00AE727E">
            <w:pPr>
              <w:rPr>
                <w:rFonts w:ascii="宋体"/>
              </w:rPr>
            </w:pPr>
          </w:p>
        </w:tc>
        <w:tc>
          <w:tcPr>
            <w:tcW w:w="5" w:type="pct"/>
            <w:shd w:val="clear" w:color="auto" w:fill="auto"/>
            <w:vAlign w:val="bottom"/>
          </w:tcPr>
          <w:p w14:paraId="07DCE387" w14:textId="77777777" w:rsidR="00AE727E" w:rsidRDefault="00AE727E">
            <w:pPr>
              <w:rPr>
                <w:rFonts w:ascii="宋体"/>
              </w:rPr>
            </w:pPr>
          </w:p>
        </w:tc>
        <w:tc>
          <w:tcPr>
            <w:tcW w:w="5" w:type="pct"/>
            <w:shd w:val="clear" w:color="auto" w:fill="auto"/>
            <w:vAlign w:val="bottom"/>
          </w:tcPr>
          <w:p w14:paraId="07DCE388" w14:textId="77777777" w:rsidR="00AE727E" w:rsidRDefault="00AE727E">
            <w:pPr>
              <w:rPr>
                <w:rFonts w:ascii="宋体"/>
              </w:rPr>
            </w:pPr>
          </w:p>
        </w:tc>
        <w:tc>
          <w:tcPr>
            <w:tcW w:w="19" w:type="pct"/>
            <w:shd w:val="clear" w:color="auto" w:fill="auto"/>
            <w:vAlign w:val="bottom"/>
          </w:tcPr>
          <w:p w14:paraId="07DCE389" w14:textId="77777777" w:rsidR="00AE727E" w:rsidRDefault="00AE727E">
            <w:pPr>
              <w:rPr>
                <w:rFonts w:ascii="宋体"/>
              </w:rPr>
            </w:pPr>
          </w:p>
        </w:tc>
        <w:tc>
          <w:tcPr>
            <w:tcW w:w="5" w:type="pct"/>
            <w:shd w:val="clear" w:color="auto" w:fill="auto"/>
            <w:vAlign w:val="bottom"/>
          </w:tcPr>
          <w:p w14:paraId="07DCE38A" w14:textId="77777777" w:rsidR="00AE727E" w:rsidRDefault="00AE727E">
            <w:pPr>
              <w:rPr>
                <w:rFonts w:ascii="宋体"/>
              </w:rPr>
            </w:pPr>
          </w:p>
        </w:tc>
        <w:tc>
          <w:tcPr>
            <w:tcW w:w="50" w:type="pct"/>
            <w:shd w:val="clear" w:color="auto" w:fill="auto"/>
            <w:vAlign w:val="bottom"/>
          </w:tcPr>
          <w:p w14:paraId="07DCE38B" w14:textId="77777777" w:rsidR="00AE727E" w:rsidRDefault="00AE727E">
            <w:pPr>
              <w:rPr>
                <w:rFonts w:ascii="宋体"/>
              </w:rPr>
            </w:pPr>
          </w:p>
        </w:tc>
        <w:tc>
          <w:tcPr>
            <w:tcW w:w="412" w:type="pct"/>
            <w:shd w:val="clear" w:color="auto" w:fill="auto"/>
            <w:vAlign w:val="bottom"/>
          </w:tcPr>
          <w:p w14:paraId="07DCE38C" w14:textId="77777777" w:rsidR="00AE727E" w:rsidRDefault="00AE727E">
            <w:pPr>
              <w:rPr>
                <w:rFonts w:ascii="宋体"/>
              </w:rPr>
            </w:pPr>
          </w:p>
        </w:tc>
        <w:tc>
          <w:tcPr>
            <w:tcW w:w="5" w:type="pct"/>
            <w:shd w:val="clear" w:color="auto" w:fill="auto"/>
            <w:vAlign w:val="bottom"/>
          </w:tcPr>
          <w:p w14:paraId="07DCE38D" w14:textId="77777777" w:rsidR="00AE727E" w:rsidRDefault="00AE727E">
            <w:pPr>
              <w:rPr>
                <w:rFonts w:ascii="宋体"/>
              </w:rPr>
            </w:pPr>
          </w:p>
        </w:tc>
        <w:tc>
          <w:tcPr>
            <w:tcW w:w="5" w:type="pct"/>
            <w:shd w:val="clear" w:color="auto" w:fill="auto"/>
            <w:vAlign w:val="bottom"/>
          </w:tcPr>
          <w:p w14:paraId="07DCE38E" w14:textId="77777777" w:rsidR="00AE727E" w:rsidRDefault="00AE727E">
            <w:pPr>
              <w:rPr>
                <w:rFonts w:ascii="宋体"/>
              </w:rPr>
            </w:pPr>
          </w:p>
        </w:tc>
        <w:tc>
          <w:tcPr>
            <w:tcW w:w="19" w:type="pct"/>
            <w:shd w:val="clear" w:color="auto" w:fill="auto"/>
            <w:vAlign w:val="bottom"/>
          </w:tcPr>
          <w:p w14:paraId="07DCE38F" w14:textId="77777777" w:rsidR="00AE727E" w:rsidRDefault="00AE727E">
            <w:pPr>
              <w:rPr>
                <w:rFonts w:ascii="宋体"/>
              </w:rPr>
            </w:pPr>
          </w:p>
        </w:tc>
        <w:tc>
          <w:tcPr>
            <w:tcW w:w="5" w:type="pct"/>
            <w:shd w:val="clear" w:color="auto" w:fill="auto"/>
            <w:vAlign w:val="bottom"/>
          </w:tcPr>
          <w:p w14:paraId="07DCE390" w14:textId="77777777" w:rsidR="00AE727E" w:rsidRDefault="00AE727E">
            <w:pPr>
              <w:rPr>
                <w:rFonts w:ascii="宋体"/>
              </w:rPr>
            </w:pPr>
          </w:p>
        </w:tc>
        <w:tc>
          <w:tcPr>
            <w:tcW w:w="50" w:type="pct"/>
            <w:shd w:val="clear" w:color="auto" w:fill="auto"/>
            <w:vAlign w:val="bottom"/>
          </w:tcPr>
          <w:p w14:paraId="07DCE391" w14:textId="77777777" w:rsidR="00AE727E" w:rsidRDefault="00AE727E">
            <w:pPr>
              <w:rPr>
                <w:rFonts w:ascii="宋体"/>
              </w:rPr>
            </w:pPr>
          </w:p>
        </w:tc>
        <w:tc>
          <w:tcPr>
            <w:tcW w:w="383" w:type="pct"/>
            <w:shd w:val="clear" w:color="auto" w:fill="auto"/>
            <w:vAlign w:val="bottom"/>
          </w:tcPr>
          <w:p w14:paraId="07DCE392" w14:textId="77777777" w:rsidR="00AE727E" w:rsidRDefault="00AE727E">
            <w:pPr>
              <w:rPr>
                <w:rFonts w:ascii="宋体"/>
              </w:rPr>
            </w:pPr>
          </w:p>
        </w:tc>
        <w:tc>
          <w:tcPr>
            <w:tcW w:w="5" w:type="pct"/>
            <w:shd w:val="clear" w:color="auto" w:fill="auto"/>
            <w:vAlign w:val="bottom"/>
          </w:tcPr>
          <w:p w14:paraId="07DCE393" w14:textId="77777777" w:rsidR="00AE727E" w:rsidRDefault="00AE727E">
            <w:pPr>
              <w:rPr>
                <w:rFonts w:ascii="宋体"/>
              </w:rPr>
            </w:pPr>
          </w:p>
        </w:tc>
        <w:tc>
          <w:tcPr>
            <w:tcW w:w="5" w:type="pct"/>
            <w:shd w:val="clear" w:color="auto" w:fill="auto"/>
            <w:vAlign w:val="bottom"/>
          </w:tcPr>
          <w:p w14:paraId="07DCE394" w14:textId="77777777" w:rsidR="00AE727E" w:rsidRDefault="00AE727E">
            <w:pPr>
              <w:rPr>
                <w:rFonts w:ascii="宋体"/>
              </w:rPr>
            </w:pPr>
          </w:p>
        </w:tc>
        <w:tc>
          <w:tcPr>
            <w:tcW w:w="19" w:type="pct"/>
            <w:shd w:val="clear" w:color="auto" w:fill="auto"/>
            <w:vAlign w:val="bottom"/>
          </w:tcPr>
          <w:p w14:paraId="07DCE395" w14:textId="77777777" w:rsidR="00AE727E" w:rsidRDefault="00AE727E">
            <w:pPr>
              <w:rPr>
                <w:rFonts w:ascii="宋体"/>
              </w:rPr>
            </w:pPr>
          </w:p>
        </w:tc>
        <w:tc>
          <w:tcPr>
            <w:tcW w:w="5" w:type="pct"/>
            <w:shd w:val="clear" w:color="auto" w:fill="auto"/>
            <w:vAlign w:val="bottom"/>
          </w:tcPr>
          <w:p w14:paraId="07DCE396" w14:textId="77777777" w:rsidR="00AE727E" w:rsidRDefault="00AE727E">
            <w:pPr>
              <w:rPr>
                <w:rFonts w:ascii="宋体"/>
              </w:rPr>
            </w:pPr>
          </w:p>
        </w:tc>
        <w:tc>
          <w:tcPr>
            <w:tcW w:w="50" w:type="pct"/>
            <w:shd w:val="clear" w:color="auto" w:fill="auto"/>
            <w:vAlign w:val="bottom"/>
          </w:tcPr>
          <w:p w14:paraId="07DCE397" w14:textId="77777777" w:rsidR="00AE727E" w:rsidRDefault="00AE727E">
            <w:pPr>
              <w:rPr>
                <w:rFonts w:ascii="宋体"/>
              </w:rPr>
            </w:pPr>
          </w:p>
        </w:tc>
        <w:tc>
          <w:tcPr>
            <w:tcW w:w="376" w:type="pct"/>
            <w:shd w:val="clear" w:color="auto" w:fill="auto"/>
            <w:vAlign w:val="bottom"/>
          </w:tcPr>
          <w:p w14:paraId="07DCE398" w14:textId="77777777" w:rsidR="00AE727E" w:rsidRDefault="00AE727E">
            <w:pPr>
              <w:rPr>
                <w:rFonts w:ascii="宋体"/>
              </w:rPr>
            </w:pPr>
          </w:p>
        </w:tc>
        <w:tc>
          <w:tcPr>
            <w:tcW w:w="5" w:type="pct"/>
            <w:shd w:val="clear" w:color="auto" w:fill="auto"/>
            <w:vAlign w:val="bottom"/>
          </w:tcPr>
          <w:p w14:paraId="07DCE399" w14:textId="77777777" w:rsidR="00AE727E" w:rsidRDefault="00AE727E">
            <w:pPr>
              <w:rPr>
                <w:rFonts w:ascii="宋体"/>
              </w:rPr>
            </w:pPr>
          </w:p>
        </w:tc>
        <w:tc>
          <w:tcPr>
            <w:tcW w:w="5" w:type="pct"/>
            <w:shd w:val="clear" w:color="auto" w:fill="auto"/>
            <w:vAlign w:val="bottom"/>
          </w:tcPr>
          <w:p w14:paraId="07DCE39A" w14:textId="77777777" w:rsidR="00AE727E" w:rsidRDefault="00AE727E">
            <w:pPr>
              <w:rPr>
                <w:rFonts w:ascii="宋体"/>
              </w:rPr>
            </w:pPr>
          </w:p>
        </w:tc>
        <w:tc>
          <w:tcPr>
            <w:tcW w:w="19" w:type="pct"/>
            <w:shd w:val="clear" w:color="auto" w:fill="auto"/>
            <w:vAlign w:val="bottom"/>
          </w:tcPr>
          <w:p w14:paraId="07DCE39B" w14:textId="77777777" w:rsidR="00AE727E" w:rsidRDefault="00AE727E">
            <w:pPr>
              <w:rPr>
                <w:rFonts w:ascii="宋体"/>
              </w:rPr>
            </w:pPr>
          </w:p>
        </w:tc>
        <w:tc>
          <w:tcPr>
            <w:tcW w:w="5" w:type="pct"/>
            <w:shd w:val="clear" w:color="auto" w:fill="auto"/>
            <w:vAlign w:val="bottom"/>
          </w:tcPr>
          <w:p w14:paraId="07DCE39C" w14:textId="77777777" w:rsidR="00AE727E" w:rsidRDefault="00AE727E">
            <w:pPr>
              <w:rPr>
                <w:rFonts w:ascii="宋体"/>
              </w:rPr>
            </w:pPr>
          </w:p>
        </w:tc>
        <w:tc>
          <w:tcPr>
            <w:tcW w:w="50" w:type="pct"/>
            <w:shd w:val="clear" w:color="auto" w:fill="auto"/>
            <w:vAlign w:val="bottom"/>
          </w:tcPr>
          <w:p w14:paraId="07DCE39D" w14:textId="77777777" w:rsidR="00AE727E" w:rsidRDefault="00AE727E">
            <w:pPr>
              <w:rPr>
                <w:rFonts w:ascii="宋体"/>
              </w:rPr>
            </w:pPr>
          </w:p>
        </w:tc>
        <w:tc>
          <w:tcPr>
            <w:tcW w:w="412" w:type="pct"/>
            <w:shd w:val="clear" w:color="auto" w:fill="auto"/>
            <w:vAlign w:val="bottom"/>
          </w:tcPr>
          <w:p w14:paraId="07DCE39E" w14:textId="77777777" w:rsidR="00AE727E" w:rsidRDefault="00AE727E">
            <w:pPr>
              <w:rPr>
                <w:rFonts w:ascii="宋体"/>
              </w:rPr>
            </w:pPr>
          </w:p>
        </w:tc>
        <w:tc>
          <w:tcPr>
            <w:tcW w:w="5" w:type="pct"/>
            <w:shd w:val="clear" w:color="auto" w:fill="auto"/>
            <w:vAlign w:val="bottom"/>
          </w:tcPr>
          <w:p w14:paraId="07DCE39F" w14:textId="77777777" w:rsidR="00AE727E" w:rsidRDefault="00AE727E">
            <w:pPr>
              <w:rPr>
                <w:rFonts w:ascii="宋体"/>
              </w:rPr>
            </w:pPr>
          </w:p>
        </w:tc>
        <w:tc>
          <w:tcPr>
            <w:tcW w:w="5" w:type="pct"/>
            <w:shd w:val="clear" w:color="auto" w:fill="auto"/>
            <w:vAlign w:val="bottom"/>
          </w:tcPr>
          <w:p w14:paraId="07DCE3A0" w14:textId="77777777" w:rsidR="00AE727E" w:rsidRDefault="00AE727E">
            <w:pPr>
              <w:rPr>
                <w:rFonts w:ascii="宋体"/>
              </w:rPr>
            </w:pPr>
          </w:p>
        </w:tc>
        <w:tc>
          <w:tcPr>
            <w:tcW w:w="19" w:type="pct"/>
            <w:shd w:val="clear" w:color="auto" w:fill="auto"/>
            <w:vAlign w:val="bottom"/>
          </w:tcPr>
          <w:p w14:paraId="07DCE3A1" w14:textId="77777777" w:rsidR="00AE727E" w:rsidRDefault="00AE727E">
            <w:pPr>
              <w:rPr>
                <w:rFonts w:ascii="宋体"/>
              </w:rPr>
            </w:pPr>
          </w:p>
        </w:tc>
        <w:tc>
          <w:tcPr>
            <w:tcW w:w="5" w:type="pct"/>
            <w:shd w:val="clear" w:color="auto" w:fill="auto"/>
            <w:vAlign w:val="bottom"/>
          </w:tcPr>
          <w:p w14:paraId="07DCE3A2" w14:textId="77777777" w:rsidR="00AE727E" w:rsidRDefault="00AE727E">
            <w:pPr>
              <w:rPr>
                <w:rFonts w:ascii="宋体"/>
              </w:rPr>
            </w:pPr>
          </w:p>
        </w:tc>
        <w:tc>
          <w:tcPr>
            <w:tcW w:w="50" w:type="pct"/>
            <w:shd w:val="clear" w:color="auto" w:fill="auto"/>
            <w:vAlign w:val="bottom"/>
          </w:tcPr>
          <w:p w14:paraId="07DCE3A3" w14:textId="77777777" w:rsidR="00AE727E" w:rsidRDefault="00AE727E">
            <w:pPr>
              <w:rPr>
                <w:rFonts w:ascii="宋体"/>
              </w:rPr>
            </w:pPr>
          </w:p>
        </w:tc>
        <w:tc>
          <w:tcPr>
            <w:tcW w:w="412" w:type="pct"/>
            <w:shd w:val="clear" w:color="auto" w:fill="auto"/>
            <w:vAlign w:val="bottom"/>
          </w:tcPr>
          <w:p w14:paraId="07DCE3A4" w14:textId="77777777" w:rsidR="00AE727E" w:rsidRDefault="00AE727E">
            <w:pPr>
              <w:rPr>
                <w:rFonts w:ascii="宋体"/>
              </w:rPr>
            </w:pPr>
          </w:p>
        </w:tc>
        <w:tc>
          <w:tcPr>
            <w:tcW w:w="5" w:type="pct"/>
            <w:shd w:val="clear" w:color="auto" w:fill="auto"/>
            <w:vAlign w:val="bottom"/>
          </w:tcPr>
          <w:p w14:paraId="07DCE3A5" w14:textId="77777777" w:rsidR="00AE727E" w:rsidRDefault="00AE727E">
            <w:pPr>
              <w:rPr>
                <w:rFonts w:ascii="宋体"/>
              </w:rPr>
            </w:pPr>
          </w:p>
        </w:tc>
        <w:tc>
          <w:tcPr>
            <w:tcW w:w="5" w:type="pct"/>
            <w:shd w:val="clear" w:color="auto" w:fill="auto"/>
            <w:vAlign w:val="bottom"/>
          </w:tcPr>
          <w:p w14:paraId="07DCE3A6" w14:textId="77777777" w:rsidR="00AE727E" w:rsidRDefault="00AE727E">
            <w:pPr>
              <w:rPr>
                <w:rFonts w:ascii="宋体"/>
              </w:rPr>
            </w:pPr>
          </w:p>
        </w:tc>
        <w:tc>
          <w:tcPr>
            <w:tcW w:w="19" w:type="pct"/>
            <w:shd w:val="clear" w:color="auto" w:fill="auto"/>
            <w:vAlign w:val="bottom"/>
          </w:tcPr>
          <w:p w14:paraId="07DCE3A7" w14:textId="77777777" w:rsidR="00AE727E" w:rsidRDefault="00AE727E">
            <w:pPr>
              <w:rPr>
                <w:rFonts w:ascii="宋体"/>
              </w:rPr>
            </w:pPr>
          </w:p>
        </w:tc>
        <w:tc>
          <w:tcPr>
            <w:tcW w:w="5" w:type="pct"/>
            <w:shd w:val="clear" w:color="auto" w:fill="auto"/>
            <w:vAlign w:val="bottom"/>
          </w:tcPr>
          <w:p w14:paraId="07DCE3A8" w14:textId="77777777" w:rsidR="00AE727E" w:rsidRDefault="00AE727E">
            <w:pPr>
              <w:rPr>
                <w:rFonts w:ascii="宋体"/>
              </w:rPr>
            </w:pPr>
          </w:p>
        </w:tc>
        <w:tc>
          <w:tcPr>
            <w:tcW w:w="50" w:type="pct"/>
            <w:shd w:val="clear" w:color="auto" w:fill="auto"/>
            <w:vAlign w:val="bottom"/>
          </w:tcPr>
          <w:p w14:paraId="07DCE3A9" w14:textId="77777777" w:rsidR="00AE727E" w:rsidRDefault="00AE727E">
            <w:pPr>
              <w:rPr>
                <w:rFonts w:ascii="宋体"/>
              </w:rPr>
            </w:pPr>
          </w:p>
        </w:tc>
        <w:tc>
          <w:tcPr>
            <w:tcW w:w="384" w:type="pct"/>
            <w:shd w:val="clear" w:color="auto" w:fill="auto"/>
            <w:vAlign w:val="bottom"/>
          </w:tcPr>
          <w:p w14:paraId="07DCE3AA" w14:textId="77777777" w:rsidR="00AE727E" w:rsidRDefault="00AE727E">
            <w:pPr>
              <w:rPr>
                <w:rFonts w:ascii="宋体"/>
              </w:rPr>
            </w:pPr>
          </w:p>
        </w:tc>
        <w:tc>
          <w:tcPr>
            <w:tcW w:w="5" w:type="pct"/>
            <w:shd w:val="clear" w:color="auto" w:fill="auto"/>
            <w:vAlign w:val="bottom"/>
          </w:tcPr>
          <w:p w14:paraId="07DCE3AB" w14:textId="77777777" w:rsidR="00AE727E" w:rsidRDefault="00AE727E">
            <w:pPr>
              <w:rPr>
                <w:rFonts w:ascii="宋体"/>
              </w:rPr>
            </w:pPr>
          </w:p>
        </w:tc>
      </w:tr>
      <w:tr w:rsidR="00AE727E" w14:paraId="07DCE3B1" w14:textId="77777777">
        <w:trPr>
          <w:jc w:val="center"/>
        </w:trPr>
        <w:tc>
          <w:tcPr>
            <w:tcW w:w="0" w:type="auto"/>
            <w:gridSpan w:val="3"/>
            <w:shd w:val="clear" w:color="auto" w:fill="auto"/>
            <w:tcMar>
              <w:top w:w="0" w:type="dxa"/>
              <w:left w:w="20" w:type="dxa"/>
              <w:bottom w:w="0" w:type="dxa"/>
              <w:right w:w="20" w:type="dxa"/>
            </w:tcMar>
            <w:vAlign w:val="bottom"/>
          </w:tcPr>
          <w:p w14:paraId="07DCE3AD" w14:textId="77777777" w:rsidR="00AE727E" w:rsidRDefault="00AE727E">
            <w:pPr>
              <w:rPr>
                <w:rFonts w:ascii="宋体"/>
              </w:rPr>
            </w:pPr>
          </w:p>
        </w:tc>
        <w:tc>
          <w:tcPr>
            <w:tcW w:w="0" w:type="auto"/>
            <w:gridSpan w:val="21"/>
            <w:shd w:val="clear" w:color="auto" w:fill="auto"/>
            <w:tcMar>
              <w:top w:w="40" w:type="dxa"/>
              <w:left w:w="20" w:type="dxa"/>
              <w:bottom w:w="40" w:type="dxa"/>
              <w:right w:w="20" w:type="dxa"/>
            </w:tcMar>
            <w:vAlign w:val="bottom"/>
          </w:tcPr>
          <w:p w14:paraId="07DCE3AE"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3AF" w14:textId="77777777" w:rsidR="00AE727E" w:rsidRDefault="00AE727E">
            <w:pPr>
              <w:rPr>
                <w:rFonts w:ascii="宋体"/>
              </w:rPr>
            </w:pPr>
          </w:p>
        </w:tc>
        <w:tc>
          <w:tcPr>
            <w:tcW w:w="0" w:type="auto"/>
            <w:gridSpan w:val="21"/>
            <w:shd w:val="clear" w:color="auto" w:fill="auto"/>
            <w:tcMar>
              <w:top w:w="40" w:type="dxa"/>
              <w:left w:w="20" w:type="dxa"/>
              <w:bottom w:w="40" w:type="dxa"/>
              <w:right w:w="20" w:type="dxa"/>
            </w:tcMar>
            <w:vAlign w:val="bottom"/>
          </w:tcPr>
          <w:p w14:paraId="07DCE3B0"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3C2" w14:textId="77777777">
        <w:trPr>
          <w:jc w:val="center"/>
        </w:trPr>
        <w:tc>
          <w:tcPr>
            <w:tcW w:w="0" w:type="auto"/>
            <w:gridSpan w:val="3"/>
            <w:shd w:val="clear" w:color="auto" w:fill="auto"/>
            <w:tcMar>
              <w:top w:w="0" w:type="dxa"/>
              <w:left w:w="20" w:type="dxa"/>
              <w:bottom w:w="0" w:type="dxa"/>
              <w:right w:w="20" w:type="dxa"/>
            </w:tcMar>
            <w:vAlign w:val="bottom"/>
          </w:tcPr>
          <w:p w14:paraId="07DCE3B2"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3B3" w14:textId="77777777" w:rsidR="00AE727E" w:rsidRDefault="008433E0">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B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5" w14:textId="77777777" w:rsidR="00AE727E" w:rsidRDefault="008433E0">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B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7" w14:textId="77777777" w:rsidR="00AE727E" w:rsidRDefault="008433E0">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B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9" w14:textId="77777777" w:rsidR="00AE727E" w:rsidRDefault="008433E0">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07DCE3B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B" w14:textId="77777777" w:rsidR="00AE727E" w:rsidRDefault="008433E0">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B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D" w14:textId="77777777" w:rsidR="00AE727E" w:rsidRDefault="008433E0">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B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BF" w14:textId="77777777" w:rsidR="00AE727E" w:rsidRDefault="008433E0">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3C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3C1" w14:textId="77777777" w:rsidR="00AE727E" w:rsidRDefault="008433E0">
            <w:pPr>
              <w:jc w:val="center"/>
              <w:textAlignment w:val="bottom"/>
            </w:pPr>
            <w:r>
              <w:rPr>
                <w:rFonts w:ascii="Times New Roman" w:eastAsia="宋体" w:hAnsi="Times New Roman"/>
                <w:b/>
                <w:bCs/>
                <w:color w:val="000000"/>
                <w:sz w:val="18"/>
                <w:szCs w:val="18"/>
              </w:rPr>
              <w:t>Carrying Value</w:t>
            </w:r>
          </w:p>
        </w:tc>
      </w:tr>
      <w:tr w:rsidR="00AE727E" w14:paraId="07DCE3C5" w14:textId="77777777">
        <w:trPr>
          <w:jc w:val="center"/>
        </w:trPr>
        <w:tc>
          <w:tcPr>
            <w:tcW w:w="0" w:type="auto"/>
            <w:gridSpan w:val="3"/>
            <w:shd w:val="clear" w:color="auto" w:fill="auto"/>
            <w:tcMar>
              <w:top w:w="0" w:type="dxa"/>
              <w:left w:w="20" w:type="dxa"/>
              <w:bottom w:w="0" w:type="dxa"/>
              <w:right w:w="20" w:type="dxa"/>
            </w:tcMar>
            <w:vAlign w:val="bottom"/>
          </w:tcPr>
          <w:p w14:paraId="07DCE3C3" w14:textId="77777777" w:rsidR="00AE727E" w:rsidRDefault="00AE727E">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07DCE3C4"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3E6" w14:textId="77777777">
        <w:trPr>
          <w:jc w:val="center"/>
        </w:trPr>
        <w:tc>
          <w:tcPr>
            <w:tcW w:w="0" w:type="auto"/>
            <w:gridSpan w:val="3"/>
            <w:shd w:val="clear" w:color="auto" w:fill="CCEEFF"/>
            <w:tcMar>
              <w:top w:w="40" w:type="dxa"/>
              <w:left w:w="20" w:type="dxa"/>
              <w:bottom w:w="40" w:type="dxa"/>
              <w:right w:w="20" w:type="dxa"/>
            </w:tcMar>
            <w:vAlign w:val="center"/>
          </w:tcPr>
          <w:p w14:paraId="07DCE3C6" w14:textId="77777777" w:rsidR="00AE727E" w:rsidRDefault="008433E0">
            <w:pPr>
              <w:textAlignment w:val="center"/>
            </w:pPr>
            <w:r>
              <w:rPr>
                <w:rFonts w:ascii="Times New Roman" w:eastAsia="宋体" w:hAnsi="Times New Roman"/>
                <w:color w:val="000000"/>
                <w:sz w:val="20"/>
                <w:szCs w:val="20"/>
              </w:rPr>
              <w:t>Equity and other securities</w:t>
            </w:r>
          </w:p>
        </w:tc>
        <w:tc>
          <w:tcPr>
            <w:tcW w:w="0" w:type="auto"/>
            <w:shd w:val="clear" w:color="auto" w:fill="CCEEFF"/>
            <w:tcMar>
              <w:top w:w="40" w:type="dxa"/>
              <w:left w:w="20" w:type="dxa"/>
              <w:bottom w:w="40" w:type="dxa"/>
              <w:right w:w="0" w:type="dxa"/>
            </w:tcMar>
            <w:vAlign w:val="center"/>
          </w:tcPr>
          <w:p w14:paraId="07DCE3C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C8" w14:textId="77777777" w:rsidR="00AE727E" w:rsidRDefault="008433E0">
            <w:pPr>
              <w:jc w:val="right"/>
              <w:textAlignment w:val="center"/>
            </w:pPr>
            <w:r>
              <w:rPr>
                <w:rFonts w:ascii="Times New Roman" w:eastAsia="宋体" w:hAnsi="Times New Roman"/>
                <w:color w:val="000000"/>
                <w:sz w:val="20"/>
                <w:szCs w:val="20"/>
              </w:rPr>
              <w:t>1,236 </w:t>
            </w:r>
          </w:p>
        </w:tc>
        <w:tc>
          <w:tcPr>
            <w:tcW w:w="0" w:type="auto"/>
            <w:shd w:val="clear" w:color="auto" w:fill="CCEEFF"/>
            <w:tcMar>
              <w:top w:w="40" w:type="dxa"/>
              <w:left w:w="0" w:type="dxa"/>
              <w:bottom w:w="40" w:type="dxa"/>
              <w:right w:w="20" w:type="dxa"/>
            </w:tcMar>
            <w:vAlign w:val="center"/>
          </w:tcPr>
          <w:p w14:paraId="07DCE3C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C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C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CC" w14:textId="77777777" w:rsidR="00AE727E" w:rsidRDefault="008433E0">
            <w:pPr>
              <w:jc w:val="right"/>
              <w:textAlignment w:val="center"/>
            </w:pPr>
            <w:r>
              <w:rPr>
                <w:rFonts w:ascii="Times New Roman" w:eastAsia="宋体" w:hAnsi="Times New Roman"/>
                <w:color w:val="000000"/>
                <w:sz w:val="20"/>
                <w:szCs w:val="20"/>
              </w:rPr>
              <w:t>488 </w:t>
            </w:r>
          </w:p>
        </w:tc>
        <w:tc>
          <w:tcPr>
            <w:tcW w:w="0" w:type="auto"/>
            <w:shd w:val="clear" w:color="auto" w:fill="CCEEFF"/>
            <w:tcMar>
              <w:top w:w="40" w:type="dxa"/>
              <w:left w:w="0" w:type="dxa"/>
              <w:bottom w:w="40" w:type="dxa"/>
              <w:right w:w="20" w:type="dxa"/>
            </w:tcMar>
            <w:vAlign w:val="center"/>
          </w:tcPr>
          <w:p w14:paraId="07DCE3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C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C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D0" w14:textId="77777777" w:rsidR="00AE727E" w:rsidRDefault="008433E0">
            <w:pPr>
              <w:jc w:val="right"/>
              <w:textAlignment w:val="center"/>
            </w:pPr>
            <w:r>
              <w:rPr>
                <w:rFonts w:ascii="Times New Roman" w:eastAsia="宋体" w:hAnsi="Times New Roman"/>
                <w:color w:val="000000"/>
                <w:sz w:val="20"/>
                <w:szCs w:val="20"/>
              </w:rPr>
              <w:t>(224)</w:t>
            </w:r>
          </w:p>
        </w:tc>
        <w:tc>
          <w:tcPr>
            <w:tcW w:w="0" w:type="auto"/>
            <w:shd w:val="clear" w:color="auto" w:fill="CCEEFF"/>
            <w:tcMar>
              <w:top w:w="40" w:type="dxa"/>
              <w:left w:w="0" w:type="dxa"/>
              <w:bottom w:w="40" w:type="dxa"/>
              <w:right w:w="20" w:type="dxa"/>
            </w:tcMar>
            <w:vAlign w:val="center"/>
          </w:tcPr>
          <w:p w14:paraId="07DCE3D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D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D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D4" w14:textId="77777777" w:rsidR="00AE727E" w:rsidRDefault="008433E0">
            <w:pPr>
              <w:jc w:val="right"/>
              <w:textAlignment w:val="center"/>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center"/>
          </w:tcPr>
          <w:p w14:paraId="07DCE3D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D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D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D8" w14:textId="77777777" w:rsidR="00AE727E" w:rsidRDefault="008433E0">
            <w:pPr>
              <w:jc w:val="right"/>
              <w:textAlignment w:val="center"/>
            </w:pPr>
            <w:r>
              <w:rPr>
                <w:rFonts w:ascii="Times New Roman" w:eastAsia="宋体" w:hAnsi="Times New Roman"/>
                <w:color w:val="000000"/>
                <w:sz w:val="20"/>
                <w:szCs w:val="20"/>
              </w:rPr>
              <w:t>907 </w:t>
            </w:r>
          </w:p>
        </w:tc>
        <w:tc>
          <w:tcPr>
            <w:tcW w:w="0" w:type="auto"/>
            <w:shd w:val="clear" w:color="auto" w:fill="CCEEFF"/>
            <w:tcMar>
              <w:top w:w="40" w:type="dxa"/>
              <w:left w:w="0" w:type="dxa"/>
              <w:bottom w:w="40" w:type="dxa"/>
              <w:right w:w="20" w:type="dxa"/>
            </w:tcMar>
            <w:vAlign w:val="center"/>
          </w:tcPr>
          <w:p w14:paraId="07DCE3D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D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D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DC" w14:textId="77777777" w:rsidR="00AE727E" w:rsidRDefault="008433E0">
            <w:pPr>
              <w:jc w:val="right"/>
              <w:textAlignment w:val="center"/>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center"/>
          </w:tcPr>
          <w:p w14:paraId="07DCE3D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D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D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E0" w14:textId="77777777" w:rsidR="00AE727E" w:rsidRDefault="008433E0">
            <w:pPr>
              <w:jc w:val="right"/>
              <w:textAlignment w:val="center"/>
            </w:pPr>
            <w:r>
              <w:rPr>
                <w:rFonts w:ascii="Times New Roman" w:eastAsia="宋体" w:hAnsi="Times New Roman"/>
                <w:color w:val="000000"/>
                <w:sz w:val="20"/>
                <w:szCs w:val="20"/>
              </w:rPr>
              <w:t>(145)</w:t>
            </w:r>
          </w:p>
        </w:tc>
        <w:tc>
          <w:tcPr>
            <w:tcW w:w="0" w:type="auto"/>
            <w:shd w:val="clear" w:color="auto" w:fill="CCEEFF"/>
            <w:tcMar>
              <w:top w:w="40" w:type="dxa"/>
              <w:left w:w="0" w:type="dxa"/>
              <w:bottom w:w="40" w:type="dxa"/>
              <w:right w:w="20" w:type="dxa"/>
            </w:tcMar>
            <w:vAlign w:val="center"/>
          </w:tcPr>
          <w:p w14:paraId="07DCE3E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3E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3E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3E4" w14:textId="77777777" w:rsidR="00AE727E" w:rsidRDefault="008433E0">
            <w:pPr>
              <w:jc w:val="right"/>
              <w:textAlignment w:val="center"/>
            </w:pPr>
            <w:r>
              <w:rPr>
                <w:rFonts w:ascii="Times New Roman" w:eastAsia="宋体" w:hAnsi="Times New Roman"/>
                <w:color w:val="000000"/>
                <w:sz w:val="20"/>
                <w:szCs w:val="20"/>
              </w:rPr>
              <w:t>1,439 </w:t>
            </w:r>
          </w:p>
        </w:tc>
        <w:tc>
          <w:tcPr>
            <w:tcW w:w="0" w:type="auto"/>
            <w:shd w:val="clear" w:color="auto" w:fill="CCEEFF"/>
            <w:tcMar>
              <w:top w:w="40" w:type="dxa"/>
              <w:left w:w="0" w:type="dxa"/>
              <w:bottom w:w="40" w:type="dxa"/>
              <w:right w:w="20" w:type="dxa"/>
            </w:tcMar>
            <w:vAlign w:val="center"/>
          </w:tcPr>
          <w:p w14:paraId="07DCE3E5" w14:textId="77777777" w:rsidR="00AE727E" w:rsidRDefault="00AE727E">
            <w:pPr>
              <w:jc w:val="right"/>
              <w:rPr>
                <w:rFonts w:ascii="宋体"/>
              </w:rPr>
            </w:pPr>
          </w:p>
        </w:tc>
      </w:tr>
      <w:tr w:rsidR="00AE727E" w14:paraId="07DCE3FF" w14:textId="77777777">
        <w:trPr>
          <w:jc w:val="center"/>
        </w:trPr>
        <w:tc>
          <w:tcPr>
            <w:tcW w:w="0" w:type="auto"/>
            <w:gridSpan w:val="3"/>
            <w:shd w:val="clear" w:color="auto" w:fill="FFFFFF"/>
            <w:tcMar>
              <w:top w:w="40" w:type="dxa"/>
              <w:left w:w="20" w:type="dxa"/>
              <w:bottom w:w="40" w:type="dxa"/>
              <w:right w:w="20" w:type="dxa"/>
            </w:tcMar>
            <w:vAlign w:val="center"/>
          </w:tcPr>
          <w:p w14:paraId="07DCE3E7" w14:textId="77777777" w:rsidR="00AE727E" w:rsidRDefault="008433E0">
            <w:pPr>
              <w:textAlignment w:val="center"/>
            </w:pPr>
            <w:r>
              <w:rPr>
                <w:rFonts w:ascii="Times New Roman" w:eastAsia="宋体" w:hAnsi="Times New Roman"/>
                <w:color w:val="000000"/>
                <w:sz w:val="20"/>
                <w:szCs w:val="20"/>
              </w:rPr>
              <w:t>Fixed income debt securities</w:t>
            </w:r>
          </w:p>
        </w:tc>
        <w:tc>
          <w:tcPr>
            <w:tcW w:w="0" w:type="auto"/>
            <w:gridSpan w:val="2"/>
            <w:shd w:val="clear" w:color="auto" w:fill="FFFFFF"/>
            <w:tcMar>
              <w:top w:w="40" w:type="dxa"/>
              <w:left w:w="20" w:type="dxa"/>
              <w:bottom w:w="40" w:type="dxa"/>
              <w:right w:w="0" w:type="dxa"/>
            </w:tcMar>
            <w:vAlign w:val="center"/>
          </w:tcPr>
          <w:p w14:paraId="07DCE3E8" w14:textId="77777777" w:rsidR="00AE727E" w:rsidRDefault="008433E0">
            <w:pPr>
              <w:jc w:val="right"/>
              <w:textAlignment w:val="center"/>
            </w:pPr>
            <w:r>
              <w:rPr>
                <w:rFonts w:ascii="Times New Roman" w:eastAsia="宋体" w:hAnsi="Times New Roman"/>
                <w:color w:val="000000"/>
                <w:sz w:val="20"/>
                <w:szCs w:val="20"/>
              </w:rPr>
              <w:t>333 </w:t>
            </w:r>
          </w:p>
        </w:tc>
        <w:tc>
          <w:tcPr>
            <w:tcW w:w="0" w:type="auto"/>
            <w:shd w:val="clear" w:color="auto" w:fill="FFFFFF"/>
            <w:tcMar>
              <w:top w:w="40" w:type="dxa"/>
              <w:left w:w="0" w:type="dxa"/>
              <w:bottom w:w="40" w:type="dxa"/>
              <w:right w:w="20" w:type="dxa"/>
            </w:tcMar>
            <w:vAlign w:val="center"/>
          </w:tcPr>
          <w:p w14:paraId="07DCE3E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E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E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3E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E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EE" w14:textId="77777777" w:rsidR="00AE727E" w:rsidRDefault="008433E0">
            <w:pPr>
              <w:jc w:val="right"/>
              <w:textAlignment w:val="center"/>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center"/>
          </w:tcPr>
          <w:p w14:paraId="07DCE3E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F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F1" w14:textId="77777777" w:rsidR="00AE727E" w:rsidRDefault="008433E0">
            <w:pPr>
              <w:jc w:val="right"/>
              <w:textAlignment w:val="center"/>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center"/>
          </w:tcPr>
          <w:p w14:paraId="07DCE3F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F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F4" w14:textId="77777777" w:rsidR="00AE727E" w:rsidRDefault="008433E0">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center"/>
          </w:tcPr>
          <w:p w14:paraId="07DCE3F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F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F7"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07DCE3F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F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F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3F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3F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3FD" w14:textId="77777777" w:rsidR="00AE727E" w:rsidRDefault="008433E0">
            <w:pPr>
              <w:jc w:val="right"/>
              <w:textAlignment w:val="center"/>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center"/>
          </w:tcPr>
          <w:p w14:paraId="07DCE3FE" w14:textId="77777777" w:rsidR="00AE727E" w:rsidRDefault="00AE727E">
            <w:pPr>
              <w:jc w:val="right"/>
              <w:rPr>
                <w:rFonts w:ascii="宋体"/>
              </w:rPr>
            </w:pPr>
          </w:p>
        </w:tc>
      </w:tr>
      <w:tr w:rsidR="00AE727E" w14:paraId="07DCE414" w14:textId="77777777">
        <w:trPr>
          <w:jc w:val="center"/>
        </w:trPr>
        <w:tc>
          <w:tcPr>
            <w:tcW w:w="0" w:type="auto"/>
            <w:gridSpan w:val="3"/>
            <w:shd w:val="clear" w:color="auto" w:fill="CCEEFF"/>
            <w:tcMar>
              <w:top w:w="40" w:type="dxa"/>
              <w:left w:w="140" w:type="dxa"/>
              <w:bottom w:w="40" w:type="dxa"/>
              <w:right w:w="20" w:type="dxa"/>
            </w:tcMar>
            <w:vAlign w:val="center"/>
          </w:tcPr>
          <w:p w14:paraId="07DCE400" w14:textId="77777777" w:rsidR="00AE727E" w:rsidRDefault="008433E0">
            <w:pPr>
              <w:textAlignment w:val="center"/>
            </w:pPr>
            <w:r>
              <w:rPr>
                <w:rFonts w:ascii="Times New Roman" w:eastAsia="宋体" w:hAnsi="Times New Roman"/>
                <w:color w:val="000000"/>
                <w:sz w:val="20"/>
                <w:szCs w:val="20"/>
              </w:rPr>
              <w:t>Total securities</w:t>
            </w:r>
          </w:p>
        </w:tc>
        <w:tc>
          <w:tcPr>
            <w:tcW w:w="0" w:type="auto"/>
            <w:gridSpan w:val="3"/>
            <w:shd w:val="clear" w:color="auto" w:fill="CCEEFF"/>
            <w:tcMar>
              <w:top w:w="0" w:type="dxa"/>
              <w:left w:w="20" w:type="dxa"/>
              <w:bottom w:w="0" w:type="dxa"/>
              <w:right w:w="20" w:type="dxa"/>
            </w:tcMar>
            <w:vAlign w:val="bottom"/>
          </w:tcPr>
          <w:p w14:paraId="07DCE40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6"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40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408" w14:textId="77777777" w:rsidR="00AE727E" w:rsidRDefault="008433E0">
            <w:pPr>
              <w:jc w:val="right"/>
              <w:textAlignment w:val="center"/>
            </w:pPr>
            <w:r>
              <w:rPr>
                <w:rFonts w:ascii="Times New Roman" w:eastAsia="宋体" w:hAnsi="Times New Roman"/>
                <w:color w:val="000000"/>
                <w:sz w:val="20"/>
                <w:szCs w:val="20"/>
              </w:rPr>
              <w:t>1,827 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40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0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1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41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412" w14:textId="77777777" w:rsidR="00AE727E" w:rsidRDefault="008433E0">
            <w:pPr>
              <w:jc w:val="right"/>
              <w:textAlignment w:val="center"/>
            </w:pPr>
            <w:r>
              <w:rPr>
                <w:rFonts w:ascii="Times New Roman" w:eastAsia="宋体" w:hAnsi="Times New Roman"/>
                <w:color w:val="000000"/>
                <w:sz w:val="20"/>
                <w:szCs w:val="20"/>
              </w:rPr>
              <w:t>1,624 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413" w14:textId="77777777" w:rsidR="00AE727E" w:rsidRDefault="00AE727E">
            <w:pPr>
              <w:jc w:val="right"/>
              <w:rPr>
                <w:rFonts w:ascii="宋体"/>
              </w:rPr>
            </w:pPr>
          </w:p>
        </w:tc>
      </w:tr>
    </w:tbl>
    <w:p w14:paraId="07DCE415" w14:textId="77777777" w:rsidR="00AE727E" w:rsidRDefault="00AE727E"/>
    <w:p w14:paraId="07DCE416" w14:textId="77777777" w:rsidR="00AE727E" w:rsidRDefault="008433E0">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Company has strategic investments in publicly-traded and privately-held companies. For the nine months ended October 29, 2021, the equ</w:t>
      </w:r>
      <w:r>
        <w:rPr>
          <w:rFonts w:ascii="Times New Roman" w:eastAsia="宋体" w:hAnsi="Times New Roman"/>
          <w:color w:val="000000"/>
          <w:sz w:val="20"/>
          <w:szCs w:val="20"/>
        </w:rPr>
        <w:t>ity and other securities without readily determinable fair values of $1.3 billion increased by $411 million, primarily due to upward adjustments for observable price changes of $448 million, partially offset by $37 million of downward adjustments that were</w:t>
      </w:r>
      <w:r>
        <w:rPr>
          <w:rFonts w:ascii="Times New Roman" w:eastAsia="宋体" w:hAnsi="Times New Roman"/>
          <w:color w:val="000000"/>
          <w:sz w:val="20"/>
          <w:szCs w:val="20"/>
        </w:rPr>
        <w:t xml:space="preserve"> primarily attributable to observable price changes. The remainder of equity and other securities consists of publicly-traded investments that are measured at fair value on a recurring basis.</w:t>
      </w:r>
    </w:p>
    <w:p w14:paraId="07DCE417" w14:textId="77777777" w:rsidR="00AE727E" w:rsidRDefault="00AE727E"/>
    <w:p w14:paraId="07DCE418" w14:textId="77777777" w:rsidR="00AE727E" w:rsidRDefault="008433E0">
      <w:r>
        <w:rPr>
          <w:rFonts w:ascii="Times New Roman" w:eastAsia="宋体" w:hAnsi="Times New Roman"/>
          <w:i/>
          <w:iCs/>
          <w:color w:val="000000"/>
          <w:sz w:val="20"/>
          <w:szCs w:val="20"/>
        </w:rPr>
        <w:t xml:space="preserve">Fixed income debt securities </w:t>
      </w:r>
      <w:r>
        <w:rPr>
          <w:rFonts w:ascii="Times New Roman" w:eastAsia="宋体" w:hAnsi="Times New Roman"/>
          <w:color w:val="000000"/>
          <w:sz w:val="20"/>
          <w:szCs w:val="20"/>
        </w:rPr>
        <w:t>— The Company has fixed income deb</w:t>
      </w:r>
      <w:r>
        <w:rPr>
          <w:rFonts w:ascii="Times New Roman" w:eastAsia="宋体" w:hAnsi="Times New Roman"/>
          <w:color w:val="000000"/>
          <w:sz w:val="20"/>
          <w:szCs w:val="20"/>
        </w:rPr>
        <w:t>t securities carried at amortized cost. The debt securities are held as collateral for borrowings. The Company intends to hold the investments to maturity. Unrealized gains relate to foreign currency impacts.</w:t>
      </w:r>
    </w:p>
    <w:p w14:paraId="07DCE419" w14:textId="77777777" w:rsidR="00AE727E" w:rsidRDefault="00AE727E"/>
    <w:p w14:paraId="07DCE41A" w14:textId="77777777" w:rsidR="00AE727E" w:rsidRDefault="00AE727E">
      <w:pPr>
        <w:jc w:val="center"/>
      </w:pPr>
    </w:p>
    <w:p w14:paraId="07DCE41B" w14:textId="77777777" w:rsidR="00AE727E" w:rsidRDefault="008433E0">
      <w:pPr>
        <w:jc w:val="center"/>
      </w:pPr>
      <w:r>
        <w:rPr>
          <w:rFonts w:ascii="Times New Roman" w:eastAsia="宋体" w:hAnsi="Times New Roman"/>
          <w:color w:val="000000"/>
          <w:sz w:val="20"/>
          <w:szCs w:val="20"/>
        </w:rPr>
        <w:t>16</w:t>
      </w:r>
    </w:p>
    <w:p w14:paraId="07DCE41C" w14:textId="77777777" w:rsidR="00AE727E" w:rsidRDefault="00AE727E">
      <w:pPr>
        <w:jc w:val="center"/>
      </w:pPr>
    </w:p>
    <w:p w14:paraId="07DCE41D" w14:textId="77777777" w:rsidR="00AE727E" w:rsidRDefault="008433E0">
      <w:r>
        <w:pict w14:anchorId="07DD18E0">
          <v:rect id="_x0000_i1040" style="width:415.3pt;height:1.5pt" o:hralign="center" o:hrstd="t" o:hr="t" fillcolor="#a0a0a0" stroked="f"/>
        </w:pict>
      </w:r>
    </w:p>
    <w:p w14:paraId="07DCE41E" w14:textId="77777777" w:rsidR="00AE727E" w:rsidRDefault="008433E0">
      <w:hyperlink r:id="rId141" w:anchor="i1c8279be622a460ea19600488436f115_10" w:history="1">
        <w:r>
          <w:rPr>
            <w:rStyle w:val="a5"/>
            <w:rFonts w:ascii="Times New Roman" w:eastAsia="宋体" w:hAnsi="Times New Roman"/>
            <w:sz w:val="20"/>
            <w:szCs w:val="20"/>
          </w:rPr>
          <w:t>Table of Contents</w:t>
        </w:r>
      </w:hyperlink>
    </w:p>
    <w:p w14:paraId="07DCE41F"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420"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421"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422" w14:textId="77777777" w:rsidR="00AE727E" w:rsidRDefault="00AE727E">
      <w:pPr>
        <w:jc w:val="center"/>
      </w:pPr>
    </w:p>
    <w:p w14:paraId="07DCE423" w14:textId="77777777" w:rsidR="00AE727E" w:rsidRDefault="008433E0">
      <w:r>
        <w:rPr>
          <w:rFonts w:ascii="Times New Roman" w:eastAsia="宋体" w:hAnsi="Times New Roman"/>
          <w:b/>
          <w:bCs/>
          <w:color w:val="000000"/>
          <w:sz w:val="20"/>
          <w:szCs w:val="20"/>
        </w:rPr>
        <w:t xml:space="preserve">NOTE 3 — FINANCIAL SERVICES </w:t>
      </w:r>
    </w:p>
    <w:p w14:paraId="07DCE424" w14:textId="77777777" w:rsidR="00AE727E" w:rsidRDefault="00AE727E"/>
    <w:p w14:paraId="07DCE425" w14:textId="77777777" w:rsidR="00AE727E" w:rsidRDefault="008433E0">
      <w:r>
        <w:rPr>
          <w:rFonts w:ascii="Times New Roman" w:eastAsia="宋体" w:hAnsi="Times New Roman"/>
          <w:color w:val="000000"/>
          <w:sz w:val="20"/>
          <w:szCs w:val="20"/>
        </w:rPr>
        <w:t>The Company offers or arranges various financing options, services, and alternative payment structures for its customers in North America, Europe, Australia, and New Zealand through Dell Financial Services and its affiliates (</w:t>
      </w:r>
      <w:r>
        <w:rPr>
          <w:rFonts w:ascii="Times New Roman" w:eastAsia="宋体" w:hAnsi="Times New Roman"/>
          <w:color w:val="000000"/>
          <w:sz w:val="20"/>
          <w:szCs w:val="20"/>
        </w:rPr>
        <w:t>“DFS”). The Company also arranges financing for some of its customers in various countries where DFS does not currently operate as a captive enterprise. The Company further strengthens customer relationships through flexible consumption models, which enabl</w:t>
      </w:r>
      <w:r>
        <w:rPr>
          <w:rFonts w:ascii="Times New Roman" w:eastAsia="宋体" w:hAnsi="Times New Roman"/>
          <w:color w:val="000000"/>
          <w:sz w:val="20"/>
          <w:szCs w:val="20"/>
        </w:rPr>
        <w:t>e the Company to offer its customers the option to pay over time and, in certain cases, based on utilization, to provide them with financial flexibility to meet their changing technological requirements. The key activities of DFS include originating, colle</w:t>
      </w:r>
      <w:r>
        <w:rPr>
          <w:rFonts w:ascii="Times New Roman" w:eastAsia="宋体" w:hAnsi="Times New Roman"/>
          <w:color w:val="000000"/>
          <w:sz w:val="20"/>
          <w:szCs w:val="20"/>
        </w:rPr>
        <w:t>cting, and servicing customer financing arrangements primarily related to the purchase or use of Dell Technologies products and services. In some cases, DFS also offers financing on the purchase of third-party technology products that complement the Dell T</w:t>
      </w:r>
      <w:r>
        <w:rPr>
          <w:rFonts w:ascii="Times New Roman" w:eastAsia="宋体" w:hAnsi="Times New Roman"/>
          <w:color w:val="000000"/>
          <w:sz w:val="20"/>
          <w:szCs w:val="20"/>
        </w:rPr>
        <w:t>echnologies portfolio of products and services. New financing originations were $2.0 billion and $2.1 billion for the three months ended October 29, 2021 and October 30, 2020, respectively, and $5.8 billion and $6.5 billion for the nine months ended Octobe</w:t>
      </w:r>
      <w:r>
        <w:rPr>
          <w:rFonts w:ascii="Times New Roman" w:eastAsia="宋体" w:hAnsi="Times New Roman"/>
          <w:color w:val="000000"/>
          <w:sz w:val="20"/>
          <w:szCs w:val="20"/>
        </w:rPr>
        <w:t>r 29, 2021 and October 30, 2020, respectively.</w:t>
      </w:r>
    </w:p>
    <w:p w14:paraId="07DCE426" w14:textId="77777777" w:rsidR="00AE727E" w:rsidRDefault="00AE727E"/>
    <w:p w14:paraId="07DCE427" w14:textId="77777777" w:rsidR="00AE727E" w:rsidRDefault="008433E0">
      <w:r>
        <w:rPr>
          <w:rFonts w:ascii="Times New Roman" w:eastAsia="宋体" w:hAnsi="Times New Roman"/>
          <w:color w:val="000000"/>
          <w:sz w:val="20"/>
          <w:szCs w:val="20"/>
        </w:rPr>
        <w:t>The Company’s loan and lease arrangements with customers are aggregated into the following categories:</w:t>
      </w:r>
    </w:p>
    <w:p w14:paraId="07DCE428" w14:textId="77777777" w:rsidR="00AE727E" w:rsidRDefault="00AE727E"/>
    <w:p w14:paraId="07DCE429" w14:textId="77777777" w:rsidR="00AE727E" w:rsidRDefault="008433E0">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Revolving loans offered under private label credit financing programs provide qualifie</w:t>
      </w:r>
      <w:r>
        <w:rPr>
          <w:rFonts w:ascii="Times New Roman" w:eastAsia="宋体" w:hAnsi="Times New Roman"/>
          <w:color w:val="000000"/>
          <w:sz w:val="20"/>
          <w:szCs w:val="20"/>
        </w:rPr>
        <w:t>d customers with a revolving credit line for the purchase of products and services offered by Dell Technologies. These private label credit financing programs are referred to as Dell Preferred Account (“DPA”) and Dell Business Credit (“DBC”). The DPA produ</w:t>
      </w:r>
      <w:r>
        <w:rPr>
          <w:rFonts w:ascii="Times New Roman" w:eastAsia="宋体" w:hAnsi="Times New Roman"/>
          <w:color w:val="000000"/>
          <w:sz w:val="20"/>
          <w:szCs w:val="20"/>
        </w:rPr>
        <w:t>ct is primarily offered to individual consumer customers, and the DBC product is primarily offered to small and medium-sized commercial customers. Revolving loans in the United States bear interest at a variable annual percentage rate that is tied to the p</w:t>
      </w:r>
      <w:r>
        <w:rPr>
          <w:rFonts w:ascii="Times New Roman" w:eastAsia="宋体" w:hAnsi="Times New Roman"/>
          <w:color w:val="000000"/>
          <w:sz w:val="20"/>
          <w:szCs w:val="20"/>
        </w:rPr>
        <w:t>rime rate. Based on historical payment patterns, revolving loan transactions are typically repaid within twelve months on average. Due to the short-term nature of the revolving loan portfolio, the carrying value of the portfolio approximates fair value.</w:t>
      </w:r>
    </w:p>
    <w:p w14:paraId="07DCE42A" w14:textId="77777777" w:rsidR="00AE727E" w:rsidRDefault="00AE727E"/>
    <w:p w14:paraId="07DCE42B" w14:textId="77777777" w:rsidR="00AE727E" w:rsidRDefault="008433E0">
      <w:r>
        <w:rPr>
          <w:rFonts w:ascii="Times New Roman" w:eastAsia="宋体" w:hAnsi="Times New Roman"/>
          <w:i/>
          <w:iCs/>
          <w:color w:val="000000"/>
          <w:sz w:val="20"/>
          <w:szCs w:val="20"/>
        </w:rPr>
        <w:t>F</w:t>
      </w:r>
      <w:r>
        <w:rPr>
          <w:rFonts w:ascii="Times New Roman" w:eastAsia="宋体" w:hAnsi="Times New Roman"/>
          <w:i/>
          <w:iCs/>
          <w:color w:val="000000"/>
          <w:sz w:val="20"/>
          <w:szCs w:val="20"/>
        </w:rPr>
        <w:t xml:space="preserve">ixed-term leases and loans </w:t>
      </w:r>
      <w:r>
        <w:rPr>
          <w:rFonts w:ascii="Times New Roman" w:eastAsia="宋体" w:hAnsi="Times New Roman"/>
          <w:color w:val="000000"/>
          <w:sz w:val="20"/>
          <w:szCs w:val="20"/>
        </w:rPr>
        <w:t>— The Company enters into financing arrangements with customers who seek lease financing for equipment. DFS leases are classified as sales-type leases, direct financing leases, or operating leases. Direct financing leases are imm</w:t>
      </w:r>
      <w:r>
        <w:rPr>
          <w:rFonts w:ascii="Times New Roman" w:eastAsia="宋体" w:hAnsi="Times New Roman"/>
          <w:color w:val="000000"/>
          <w:sz w:val="20"/>
          <w:szCs w:val="20"/>
        </w:rPr>
        <w:t xml:space="preserve">aterial. Leases that commenced prior to the effective date of the current lease accounting standard continue to be accounted for under previous lease accounting guidance. Leases with business customers have fixed terms of generally two to four years. </w:t>
      </w:r>
    </w:p>
    <w:p w14:paraId="07DCE42C" w14:textId="77777777" w:rsidR="00AE727E" w:rsidRDefault="00AE727E"/>
    <w:p w14:paraId="07DCE42D" w14:textId="77777777" w:rsidR="00AE727E" w:rsidRDefault="008433E0">
      <w:r>
        <w:rPr>
          <w:rFonts w:ascii="Times New Roman" w:eastAsia="宋体" w:hAnsi="Times New Roman"/>
          <w:color w:val="000000"/>
          <w:sz w:val="20"/>
          <w:szCs w:val="20"/>
        </w:rPr>
        <w:t>The</w:t>
      </w:r>
      <w:r>
        <w:rPr>
          <w:rFonts w:ascii="Times New Roman" w:eastAsia="宋体" w:hAnsi="Times New Roman"/>
          <w:color w:val="000000"/>
          <w:sz w:val="20"/>
          <w:szCs w:val="20"/>
        </w:rPr>
        <w:t xml:space="preserve"> Company also offers fixed-term loans to qualified small businesses, large commercial accounts, governmental organizations, educational entities, and certain individual consumer customers. These loans are repaid in equal payments including interest and hav</w:t>
      </w:r>
      <w:r>
        <w:rPr>
          <w:rFonts w:ascii="Times New Roman" w:eastAsia="宋体" w:hAnsi="Times New Roman"/>
          <w:color w:val="000000"/>
          <w:sz w:val="20"/>
          <w:szCs w:val="20"/>
        </w:rPr>
        <w:t xml:space="preserve">e defined terms of generally three to five years. The fair value of the fixed-term loan portfolio is determined using market observable inputs.  The carrying value of these loans approximates fair value.  </w:t>
      </w:r>
    </w:p>
    <w:p w14:paraId="07DCE42E" w14:textId="77777777" w:rsidR="00AE727E" w:rsidRDefault="00AE727E"/>
    <w:p w14:paraId="07DCE42F" w14:textId="77777777" w:rsidR="00AE727E" w:rsidRDefault="00AE727E">
      <w:pPr>
        <w:jc w:val="center"/>
      </w:pPr>
    </w:p>
    <w:p w14:paraId="07DCE430" w14:textId="77777777" w:rsidR="00AE727E" w:rsidRDefault="008433E0">
      <w:pPr>
        <w:jc w:val="center"/>
      </w:pPr>
      <w:r>
        <w:rPr>
          <w:rFonts w:ascii="Times New Roman" w:eastAsia="宋体" w:hAnsi="Times New Roman"/>
          <w:color w:val="000000"/>
          <w:sz w:val="20"/>
          <w:szCs w:val="20"/>
        </w:rPr>
        <w:t>17</w:t>
      </w:r>
    </w:p>
    <w:p w14:paraId="07DCE431" w14:textId="77777777" w:rsidR="00AE727E" w:rsidRDefault="00AE727E">
      <w:pPr>
        <w:jc w:val="center"/>
      </w:pPr>
    </w:p>
    <w:p w14:paraId="07DCE432" w14:textId="77777777" w:rsidR="00AE727E" w:rsidRDefault="008433E0">
      <w:r>
        <w:pict w14:anchorId="07DD18E1">
          <v:rect id="_x0000_i1041" style="width:415.3pt;height:1.5pt" o:hralign="center" o:hrstd="t" o:hr="t" fillcolor="#a0a0a0" stroked="f"/>
        </w:pict>
      </w:r>
    </w:p>
    <w:p w14:paraId="07DCE433" w14:textId="77777777" w:rsidR="00AE727E" w:rsidRDefault="008433E0">
      <w:hyperlink r:id="rId142" w:anchor="i1c8279be622a460ea19600488436f115_10" w:history="1">
        <w:r>
          <w:rPr>
            <w:rStyle w:val="a5"/>
            <w:rFonts w:ascii="Times New Roman" w:eastAsia="宋体" w:hAnsi="Times New Roman"/>
            <w:sz w:val="20"/>
            <w:szCs w:val="20"/>
          </w:rPr>
          <w:t>Table of Contents</w:t>
        </w:r>
      </w:hyperlink>
    </w:p>
    <w:p w14:paraId="07DCE43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43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43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437" w14:textId="77777777" w:rsidR="00AE727E" w:rsidRDefault="00AE727E">
      <w:pPr>
        <w:jc w:val="center"/>
      </w:pPr>
    </w:p>
    <w:p w14:paraId="07DCE438" w14:textId="77777777" w:rsidR="00AE727E" w:rsidRDefault="008433E0">
      <w:r>
        <w:rPr>
          <w:rFonts w:ascii="Times New Roman" w:eastAsia="宋体" w:hAnsi="Times New Roman"/>
          <w:b/>
          <w:bCs/>
          <w:color w:val="000000"/>
          <w:sz w:val="20"/>
          <w:szCs w:val="20"/>
        </w:rPr>
        <w:t xml:space="preserve">Financing </w:t>
      </w:r>
      <w:r>
        <w:rPr>
          <w:rFonts w:ascii="Times New Roman" w:eastAsia="宋体" w:hAnsi="Times New Roman"/>
          <w:b/>
          <w:bCs/>
          <w:color w:val="000000"/>
          <w:sz w:val="20"/>
          <w:szCs w:val="20"/>
        </w:rPr>
        <w:t>Receivables</w:t>
      </w:r>
    </w:p>
    <w:p w14:paraId="07DCE439" w14:textId="77777777" w:rsidR="00AE727E" w:rsidRDefault="00AE727E"/>
    <w:p w14:paraId="07DCE43A" w14:textId="77777777" w:rsidR="00AE727E" w:rsidRDefault="008433E0">
      <w:pPr>
        <w:spacing w:after="60"/>
      </w:pPr>
      <w:r>
        <w:rPr>
          <w:rFonts w:ascii="Times New Roman" w:eastAsia="宋体" w:hAnsi="Times New Roman"/>
          <w:color w:val="000000"/>
          <w:sz w:val="20"/>
          <w:szCs w:val="20"/>
        </w:rPr>
        <w:t>The following table presents the components of the Company’s financing 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189"/>
        <w:gridCol w:w="39"/>
        <w:gridCol w:w="121"/>
        <w:gridCol w:w="802"/>
        <w:gridCol w:w="36"/>
        <w:gridCol w:w="36"/>
        <w:gridCol w:w="36"/>
        <w:gridCol w:w="36"/>
        <w:gridCol w:w="121"/>
        <w:gridCol w:w="892"/>
        <w:gridCol w:w="36"/>
        <w:gridCol w:w="36"/>
        <w:gridCol w:w="36"/>
        <w:gridCol w:w="36"/>
        <w:gridCol w:w="120"/>
        <w:gridCol w:w="600"/>
        <w:gridCol w:w="36"/>
        <w:gridCol w:w="36"/>
        <w:gridCol w:w="36"/>
        <w:gridCol w:w="36"/>
        <w:gridCol w:w="121"/>
        <w:gridCol w:w="802"/>
        <w:gridCol w:w="36"/>
        <w:gridCol w:w="36"/>
        <w:gridCol w:w="36"/>
        <w:gridCol w:w="36"/>
        <w:gridCol w:w="121"/>
        <w:gridCol w:w="892"/>
        <w:gridCol w:w="36"/>
        <w:gridCol w:w="36"/>
        <w:gridCol w:w="36"/>
        <w:gridCol w:w="36"/>
        <w:gridCol w:w="120"/>
        <w:gridCol w:w="600"/>
        <w:gridCol w:w="36"/>
      </w:tblGrid>
      <w:tr w:rsidR="00AE727E" w14:paraId="07DCE45F" w14:textId="77777777">
        <w:tc>
          <w:tcPr>
            <w:tcW w:w="50" w:type="pct"/>
            <w:shd w:val="clear" w:color="auto" w:fill="auto"/>
            <w:vAlign w:val="bottom"/>
          </w:tcPr>
          <w:p w14:paraId="07DCE43B" w14:textId="77777777" w:rsidR="00AE727E" w:rsidRDefault="00AE727E">
            <w:pPr>
              <w:rPr>
                <w:rFonts w:ascii="宋体"/>
              </w:rPr>
            </w:pPr>
          </w:p>
        </w:tc>
        <w:tc>
          <w:tcPr>
            <w:tcW w:w="1757" w:type="pct"/>
            <w:shd w:val="clear" w:color="auto" w:fill="auto"/>
            <w:vAlign w:val="bottom"/>
          </w:tcPr>
          <w:p w14:paraId="07DCE43C" w14:textId="77777777" w:rsidR="00AE727E" w:rsidRDefault="00AE727E">
            <w:pPr>
              <w:rPr>
                <w:rFonts w:ascii="宋体"/>
              </w:rPr>
            </w:pPr>
          </w:p>
        </w:tc>
        <w:tc>
          <w:tcPr>
            <w:tcW w:w="5" w:type="pct"/>
            <w:shd w:val="clear" w:color="auto" w:fill="auto"/>
            <w:vAlign w:val="bottom"/>
          </w:tcPr>
          <w:p w14:paraId="07DCE43D" w14:textId="77777777" w:rsidR="00AE727E" w:rsidRDefault="00AE727E">
            <w:pPr>
              <w:rPr>
                <w:rFonts w:ascii="宋体"/>
              </w:rPr>
            </w:pPr>
          </w:p>
        </w:tc>
        <w:tc>
          <w:tcPr>
            <w:tcW w:w="50" w:type="pct"/>
            <w:shd w:val="clear" w:color="auto" w:fill="auto"/>
            <w:vAlign w:val="bottom"/>
          </w:tcPr>
          <w:p w14:paraId="07DCE43E" w14:textId="77777777" w:rsidR="00AE727E" w:rsidRDefault="00AE727E">
            <w:pPr>
              <w:rPr>
                <w:rFonts w:ascii="宋体"/>
              </w:rPr>
            </w:pPr>
          </w:p>
        </w:tc>
        <w:tc>
          <w:tcPr>
            <w:tcW w:w="471" w:type="pct"/>
            <w:shd w:val="clear" w:color="auto" w:fill="auto"/>
            <w:vAlign w:val="bottom"/>
          </w:tcPr>
          <w:p w14:paraId="07DCE43F" w14:textId="77777777" w:rsidR="00AE727E" w:rsidRDefault="00AE727E">
            <w:pPr>
              <w:rPr>
                <w:rFonts w:ascii="宋体"/>
              </w:rPr>
            </w:pPr>
          </w:p>
        </w:tc>
        <w:tc>
          <w:tcPr>
            <w:tcW w:w="5" w:type="pct"/>
            <w:shd w:val="clear" w:color="auto" w:fill="auto"/>
            <w:vAlign w:val="bottom"/>
          </w:tcPr>
          <w:p w14:paraId="07DCE440" w14:textId="77777777" w:rsidR="00AE727E" w:rsidRDefault="00AE727E">
            <w:pPr>
              <w:rPr>
                <w:rFonts w:ascii="宋体"/>
              </w:rPr>
            </w:pPr>
          </w:p>
        </w:tc>
        <w:tc>
          <w:tcPr>
            <w:tcW w:w="5" w:type="pct"/>
            <w:shd w:val="clear" w:color="auto" w:fill="auto"/>
            <w:vAlign w:val="bottom"/>
          </w:tcPr>
          <w:p w14:paraId="07DCE441" w14:textId="77777777" w:rsidR="00AE727E" w:rsidRDefault="00AE727E">
            <w:pPr>
              <w:rPr>
                <w:rFonts w:ascii="宋体"/>
              </w:rPr>
            </w:pPr>
          </w:p>
        </w:tc>
        <w:tc>
          <w:tcPr>
            <w:tcW w:w="19" w:type="pct"/>
            <w:shd w:val="clear" w:color="auto" w:fill="auto"/>
            <w:vAlign w:val="bottom"/>
          </w:tcPr>
          <w:p w14:paraId="07DCE442" w14:textId="77777777" w:rsidR="00AE727E" w:rsidRDefault="00AE727E">
            <w:pPr>
              <w:rPr>
                <w:rFonts w:ascii="宋体"/>
              </w:rPr>
            </w:pPr>
          </w:p>
        </w:tc>
        <w:tc>
          <w:tcPr>
            <w:tcW w:w="5" w:type="pct"/>
            <w:shd w:val="clear" w:color="auto" w:fill="auto"/>
            <w:vAlign w:val="bottom"/>
          </w:tcPr>
          <w:p w14:paraId="07DCE443" w14:textId="77777777" w:rsidR="00AE727E" w:rsidRDefault="00AE727E">
            <w:pPr>
              <w:rPr>
                <w:rFonts w:ascii="宋体"/>
              </w:rPr>
            </w:pPr>
          </w:p>
        </w:tc>
        <w:tc>
          <w:tcPr>
            <w:tcW w:w="50" w:type="pct"/>
            <w:shd w:val="clear" w:color="auto" w:fill="auto"/>
            <w:vAlign w:val="bottom"/>
          </w:tcPr>
          <w:p w14:paraId="07DCE444" w14:textId="77777777" w:rsidR="00AE727E" w:rsidRDefault="00AE727E">
            <w:pPr>
              <w:rPr>
                <w:rFonts w:ascii="宋体"/>
              </w:rPr>
            </w:pPr>
          </w:p>
        </w:tc>
        <w:tc>
          <w:tcPr>
            <w:tcW w:w="471" w:type="pct"/>
            <w:shd w:val="clear" w:color="auto" w:fill="auto"/>
            <w:vAlign w:val="bottom"/>
          </w:tcPr>
          <w:p w14:paraId="07DCE445" w14:textId="77777777" w:rsidR="00AE727E" w:rsidRDefault="00AE727E">
            <w:pPr>
              <w:rPr>
                <w:rFonts w:ascii="宋体"/>
              </w:rPr>
            </w:pPr>
          </w:p>
        </w:tc>
        <w:tc>
          <w:tcPr>
            <w:tcW w:w="5" w:type="pct"/>
            <w:shd w:val="clear" w:color="auto" w:fill="auto"/>
            <w:vAlign w:val="bottom"/>
          </w:tcPr>
          <w:p w14:paraId="07DCE446" w14:textId="77777777" w:rsidR="00AE727E" w:rsidRDefault="00AE727E">
            <w:pPr>
              <w:rPr>
                <w:rFonts w:ascii="宋体"/>
              </w:rPr>
            </w:pPr>
          </w:p>
        </w:tc>
        <w:tc>
          <w:tcPr>
            <w:tcW w:w="5" w:type="pct"/>
            <w:shd w:val="clear" w:color="auto" w:fill="auto"/>
            <w:vAlign w:val="bottom"/>
          </w:tcPr>
          <w:p w14:paraId="07DCE447" w14:textId="77777777" w:rsidR="00AE727E" w:rsidRDefault="00AE727E">
            <w:pPr>
              <w:rPr>
                <w:rFonts w:ascii="宋体"/>
              </w:rPr>
            </w:pPr>
          </w:p>
        </w:tc>
        <w:tc>
          <w:tcPr>
            <w:tcW w:w="19" w:type="pct"/>
            <w:shd w:val="clear" w:color="auto" w:fill="auto"/>
            <w:vAlign w:val="bottom"/>
          </w:tcPr>
          <w:p w14:paraId="07DCE448" w14:textId="77777777" w:rsidR="00AE727E" w:rsidRDefault="00AE727E">
            <w:pPr>
              <w:rPr>
                <w:rFonts w:ascii="宋体"/>
              </w:rPr>
            </w:pPr>
          </w:p>
        </w:tc>
        <w:tc>
          <w:tcPr>
            <w:tcW w:w="5" w:type="pct"/>
            <w:shd w:val="clear" w:color="auto" w:fill="auto"/>
            <w:vAlign w:val="bottom"/>
          </w:tcPr>
          <w:p w14:paraId="07DCE449" w14:textId="77777777" w:rsidR="00AE727E" w:rsidRDefault="00AE727E">
            <w:pPr>
              <w:rPr>
                <w:rFonts w:ascii="宋体"/>
              </w:rPr>
            </w:pPr>
          </w:p>
        </w:tc>
        <w:tc>
          <w:tcPr>
            <w:tcW w:w="50" w:type="pct"/>
            <w:shd w:val="clear" w:color="auto" w:fill="auto"/>
            <w:vAlign w:val="bottom"/>
          </w:tcPr>
          <w:p w14:paraId="07DCE44A" w14:textId="77777777" w:rsidR="00AE727E" w:rsidRDefault="00AE727E">
            <w:pPr>
              <w:rPr>
                <w:rFonts w:ascii="宋体"/>
              </w:rPr>
            </w:pPr>
          </w:p>
        </w:tc>
        <w:tc>
          <w:tcPr>
            <w:tcW w:w="412" w:type="pct"/>
            <w:shd w:val="clear" w:color="auto" w:fill="auto"/>
            <w:vAlign w:val="bottom"/>
          </w:tcPr>
          <w:p w14:paraId="07DCE44B" w14:textId="77777777" w:rsidR="00AE727E" w:rsidRDefault="00AE727E">
            <w:pPr>
              <w:rPr>
                <w:rFonts w:ascii="宋体"/>
              </w:rPr>
            </w:pPr>
          </w:p>
        </w:tc>
        <w:tc>
          <w:tcPr>
            <w:tcW w:w="5" w:type="pct"/>
            <w:shd w:val="clear" w:color="auto" w:fill="auto"/>
            <w:vAlign w:val="bottom"/>
          </w:tcPr>
          <w:p w14:paraId="07DCE44C" w14:textId="77777777" w:rsidR="00AE727E" w:rsidRDefault="00AE727E">
            <w:pPr>
              <w:rPr>
                <w:rFonts w:ascii="宋体"/>
              </w:rPr>
            </w:pPr>
          </w:p>
        </w:tc>
        <w:tc>
          <w:tcPr>
            <w:tcW w:w="5" w:type="pct"/>
            <w:shd w:val="clear" w:color="auto" w:fill="auto"/>
            <w:vAlign w:val="bottom"/>
          </w:tcPr>
          <w:p w14:paraId="07DCE44D" w14:textId="77777777" w:rsidR="00AE727E" w:rsidRDefault="00AE727E">
            <w:pPr>
              <w:rPr>
                <w:rFonts w:ascii="宋体"/>
              </w:rPr>
            </w:pPr>
          </w:p>
        </w:tc>
        <w:tc>
          <w:tcPr>
            <w:tcW w:w="19" w:type="pct"/>
            <w:shd w:val="clear" w:color="auto" w:fill="auto"/>
            <w:vAlign w:val="bottom"/>
          </w:tcPr>
          <w:p w14:paraId="07DCE44E" w14:textId="77777777" w:rsidR="00AE727E" w:rsidRDefault="00AE727E">
            <w:pPr>
              <w:rPr>
                <w:rFonts w:ascii="宋体"/>
              </w:rPr>
            </w:pPr>
          </w:p>
        </w:tc>
        <w:tc>
          <w:tcPr>
            <w:tcW w:w="5" w:type="pct"/>
            <w:shd w:val="clear" w:color="auto" w:fill="auto"/>
            <w:vAlign w:val="bottom"/>
          </w:tcPr>
          <w:p w14:paraId="07DCE44F" w14:textId="77777777" w:rsidR="00AE727E" w:rsidRDefault="00AE727E">
            <w:pPr>
              <w:rPr>
                <w:rFonts w:ascii="宋体"/>
              </w:rPr>
            </w:pPr>
          </w:p>
        </w:tc>
        <w:tc>
          <w:tcPr>
            <w:tcW w:w="50" w:type="pct"/>
            <w:shd w:val="clear" w:color="auto" w:fill="auto"/>
            <w:vAlign w:val="bottom"/>
          </w:tcPr>
          <w:p w14:paraId="07DCE450" w14:textId="77777777" w:rsidR="00AE727E" w:rsidRDefault="00AE727E">
            <w:pPr>
              <w:rPr>
                <w:rFonts w:ascii="宋体"/>
              </w:rPr>
            </w:pPr>
          </w:p>
        </w:tc>
        <w:tc>
          <w:tcPr>
            <w:tcW w:w="471" w:type="pct"/>
            <w:shd w:val="clear" w:color="auto" w:fill="auto"/>
            <w:vAlign w:val="bottom"/>
          </w:tcPr>
          <w:p w14:paraId="07DCE451" w14:textId="77777777" w:rsidR="00AE727E" w:rsidRDefault="00AE727E">
            <w:pPr>
              <w:rPr>
                <w:rFonts w:ascii="宋体"/>
              </w:rPr>
            </w:pPr>
          </w:p>
        </w:tc>
        <w:tc>
          <w:tcPr>
            <w:tcW w:w="5" w:type="pct"/>
            <w:shd w:val="clear" w:color="auto" w:fill="auto"/>
            <w:vAlign w:val="bottom"/>
          </w:tcPr>
          <w:p w14:paraId="07DCE452" w14:textId="77777777" w:rsidR="00AE727E" w:rsidRDefault="00AE727E">
            <w:pPr>
              <w:rPr>
                <w:rFonts w:ascii="宋体"/>
              </w:rPr>
            </w:pPr>
          </w:p>
        </w:tc>
        <w:tc>
          <w:tcPr>
            <w:tcW w:w="5" w:type="pct"/>
            <w:shd w:val="clear" w:color="auto" w:fill="auto"/>
            <w:vAlign w:val="bottom"/>
          </w:tcPr>
          <w:p w14:paraId="07DCE453" w14:textId="77777777" w:rsidR="00AE727E" w:rsidRDefault="00AE727E">
            <w:pPr>
              <w:rPr>
                <w:rFonts w:ascii="宋体"/>
              </w:rPr>
            </w:pPr>
          </w:p>
        </w:tc>
        <w:tc>
          <w:tcPr>
            <w:tcW w:w="19" w:type="pct"/>
            <w:shd w:val="clear" w:color="auto" w:fill="auto"/>
            <w:vAlign w:val="bottom"/>
          </w:tcPr>
          <w:p w14:paraId="07DCE454" w14:textId="77777777" w:rsidR="00AE727E" w:rsidRDefault="00AE727E">
            <w:pPr>
              <w:rPr>
                <w:rFonts w:ascii="宋体"/>
              </w:rPr>
            </w:pPr>
          </w:p>
        </w:tc>
        <w:tc>
          <w:tcPr>
            <w:tcW w:w="5" w:type="pct"/>
            <w:shd w:val="clear" w:color="auto" w:fill="auto"/>
            <w:vAlign w:val="bottom"/>
          </w:tcPr>
          <w:p w14:paraId="07DCE455" w14:textId="77777777" w:rsidR="00AE727E" w:rsidRDefault="00AE727E">
            <w:pPr>
              <w:rPr>
                <w:rFonts w:ascii="宋体"/>
              </w:rPr>
            </w:pPr>
          </w:p>
        </w:tc>
        <w:tc>
          <w:tcPr>
            <w:tcW w:w="50" w:type="pct"/>
            <w:shd w:val="clear" w:color="auto" w:fill="auto"/>
            <w:vAlign w:val="bottom"/>
          </w:tcPr>
          <w:p w14:paraId="07DCE456" w14:textId="77777777" w:rsidR="00AE727E" w:rsidRDefault="00AE727E">
            <w:pPr>
              <w:rPr>
                <w:rFonts w:ascii="宋体"/>
              </w:rPr>
            </w:pPr>
          </w:p>
        </w:tc>
        <w:tc>
          <w:tcPr>
            <w:tcW w:w="471" w:type="pct"/>
            <w:shd w:val="clear" w:color="auto" w:fill="auto"/>
            <w:vAlign w:val="bottom"/>
          </w:tcPr>
          <w:p w14:paraId="07DCE457" w14:textId="77777777" w:rsidR="00AE727E" w:rsidRDefault="00AE727E">
            <w:pPr>
              <w:rPr>
                <w:rFonts w:ascii="宋体"/>
              </w:rPr>
            </w:pPr>
          </w:p>
        </w:tc>
        <w:tc>
          <w:tcPr>
            <w:tcW w:w="5" w:type="pct"/>
            <w:shd w:val="clear" w:color="auto" w:fill="auto"/>
            <w:vAlign w:val="bottom"/>
          </w:tcPr>
          <w:p w14:paraId="07DCE458" w14:textId="77777777" w:rsidR="00AE727E" w:rsidRDefault="00AE727E">
            <w:pPr>
              <w:rPr>
                <w:rFonts w:ascii="宋体"/>
              </w:rPr>
            </w:pPr>
          </w:p>
        </w:tc>
        <w:tc>
          <w:tcPr>
            <w:tcW w:w="5" w:type="pct"/>
            <w:shd w:val="clear" w:color="auto" w:fill="auto"/>
            <w:vAlign w:val="bottom"/>
          </w:tcPr>
          <w:p w14:paraId="07DCE459" w14:textId="77777777" w:rsidR="00AE727E" w:rsidRDefault="00AE727E">
            <w:pPr>
              <w:rPr>
                <w:rFonts w:ascii="宋体"/>
              </w:rPr>
            </w:pPr>
          </w:p>
        </w:tc>
        <w:tc>
          <w:tcPr>
            <w:tcW w:w="19" w:type="pct"/>
            <w:shd w:val="clear" w:color="auto" w:fill="auto"/>
            <w:vAlign w:val="bottom"/>
          </w:tcPr>
          <w:p w14:paraId="07DCE45A" w14:textId="77777777" w:rsidR="00AE727E" w:rsidRDefault="00AE727E">
            <w:pPr>
              <w:rPr>
                <w:rFonts w:ascii="宋体"/>
              </w:rPr>
            </w:pPr>
          </w:p>
        </w:tc>
        <w:tc>
          <w:tcPr>
            <w:tcW w:w="5" w:type="pct"/>
            <w:shd w:val="clear" w:color="auto" w:fill="auto"/>
            <w:vAlign w:val="bottom"/>
          </w:tcPr>
          <w:p w14:paraId="07DCE45B" w14:textId="77777777" w:rsidR="00AE727E" w:rsidRDefault="00AE727E">
            <w:pPr>
              <w:rPr>
                <w:rFonts w:ascii="宋体"/>
              </w:rPr>
            </w:pPr>
          </w:p>
        </w:tc>
        <w:tc>
          <w:tcPr>
            <w:tcW w:w="50" w:type="pct"/>
            <w:shd w:val="clear" w:color="auto" w:fill="auto"/>
            <w:vAlign w:val="bottom"/>
          </w:tcPr>
          <w:p w14:paraId="07DCE45C" w14:textId="77777777" w:rsidR="00AE727E" w:rsidRDefault="00AE727E">
            <w:pPr>
              <w:rPr>
                <w:rFonts w:ascii="宋体"/>
              </w:rPr>
            </w:pPr>
          </w:p>
        </w:tc>
        <w:tc>
          <w:tcPr>
            <w:tcW w:w="413" w:type="pct"/>
            <w:shd w:val="clear" w:color="auto" w:fill="auto"/>
            <w:vAlign w:val="bottom"/>
          </w:tcPr>
          <w:p w14:paraId="07DCE45D" w14:textId="77777777" w:rsidR="00AE727E" w:rsidRDefault="00AE727E">
            <w:pPr>
              <w:rPr>
                <w:rFonts w:ascii="宋体"/>
              </w:rPr>
            </w:pPr>
          </w:p>
        </w:tc>
        <w:tc>
          <w:tcPr>
            <w:tcW w:w="5" w:type="pct"/>
            <w:shd w:val="clear" w:color="auto" w:fill="auto"/>
            <w:vAlign w:val="bottom"/>
          </w:tcPr>
          <w:p w14:paraId="07DCE45E" w14:textId="77777777" w:rsidR="00AE727E" w:rsidRDefault="00AE727E">
            <w:pPr>
              <w:rPr>
                <w:rFonts w:ascii="宋体"/>
              </w:rPr>
            </w:pPr>
          </w:p>
        </w:tc>
      </w:tr>
      <w:tr w:rsidR="00AE727E" w14:paraId="07DCE464" w14:textId="77777777">
        <w:tc>
          <w:tcPr>
            <w:tcW w:w="0" w:type="auto"/>
            <w:gridSpan w:val="3"/>
            <w:shd w:val="clear" w:color="auto" w:fill="auto"/>
            <w:tcMar>
              <w:top w:w="40" w:type="dxa"/>
              <w:left w:w="20" w:type="dxa"/>
              <w:bottom w:w="40" w:type="dxa"/>
              <w:right w:w="20" w:type="dxa"/>
            </w:tcMar>
            <w:vAlign w:val="bottom"/>
          </w:tcPr>
          <w:p w14:paraId="07DCE460"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7DCE46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462"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CE463"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471" w14:textId="77777777">
        <w:tc>
          <w:tcPr>
            <w:tcW w:w="0" w:type="auto"/>
            <w:gridSpan w:val="3"/>
            <w:shd w:val="clear" w:color="auto" w:fill="auto"/>
            <w:tcMar>
              <w:top w:w="0" w:type="dxa"/>
              <w:left w:w="20" w:type="dxa"/>
              <w:bottom w:w="0" w:type="dxa"/>
              <w:right w:w="20" w:type="dxa"/>
            </w:tcMar>
            <w:vAlign w:val="bottom"/>
          </w:tcPr>
          <w:p w14:paraId="07DCE465"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466" w14:textId="77777777" w:rsidR="00AE727E" w:rsidRDefault="008433E0">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46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468" w14:textId="77777777" w:rsidR="00AE727E" w:rsidRDefault="008433E0">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46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46A" w14:textId="77777777" w:rsidR="00AE727E" w:rsidRDefault="008433E0">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E46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46C" w14:textId="77777777" w:rsidR="00AE727E" w:rsidRDefault="008433E0">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46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46E" w14:textId="77777777" w:rsidR="00AE727E" w:rsidRDefault="008433E0">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46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470"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474" w14:textId="77777777">
        <w:tc>
          <w:tcPr>
            <w:tcW w:w="0" w:type="auto"/>
            <w:gridSpan w:val="3"/>
            <w:shd w:val="clear" w:color="auto" w:fill="auto"/>
            <w:tcMar>
              <w:top w:w="40" w:type="dxa"/>
              <w:left w:w="20" w:type="dxa"/>
              <w:bottom w:w="40" w:type="dxa"/>
              <w:right w:w="20" w:type="dxa"/>
            </w:tcMar>
            <w:vAlign w:val="center"/>
          </w:tcPr>
          <w:p w14:paraId="07DCE472"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CE473"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481" w14:textId="77777777">
        <w:tc>
          <w:tcPr>
            <w:tcW w:w="0" w:type="auto"/>
            <w:gridSpan w:val="3"/>
            <w:shd w:val="clear" w:color="auto" w:fill="CCEEFF"/>
            <w:tcMar>
              <w:top w:w="40" w:type="dxa"/>
              <w:left w:w="20" w:type="dxa"/>
              <w:bottom w:w="40" w:type="dxa"/>
              <w:right w:w="20" w:type="dxa"/>
            </w:tcMar>
            <w:vAlign w:val="center"/>
          </w:tcPr>
          <w:p w14:paraId="07DCE475" w14:textId="77777777" w:rsidR="00AE727E" w:rsidRDefault="008433E0">
            <w:pPr>
              <w:textAlignment w:val="center"/>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center"/>
          </w:tcPr>
          <w:p w14:paraId="07DCE476"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477"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478"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47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7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480" w14:textId="77777777" w:rsidR="00AE727E" w:rsidRDefault="00AE727E">
            <w:pPr>
              <w:rPr>
                <w:rFonts w:ascii="宋体"/>
              </w:rPr>
            </w:pPr>
          </w:p>
        </w:tc>
      </w:tr>
      <w:tr w:rsidR="00AE727E" w14:paraId="07DCE49A" w14:textId="77777777">
        <w:tc>
          <w:tcPr>
            <w:tcW w:w="0" w:type="auto"/>
            <w:gridSpan w:val="3"/>
            <w:shd w:val="clear" w:color="auto" w:fill="FFFFFF"/>
            <w:tcMar>
              <w:top w:w="40" w:type="dxa"/>
              <w:left w:w="140" w:type="dxa"/>
              <w:bottom w:w="40" w:type="dxa"/>
              <w:right w:w="20" w:type="dxa"/>
            </w:tcMar>
            <w:vAlign w:val="center"/>
          </w:tcPr>
          <w:p w14:paraId="07DCE482" w14:textId="77777777" w:rsidR="00AE727E" w:rsidRDefault="008433E0">
            <w:pPr>
              <w:textAlignment w:val="center"/>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center"/>
          </w:tcPr>
          <w:p w14:paraId="07DCE48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84" w14:textId="77777777" w:rsidR="00AE727E" w:rsidRDefault="008433E0">
            <w:pPr>
              <w:jc w:val="right"/>
              <w:textAlignment w:val="center"/>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center"/>
          </w:tcPr>
          <w:p w14:paraId="07DCE4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8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48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88" w14:textId="77777777" w:rsidR="00AE727E" w:rsidRDefault="008433E0">
            <w:pPr>
              <w:jc w:val="right"/>
              <w:textAlignment w:val="center"/>
            </w:pPr>
            <w:r>
              <w:rPr>
                <w:rFonts w:ascii="Times New Roman" w:eastAsia="宋体" w:hAnsi="Times New Roman"/>
                <w:color w:val="000000"/>
                <w:sz w:val="20"/>
                <w:szCs w:val="20"/>
              </w:rPr>
              <w:t>9,495 </w:t>
            </w:r>
          </w:p>
        </w:tc>
        <w:tc>
          <w:tcPr>
            <w:tcW w:w="0" w:type="auto"/>
            <w:shd w:val="clear" w:color="auto" w:fill="FFFFFF"/>
            <w:tcMar>
              <w:top w:w="40" w:type="dxa"/>
              <w:left w:w="0" w:type="dxa"/>
              <w:bottom w:w="40" w:type="dxa"/>
              <w:right w:w="20" w:type="dxa"/>
            </w:tcMar>
            <w:vAlign w:val="center"/>
          </w:tcPr>
          <w:p w14:paraId="07DCE48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8A"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48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8C" w14:textId="77777777" w:rsidR="00AE727E" w:rsidRDefault="008433E0">
            <w:pPr>
              <w:jc w:val="right"/>
              <w:textAlignment w:val="center"/>
            </w:pPr>
            <w:r>
              <w:rPr>
                <w:rFonts w:ascii="Times New Roman" w:eastAsia="宋体" w:hAnsi="Times New Roman"/>
                <w:color w:val="000000"/>
                <w:sz w:val="20"/>
                <w:szCs w:val="20"/>
              </w:rPr>
              <w:t>10,200 </w:t>
            </w:r>
          </w:p>
        </w:tc>
        <w:tc>
          <w:tcPr>
            <w:tcW w:w="0" w:type="auto"/>
            <w:shd w:val="clear" w:color="auto" w:fill="FFFFFF"/>
            <w:tcMar>
              <w:top w:w="40" w:type="dxa"/>
              <w:left w:w="0" w:type="dxa"/>
              <w:bottom w:w="40" w:type="dxa"/>
              <w:right w:w="20" w:type="dxa"/>
            </w:tcMar>
            <w:vAlign w:val="center"/>
          </w:tcPr>
          <w:p w14:paraId="07DCE48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8E"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48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90" w14:textId="77777777" w:rsidR="00AE727E" w:rsidRDefault="008433E0">
            <w:pPr>
              <w:jc w:val="right"/>
              <w:textAlignment w:val="center"/>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center"/>
          </w:tcPr>
          <w:p w14:paraId="07DCE49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92"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49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94" w14:textId="77777777" w:rsidR="00AE727E" w:rsidRDefault="008433E0">
            <w:pPr>
              <w:jc w:val="right"/>
              <w:textAlignment w:val="center"/>
            </w:pPr>
            <w:r>
              <w:rPr>
                <w:rFonts w:ascii="Times New Roman" w:eastAsia="宋体" w:hAnsi="Times New Roman"/>
                <w:color w:val="000000"/>
                <w:sz w:val="20"/>
                <w:szCs w:val="20"/>
              </w:rPr>
              <w:t>9,595 </w:t>
            </w:r>
          </w:p>
        </w:tc>
        <w:tc>
          <w:tcPr>
            <w:tcW w:w="0" w:type="auto"/>
            <w:shd w:val="clear" w:color="auto" w:fill="FFFFFF"/>
            <w:tcMar>
              <w:top w:w="40" w:type="dxa"/>
              <w:left w:w="0" w:type="dxa"/>
              <w:bottom w:w="40" w:type="dxa"/>
              <w:right w:w="20" w:type="dxa"/>
            </w:tcMar>
            <w:vAlign w:val="center"/>
          </w:tcPr>
          <w:p w14:paraId="07DCE49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9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49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498" w14:textId="77777777" w:rsidR="00AE727E" w:rsidRDefault="008433E0">
            <w:pPr>
              <w:jc w:val="right"/>
              <w:textAlignment w:val="center"/>
            </w:pPr>
            <w:r>
              <w:rPr>
                <w:rFonts w:ascii="Times New Roman" w:eastAsia="宋体" w:hAnsi="Times New Roman"/>
                <w:color w:val="000000"/>
                <w:sz w:val="20"/>
                <w:szCs w:val="20"/>
              </w:rPr>
              <w:t>10,391 </w:t>
            </w:r>
          </w:p>
        </w:tc>
        <w:tc>
          <w:tcPr>
            <w:tcW w:w="0" w:type="auto"/>
            <w:shd w:val="clear" w:color="auto" w:fill="FFFFFF"/>
            <w:tcMar>
              <w:top w:w="40" w:type="dxa"/>
              <w:left w:w="0" w:type="dxa"/>
              <w:bottom w:w="40" w:type="dxa"/>
              <w:right w:w="20" w:type="dxa"/>
            </w:tcMar>
            <w:vAlign w:val="center"/>
          </w:tcPr>
          <w:p w14:paraId="07DCE499" w14:textId="77777777" w:rsidR="00AE727E" w:rsidRDefault="00AE727E">
            <w:pPr>
              <w:jc w:val="right"/>
              <w:rPr>
                <w:rFonts w:ascii="宋体"/>
              </w:rPr>
            </w:pPr>
          </w:p>
        </w:tc>
      </w:tr>
      <w:tr w:rsidR="00AE727E" w14:paraId="07DCE4AD" w14:textId="77777777">
        <w:tc>
          <w:tcPr>
            <w:tcW w:w="0" w:type="auto"/>
            <w:gridSpan w:val="3"/>
            <w:shd w:val="clear" w:color="auto" w:fill="CCEEFF"/>
            <w:tcMar>
              <w:top w:w="40" w:type="dxa"/>
              <w:left w:w="260" w:type="dxa"/>
              <w:bottom w:w="40" w:type="dxa"/>
              <w:right w:w="20" w:type="dxa"/>
            </w:tcMar>
            <w:vAlign w:val="center"/>
          </w:tcPr>
          <w:p w14:paraId="07DCE49B" w14:textId="77777777" w:rsidR="00AE727E" w:rsidRDefault="008433E0">
            <w:pPr>
              <w:textAlignment w:val="center"/>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center"/>
          </w:tcPr>
          <w:p w14:paraId="07DCE49C" w14:textId="77777777" w:rsidR="00AE727E" w:rsidRDefault="008433E0">
            <w:pPr>
              <w:jc w:val="right"/>
              <w:textAlignment w:val="center"/>
            </w:pPr>
            <w:r>
              <w:rPr>
                <w:rFonts w:ascii="Times New Roman" w:eastAsia="宋体" w:hAnsi="Times New Roman"/>
                <w:color w:val="000000"/>
                <w:sz w:val="20"/>
                <w:szCs w:val="20"/>
              </w:rPr>
              <w:t>(112)</w:t>
            </w:r>
          </w:p>
        </w:tc>
        <w:tc>
          <w:tcPr>
            <w:tcW w:w="0" w:type="auto"/>
            <w:shd w:val="clear" w:color="auto" w:fill="CCEEFF"/>
            <w:tcMar>
              <w:top w:w="40" w:type="dxa"/>
              <w:left w:w="0" w:type="dxa"/>
              <w:bottom w:w="40" w:type="dxa"/>
              <w:right w:w="20" w:type="dxa"/>
            </w:tcMar>
            <w:vAlign w:val="center"/>
          </w:tcPr>
          <w:p w14:paraId="07DCE49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9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9F" w14:textId="77777777" w:rsidR="00AE727E" w:rsidRDefault="008433E0">
            <w:pPr>
              <w:jc w:val="right"/>
              <w:textAlignment w:val="center"/>
            </w:pPr>
            <w:r>
              <w:rPr>
                <w:rFonts w:ascii="Times New Roman" w:eastAsia="宋体" w:hAnsi="Times New Roman"/>
                <w:color w:val="000000"/>
                <w:sz w:val="20"/>
                <w:szCs w:val="20"/>
              </w:rPr>
              <w:t>(113)</w:t>
            </w:r>
          </w:p>
        </w:tc>
        <w:tc>
          <w:tcPr>
            <w:tcW w:w="0" w:type="auto"/>
            <w:shd w:val="clear" w:color="auto" w:fill="CCEEFF"/>
            <w:tcMar>
              <w:top w:w="40" w:type="dxa"/>
              <w:left w:w="0" w:type="dxa"/>
              <w:bottom w:w="40" w:type="dxa"/>
              <w:right w:w="20" w:type="dxa"/>
            </w:tcMar>
            <w:vAlign w:val="center"/>
          </w:tcPr>
          <w:p w14:paraId="07DCE4A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A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A2" w14:textId="77777777" w:rsidR="00AE727E" w:rsidRDefault="008433E0">
            <w:pPr>
              <w:jc w:val="right"/>
              <w:textAlignment w:val="center"/>
            </w:pPr>
            <w:r>
              <w:rPr>
                <w:rFonts w:ascii="Times New Roman" w:eastAsia="宋体" w:hAnsi="Times New Roman"/>
                <w:color w:val="000000"/>
                <w:sz w:val="20"/>
                <w:szCs w:val="20"/>
              </w:rPr>
              <w:t>(225)</w:t>
            </w:r>
          </w:p>
        </w:tc>
        <w:tc>
          <w:tcPr>
            <w:tcW w:w="0" w:type="auto"/>
            <w:shd w:val="clear" w:color="auto" w:fill="CCEEFF"/>
            <w:tcMar>
              <w:top w:w="40" w:type="dxa"/>
              <w:left w:w="0" w:type="dxa"/>
              <w:bottom w:w="40" w:type="dxa"/>
              <w:right w:w="20" w:type="dxa"/>
            </w:tcMar>
            <w:vAlign w:val="center"/>
          </w:tcPr>
          <w:p w14:paraId="07DCE4A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A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A5" w14:textId="77777777" w:rsidR="00AE727E" w:rsidRDefault="008433E0">
            <w:pPr>
              <w:jc w:val="right"/>
              <w:textAlignment w:val="center"/>
            </w:pPr>
            <w:r>
              <w:rPr>
                <w:rFonts w:ascii="Times New Roman" w:eastAsia="宋体" w:hAnsi="Times New Roman"/>
                <w:color w:val="000000"/>
                <w:sz w:val="20"/>
                <w:szCs w:val="20"/>
              </w:rPr>
              <w:t>(148)</w:t>
            </w:r>
          </w:p>
        </w:tc>
        <w:tc>
          <w:tcPr>
            <w:tcW w:w="0" w:type="auto"/>
            <w:shd w:val="clear" w:color="auto" w:fill="CCEEFF"/>
            <w:tcMar>
              <w:top w:w="40" w:type="dxa"/>
              <w:left w:w="0" w:type="dxa"/>
              <w:bottom w:w="40" w:type="dxa"/>
              <w:right w:w="20" w:type="dxa"/>
            </w:tcMar>
            <w:vAlign w:val="center"/>
          </w:tcPr>
          <w:p w14:paraId="07DCE4A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A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A8" w14:textId="77777777" w:rsidR="00AE727E" w:rsidRDefault="008433E0">
            <w:pPr>
              <w:jc w:val="right"/>
              <w:textAlignment w:val="center"/>
            </w:pPr>
            <w:r>
              <w:rPr>
                <w:rFonts w:ascii="Times New Roman" w:eastAsia="宋体" w:hAnsi="Times New Roman"/>
                <w:color w:val="000000"/>
                <w:sz w:val="20"/>
                <w:szCs w:val="20"/>
              </w:rPr>
              <w:t>(173)</w:t>
            </w:r>
          </w:p>
        </w:tc>
        <w:tc>
          <w:tcPr>
            <w:tcW w:w="0" w:type="auto"/>
            <w:shd w:val="clear" w:color="auto" w:fill="CCEEFF"/>
            <w:tcMar>
              <w:top w:w="40" w:type="dxa"/>
              <w:left w:w="0" w:type="dxa"/>
              <w:bottom w:w="40" w:type="dxa"/>
              <w:right w:w="20" w:type="dxa"/>
            </w:tcMar>
            <w:vAlign w:val="center"/>
          </w:tcPr>
          <w:p w14:paraId="07DCE4A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A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AB" w14:textId="77777777" w:rsidR="00AE727E" w:rsidRDefault="008433E0">
            <w:pPr>
              <w:jc w:val="right"/>
              <w:textAlignment w:val="center"/>
            </w:pPr>
            <w:r>
              <w:rPr>
                <w:rFonts w:ascii="Times New Roman" w:eastAsia="宋体" w:hAnsi="Times New Roman"/>
                <w:color w:val="000000"/>
                <w:sz w:val="20"/>
                <w:szCs w:val="20"/>
              </w:rPr>
              <w:t>(321)</w:t>
            </w:r>
          </w:p>
        </w:tc>
        <w:tc>
          <w:tcPr>
            <w:tcW w:w="0" w:type="auto"/>
            <w:shd w:val="clear" w:color="auto" w:fill="CCEEFF"/>
            <w:tcMar>
              <w:top w:w="40" w:type="dxa"/>
              <w:left w:w="0" w:type="dxa"/>
              <w:bottom w:w="40" w:type="dxa"/>
              <w:right w:w="20" w:type="dxa"/>
            </w:tcMar>
            <w:vAlign w:val="center"/>
          </w:tcPr>
          <w:p w14:paraId="07DCE4AC" w14:textId="77777777" w:rsidR="00AE727E" w:rsidRDefault="00AE727E">
            <w:pPr>
              <w:jc w:val="right"/>
              <w:rPr>
                <w:rFonts w:ascii="宋体"/>
              </w:rPr>
            </w:pPr>
          </w:p>
        </w:tc>
      </w:tr>
      <w:tr w:rsidR="00AE727E" w14:paraId="07DCE4C0" w14:textId="77777777">
        <w:tc>
          <w:tcPr>
            <w:tcW w:w="0" w:type="auto"/>
            <w:gridSpan w:val="3"/>
            <w:shd w:val="clear" w:color="auto" w:fill="FFFFFF"/>
            <w:tcMar>
              <w:top w:w="40" w:type="dxa"/>
              <w:left w:w="380" w:type="dxa"/>
              <w:bottom w:w="40" w:type="dxa"/>
              <w:right w:w="20" w:type="dxa"/>
            </w:tcMar>
            <w:vAlign w:val="center"/>
          </w:tcPr>
          <w:p w14:paraId="07DCE4AE" w14:textId="77777777" w:rsidR="00AE727E" w:rsidRDefault="008433E0">
            <w:pPr>
              <w:textAlignment w:val="center"/>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AF" w14:textId="77777777" w:rsidR="00AE727E" w:rsidRDefault="008433E0">
            <w:pPr>
              <w:jc w:val="right"/>
              <w:textAlignment w:val="center"/>
            </w:pPr>
            <w:r>
              <w:rPr>
                <w:rFonts w:ascii="Times New Roman" w:eastAsia="宋体" w:hAnsi="Times New Roman"/>
                <w:color w:val="000000"/>
                <w:sz w:val="20"/>
                <w:szCs w:val="20"/>
              </w:rPr>
              <w:t>593 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B1"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B2" w14:textId="77777777" w:rsidR="00AE727E" w:rsidRDefault="008433E0">
            <w:pPr>
              <w:jc w:val="right"/>
              <w:textAlignment w:val="center"/>
            </w:pPr>
            <w:r>
              <w:rPr>
                <w:rFonts w:ascii="Times New Roman" w:eastAsia="宋体" w:hAnsi="Times New Roman"/>
                <w:color w:val="000000"/>
                <w:sz w:val="20"/>
                <w:szCs w:val="20"/>
              </w:rPr>
              <w:t>9,382 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B4"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B5" w14:textId="77777777" w:rsidR="00AE727E" w:rsidRDefault="008433E0">
            <w:pPr>
              <w:jc w:val="right"/>
              <w:textAlignment w:val="center"/>
            </w:pPr>
            <w:r>
              <w:rPr>
                <w:rFonts w:ascii="Times New Roman" w:eastAsia="宋体" w:hAnsi="Times New Roman"/>
                <w:color w:val="000000"/>
                <w:sz w:val="20"/>
                <w:szCs w:val="20"/>
              </w:rPr>
              <w:t>9,975 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B7"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B8" w14:textId="77777777" w:rsidR="00AE727E" w:rsidRDefault="008433E0">
            <w:pPr>
              <w:jc w:val="right"/>
              <w:textAlignment w:val="center"/>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BA"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BB" w14:textId="77777777" w:rsidR="00AE727E" w:rsidRDefault="008433E0">
            <w:pPr>
              <w:jc w:val="right"/>
              <w:textAlignment w:val="center"/>
            </w:pPr>
            <w:r>
              <w:rPr>
                <w:rFonts w:ascii="Times New Roman" w:eastAsia="宋体" w:hAnsi="Times New Roman"/>
                <w:color w:val="000000"/>
                <w:sz w:val="20"/>
                <w:szCs w:val="20"/>
              </w:rPr>
              <w:t>9,422 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B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4BE" w14:textId="77777777" w:rsidR="00AE727E" w:rsidRDefault="008433E0">
            <w:pPr>
              <w:jc w:val="right"/>
              <w:textAlignment w:val="center"/>
            </w:pPr>
            <w:r>
              <w:rPr>
                <w:rFonts w:ascii="Times New Roman" w:eastAsia="宋体" w:hAnsi="Times New Roman"/>
                <w:color w:val="000000"/>
                <w:sz w:val="20"/>
                <w:szCs w:val="20"/>
              </w:rPr>
              <w:t>10,070 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BF" w14:textId="77777777" w:rsidR="00AE727E" w:rsidRDefault="00AE727E">
            <w:pPr>
              <w:jc w:val="right"/>
              <w:rPr>
                <w:rFonts w:ascii="宋体"/>
              </w:rPr>
            </w:pPr>
          </w:p>
        </w:tc>
      </w:tr>
      <w:tr w:rsidR="00AE727E" w14:paraId="07DCE4D3" w14:textId="77777777">
        <w:tc>
          <w:tcPr>
            <w:tcW w:w="0" w:type="auto"/>
            <w:gridSpan w:val="3"/>
            <w:shd w:val="clear" w:color="auto" w:fill="CCEEFF"/>
            <w:tcMar>
              <w:top w:w="40" w:type="dxa"/>
              <w:left w:w="260" w:type="dxa"/>
              <w:bottom w:w="40" w:type="dxa"/>
              <w:right w:w="20" w:type="dxa"/>
            </w:tcMar>
            <w:vAlign w:val="center"/>
          </w:tcPr>
          <w:p w14:paraId="07DCE4C1" w14:textId="77777777" w:rsidR="00AE727E" w:rsidRDefault="008433E0">
            <w:pPr>
              <w:textAlignment w:val="center"/>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center"/>
          </w:tcPr>
          <w:p w14:paraId="07DCE4C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4C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C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C5" w14:textId="77777777" w:rsidR="00AE727E" w:rsidRDefault="008433E0">
            <w:pPr>
              <w:jc w:val="right"/>
              <w:textAlignment w:val="center"/>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center"/>
          </w:tcPr>
          <w:p w14:paraId="07DCE4C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C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C8" w14:textId="77777777" w:rsidR="00AE727E" w:rsidRDefault="008433E0">
            <w:pPr>
              <w:jc w:val="right"/>
              <w:textAlignment w:val="center"/>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center"/>
          </w:tcPr>
          <w:p w14:paraId="07DCE4C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C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C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4C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C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CE" w14:textId="77777777" w:rsidR="00AE727E" w:rsidRDefault="008433E0">
            <w:pPr>
              <w:jc w:val="right"/>
              <w:textAlignment w:val="center"/>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center"/>
          </w:tcPr>
          <w:p w14:paraId="07DCE4C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D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4D1" w14:textId="77777777" w:rsidR="00AE727E" w:rsidRDefault="008433E0">
            <w:pPr>
              <w:jc w:val="right"/>
              <w:textAlignment w:val="center"/>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center"/>
          </w:tcPr>
          <w:p w14:paraId="07DCE4D2" w14:textId="77777777" w:rsidR="00AE727E" w:rsidRDefault="00AE727E">
            <w:pPr>
              <w:jc w:val="right"/>
              <w:rPr>
                <w:rFonts w:ascii="宋体"/>
              </w:rPr>
            </w:pPr>
          </w:p>
        </w:tc>
      </w:tr>
      <w:tr w:rsidR="00AE727E" w14:paraId="07DCE4EC" w14:textId="77777777">
        <w:tc>
          <w:tcPr>
            <w:tcW w:w="0" w:type="auto"/>
            <w:gridSpan w:val="3"/>
            <w:shd w:val="clear" w:color="auto" w:fill="FFFFFF"/>
            <w:tcMar>
              <w:top w:w="40" w:type="dxa"/>
              <w:left w:w="395" w:type="dxa"/>
              <w:bottom w:w="40" w:type="dxa"/>
              <w:right w:w="20" w:type="dxa"/>
            </w:tcMar>
            <w:vAlign w:val="center"/>
          </w:tcPr>
          <w:p w14:paraId="07DCE4D4" w14:textId="77777777" w:rsidR="00AE727E" w:rsidRDefault="008433E0">
            <w:pPr>
              <w:textAlignment w:val="center"/>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center"/>
          </w:tcPr>
          <w:p w14:paraId="07DCE4D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D6" w14:textId="77777777" w:rsidR="00AE727E" w:rsidRDefault="008433E0">
            <w:pPr>
              <w:jc w:val="right"/>
              <w:textAlignment w:val="center"/>
            </w:pPr>
            <w:r>
              <w:rPr>
                <w:rFonts w:ascii="Times New Roman" w:eastAsia="宋体" w:hAnsi="Times New Roman"/>
                <w:color w:val="000000"/>
                <w:sz w:val="20"/>
                <w:szCs w:val="20"/>
              </w:rPr>
              <w:t>593 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D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D8"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4D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DA" w14:textId="77777777" w:rsidR="00AE727E" w:rsidRDefault="008433E0">
            <w:pPr>
              <w:jc w:val="right"/>
              <w:textAlignment w:val="center"/>
            </w:pPr>
            <w:r>
              <w:rPr>
                <w:rFonts w:ascii="Times New Roman" w:eastAsia="宋体" w:hAnsi="Times New Roman"/>
                <w:color w:val="000000"/>
                <w:sz w:val="20"/>
                <w:szCs w:val="20"/>
              </w:rPr>
              <w:t>9,647 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D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D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4D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DE" w14:textId="77777777" w:rsidR="00AE727E" w:rsidRDefault="008433E0">
            <w:pPr>
              <w:jc w:val="right"/>
              <w:textAlignment w:val="center"/>
            </w:pPr>
            <w:r>
              <w:rPr>
                <w:rFonts w:ascii="Times New Roman" w:eastAsia="宋体" w:hAnsi="Times New Roman"/>
                <w:color w:val="000000"/>
                <w:sz w:val="20"/>
                <w:szCs w:val="20"/>
              </w:rPr>
              <w:t>10,240 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E0"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4E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E2" w14:textId="77777777" w:rsidR="00AE727E" w:rsidRDefault="008433E0">
            <w:pPr>
              <w:jc w:val="right"/>
              <w:textAlignment w:val="center"/>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E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E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4E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E6" w14:textId="77777777" w:rsidR="00AE727E" w:rsidRDefault="008433E0">
            <w:pPr>
              <w:jc w:val="right"/>
              <w:textAlignment w:val="center"/>
            </w:pPr>
            <w:r>
              <w:rPr>
                <w:rFonts w:ascii="Times New Roman" w:eastAsia="宋体" w:hAnsi="Times New Roman"/>
                <w:color w:val="000000"/>
                <w:sz w:val="20"/>
                <w:szCs w:val="20"/>
              </w:rPr>
              <w:t>9,846 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E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4E8"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4E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4EA" w14:textId="77777777" w:rsidR="00AE727E" w:rsidRDefault="008433E0">
            <w:pPr>
              <w:jc w:val="right"/>
              <w:textAlignment w:val="center"/>
            </w:pPr>
            <w:r>
              <w:rPr>
                <w:rFonts w:ascii="Times New Roman" w:eastAsia="宋体" w:hAnsi="Times New Roman"/>
                <w:color w:val="000000"/>
                <w:sz w:val="20"/>
                <w:szCs w:val="20"/>
              </w:rPr>
              <w:t>10,494 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4EB" w14:textId="77777777" w:rsidR="00AE727E" w:rsidRDefault="00AE727E">
            <w:pPr>
              <w:jc w:val="right"/>
              <w:rPr>
                <w:rFonts w:ascii="宋体"/>
              </w:rPr>
            </w:pPr>
          </w:p>
        </w:tc>
      </w:tr>
      <w:tr w:rsidR="00AE727E" w14:paraId="07DCE505" w14:textId="77777777">
        <w:tc>
          <w:tcPr>
            <w:tcW w:w="0" w:type="auto"/>
            <w:gridSpan w:val="3"/>
            <w:shd w:val="clear" w:color="auto" w:fill="CCEEFF"/>
            <w:tcMar>
              <w:top w:w="40" w:type="dxa"/>
              <w:left w:w="500" w:type="dxa"/>
              <w:bottom w:w="40" w:type="dxa"/>
              <w:right w:w="20" w:type="dxa"/>
            </w:tcMar>
            <w:vAlign w:val="center"/>
          </w:tcPr>
          <w:p w14:paraId="07DCE4ED" w14:textId="77777777" w:rsidR="00AE727E" w:rsidRDefault="008433E0">
            <w:pPr>
              <w:textAlignment w:val="center"/>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center"/>
          </w:tcPr>
          <w:p w14:paraId="07DCE4E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4EF" w14:textId="77777777" w:rsidR="00AE727E" w:rsidRDefault="008433E0">
            <w:pPr>
              <w:jc w:val="right"/>
              <w:textAlignment w:val="center"/>
            </w:pPr>
            <w:r>
              <w:rPr>
                <w:rFonts w:ascii="Times New Roman" w:eastAsia="宋体" w:hAnsi="Times New Roman"/>
                <w:color w:val="000000"/>
                <w:sz w:val="20"/>
                <w:szCs w:val="20"/>
              </w:rPr>
              <w:t>593 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4F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F1"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4F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4F3" w14:textId="77777777" w:rsidR="00AE727E" w:rsidRDefault="008433E0">
            <w:pPr>
              <w:jc w:val="right"/>
              <w:textAlignment w:val="center"/>
            </w:pPr>
            <w:r>
              <w:rPr>
                <w:rFonts w:ascii="Times New Roman" w:eastAsia="宋体" w:hAnsi="Times New Roman"/>
                <w:color w:val="000000"/>
                <w:sz w:val="20"/>
                <w:szCs w:val="20"/>
              </w:rPr>
              <w:t>4,377 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4F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F5"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4F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4F7" w14:textId="77777777" w:rsidR="00AE727E" w:rsidRDefault="008433E0">
            <w:pPr>
              <w:jc w:val="right"/>
              <w:textAlignment w:val="center"/>
            </w:pPr>
            <w:r>
              <w:rPr>
                <w:rFonts w:ascii="Times New Roman" w:eastAsia="宋体" w:hAnsi="Times New Roman"/>
                <w:color w:val="000000"/>
                <w:sz w:val="20"/>
                <w:szCs w:val="20"/>
              </w:rPr>
              <w:t>4,970 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4F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F9"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4F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4FB" w14:textId="77777777" w:rsidR="00AE727E" w:rsidRDefault="008433E0">
            <w:pPr>
              <w:jc w:val="right"/>
              <w:textAlignment w:val="center"/>
            </w:pPr>
            <w:r>
              <w:rPr>
                <w:rFonts w:ascii="Times New Roman" w:eastAsia="宋体" w:hAnsi="Times New Roman"/>
                <w:color w:val="000000"/>
                <w:sz w:val="20"/>
                <w:szCs w:val="20"/>
              </w:rPr>
              <w:t>648 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4F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4FD"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4F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4FF" w14:textId="77777777" w:rsidR="00AE727E" w:rsidRDefault="008433E0">
            <w:pPr>
              <w:jc w:val="right"/>
              <w:textAlignment w:val="center"/>
            </w:pPr>
            <w:r>
              <w:rPr>
                <w:rFonts w:ascii="Times New Roman" w:eastAsia="宋体" w:hAnsi="Times New Roman"/>
                <w:color w:val="000000"/>
                <w:sz w:val="20"/>
                <w:szCs w:val="20"/>
              </w:rPr>
              <w:t>4,507 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5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01"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50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503" w14:textId="77777777" w:rsidR="00AE727E" w:rsidRDefault="008433E0">
            <w:pPr>
              <w:jc w:val="right"/>
              <w:textAlignment w:val="center"/>
            </w:pPr>
            <w:r>
              <w:rPr>
                <w:rFonts w:ascii="Times New Roman" w:eastAsia="宋体" w:hAnsi="Times New Roman"/>
                <w:color w:val="000000"/>
                <w:sz w:val="20"/>
                <w:szCs w:val="20"/>
              </w:rPr>
              <w:t>5,155 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504" w14:textId="77777777" w:rsidR="00AE727E" w:rsidRDefault="00AE727E">
            <w:pPr>
              <w:jc w:val="right"/>
              <w:rPr>
                <w:rFonts w:ascii="宋体"/>
              </w:rPr>
            </w:pPr>
          </w:p>
        </w:tc>
      </w:tr>
      <w:tr w:rsidR="00AE727E" w14:paraId="07DCE51E" w14:textId="77777777">
        <w:tc>
          <w:tcPr>
            <w:tcW w:w="0" w:type="auto"/>
            <w:gridSpan w:val="3"/>
            <w:shd w:val="clear" w:color="auto" w:fill="FFFFFF"/>
            <w:tcMar>
              <w:top w:w="40" w:type="dxa"/>
              <w:left w:w="500" w:type="dxa"/>
              <w:bottom w:w="40" w:type="dxa"/>
              <w:right w:w="20" w:type="dxa"/>
            </w:tcMar>
            <w:vAlign w:val="center"/>
          </w:tcPr>
          <w:p w14:paraId="07DCE506" w14:textId="77777777" w:rsidR="00AE727E" w:rsidRDefault="008433E0">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center"/>
          </w:tcPr>
          <w:p w14:paraId="07DCE50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08"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50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0A"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50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0C" w14:textId="77777777" w:rsidR="00AE727E" w:rsidRDefault="008433E0">
            <w:pPr>
              <w:jc w:val="right"/>
              <w:textAlignment w:val="center"/>
            </w:pPr>
            <w:r>
              <w:rPr>
                <w:rFonts w:ascii="Times New Roman" w:eastAsia="宋体" w:hAnsi="Times New Roman"/>
                <w:color w:val="000000"/>
                <w:sz w:val="20"/>
                <w:szCs w:val="20"/>
              </w:rPr>
              <w:t>5,270 </w:t>
            </w:r>
          </w:p>
        </w:tc>
        <w:tc>
          <w:tcPr>
            <w:tcW w:w="0" w:type="auto"/>
            <w:shd w:val="clear" w:color="auto" w:fill="FFFFFF"/>
            <w:tcMar>
              <w:top w:w="40" w:type="dxa"/>
              <w:left w:w="0" w:type="dxa"/>
              <w:bottom w:w="40" w:type="dxa"/>
              <w:right w:w="20" w:type="dxa"/>
            </w:tcMar>
            <w:vAlign w:val="center"/>
          </w:tcPr>
          <w:p w14:paraId="07DCE5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0E"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50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10" w14:textId="77777777" w:rsidR="00AE727E" w:rsidRDefault="008433E0">
            <w:pPr>
              <w:jc w:val="right"/>
              <w:textAlignment w:val="center"/>
            </w:pPr>
            <w:r>
              <w:rPr>
                <w:rFonts w:ascii="Times New Roman" w:eastAsia="宋体" w:hAnsi="Times New Roman"/>
                <w:color w:val="000000"/>
                <w:sz w:val="20"/>
                <w:szCs w:val="20"/>
              </w:rPr>
              <w:t>5,270 </w:t>
            </w:r>
          </w:p>
        </w:tc>
        <w:tc>
          <w:tcPr>
            <w:tcW w:w="0" w:type="auto"/>
            <w:shd w:val="clear" w:color="auto" w:fill="FFFFFF"/>
            <w:tcMar>
              <w:top w:w="40" w:type="dxa"/>
              <w:left w:w="0" w:type="dxa"/>
              <w:bottom w:w="40" w:type="dxa"/>
              <w:right w:w="20" w:type="dxa"/>
            </w:tcMar>
            <w:vAlign w:val="center"/>
          </w:tcPr>
          <w:p w14:paraId="07DCE51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12"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51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14"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51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1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51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18" w14:textId="77777777" w:rsidR="00AE727E" w:rsidRDefault="008433E0">
            <w:pPr>
              <w:jc w:val="right"/>
              <w:textAlignment w:val="center"/>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center"/>
          </w:tcPr>
          <w:p w14:paraId="07DCE51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1A"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51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51C" w14:textId="77777777" w:rsidR="00AE727E" w:rsidRDefault="008433E0">
            <w:pPr>
              <w:jc w:val="right"/>
              <w:textAlignment w:val="center"/>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center"/>
          </w:tcPr>
          <w:p w14:paraId="07DCE51D" w14:textId="77777777" w:rsidR="00AE727E" w:rsidRDefault="00AE727E">
            <w:pPr>
              <w:jc w:val="right"/>
              <w:rPr>
                <w:rFonts w:ascii="宋体"/>
              </w:rPr>
            </w:pPr>
          </w:p>
        </w:tc>
      </w:tr>
    </w:tbl>
    <w:p w14:paraId="07DCE51F" w14:textId="77777777" w:rsidR="00AE727E" w:rsidRDefault="008433E0">
      <w:r>
        <w:rPr>
          <w:rFonts w:ascii="Times New Roman" w:eastAsia="宋体" w:hAnsi="Times New Roman"/>
          <w:color w:val="000000"/>
          <w:sz w:val="20"/>
          <w:szCs w:val="20"/>
        </w:rPr>
        <w:t>____________________</w:t>
      </w:r>
    </w:p>
    <w:p w14:paraId="07DCE520" w14:textId="77777777" w:rsidR="00AE727E" w:rsidRDefault="008433E0">
      <w:pPr>
        <w:ind w:hanging="360"/>
      </w:pPr>
      <w:r>
        <w:rPr>
          <w:rFonts w:ascii="Times New Roman" w:eastAsia="宋体" w:hAnsi="Times New Roman"/>
          <w:color w:val="000000"/>
          <w:sz w:val="20"/>
          <w:szCs w:val="20"/>
        </w:rPr>
        <w:t xml:space="preserve">(a)    Customer receivables, gross includes amounts due from customers under revolving loans, fixed-term loans, fixed-term sales-type or direct financing leases, and accrued interest. </w:t>
      </w:r>
    </w:p>
    <w:p w14:paraId="07DCE521" w14:textId="77777777" w:rsidR="00AE727E" w:rsidRDefault="00AE727E"/>
    <w:p w14:paraId="07DCE522" w14:textId="77777777" w:rsidR="00AE727E" w:rsidRDefault="008433E0">
      <w:pPr>
        <w:spacing w:after="60"/>
      </w:pPr>
      <w:r>
        <w:rPr>
          <w:rFonts w:ascii="Times New Roman" w:eastAsia="宋体" w:hAnsi="Times New Roman"/>
          <w:color w:val="000000"/>
          <w:sz w:val="20"/>
          <w:szCs w:val="20"/>
        </w:rPr>
        <w:t>The following tables present the changes in allowance for financing re</w:t>
      </w:r>
      <w:r>
        <w:rPr>
          <w:rFonts w:ascii="Times New Roman" w:eastAsia="宋体" w:hAnsi="Times New Roman"/>
          <w:color w:val="000000"/>
          <w:sz w:val="20"/>
          <w:szCs w:val="20"/>
        </w:rPr>
        <w:t>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496"/>
        <w:gridCol w:w="37"/>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50"/>
        <w:gridCol w:w="36"/>
      </w:tblGrid>
      <w:tr w:rsidR="00AE727E" w14:paraId="07DCE547" w14:textId="77777777">
        <w:tc>
          <w:tcPr>
            <w:tcW w:w="50" w:type="pct"/>
            <w:shd w:val="clear" w:color="auto" w:fill="auto"/>
            <w:vAlign w:val="bottom"/>
          </w:tcPr>
          <w:p w14:paraId="07DCE523" w14:textId="77777777" w:rsidR="00AE727E" w:rsidRDefault="00AE727E">
            <w:pPr>
              <w:rPr>
                <w:rFonts w:ascii="宋体"/>
              </w:rPr>
            </w:pPr>
          </w:p>
        </w:tc>
        <w:tc>
          <w:tcPr>
            <w:tcW w:w="1757" w:type="pct"/>
            <w:shd w:val="clear" w:color="auto" w:fill="auto"/>
            <w:vAlign w:val="bottom"/>
          </w:tcPr>
          <w:p w14:paraId="07DCE524" w14:textId="77777777" w:rsidR="00AE727E" w:rsidRDefault="00AE727E">
            <w:pPr>
              <w:rPr>
                <w:rFonts w:ascii="宋体"/>
              </w:rPr>
            </w:pPr>
          </w:p>
        </w:tc>
        <w:tc>
          <w:tcPr>
            <w:tcW w:w="5" w:type="pct"/>
            <w:shd w:val="clear" w:color="auto" w:fill="auto"/>
            <w:vAlign w:val="bottom"/>
          </w:tcPr>
          <w:p w14:paraId="07DCE525" w14:textId="77777777" w:rsidR="00AE727E" w:rsidRDefault="00AE727E">
            <w:pPr>
              <w:rPr>
                <w:rFonts w:ascii="宋体"/>
              </w:rPr>
            </w:pPr>
          </w:p>
        </w:tc>
        <w:tc>
          <w:tcPr>
            <w:tcW w:w="50" w:type="pct"/>
            <w:shd w:val="clear" w:color="auto" w:fill="auto"/>
            <w:vAlign w:val="bottom"/>
          </w:tcPr>
          <w:p w14:paraId="07DCE526" w14:textId="77777777" w:rsidR="00AE727E" w:rsidRDefault="00AE727E">
            <w:pPr>
              <w:rPr>
                <w:rFonts w:ascii="宋体"/>
              </w:rPr>
            </w:pPr>
          </w:p>
        </w:tc>
        <w:tc>
          <w:tcPr>
            <w:tcW w:w="471" w:type="pct"/>
            <w:shd w:val="clear" w:color="auto" w:fill="auto"/>
            <w:vAlign w:val="bottom"/>
          </w:tcPr>
          <w:p w14:paraId="07DCE527" w14:textId="77777777" w:rsidR="00AE727E" w:rsidRDefault="00AE727E">
            <w:pPr>
              <w:rPr>
                <w:rFonts w:ascii="宋体"/>
              </w:rPr>
            </w:pPr>
          </w:p>
        </w:tc>
        <w:tc>
          <w:tcPr>
            <w:tcW w:w="5" w:type="pct"/>
            <w:shd w:val="clear" w:color="auto" w:fill="auto"/>
            <w:vAlign w:val="bottom"/>
          </w:tcPr>
          <w:p w14:paraId="07DCE528" w14:textId="77777777" w:rsidR="00AE727E" w:rsidRDefault="00AE727E">
            <w:pPr>
              <w:rPr>
                <w:rFonts w:ascii="宋体"/>
              </w:rPr>
            </w:pPr>
          </w:p>
        </w:tc>
        <w:tc>
          <w:tcPr>
            <w:tcW w:w="5" w:type="pct"/>
            <w:shd w:val="clear" w:color="auto" w:fill="auto"/>
            <w:vAlign w:val="bottom"/>
          </w:tcPr>
          <w:p w14:paraId="07DCE529" w14:textId="77777777" w:rsidR="00AE727E" w:rsidRDefault="00AE727E">
            <w:pPr>
              <w:rPr>
                <w:rFonts w:ascii="宋体"/>
              </w:rPr>
            </w:pPr>
          </w:p>
        </w:tc>
        <w:tc>
          <w:tcPr>
            <w:tcW w:w="19" w:type="pct"/>
            <w:shd w:val="clear" w:color="auto" w:fill="auto"/>
            <w:vAlign w:val="bottom"/>
          </w:tcPr>
          <w:p w14:paraId="07DCE52A" w14:textId="77777777" w:rsidR="00AE727E" w:rsidRDefault="00AE727E">
            <w:pPr>
              <w:rPr>
                <w:rFonts w:ascii="宋体"/>
              </w:rPr>
            </w:pPr>
          </w:p>
        </w:tc>
        <w:tc>
          <w:tcPr>
            <w:tcW w:w="5" w:type="pct"/>
            <w:shd w:val="clear" w:color="auto" w:fill="auto"/>
            <w:vAlign w:val="bottom"/>
          </w:tcPr>
          <w:p w14:paraId="07DCE52B" w14:textId="77777777" w:rsidR="00AE727E" w:rsidRDefault="00AE727E">
            <w:pPr>
              <w:rPr>
                <w:rFonts w:ascii="宋体"/>
              </w:rPr>
            </w:pPr>
          </w:p>
        </w:tc>
        <w:tc>
          <w:tcPr>
            <w:tcW w:w="50" w:type="pct"/>
            <w:shd w:val="clear" w:color="auto" w:fill="auto"/>
            <w:vAlign w:val="bottom"/>
          </w:tcPr>
          <w:p w14:paraId="07DCE52C" w14:textId="77777777" w:rsidR="00AE727E" w:rsidRDefault="00AE727E">
            <w:pPr>
              <w:rPr>
                <w:rFonts w:ascii="宋体"/>
              </w:rPr>
            </w:pPr>
          </w:p>
        </w:tc>
        <w:tc>
          <w:tcPr>
            <w:tcW w:w="471" w:type="pct"/>
            <w:shd w:val="clear" w:color="auto" w:fill="auto"/>
            <w:vAlign w:val="bottom"/>
          </w:tcPr>
          <w:p w14:paraId="07DCE52D" w14:textId="77777777" w:rsidR="00AE727E" w:rsidRDefault="00AE727E">
            <w:pPr>
              <w:rPr>
                <w:rFonts w:ascii="宋体"/>
              </w:rPr>
            </w:pPr>
          </w:p>
        </w:tc>
        <w:tc>
          <w:tcPr>
            <w:tcW w:w="5" w:type="pct"/>
            <w:shd w:val="clear" w:color="auto" w:fill="auto"/>
            <w:vAlign w:val="bottom"/>
          </w:tcPr>
          <w:p w14:paraId="07DCE52E" w14:textId="77777777" w:rsidR="00AE727E" w:rsidRDefault="00AE727E">
            <w:pPr>
              <w:rPr>
                <w:rFonts w:ascii="宋体"/>
              </w:rPr>
            </w:pPr>
          </w:p>
        </w:tc>
        <w:tc>
          <w:tcPr>
            <w:tcW w:w="5" w:type="pct"/>
            <w:shd w:val="clear" w:color="auto" w:fill="auto"/>
            <w:vAlign w:val="bottom"/>
          </w:tcPr>
          <w:p w14:paraId="07DCE52F" w14:textId="77777777" w:rsidR="00AE727E" w:rsidRDefault="00AE727E">
            <w:pPr>
              <w:rPr>
                <w:rFonts w:ascii="宋体"/>
              </w:rPr>
            </w:pPr>
          </w:p>
        </w:tc>
        <w:tc>
          <w:tcPr>
            <w:tcW w:w="19" w:type="pct"/>
            <w:shd w:val="clear" w:color="auto" w:fill="auto"/>
            <w:vAlign w:val="bottom"/>
          </w:tcPr>
          <w:p w14:paraId="07DCE530" w14:textId="77777777" w:rsidR="00AE727E" w:rsidRDefault="00AE727E">
            <w:pPr>
              <w:rPr>
                <w:rFonts w:ascii="宋体"/>
              </w:rPr>
            </w:pPr>
          </w:p>
        </w:tc>
        <w:tc>
          <w:tcPr>
            <w:tcW w:w="5" w:type="pct"/>
            <w:shd w:val="clear" w:color="auto" w:fill="auto"/>
            <w:vAlign w:val="bottom"/>
          </w:tcPr>
          <w:p w14:paraId="07DCE531" w14:textId="77777777" w:rsidR="00AE727E" w:rsidRDefault="00AE727E">
            <w:pPr>
              <w:rPr>
                <w:rFonts w:ascii="宋体"/>
              </w:rPr>
            </w:pPr>
          </w:p>
        </w:tc>
        <w:tc>
          <w:tcPr>
            <w:tcW w:w="50" w:type="pct"/>
            <w:shd w:val="clear" w:color="auto" w:fill="auto"/>
            <w:vAlign w:val="bottom"/>
          </w:tcPr>
          <w:p w14:paraId="07DCE532" w14:textId="77777777" w:rsidR="00AE727E" w:rsidRDefault="00AE727E">
            <w:pPr>
              <w:rPr>
                <w:rFonts w:ascii="宋体"/>
              </w:rPr>
            </w:pPr>
          </w:p>
        </w:tc>
        <w:tc>
          <w:tcPr>
            <w:tcW w:w="412" w:type="pct"/>
            <w:shd w:val="clear" w:color="auto" w:fill="auto"/>
            <w:vAlign w:val="bottom"/>
          </w:tcPr>
          <w:p w14:paraId="07DCE533" w14:textId="77777777" w:rsidR="00AE727E" w:rsidRDefault="00AE727E">
            <w:pPr>
              <w:rPr>
                <w:rFonts w:ascii="宋体"/>
              </w:rPr>
            </w:pPr>
          </w:p>
        </w:tc>
        <w:tc>
          <w:tcPr>
            <w:tcW w:w="5" w:type="pct"/>
            <w:shd w:val="clear" w:color="auto" w:fill="auto"/>
            <w:vAlign w:val="bottom"/>
          </w:tcPr>
          <w:p w14:paraId="07DCE534" w14:textId="77777777" w:rsidR="00AE727E" w:rsidRDefault="00AE727E">
            <w:pPr>
              <w:rPr>
                <w:rFonts w:ascii="宋体"/>
              </w:rPr>
            </w:pPr>
          </w:p>
        </w:tc>
        <w:tc>
          <w:tcPr>
            <w:tcW w:w="5" w:type="pct"/>
            <w:shd w:val="clear" w:color="auto" w:fill="auto"/>
            <w:vAlign w:val="bottom"/>
          </w:tcPr>
          <w:p w14:paraId="07DCE535" w14:textId="77777777" w:rsidR="00AE727E" w:rsidRDefault="00AE727E">
            <w:pPr>
              <w:rPr>
                <w:rFonts w:ascii="宋体"/>
              </w:rPr>
            </w:pPr>
          </w:p>
        </w:tc>
        <w:tc>
          <w:tcPr>
            <w:tcW w:w="19" w:type="pct"/>
            <w:shd w:val="clear" w:color="auto" w:fill="auto"/>
            <w:vAlign w:val="bottom"/>
          </w:tcPr>
          <w:p w14:paraId="07DCE536" w14:textId="77777777" w:rsidR="00AE727E" w:rsidRDefault="00AE727E">
            <w:pPr>
              <w:rPr>
                <w:rFonts w:ascii="宋体"/>
              </w:rPr>
            </w:pPr>
          </w:p>
        </w:tc>
        <w:tc>
          <w:tcPr>
            <w:tcW w:w="5" w:type="pct"/>
            <w:shd w:val="clear" w:color="auto" w:fill="auto"/>
            <w:vAlign w:val="bottom"/>
          </w:tcPr>
          <w:p w14:paraId="07DCE537" w14:textId="77777777" w:rsidR="00AE727E" w:rsidRDefault="00AE727E">
            <w:pPr>
              <w:rPr>
                <w:rFonts w:ascii="宋体"/>
              </w:rPr>
            </w:pPr>
          </w:p>
        </w:tc>
        <w:tc>
          <w:tcPr>
            <w:tcW w:w="50" w:type="pct"/>
            <w:shd w:val="clear" w:color="auto" w:fill="auto"/>
            <w:vAlign w:val="bottom"/>
          </w:tcPr>
          <w:p w14:paraId="07DCE538" w14:textId="77777777" w:rsidR="00AE727E" w:rsidRDefault="00AE727E">
            <w:pPr>
              <w:rPr>
                <w:rFonts w:ascii="宋体"/>
              </w:rPr>
            </w:pPr>
          </w:p>
        </w:tc>
        <w:tc>
          <w:tcPr>
            <w:tcW w:w="471" w:type="pct"/>
            <w:shd w:val="clear" w:color="auto" w:fill="auto"/>
            <w:vAlign w:val="bottom"/>
          </w:tcPr>
          <w:p w14:paraId="07DCE539" w14:textId="77777777" w:rsidR="00AE727E" w:rsidRDefault="00AE727E">
            <w:pPr>
              <w:rPr>
                <w:rFonts w:ascii="宋体"/>
              </w:rPr>
            </w:pPr>
          </w:p>
        </w:tc>
        <w:tc>
          <w:tcPr>
            <w:tcW w:w="5" w:type="pct"/>
            <w:shd w:val="clear" w:color="auto" w:fill="auto"/>
            <w:vAlign w:val="bottom"/>
          </w:tcPr>
          <w:p w14:paraId="07DCE53A" w14:textId="77777777" w:rsidR="00AE727E" w:rsidRDefault="00AE727E">
            <w:pPr>
              <w:rPr>
                <w:rFonts w:ascii="宋体"/>
              </w:rPr>
            </w:pPr>
          </w:p>
        </w:tc>
        <w:tc>
          <w:tcPr>
            <w:tcW w:w="5" w:type="pct"/>
            <w:shd w:val="clear" w:color="auto" w:fill="auto"/>
            <w:vAlign w:val="bottom"/>
          </w:tcPr>
          <w:p w14:paraId="07DCE53B" w14:textId="77777777" w:rsidR="00AE727E" w:rsidRDefault="00AE727E">
            <w:pPr>
              <w:rPr>
                <w:rFonts w:ascii="宋体"/>
              </w:rPr>
            </w:pPr>
          </w:p>
        </w:tc>
        <w:tc>
          <w:tcPr>
            <w:tcW w:w="19" w:type="pct"/>
            <w:shd w:val="clear" w:color="auto" w:fill="auto"/>
            <w:vAlign w:val="bottom"/>
          </w:tcPr>
          <w:p w14:paraId="07DCE53C" w14:textId="77777777" w:rsidR="00AE727E" w:rsidRDefault="00AE727E">
            <w:pPr>
              <w:rPr>
                <w:rFonts w:ascii="宋体"/>
              </w:rPr>
            </w:pPr>
          </w:p>
        </w:tc>
        <w:tc>
          <w:tcPr>
            <w:tcW w:w="5" w:type="pct"/>
            <w:shd w:val="clear" w:color="auto" w:fill="auto"/>
            <w:vAlign w:val="bottom"/>
          </w:tcPr>
          <w:p w14:paraId="07DCE53D" w14:textId="77777777" w:rsidR="00AE727E" w:rsidRDefault="00AE727E">
            <w:pPr>
              <w:rPr>
                <w:rFonts w:ascii="宋体"/>
              </w:rPr>
            </w:pPr>
          </w:p>
        </w:tc>
        <w:tc>
          <w:tcPr>
            <w:tcW w:w="50" w:type="pct"/>
            <w:shd w:val="clear" w:color="auto" w:fill="auto"/>
            <w:vAlign w:val="bottom"/>
          </w:tcPr>
          <w:p w14:paraId="07DCE53E" w14:textId="77777777" w:rsidR="00AE727E" w:rsidRDefault="00AE727E">
            <w:pPr>
              <w:rPr>
                <w:rFonts w:ascii="宋体"/>
              </w:rPr>
            </w:pPr>
          </w:p>
        </w:tc>
        <w:tc>
          <w:tcPr>
            <w:tcW w:w="471" w:type="pct"/>
            <w:shd w:val="clear" w:color="auto" w:fill="auto"/>
            <w:vAlign w:val="bottom"/>
          </w:tcPr>
          <w:p w14:paraId="07DCE53F" w14:textId="77777777" w:rsidR="00AE727E" w:rsidRDefault="00AE727E">
            <w:pPr>
              <w:rPr>
                <w:rFonts w:ascii="宋体"/>
              </w:rPr>
            </w:pPr>
          </w:p>
        </w:tc>
        <w:tc>
          <w:tcPr>
            <w:tcW w:w="5" w:type="pct"/>
            <w:shd w:val="clear" w:color="auto" w:fill="auto"/>
            <w:vAlign w:val="bottom"/>
          </w:tcPr>
          <w:p w14:paraId="07DCE540" w14:textId="77777777" w:rsidR="00AE727E" w:rsidRDefault="00AE727E">
            <w:pPr>
              <w:rPr>
                <w:rFonts w:ascii="宋体"/>
              </w:rPr>
            </w:pPr>
          </w:p>
        </w:tc>
        <w:tc>
          <w:tcPr>
            <w:tcW w:w="5" w:type="pct"/>
            <w:shd w:val="clear" w:color="auto" w:fill="auto"/>
            <w:vAlign w:val="bottom"/>
          </w:tcPr>
          <w:p w14:paraId="07DCE541" w14:textId="77777777" w:rsidR="00AE727E" w:rsidRDefault="00AE727E">
            <w:pPr>
              <w:rPr>
                <w:rFonts w:ascii="宋体"/>
              </w:rPr>
            </w:pPr>
          </w:p>
        </w:tc>
        <w:tc>
          <w:tcPr>
            <w:tcW w:w="19" w:type="pct"/>
            <w:shd w:val="clear" w:color="auto" w:fill="auto"/>
            <w:vAlign w:val="bottom"/>
          </w:tcPr>
          <w:p w14:paraId="07DCE542" w14:textId="77777777" w:rsidR="00AE727E" w:rsidRDefault="00AE727E">
            <w:pPr>
              <w:rPr>
                <w:rFonts w:ascii="宋体"/>
              </w:rPr>
            </w:pPr>
          </w:p>
        </w:tc>
        <w:tc>
          <w:tcPr>
            <w:tcW w:w="5" w:type="pct"/>
            <w:shd w:val="clear" w:color="auto" w:fill="auto"/>
            <w:vAlign w:val="bottom"/>
          </w:tcPr>
          <w:p w14:paraId="07DCE543" w14:textId="77777777" w:rsidR="00AE727E" w:rsidRDefault="00AE727E">
            <w:pPr>
              <w:rPr>
                <w:rFonts w:ascii="宋体"/>
              </w:rPr>
            </w:pPr>
          </w:p>
        </w:tc>
        <w:tc>
          <w:tcPr>
            <w:tcW w:w="50" w:type="pct"/>
            <w:shd w:val="clear" w:color="auto" w:fill="auto"/>
            <w:vAlign w:val="bottom"/>
          </w:tcPr>
          <w:p w14:paraId="07DCE544" w14:textId="77777777" w:rsidR="00AE727E" w:rsidRDefault="00AE727E">
            <w:pPr>
              <w:rPr>
                <w:rFonts w:ascii="宋体"/>
              </w:rPr>
            </w:pPr>
          </w:p>
        </w:tc>
        <w:tc>
          <w:tcPr>
            <w:tcW w:w="413" w:type="pct"/>
            <w:shd w:val="clear" w:color="auto" w:fill="auto"/>
            <w:vAlign w:val="bottom"/>
          </w:tcPr>
          <w:p w14:paraId="07DCE545" w14:textId="77777777" w:rsidR="00AE727E" w:rsidRDefault="00AE727E">
            <w:pPr>
              <w:rPr>
                <w:rFonts w:ascii="宋体"/>
              </w:rPr>
            </w:pPr>
          </w:p>
        </w:tc>
        <w:tc>
          <w:tcPr>
            <w:tcW w:w="5" w:type="pct"/>
            <w:shd w:val="clear" w:color="auto" w:fill="auto"/>
            <w:vAlign w:val="bottom"/>
          </w:tcPr>
          <w:p w14:paraId="07DCE546" w14:textId="77777777" w:rsidR="00AE727E" w:rsidRDefault="00AE727E">
            <w:pPr>
              <w:rPr>
                <w:rFonts w:ascii="宋体"/>
              </w:rPr>
            </w:pPr>
          </w:p>
        </w:tc>
      </w:tr>
      <w:tr w:rsidR="00AE727E" w14:paraId="07DCE54A" w14:textId="77777777">
        <w:tc>
          <w:tcPr>
            <w:tcW w:w="0" w:type="auto"/>
            <w:gridSpan w:val="3"/>
            <w:shd w:val="clear" w:color="auto" w:fill="auto"/>
            <w:tcMar>
              <w:top w:w="0" w:type="dxa"/>
              <w:left w:w="20" w:type="dxa"/>
              <w:bottom w:w="0" w:type="dxa"/>
              <w:right w:w="20" w:type="dxa"/>
            </w:tcMar>
            <w:vAlign w:val="bottom"/>
          </w:tcPr>
          <w:p w14:paraId="07DCE548" w14:textId="77777777" w:rsidR="00AE727E" w:rsidRDefault="00AE727E">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07DCE549" w14:textId="77777777" w:rsidR="00AE727E" w:rsidRDefault="008433E0">
            <w:pPr>
              <w:jc w:val="center"/>
              <w:textAlignment w:val="center"/>
            </w:pPr>
            <w:r>
              <w:rPr>
                <w:rFonts w:ascii="Times New Roman" w:eastAsia="宋体" w:hAnsi="Times New Roman"/>
                <w:b/>
                <w:bCs/>
                <w:color w:val="000000"/>
                <w:sz w:val="20"/>
                <w:szCs w:val="20"/>
              </w:rPr>
              <w:t>Three Months Ended</w:t>
            </w:r>
          </w:p>
        </w:tc>
      </w:tr>
      <w:tr w:rsidR="00AE727E" w14:paraId="07DCE54F" w14:textId="77777777">
        <w:tc>
          <w:tcPr>
            <w:tcW w:w="0" w:type="auto"/>
            <w:gridSpan w:val="3"/>
            <w:shd w:val="clear" w:color="auto" w:fill="auto"/>
            <w:tcMar>
              <w:top w:w="0" w:type="dxa"/>
              <w:left w:w="20" w:type="dxa"/>
              <w:bottom w:w="0" w:type="dxa"/>
              <w:right w:w="20" w:type="dxa"/>
            </w:tcMar>
            <w:vAlign w:val="bottom"/>
          </w:tcPr>
          <w:p w14:paraId="07DCE54B"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CE54C" w14:textId="77777777" w:rsidR="00AE727E" w:rsidRDefault="008433E0">
            <w:pPr>
              <w:jc w:val="center"/>
              <w:textAlignment w:val="center"/>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4D"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CE54E" w14:textId="77777777" w:rsidR="00AE727E" w:rsidRDefault="008433E0">
            <w:pPr>
              <w:jc w:val="center"/>
              <w:textAlignment w:val="center"/>
            </w:pPr>
            <w:r>
              <w:rPr>
                <w:rFonts w:ascii="Times New Roman" w:eastAsia="宋体" w:hAnsi="Times New Roman"/>
                <w:b/>
                <w:bCs/>
                <w:color w:val="000000"/>
                <w:sz w:val="20"/>
                <w:szCs w:val="20"/>
              </w:rPr>
              <w:t>October 30, 2020</w:t>
            </w:r>
          </w:p>
        </w:tc>
      </w:tr>
      <w:tr w:rsidR="00AE727E" w14:paraId="07DCE55C" w14:textId="77777777">
        <w:tc>
          <w:tcPr>
            <w:tcW w:w="0" w:type="auto"/>
            <w:gridSpan w:val="3"/>
            <w:shd w:val="clear" w:color="auto" w:fill="auto"/>
            <w:tcMar>
              <w:top w:w="0" w:type="dxa"/>
              <w:left w:w="20" w:type="dxa"/>
              <w:bottom w:w="0" w:type="dxa"/>
              <w:right w:w="20" w:type="dxa"/>
            </w:tcMar>
            <w:vAlign w:val="bottom"/>
          </w:tcPr>
          <w:p w14:paraId="07DCE55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DCE551" w14:textId="77777777" w:rsidR="00AE727E" w:rsidRDefault="008433E0">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5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53" w14:textId="77777777" w:rsidR="00AE727E" w:rsidRDefault="008433E0">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5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55" w14:textId="77777777" w:rsidR="00AE727E" w:rsidRDefault="008433E0">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E55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57" w14:textId="77777777" w:rsidR="00AE727E" w:rsidRDefault="008433E0">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5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59" w14:textId="77777777" w:rsidR="00AE727E" w:rsidRDefault="008433E0">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5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5B" w14:textId="77777777" w:rsidR="00AE727E" w:rsidRDefault="008433E0">
            <w:pPr>
              <w:jc w:val="center"/>
              <w:textAlignment w:val="center"/>
            </w:pPr>
            <w:r>
              <w:rPr>
                <w:rFonts w:ascii="Times New Roman" w:eastAsia="宋体" w:hAnsi="Times New Roman"/>
                <w:b/>
                <w:bCs/>
                <w:color w:val="000000"/>
                <w:sz w:val="20"/>
                <w:szCs w:val="20"/>
              </w:rPr>
              <w:t>Total</w:t>
            </w:r>
          </w:p>
        </w:tc>
      </w:tr>
      <w:tr w:rsidR="00AE727E" w14:paraId="07DCE55F" w14:textId="77777777">
        <w:tc>
          <w:tcPr>
            <w:tcW w:w="0" w:type="auto"/>
            <w:gridSpan w:val="3"/>
            <w:shd w:val="clear" w:color="auto" w:fill="auto"/>
            <w:tcMar>
              <w:top w:w="0" w:type="dxa"/>
              <w:left w:w="20" w:type="dxa"/>
              <w:bottom w:w="0" w:type="dxa"/>
              <w:right w:w="20" w:type="dxa"/>
            </w:tcMar>
            <w:vAlign w:val="bottom"/>
          </w:tcPr>
          <w:p w14:paraId="07DCE55D"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E55E"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56C" w14:textId="77777777">
        <w:tc>
          <w:tcPr>
            <w:tcW w:w="0" w:type="auto"/>
            <w:gridSpan w:val="3"/>
            <w:shd w:val="clear" w:color="auto" w:fill="CCEEFF"/>
            <w:tcMar>
              <w:top w:w="40" w:type="dxa"/>
              <w:left w:w="20" w:type="dxa"/>
              <w:bottom w:w="40" w:type="dxa"/>
              <w:right w:w="20" w:type="dxa"/>
            </w:tcMar>
            <w:vAlign w:val="bottom"/>
          </w:tcPr>
          <w:p w14:paraId="07DCE560" w14:textId="77777777" w:rsidR="00AE727E" w:rsidRDefault="008433E0">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07DCE56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56B" w14:textId="77777777" w:rsidR="00AE727E" w:rsidRDefault="00AE727E">
            <w:pPr>
              <w:rPr>
                <w:rFonts w:ascii="宋体"/>
              </w:rPr>
            </w:pPr>
          </w:p>
        </w:tc>
      </w:tr>
      <w:tr w:rsidR="00AE727E" w14:paraId="07DCE585" w14:textId="77777777">
        <w:tc>
          <w:tcPr>
            <w:tcW w:w="0" w:type="auto"/>
            <w:gridSpan w:val="3"/>
            <w:shd w:val="clear" w:color="auto" w:fill="FFFFFF"/>
            <w:tcMar>
              <w:top w:w="40" w:type="dxa"/>
              <w:left w:w="20" w:type="dxa"/>
              <w:bottom w:w="40" w:type="dxa"/>
              <w:right w:w="20" w:type="dxa"/>
            </w:tcMar>
            <w:vAlign w:val="bottom"/>
          </w:tcPr>
          <w:p w14:paraId="07DCE56D" w14:textId="77777777" w:rsidR="00AE727E" w:rsidRDefault="008433E0">
            <w:pPr>
              <w:textAlignment w:val="bottom"/>
            </w:pPr>
            <w:r>
              <w:rPr>
                <w:rFonts w:ascii="Times New Roman" w:eastAsia="宋体" w:hAnsi="Times New Roman"/>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07DCE56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6F" w14:textId="77777777" w:rsidR="00AE727E" w:rsidRDefault="008433E0">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07DCE5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7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57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73" w14:textId="77777777" w:rsidR="00AE727E" w:rsidRDefault="008433E0">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07DCE57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7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57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77" w14:textId="77777777" w:rsidR="00AE727E" w:rsidRDefault="008433E0">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7DCE57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7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57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7B" w14:textId="77777777" w:rsidR="00AE727E" w:rsidRDefault="008433E0">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07DCE57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7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57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7F" w14:textId="77777777" w:rsidR="00AE727E" w:rsidRDefault="008433E0">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07DCE58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8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58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583" w14:textId="77777777" w:rsidR="00AE727E" w:rsidRDefault="008433E0">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07DCE584" w14:textId="77777777" w:rsidR="00AE727E" w:rsidRDefault="00AE727E">
            <w:pPr>
              <w:jc w:val="right"/>
              <w:rPr>
                <w:rFonts w:ascii="宋体"/>
              </w:rPr>
            </w:pPr>
          </w:p>
        </w:tc>
      </w:tr>
      <w:tr w:rsidR="00AE727E" w14:paraId="07DCE598" w14:textId="77777777">
        <w:tc>
          <w:tcPr>
            <w:tcW w:w="0" w:type="auto"/>
            <w:gridSpan w:val="3"/>
            <w:shd w:val="clear" w:color="auto" w:fill="CCEEFF"/>
            <w:tcMar>
              <w:top w:w="40" w:type="dxa"/>
              <w:left w:w="155" w:type="dxa"/>
              <w:bottom w:w="40" w:type="dxa"/>
              <w:right w:w="20" w:type="dxa"/>
            </w:tcMar>
            <w:vAlign w:val="bottom"/>
          </w:tcPr>
          <w:p w14:paraId="07DCE586" w14:textId="77777777" w:rsidR="00AE727E" w:rsidRDefault="008433E0">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07DCE587" w14:textId="77777777" w:rsidR="00AE727E" w:rsidRDefault="008433E0">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07DCE58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8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58A" w14:textId="77777777" w:rsidR="00AE727E" w:rsidRDefault="008433E0">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07DCE58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8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58D" w14:textId="77777777" w:rsidR="00AE727E" w:rsidRDefault="008433E0">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07DCE58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8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590" w14:textId="77777777" w:rsidR="00AE727E" w:rsidRDefault="008433E0">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7DCE59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9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593" w14:textId="77777777" w:rsidR="00AE727E" w:rsidRDefault="008433E0">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07DCE5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9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596" w14:textId="77777777" w:rsidR="00AE727E" w:rsidRDefault="008433E0">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07DCE597" w14:textId="77777777" w:rsidR="00AE727E" w:rsidRDefault="00AE727E">
            <w:pPr>
              <w:jc w:val="right"/>
              <w:rPr>
                <w:rFonts w:ascii="宋体"/>
              </w:rPr>
            </w:pPr>
          </w:p>
        </w:tc>
      </w:tr>
      <w:tr w:rsidR="00AE727E" w14:paraId="07DCE5AB" w14:textId="77777777">
        <w:tc>
          <w:tcPr>
            <w:tcW w:w="0" w:type="auto"/>
            <w:gridSpan w:val="3"/>
            <w:shd w:val="clear" w:color="auto" w:fill="FFFFFF"/>
            <w:tcMar>
              <w:top w:w="40" w:type="dxa"/>
              <w:left w:w="155" w:type="dxa"/>
              <w:bottom w:w="40" w:type="dxa"/>
              <w:right w:w="20" w:type="dxa"/>
            </w:tcMar>
            <w:vAlign w:val="bottom"/>
          </w:tcPr>
          <w:p w14:paraId="07DCE599" w14:textId="77777777" w:rsidR="00AE727E" w:rsidRDefault="008433E0">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07DCE59A" w14:textId="77777777" w:rsidR="00AE727E" w:rsidRDefault="008433E0">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7DCE5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9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59D" w14:textId="77777777" w:rsidR="00AE727E" w:rsidRDefault="008433E0">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07DCE5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9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5A0" w14:textId="77777777" w:rsidR="00AE727E" w:rsidRDefault="008433E0">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07DCE5A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A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5A3" w14:textId="77777777" w:rsidR="00AE727E" w:rsidRDefault="008433E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CE5A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A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5A6" w14:textId="77777777" w:rsidR="00AE727E" w:rsidRDefault="008433E0">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07DCE5A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5A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5A9" w14:textId="77777777" w:rsidR="00AE727E" w:rsidRDefault="008433E0">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DCE5AA" w14:textId="77777777" w:rsidR="00AE727E" w:rsidRDefault="00AE727E">
            <w:pPr>
              <w:jc w:val="right"/>
              <w:rPr>
                <w:rFonts w:ascii="宋体"/>
              </w:rPr>
            </w:pPr>
          </w:p>
        </w:tc>
      </w:tr>
      <w:tr w:rsidR="00AE727E" w14:paraId="07DCE5C4" w14:textId="77777777">
        <w:tc>
          <w:tcPr>
            <w:tcW w:w="0" w:type="auto"/>
            <w:gridSpan w:val="3"/>
            <w:shd w:val="clear" w:color="auto" w:fill="CCEEFF"/>
            <w:tcMar>
              <w:top w:w="40" w:type="dxa"/>
              <w:left w:w="20" w:type="dxa"/>
              <w:bottom w:w="40" w:type="dxa"/>
              <w:right w:w="20" w:type="dxa"/>
            </w:tcMar>
            <w:vAlign w:val="bottom"/>
          </w:tcPr>
          <w:p w14:paraId="07DCE5AC" w14:textId="77777777" w:rsidR="00AE727E" w:rsidRDefault="008433E0">
            <w:pPr>
              <w:textAlignment w:val="bottom"/>
            </w:pPr>
            <w:r>
              <w:rPr>
                <w:rFonts w:ascii="Times New Roman" w:eastAsia="宋体" w:hAnsi="Times New Roman"/>
                <w:color w:val="000000"/>
                <w:sz w:val="20"/>
                <w:szCs w:val="20"/>
              </w:rPr>
              <w:t>Balances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A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AE" w14:textId="77777777" w:rsidR="00AE727E" w:rsidRDefault="008433E0">
            <w:pPr>
              <w:jc w:val="right"/>
              <w:textAlignment w:val="bottom"/>
            </w:pPr>
            <w:r>
              <w:rPr>
                <w:rFonts w:ascii="Times New Roman" w:eastAsia="宋体" w:hAnsi="Times New Roman"/>
                <w:color w:val="000000"/>
                <w:sz w:val="20"/>
                <w:szCs w:val="20"/>
              </w:rPr>
              <w:t>112 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A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B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B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B2" w14:textId="77777777" w:rsidR="00AE727E" w:rsidRDefault="008433E0">
            <w:pPr>
              <w:jc w:val="right"/>
              <w:textAlignment w:val="bottom"/>
            </w:pPr>
            <w:r>
              <w:rPr>
                <w:rFonts w:ascii="Times New Roman" w:eastAsia="宋体" w:hAnsi="Times New Roman"/>
                <w:color w:val="000000"/>
                <w:sz w:val="20"/>
                <w:szCs w:val="20"/>
              </w:rPr>
              <w:t>113 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B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B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B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B6" w14:textId="77777777" w:rsidR="00AE727E" w:rsidRDefault="008433E0">
            <w:pPr>
              <w:jc w:val="right"/>
              <w:textAlignment w:val="bottom"/>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B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B8"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B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BA" w14:textId="77777777" w:rsidR="00AE727E" w:rsidRDefault="008433E0">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B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B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B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BE" w14:textId="77777777" w:rsidR="00AE727E" w:rsidRDefault="008433E0">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B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5C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E5C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E5C2" w14:textId="77777777" w:rsidR="00AE727E" w:rsidRDefault="008433E0">
            <w:pPr>
              <w:jc w:val="right"/>
              <w:textAlignment w:val="bottom"/>
            </w:pPr>
            <w:r>
              <w:rPr>
                <w:rFonts w:ascii="Times New Roman" w:eastAsia="宋体" w:hAnsi="Times New Roman"/>
                <w:color w:val="000000"/>
                <w:sz w:val="20"/>
                <w:szCs w:val="20"/>
              </w:rPr>
              <w:t>307 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E5C3" w14:textId="77777777" w:rsidR="00AE727E" w:rsidRDefault="00AE727E">
            <w:pPr>
              <w:jc w:val="right"/>
              <w:rPr>
                <w:rFonts w:ascii="宋体"/>
              </w:rPr>
            </w:pPr>
          </w:p>
        </w:tc>
      </w:tr>
    </w:tbl>
    <w:p w14:paraId="07DCE5C5" w14:textId="77777777" w:rsidR="00AE727E" w:rsidRDefault="00AE727E">
      <w:pPr>
        <w:ind w:hanging="360"/>
      </w:pPr>
    </w:p>
    <w:tbl>
      <w:tblPr>
        <w:tblW w:w="5000" w:type="pct"/>
        <w:tblCellMar>
          <w:top w:w="15" w:type="dxa"/>
          <w:left w:w="15" w:type="dxa"/>
          <w:bottom w:w="15" w:type="dxa"/>
          <w:right w:w="15" w:type="dxa"/>
        </w:tblCellMar>
        <w:tblLook w:val="04A0" w:firstRow="1" w:lastRow="0" w:firstColumn="1" w:lastColumn="0" w:noHBand="0" w:noVBand="1"/>
      </w:tblPr>
      <w:tblGrid>
        <w:gridCol w:w="39"/>
        <w:gridCol w:w="2495"/>
        <w:gridCol w:w="38"/>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49"/>
        <w:gridCol w:w="36"/>
      </w:tblGrid>
      <w:tr w:rsidR="00AE727E" w14:paraId="07DCE5EA" w14:textId="77777777">
        <w:tc>
          <w:tcPr>
            <w:tcW w:w="50" w:type="pct"/>
            <w:shd w:val="clear" w:color="auto" w:fill="auto"/>
            <w:vAlign w:val="bottom"/>
          </w:tcPr>
          <w:p w14:paraId="07DCE5C6" w14:textId="77777777" w:rsidR="00AE727E" w:rsidRDefault="00AE727E">
            <w:pPr>
              <w:rPr>
                <w:rFonts w:ascii="宋体"/>
              </w:rPr>
            </w:pPr>
          </w:p>
        </w:tc>
        <w:tc>
          <w:tcPr>
            <w:tcW w:w="1757" w:type="pct"/>
            <w:shd w:val="clear" w:color="auto" w:fill="auto"/>
            <w:vAlign w:val="bottom"/>
          </w:tcPr>
          <w:p w14:paraId="07DCE5C7" w14:textId="77777777" w:rsidR="00AE727E" w:rsidRDefault="00AE727E">
            <w:pPr>
              <w:rPr>
                <w:rFonts w:ascii="宋体"/>
              </w:rPr>
            </w:pPr>
          </w:p>
        </w:tc>
        <w:tc>
          <w:tcPr>
            <w:tcW w:w="5" w:type="pct"/>
            <w:shd w:val="clear" w:color="auto" w:fill="auto"/>
            <w:vAlign w:val="bottom"/>
          </w:tcPr>
          <w:p w14:paraId="07DCE5C8" w14:textId="77777777" w:rsidR="00AE727E" w:rsidRDefault="00AE727E">
            <w:pPr>
              <w:rPr>
                <w:rFonts w:ascii="宋体"/>
              </w:rPr>
            </w:pPr>
          </w:p>
        </w:tc>
        <w:tc>
          <w:tcPr>
            <w:tcW w:w="50" w:type="pct"/>
            <w:shd w:val="clear" w:color="auto" w:fill="auto"/>
            <w:vAlign w:val="bottom"/>
          </w:tcPr>
          <w:p w14:paraId="07DCE5C9" w14:textId="77777777" w:rsidR="00AE727E" w:rsidRDefault="00AE727E">
            <w:pPr>
              <w:rPr>
                <w:rFonts w:ascii="宋体"/>
              </w:rPr>
            </w:pPr>
          </w:p>
        </w:tc>
        <w:tc>
          <w:tcPr>
            <w:tcW w:w="471" w:type="pct"/>
            <w:shd w:val="clear" w:color="auto" w:fill="auto"/>
            <w:vAlign w:val="bottom"/>
          </w:tcPr>
          <w:p w14:paraId="07DCE5CA" w14:textId="77777777" w:rsidR="00AE727E" w:rsidRDefault="00AE727E">
            <w:pPr>
              <w:rPr>
                <w:rFonts w:ascii="宋体"/>
              </w:rPr>
            </w:pPr>
          </w:p>
        </w:tc>
        <w:tc>
          <w:tcPr>
            <w:tcW w:w="5" w:type="pct"/>
            <w:shd w:val="clear" w:color="auto" w:fill="auto"/>
            <w:vAlign w:val="bottom"/>
          </w:tcPr>
          <w:p w14:paraId="07DCE5CB" w14:textId="77777777" w:rsidR="00AE727E" w:rsidRDefault="00AE727E">
            <w:pPr>
              <w:rPr>
                <w:rFonts w:ascii="宋体"/>
              </w:rPr>
            </w:pPr>
          </w:p>
        </w:tc>
        <w:tc>
          <w:tcPr>
            <w:tcW w:w="5" w:type="pct"/>
            <w:shd w:val="clear" w:color="auto" w:fill="auto"/>
            <w:vAlign w:val="bottom"/>
          </w:tcPr>
          <w:p w14:paraId="07DCE5CC" w14:textId="77777777" w:rsidR="00AE727E" w:rsidRDefault="00AE727E">
            <w:pPr>
              <w:rPr>
                <w:rFonts w:ascii="宋体"/>
              </w:rPr>
            </w:pPr>
          </w:p>
        </w:tc>
        <w:tc>
          <w:tcPr>
            <w:tcW w:w="19" w:type="pct"/>
            <w:shd w:val="clear" w:color="auto" w:fill="auto"/>
            <w:vAlign w:val="bottom"/>
          </w:tcPr>
          <w:p w14:paraId="07DCE5CD" w14:textId="77777777" w:rsidR="00AE727E" w:rsidRDefault="00AE727E">
            <w:pPr>
              <w:rPr>
                <w:rFonts w:ascii="宋体"/>
              </w:rPr>
            </w:pPr>
          </w:p>
        </w:tc>
        <w:tc>
          <w:tcPr>
            <w:tcW w:w="5" w:type="pct"/>
            <w:shd w:val="clear" w:color="auto" w:fill="auto"/>
            <w:vAlign w:val="bottom"/>
          </w:tcPr>
          <w:p w14:paraId="07DCE5CE" w14:textId="77777777" w:rsidR="00AE727E" w:rsidRDefault="00AE727E">
            <w:pPr>
              <w:rPr>
                <w:rFonts w:ascii="宋体"/>
              </w:rPr>
            </w:pPr>
          </w:p>
        </w:tc>
        <w:tc>
          <w:tcPr>
            <w:tcW w:w="50" w:type="pct"/>
            <w:shd w:val="clear" w:color="auto" w:fill="auto"/>
            <w:vAlign w:val="bottom"/>
          </w:tcPr>
          <w:p w14:paraId="07DCE5CF" w14:textId="77777777" w:rsidR="00AE727E" w:rsidRDefault="00AE727E">
            <w:pPr>
              <w:rPr>
                <w:rFonts w:ascii="宋体"/>
              </w:rPr>
            </w:pPr>
          </w:p>
        </w:tc>
        <w:tc>
          <w:tcPr>
            <w:tcW w:w="471" w:type="pct"/>
            <w:shd w:val="clear" w:color="auto" w:fill="auto"/>
            <w:vAlign w:val="bottom"/>
          </w:tcPr>
          <w:p w14:paraId="07DCE5D0" w14:textId="77777777" w:rsidR="00AE727E" w:rsidRDefault="00AE727E">
            <w:pPr>
              <w:rPr>
                <w:rFonts w:ascii="宋体"/>
              </w:rPr>
            </w:pPr>
          </w:p>
        </w:tc>
        <w:tc>
          <w:tcPr>
            <w:tcW w:w="5" w:type="pct"/>
            <w:shd w:val="clear" w:color="auto" w:fill="auto"/>
            <w:vAlign w:val="bottom"/>
          </w:tcPr>
          <w:p w14:paraId="07DCE5D1" w14:textId="77777777" w:rsidR="00AE727E" w:rsidRDefault="00AE727E">
            <w:pPr>
              <w:rPr>
                <w:rFonts w:ascii="宋体"/>
              </w:rPr>
            </w:pPr>
          </w:p>
        </w:tc>
        <w:tc>
          <w:tcPr>
            <w:tcW w:w="5" w:type="pct"/>
            <w:shd w:val="clear" w:color="auto" w:fill="auto"/>
            <w:vAlign w:val="bottom"/>
          </w:tcPr>
          <w:p w14:paraId="07DCE5D2" w14:textId="77777777" w:rsidR="00AE727E" w:rsidRDefault="00AE727E">
            <w:pPr>
              <w:rPr>
                <w:rFonts w:ascii="宋体"/>
              </w:rPr>
            </w:pPr>
          </w:p>
        </w:tc>
        <w:tc>
          <w:tcPr>
            <w:tcW w:w="19" w:type="pct"/>
            <w:shd w:val="clear" w:color="auto" w:fill="auto"/>
            <w:vAlign w:val="bottom"/>
          </w:tcPr>
          <w:p w14:paraId="07DCE5D3" w14:textId="77777777" w:rsidR="00AE727E" w:rsidRDefault="00AE727E">
            <w:pPr>
              <w:rPr>
                <w:rFonts w:ascii="宋体"/>
              </w:rPr>
            </w:pPr>
          </w:p>
        </w:tc>
        <w:tc>
          <w:tcPr>
            <w:tcW w:w="5" w:type="pct"/>
            <w:shd w:val="clear" w:color="auto" w:fill="auto"/>
            <w:vAlign w:val="bottom"/>
          </w:tcPr>
          <w:p w14:paraId="07DCE5D4" w14:textId="77777777" w:rsidR="00AE727E" w:rsidRDefault="00AE727E">
            <w:pPr>
              <w:rPr>
                <w:rFonts w:ascii="宋体"/>
              </w:rPr>
            </w:pPr>
          </w:p>
        </w:tc>
        <w:tc>
          <w:tcPr>
            <w:tcW w:w="50" w:type="pct"/>
            <w:shd w:val="clear" w:color="auto" w:fill="auto"/>
            <w:vAlign w:val="bottom"/>
          </w:tcPr>
          <w:p w14:paraId="07DCE5D5" w14:textId="77777777" w:rsidR="00AE727E" w:rsidRDefault="00AE727E">
            <w:pPr>
              <w:rPr>
                <w:rFonts w:ascii="宋体"/>
              </w:rPr>
            </w:pPr>
          </w:p>
        </w:tc>
        <w:tc>
          <w:tcPr>
            <w:tcW w:w="412" w:type="pct"/>
            <w:shd w:val="clear" w:color="auto" w:fill="auto"/>
            <w:vAlign w:val="bottom"/>
          </w:tcPr>
          <w:p w14:paraId="07DCE5D6" w14:textId="77777777" w:rsidR="00AE727E" w:rsidRDefault="00AE727E">
            <w:pPr>
              <w:rPr>
                <w:rFonts w:ascii="宋体"/>
              </w:rPr>
            </w:pPr>
          </w:p>
        </w:tc>
        <w:tc>
          <w:tcPr>
            <w:tcW w:w="5" w:type="pct"/>
            <w:shd w:val="clear" w:color="auto" w:fill="auto"/>
            <w:vAlign w:val="bottom"/>
          </w:tcPr>
          <w:p w14:paraId="07DCE5D7" w14:textId="77777777" w:rsidR="00AE727E" w:rsidRDefault="00AE727E">
            <w:pPr>
              <w:rPr>
                <w:rFonts w:ascii="宋体"/>
              </w:rPr>
            </w:pPr>
          </w:p>
        </w:tc>
        <w:tc>
          <w:tcPr>
            <w:tcW w:w="5" w:type="pct"/>
            <w:shd w:val="clear" w:color="auto" w:fill="auto"/>
            <w:vAlign w:val="bottom"/>
          </w:tcPr>
          <w:p w14:paraId="07DCE5D8" w14:textId="77777777" w:rsidR="00AE727E" w:rsidRDefault="00AE727E">
            <w:pPr>
              <w:rPr>
                <w:rFonts w:ascii="宋体"/>
              </w:rPr>
            </w:pPr>
          </w:p>
        </w:tc>
        <w:tc>
          <w:tcPr>
            <w:tcW w:w="19" w:type="pct"/>
            <w:shd w:val="clear" w:color="auto" w:fill="auto"/>
            <w:vAlign w:val="bottom"/>
          </w:tcPr>
          <w:p w14:paraId="07DCE5D9" w14:textId="77777777" w:rsidR="00AE727E" w:rsidRDefault="00AE727E">
            <w:pPr>
              <w:rPr>
                <w:rFonts w:ascii="宋体"/>
              </w:rPr>
            </w:pPr>
          </w:p>
        </w:tc>
        <w:tc>
          <w:tcPr>
            <w:tcW w:w="5" w:type="pct"/>
            <w:shd w:val="clear" w:color="auto" w:fill="auto"/>
            <w:vAlign w:val="bottom"/>
          </w:tcPr>
          <w:p w14:paraId="07DCE5DA" w14:textId="77777777" w:rsidR="00AE727E" w:rsidRDefault="00AE727E">
            <w:pPr>
              <w:rPr>
                <w:rFonts w:ascii="宋体"/>
              </w:rPr>
            </w:pPr>
          </w:p>
        </w:tc>
        <w:tc>
          <w:tcPr>
            <w:tcW w:w="50" w:type="pct"/>
            <w:shd w:val="clear" w:color="auto" w:fill="auto"/>
            <w:vAlign w:val="bottom"/>
          </w:tcPr>
          <w:p w14:paraId="07DCE5DB" w14:textId="77777777" w:rsidR="00AE727E" w:rsidRDefault="00AE727E">
            <w:pPr>
              <w:rPr>
                <w:rFonts w:ascii="宋体"/>
              </w:rPr>
            </w:pPr>
          </w:p>
        </w:tc>
        <w:tc>
          <w:tcPr>
            <w:tcW w:w="471" w:type="pct"/>
            <w:shd w:val="clear" w:color="auto" w:fill="auto"/>
            <w:vAlign w:val="bottom"/>
          </w:tcPr>
          <w:p w14:paraId="07DCE5DC" w14:textId="77777777" w:rsidR="00AE727E" w:rsidRDefault="00AE727E">
            <w:pPr>
              <w:rPr>
                <w:rFonts w:ascii="宋体"/>
              </w:rPr>
            </w:pPr>
          </w:p>
        </w:tc>
        <w:tc>
          <w:tcPr>
            <w:tcW w:w="5" w:type="pct"/>
            <w:shd w:val="clear" w:color="auto" w:fill="auto"/>
            <w:vAlign w:val="bottom"/>
          </w:tcPr>
          <w:p w14:paraId="07DCE5DD" w14:textId="77777777" w:rsidR="00AE727E" w:rsidRDefault="00AE727E">
            <w:pPr>
              <w:rPr>
                <w:rFonts w:ascii="宋体"/>
              </w:rPr>
            </w:pPr>
          </w:p>
        </w:tc>
        <w:tc>
          <w:tcPr>
            <w:tcW w:w="5" w:type="pct"/>
            <w:shd w:val="clear" w:color="auto" w:fill="auto"/>
            <w:vAlign w:val="bottom"/>
          </w:tcPr>
          <w:p w14:paraId="07DCE5DE" w14:textId="77777777" w:rsidR="00AE727E" w:rsidRDefault="00AE727E">
            <w:pPr>
              <w:rPr>
                <w:rFonts w:ascii="宋体"/>
              </w:rPr>
            </w:pPr>
          </w:p>
        </w:tc>
        <w:tc>
          <w:tcPr>
            <w:tcW w:w="19" w:type="pct"/>
            <w:shd w:val="clear" w:color="auto" w:fill="auto"/>
            <w:vAlign w:val="bottom"/>
          </w:tcPr>
          <w:p w14:paraId="07DCE5DF" w14:textId="77777777" w:rsidR="00AE727E" w:rsidRDefault="00AE727E">
            <w:pPr>
              <w:rPr>
                <w:rFonts w:ascii="宋体"/>
              </w:rPr>
            </w:pPr>
          </w:p>
        </w:tc>
        <w:tc>
          <w:tcPr>
            <w:tcW w:w="5" w:type="pct"/>
            <w:shd w:val="clear" w:color="auto" w:fill="auto"/>
            <w:vAlign w:val="bottom"/>
          </w:tcPr>
          <w:p w14:paraId="07DCE5E0" w14:textId="77777777" w:rsidR="00AE727E" w:rsidRDefault="00AE727E">
            <w:pPr>
              <w:rPr>
                <w:rFonts w:ascii="宋体"/>
              </w:rPr>
            </w:pPr>
          </w:p>
        </w:tc>
        <w:tc>
          <w:tcPr>
            <w:tcW w:w="50" w:type="pct"/>
            <w:shd w:val="clear" w:color="auto" w:fill="auto"/>
            <w:vAlign w:val="bottom"/>
          </w:tcPr>
          <w:p w14:paraId="07DCE5E1" w14:textId="77777777" w:rsidR="00AE727E" w:rsidRDefault="00AE727E">
            <w:pPr>
              <w:rPr>
                <w:rFonts w:ascii="宋体"/>
              </w:rPr>
            </w:pPr>
          </w:p>
        </w:tc>
        <w:tc>
          <w:tcPr>
            <w:tcW w:w="471" w:type="pct"/>
            <w:shd w:val="clear" w:color="auto" w:fill="auto"/>
            <w:vAlign w:val="bottom"/>
          </w:tcPr>
          <w:p w14:paraId="07DCE5E2" w14:textId="77777777" w:rsidR="00AE727E" w:rsidRDefault="00AE727E">
            <w:pPr>
              <w:rPr>
                <w:rFonts w:ascii="宋体"/>
              </w:rPr>
            </w:pPr>
          </w:p>
        </w:tc>
        <w:tc>
          <w:tcPr>
            <w:tcW w:w="5" w:type="pct"/>
            <w:shd w:val="clear" w:color="auto" w:fill="auto"/>
            <w:vAlign w:val="bottom"/>
          </w:tcPr>
          <w:p w14:paraId="07DCE5E3" w14:textId="77777777" w:rsidR="00AE727E" w:rsidRDefault="00AE727E">
            <w:pPr>
              <w:rPr>
                <w:rFonts w:ascii="宋体"/>
              </w:rPr>
            </w:pPr>
          </w:p>
        </w:tc>
        <w:tc>
          <w:tcPr>
            <w:tcW w:w="5" w:type="pct"/>
            <w:shd w:val="clear" w:color="auto" w:fill="auto"/>
            <w:vAlign w:val="bottom"/>
          </w:tcPr>
          <w:p w14:paraId="07DCE5E4" w14:textId="77777777" w:rsidR="00AE727E" w:rsidRDefault="00AE727E">
            <w:pPr>
              <w:rPr>
                <w:rFonts w:ascii="宋体"/>
              </w:rPr>
            </w:pPr>
          </w:p>
        </w:tc>
        <w:tc>
          <w:tcPr>
            <w:tcW w:w="19" w:type="pct"/>
            <w:shd w:val="clear" w:color="auto" w:fill="auto"/>
            <w:vAlign w:val="bottom"/>
          </w:tcPr>
          <w:p w14:paraId="07DCE5E5" w14:textId="77777777" w:rsidR="00AE727E" w:rsidRDefault="00AE727E">
            <w:pPr>
              <w:rPr>
                <w:rFonts w:ascii="宋体"/>
              </w:rPr>
            </w:pPr>
          </w:p>
        </w:tc>
        <w:tc>
          <w:tcPr>
            <w:tcW w:w="5" w:type="pct"/>
            <w:shd w:val="clear" w:color="auto" w:fill="auto"/>
            <w:vAlign w:val="bottom"/>
          </w:tcPr>
          <w:p w14:paraId="07DCE5E6" w14:textId="77777777" w:rsidR="00AE727E" w:rsidRDefault="00AE727E">
            <w:pPr>
              <w:rPr>
                <w:rFonts w:ascii="宋体"/>
              </w:rPr>
            </w:pPr>
          </w:p>
        </w:tc>
        <w:tc>
          <w:tcPr>
            <w:tcW w:w="50" w:type="pct"/>
            <w:shd w:val="clear" w:color="auto" w:fill="auto"/>
            <w:vAlign w:val="bottom"/>
          </w:tcPr>
          <w:p w14:paraId="07DCE5E7" w14:textId="77777777" w:rsidR="00AE727E" w:rsidRDefault="00AE727E">
            <w:pPr>
              <w:rPr>
                <w:rFonts w:ascii="宋体"/>
              </w:rPr>
            </w:pPr>
          </w:p>
        </w:tc>
        <w:tc>
          <w:tcPr>
            <w:tcW w:w="413" w:type="pct"/>
            <w:shd w:val="clear" w:color="auto" w:fill="auto"/>
            <w:vAlign w:val="bottom"/>
          </w:tcPr>
          <w:p w14:paraId="07DCE5E8" w14:textId="77777777" w:rsidR="00AE727E" w:rsidRDefault="00AE727E">
            <w:pPr>
              <w:rPr>
                <w:rFonts w:ascii="宋体"/>
              </w:rPr>
            </w:pPr>
          </w:p>
        </w:tc>
        <w:tc>
          <w:tcPr>
            <w:tcW w:w="5" w:type="pct"/>
            <w:shd w:val="clear" w:color="auto" w:fill="auto"/>
            <w:vAlign w:val="bottom"/>
          </w:tcPr>
          <w:p w14:paraId="07DCE5E9" w14:textId="77777777" w:rsidR="00AE727E" w:rsidRDefault="00AE727E">
            <w:pPr>
              <w:rPr>
                <w:rFonts w:ascii="宋体"/>
              </w:rPr>
            </w:pPr>
          </w:p>
        </w:tc>
      </w:tr>
      <w:tr w:rsidR="00AE727E" w14:paraId="07DCE5ED" w14:textId="77777777">
        <w:tc>
          <w:tcPr>
            <w:tcW w:w="0" w:type="auto"/>
            <w:gridSpan w:val="3"/>
            <w:shd w:val="clear" w:color="auto" w:fill="auto"/>
            <w:tcMar>
              <w:top w:w="0" w:type="dxa"/>
              <w:left w:w="20" w:type="dxa"/>
              <w:bottom w:w="0" w:type="dxa"/>
              <w:right w:w="20" w:type="dxa"/>
            </w:tcMar>
            <w:vAlign w:val="bottom"/>
          </w:tcPr>
          <w:p w14:paraId="07DCE5EB" w14:textId="77777777" w:rsidR="00AE727E" w:rsidRDefault="00AE727E">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07DCE5EC" w14:textId="77777777" w:rsidR="00AE727E" w:rsidRDefault="008433E0">
            <w:pPr>
              <w:jc w:val="center"/>
              <w:textAlignment w:val="center"/>
            </w:pPr>
            <w:r>
              <w:rPr>
                <w:rFonts w:ascii="Times New Roman" w:eastAsia="宋体" w:hAnsi="Times New Roman"/>
                <w:b/>
                <w:bCs/>
                <w:color w:val="000000"/>
                <w:sz w:val="20"/>
                <w:szCs w:val="20"/>
              </w:rPr>
              <w:t>Nine Months Ended</w:t>
            </w:r>
          </w:p>
        </w:tc>
      </w:tr>
      <w:tr w:rsidR="00AE727E" w14:paraId="07DCE5F2" w14:textId="77777777">
        <w:tc>
          <w:tcPr>
            <w:tcW w:w="0" w:type="auto"/>
            <w:gridSpan w:val="3"/>
            <w:shd w:val="clear" w:color="auto" w:fill="auto"/>
            <w:tcMar>
              <w:top w:w="0" w:type="dxa"/>
              <w:left w:w="20" w:type="dxa"/>
              <w:bottom w:w="0" w:type="dxa"/>
              <w:right w:w="20" w:type="dxa"/>
            </w:tcMar>
            <w:vAlign w:val="bottom"/>
          </w:tcPr>
          <w:p w14:paraId="07DCE5EE"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CE5EF" w14:textId="77777777" w:rsidR="00AE727E" w:rsidRDefault="008433E0">
            <w:pPr>
              <w:jc w:val="center"/>
              <w:textAlignment w:val="center"/>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F0"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CE5F1" w14:textId="77777777" w:rsidR="00AE727E" w:rsidRDefault="008433E0">
            <w:pPr>
              <w:jc w:val="center"/>
              <w:textAlignment w:val="center"/>
            </w:pPr>
            <w:r>
              <w:rPr>
                <w:rFonts w:ascii="Times New Roman" w:eastAsia="宋体" w:hAnsi="Times New Roman"/>
                <w:b/>
                <w:bCs/>
                <w:color w:val="000000"/>
                <w:sz w:val="20"/>
                <w:szCs w:val="20"/>
              </w:rPr>
              <w:t>October 30, 2020</w:t>
            </w:r>
          </w:p>
        </w:tc>
      </w:tr>
      <w:tr w:rsidR="00AE727E" w14:paraId="07DCE5FF" w14:textId="77777777">
        <w:tc>
          <w:tcPr>
            <w:tcW w:w="0" w:type="auto"/>
            <w:gridSpan w:val="3"/>
            <w:shd w:val="clear" w:color="auto" w:fill="auto"/>
            <w:tcMar>
              <w:top w:w="0" w:type="dxa"/>
              <w:left w:w="20" w:type="dxa"/>
              <w:bottom w:w="0" w:type="dxa"/>
              <w:right w:w="20" w:type="dxa"/>
            </w:tcMar>
            <w:vAlign w:val="bottom"/>
          </w:tcPr>
          <w:p w14:paraId="07DCE5F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DCE5F4" w14:textId="77777777" w:rsidR="00AE727E" w:rsidRDefault="008433E0">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F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F6" w14:textId="77777777" w:rsidR="00AE727E" w:rsidRDefault="008433E0">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F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F8" w14:textId="77777777" w:rsidR="00AE727E" w:rsidRDefault="008433E0">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E5F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FA" w14:textId="77777777" w:rsidR="00AE727E" w:rsidRDefault="008433E0">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F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FC" w14:textId="77777777" w:rsidR="00AE727E" w:rsidRDefault="008433E0">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5F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07DCE5FE" w14:textId="77777777" w:rsidR="00AE727E" w:rsidRDefault="008433E0">
            <w:pPr>
              <w:jc w:val="center"/>
              <w:textAlignment w:val="center"/>
            </w:pPr>
            <w:r>
              <w:rPr>
                <w:rFonts w:ascii="Times New Roman" w:eastAsia="宋体" w:hAnsi="Times New Roman"/>
                <w:b/>
                <w:bCs/>
                <w:color w:val="000000"/>
                <w:sz w:val="20"/>
                <w:szCs w:val="20"/>
              </w:rPr>
              <w:t>Total</w:t>
            </w:r>
          </w:p>
        </w:tc>
      </w:tr>
      <w:tr w:rsidR="00AE727E" w14:paraId="07DCE602" w14:textId="77777777">
        <w:tc>
          <w:tcPr>
            <w:tcW w:w="0" w:type="auto"/>
            <w:gridSpan w:val="3"/>
            <w:shd w:val="clear" w:color="auto" w:fill="auto"/>
            <w:tcMar>
              <w:top w:w="0" w:type="dxa"/>
              <w:left w:w="20" w:type="dxa"/>
              <w:bottom w:w="0" w:type="dxa"/>
              <w:right w:w="20" w:type="dxa"/>
            </w:tcMar>
            <w:vAlign w:val="bottom"/>
          </w:tcPr>
          <w:p w14:paraId="07DCE600"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E601"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60F" w14:textId="77777777">
        <w:tc>
          <w:tcPr>
            <w:tcW w:w="0" w:type="auto"/>
            <w:gridSpan w:val="3"/>
            <w:shd w:val="clear" w:color="auto" w:fill="CCEEFF"/>
            <w:tcMar>
              <w:top w:w="40" w:type="dxa"/>
              <w:left w:w="20" w:type="dxa"/>
              <w:bottom w:w="40" w:type="dxa"/>
              <w:right w:w="20" w:type="dxa"/>
            </w:tcMar>
            <w:vAlign w:val="bottom"/>
          </w:tcPr>
          <w:p w14:paraId="07DCE603" w14:textId="77777777" w:rsidR="00AE727E" w:rsidRDefault="008433E0">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07DCE60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60E" w14:textId="77777777" w:rsidR="00AE727E" w:rsidRDefault="00AE727E">
            <w:pPr>
              <w:rPr>
                <w:rFonts w:ascii="宋体"/>
              </w:rPr>
            </w:pPr>
          </w:p>
        </w:tc>
      </w:tr>
      <w:tr w:rsidR="00AE727E" w14:paraId="07DCE628" w14:textId="77777777">
        <w:tc>
          <w:tcPr>
            <w:tcW w:w="0" w:type="auto"/>
            <w:gridSpan w:val="3"/>
            <w:shd w:val="clear" w:color="auto" w:fill="FFFFFF"/>
            <w:tcMar>
              <w:top w:w="40" w:type="dxa"/>
              <w:left w:w="20" w:type="dxa"/>
              <w:bottom w:w="40" w:type="dxa"/>
              <w:right w:w="20" w:type="dxa"/>
            </w:tcMar>
            <w:vAlign w:val="bottom"/>
          </w:tcPr>
          <w:p w14:paraId="07DCE610" w14:textId="77777777" w:rsidR="00AE727E" w:rsidRDefault="008433E0">
            <w:pPr>
              <w:textAlignment w:val="bottom"/>
            </w:pPr>
            <w:r>
              <w:rPr>
                <w:rFonts w:ascii="Times New Roman" w:eastAsia="宋体" w:hAnsi="Times New Roman"/>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07DCE61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12" w14:textId="77777777" w:rsidR="00AE727E" w:rsidRDefault="008433E0">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07DCE6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1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61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16" w14:textId="77777777" w:rsidR="00AE727E" w:rsidRDefault="008433E0">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07DCE6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1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61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1A" w14:textId="77777777" w:rsidR="00AE727E" w:rsidRDefault="008433E0">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07DCE61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1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61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1E" w14:textId="77777777" w:rsidR="00AE727E" w:rsidRDefault="008433E0">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07DCE61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2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62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22" w14:textId="77777777" w:rsidR="00AE727E" w:rsidRDefault="008433E0">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07DCE62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2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62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626" w14:textId="77777777" w:rsidR="00AE727E" w:rsidRDefault="008433E0">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07DCE627" w14:textId="77777777" w:rsidR="00AE727E" w:rsidRDefault="00AE727E">
            <w:pPr>
              <w:jc w:val="right"/>
              <w:rPr>
                <w:rFonts w:ascii="宋体"/>
              </w:rPr>
            </w:pPr>
          </w:p>
        </w:tc>
      </w:tr>
      <w:tr w:rsidR="00AE727E" w14:paraId="07DCE63B" w14:textId="77777777">
        <w:tc>
          <w:tcPr>
            <w:tcW w:w="0" w:type="auto"/>
            <w:gridSpan w:val="3"/>
            <w:shd w:val="clear" w:color="auto" w:fill="CCEEFF"/>
            <w:tcMar>
              <w:top w:w="40" w:type="dxa"/>
              <w:left w:w="155" w:type="dxa"/>
              <w:bottom w:w="40" w:type="dxa"/>
              <w:right w:w="20" w:type="dxa"/>
            </w:tcMar>
            <w:vAlign w:val="bottom"/>
          </w:tcPr>
          <w:p w14:paraId="07DCE629" w14:textId="77777777" w:rsidR="00AE727E" w:rsidRDefault="008433E0">
            <w:pPr>
              <w:textAlignment w:val="bottom"/>
            </w:pPr>
            <w:r>
              <w:rPr>
                <w:rFonts w:ascii="Times New Roman" w:eastAsia="宋体" w:hAnsi="Times New Roman"/>
                <w:color w:val="000000"/>
                <w:sz w:val="20"/>
                <w:szCs w:val="20"/>
              </w:rPr>
              <w:t xml:space="preserve">Adjustment for adoption of accounting standard </w:t>
            </w:r>
          </w:p>
        </w:tc>
        <w:tc>
          <w:tcPr>
            <w:tcW w:w="0" w:type="auto"/>
            <w:gridSpan w:val="2"/>
            <w:shd w:val="clear" w:color="auto" w:fill="CCEEFF"/>
            <w:tcMar>
              <w:top w:w="40" w:type="dxa"/>
              <w:left w:w="20" w:type="dxa"/>
              <w:bottom w:w="40" w:type="dxa"/>
              <w:right w:w="0" w:type="dxa"/>
            </w:tcMar>
            <w:vAlign w:val="bottom"/>
          </w:tcPr>
          <w:p w14:paraId="07DCE62A"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62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2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2D"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62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2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30"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63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3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33" w14:textId="77777777" w:rsidR="00AE727E" w:rsidRDefault="008433E0">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07DCE63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3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36" w14:textId="77777777" w:rsidR="00AE727E" w:rsidRDefault="008433E0">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07DCE63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3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39" w14:textId="77777777" w:rsidR="00AE727E" w:rsidRDefault="008433E0">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07DCE63A" w14:textId="77777777" w:rsidR="00AE727E" w:rsidRDefault="00AE727E">
            <w:pPr>
              <w:jc w:val="right"/>
              <w:rPr>
                <w:rFonts w:ascii="宋体"/>
              </w:rPr>
            </w:pPr>
          </w:p>
        </w:tc>
      </w:tr>
      <w:tr w:rsidR="00AE727E" w14:paraId="07DCE64E" w14:textId="77777777">
        <w:tc>
          <w:tcPr>
            <w:tcW w:w="0" w:type="auto"/>
            <w:gridSpan w:val="3"/>
            <w:shd w:val="clear" w:color="auto" w:fill="FFFFFF"/>
            <w:tcMar>
              <w:top w:w="40" w:type="dxa"/>
              <w:left w:w="155" w:type="dxa"/>
              <w:bottom w:w="40" w:type="dxa"/>
              <w:right w:w="20" w:type="dxa"/>
            </w:tcMar>
            <w:vAlign w:val="bottom"/>
          </w:tcPr>
          <w:p w14:paraId="07DCE63C" w14:textId="77777777" w:rsidR="00AE727E" w:rsidRDefault="008433E0">
            <w:pPr>
              <w:textAlignment w:val="bottom"/>
            </w:pPr>
            <w:r>
              <w:rPr>
                <w:rFonts w:ascii="Times New Roman" w:eastAsia="宋体" w:hAnsi="Times New Roman"/>
                <w:color w:val="000000"/>
                <w:sz w:val="20"/>
                <w:szCs w:val="20"/>
              </w:rPr>
              <w:t>Charge-offs, net of recoveries</w:t>
            </w:r>
          </w:p>
        </w:tc>
        <w:tc>
          <w:tcPr>
            <w:tcW w:w="0" w:type="auto"/>
            <w:gridSpan w:val="2"/>
            <w:shd w:val="clear" w:color="auto" w:fill="FFFFFF"/>
            <w:tcMar>
              <w:top w:w="40" w:type="dxa"/>
              <w:left w:w="20" w:type="dxa"/>
              <w:bottom w:w="40" w:type="dxa"/>
              <w:right w:w="0" w:type="dxa"/>
            </w:tcMar>
            <w:vAlign w:val="bottom"/>
          </w:tcPr>
          <w:p w14:paraId="07DCE63D" w14:textId="77777777" w:rsidR="00AE727E" w:rsidRDefault="008433E0">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07DCE63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3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640" w14:textId="77777777" w:rsidR="00AE727E" w:rsidRDefault="008433E0">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7DCE6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4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643" w14:textId="77777777" w:rsidR="00AE727E" w:rsidRDefault="008433E0">
            <w:pPr>
              <w:jc w:val="right"/>
              <w:textAlignment w:val="bottom"/>
            </w:pPr>
            <w:r>
              <w:rPr>
                <w:rFonts w:ascii="Times New Roman" w:eastAsia="宋体" w:hAnsi="Times New Roman"/>
                <w:color w:val="000000"/>
                <w:sz w:val="20"/>
                <w:szCs w:val="20"/>
              </w:rPr>
              <w:t>(57)</w:t>
            </w:r>
          </w:p>
        </w:tc>
        <w:tc>
          <w:tcPr>
            <w:tcW w:w="0" w:type="auto"/>
            <w:shd w:val="clear" w:color="auto" w:fill="FFFFFF"/>
            <w:tcMar>
              <w:top w:w="40" w:type="dxa"/>
              <w:left w:w="0" w:type="dxa"/>
              <w:bottom w:w="40" w:type="dxa"/>
              <w:right w:w="20" w:type="dxa"/>
            </w:tcMar>
            <w:vAlign w:val="bottom"/>
          </w:tcPr>
          <w:p w14:paraId="07DCE64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4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646" w14:textId="77777777" w:rsidR="00AE727E" w:rsidRDefault="008433E0">
            <w:pPr>
              <w:jc w:val="right"/>
              <w:textAlignment w:val="bottom"/>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bottom"/>
          </w:tcPr>
          <w:p w14:paraId="07DCE64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4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649" w14:textId="77777777" w:rsidR="00AE727E" w:rsidRDefault="008433E0">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7DCE64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4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64C" w14:textId="77777777" w:rsidR="00AE727E" w:rsidRDefault="008433E0">
            <w:pPr>
              <w:jc w:val="right"/>
              <w:textAlignment w:val="bottom"/>
            </w:pPr>
            <w:r>
              <w:rPr>
                <w:rFonts w:ascii="Times New Roman" w:eastAsia="宋体" w:hAnsi="Times New Roman"/>
                <w:color w:val="000000"/>
                <w:sz w:val="20"/>
                <w:szCs w:val="20"/>
              </w:rPr>
              <w:t>(73)</w:t>
            </w:r>
          </w:p>
        </w:tc>
        <w:tc>
          <w:tcPr>
            <w:tcW w:w="0" w:type="auto"/>
            <w:shd w:val="clear" w:color="auto" w:fill="FFFFFF"/>
            <w:tcMar>
              <w:top w:w="40" w:type="dxa"/>
              <w:left w:w="0" w:type="dxa"/>
              <w:bottom w:w="40" w:type="dxa"/>
              <w:right w:w="20" w:type="dxa"/>
            </w:tcMar>
            <w:vAlign w:val="bottom"/>
          </w:tcPr>
          <w:p w14:paraId="07DCE64D" w14:textId="77777777" w:rsidR="00AE727E" w:rsidRDefault="00AE727E">
            <w:pPr>
              <w:jc w:val="right"/>
              <w:rPr>
                <w:rFonts w:ascii="宋体"/>
              </w:rPr>
            </w:pPr>
          </w:p>
        </w:tc>
      </w:tr>
      <w:tr w:rsidR="00AE727E" w14:paraId="07DCE661" w14:textId="77777777">
        <w:tc>
          <w:tcPr>
            <w:tcW w:w="0" w:type="auto"/>
            <w:gridSpan w:val="3"/>
            <w:shd w:val="clear" w:color="auto" w:fill="CCEEFF"/>
            <w:tcMar>
              <w:top w:w="40" w:type="dxa"/>
              <w:left w:w="155" w:type="dxa"/>
              <w:bottom w:w="40" w:type="dxa"/>
              <w:right w:w="20" w:type="dxa"/>
            </w:tcMar>
            <w:vAlign w:val="bottom"/>
          </w:tcPr>
          <w:p w14:paraId="07DCE64F" w14:textId="77777777" w:rsidR="00AE727E" w:rsidRDefault="008433E0">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CCEEFF"/>
            <w:tcMar>
              <w:top w:w="40" w:type="dxa"/>
              <w:left w:w="20" w:type="dxa"/>
              <w:bottom w:w="40" w:type="dxa"/>
              <w:right w:w="0" w:type="dxa"/>
            </w:tcMar>
            <w:vAlign w:val="bottom"/>
          </w:tcPr>
          <w:p w14:paraId="07DCE650" w14:textId="77777777" w:rsidR="00AE727E" w:rsidRDefault="008433E0">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07DCE65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5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53" w14:textId="77777777" w:rsidR="00AE727E" w:rsidRDefault="008433E0">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07DCE65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5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56" w14:textId="77777777" w:rsidR="00AE727E" w:rsidRDefault="008433E0">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07DCE65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5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59" w14:textId="77777777" w:rsidR="00AE727E" w:rsidRDefault="008433E0">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07DCE65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5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5C" w14:textId="77777777" w:rsidR="00AE727E" w:rsidRDefault="008433E0">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07DCE65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5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65F" w14:textId="77777777" w:rsidR="00AE727E" w:rsidRDefault="008433E0">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07DCE660" w14:textId="77777777" w:rsidR="00AE727E" w:rsidRDefault="00AE727E">
            <w:pPr>
              <w:jc w:val="right"/>
              <w:rPr>
                <w:rFonts w:ascii="宋体"/>
              </w:rPr>
            </w:pPr>
          </w:p>
        </w:tc>
      </w:tr>
      <w:tr w:rsidR="00AE727E" w14:paraId="07DCE67A" w14:textId="77777777">
        <w:tc>
          <w:tcPr>
            <w:tcW w:w="0" w:type="auto"/>
            <w:gridSpan w:val="3"/>
            <w:shd w:val="clear" w:color="auto" w:fill="FFFFFF"/>
            <w:tcMar>
              <w:top w:w="40" w:type="dxa"/>
              <w:left w:w="20" w:type="dxa"/>
              <w:bottom w:w="40" w:type="dxa"/>
              <w:right w:w="20" w:type="dxa"/>
            </w:tcMar>
            <w:vAlign w:val="bottom"/>
          </w:tcPr>
          <w:p w14:paraId="07DCE662" w14:textId="77777777" w:rsidR="00AE727E" w:rsidRDefault="008433E0">
            <w:pPr>
              <w:textAlignment w:val="bottom"/>
            </w:pPr>
            <w:r>
              <w:rPr>
                <w:rFonts w:ascii="Times New Roman" w:eastAsia="宋体" w:hAnsi="Times New Roman"/>
                <w:color w:val="000000"/>
                <w:sz w:val="20"/>
                <w:szCs w:val="20"/>
              </w:rPr>
              <w:t>Balances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6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64" w14:textId="77777777" w:rsidR="00AE727E" w:rsidRDefault="008433E0">
            <w:pPr>
              <w:jc w:val="right"/>
              <w:textAlignment w:val="bottom"/>
            </w:pPr>
            <w:r>
              <w:rPr>
                <w:rFonts w:ascii="Times New Roman" w:eastAsia="宋体" w:hAnsi="Times New Roman"/>
                <w:color w:val="000000"/>
                <w:sz w:val="20"/>
                <w:szCs w:val="20"/>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6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6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6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68" w14:textId="77777777" w:rsidR="00AE727E" w:rsidRDefault="008433E0">
            <w:pPr>
              <w:jc w:val="right"/>
              <w:textAlignment w:val="bottom"/>
            </w:pPr>
            <w:r>
              <w:rPr>
                <w:rFonts w:ascii="Times New Roman" w:eastAsia="宋体" w:hAnsi="Times New Roman"/>
                <w:color w:val="000000"/>
                <w:sz w:val="20"/>
                <w:szCs w:val="20"/>
              </w:rPr>
              <w:t>113 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6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6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6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6C" w14:textId="77777777" w:rsidR="00AE727E" w:rsidRDefault="008433E0">
            <w:pPr>
              <w:jc w:val="right"/>
              <w:textAlignment w:val="bottom"/>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6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6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6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70" w14:textId="77777777" w:rsidR="00AE727E" w:rsidRDefault="008433E0">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7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7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7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74" w14:textId="77777777" w:rsidR="00AE727E" w:rsidRDefault="008433E0">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7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67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67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678" w14:textId="77777777" w:rsidR="00AE727E" w:rsidRDefault="008433E0">
            <w:pPr>
              <w:jc w:val="right"/>
              <w:textAlignment w:val="bottom"/>
            </w:pPr>
            <w:r>
              <w:rPr>
                <w:rFonts w:ascii="Times New Roman" w:eastAsia="宋体" w:hAnsi="Times New Roman"/>
                <w:color w:val="000000"/>
                <w:sz w:val="20"/>
                <w:szCs w:val="20"/>
              </w:rPr>
              <w:t>307 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679" w14:textId="77777777" w:rsidR="00AE727E" w:rsidRDefault="00AE727E">
            <w:pPr>
              <w:jc w:val="right"/>
              <w:rPr>
                <w:rFonts w:ascii="宋体"/>
              </w:rPr>
            </w:pPr>
          </w:p>
        </w:tc>
      </w:tr>
      <w:tr w:rsidR="00AE727E" w14:paraId="07DCE687" w14:textId="77777777">
        <w:trPr>
          <w:hidden/>
        </w:trPr>
        <w:tc>
          <w:tcPr>
            <w:tcW w:w="0" w:type="auto"/>
            <w:gridSpan w:val="3"/>
            <w:shd w:val="clear" w:color="auto" w:fill="auto"/>
            <w:vAlign w:val="bottom"/>
          </w:tcPr>
          <w:p w14:paraId="07DCE67B" w14:textId="77777777" w:rsidR="00AE727E" w:rsidRDefault="00AE727E">
            <w:pPr>
              <w:rPr>
                <w:rFonts w:ascii="宋体"/>
                <w:vanish/>
              </w:rPr>
            </w:pPr>
          </w:p>
        </w:tc>
        <w:tc>
          <w:tcPr>
            <w:tcW w:w="0" w:type="auto"/>
            <w:gridSpan w:val="3"/>
            <w:shd w:val="clear" w:color="auto" w:fill="auto"/>
            <w:vAlign w:val="bottom"/>
          </w:tcPr>
          <w:p w14:paraId="07DCE67C" w14:textId="77777777" w:rsidR="00AE727E" w:rsidRDefault="00AE727E">
            <w:pPr>
              <w:rPr>
                <w:rFonts w:ascii="宋体"/>
                <w:vanish/>
              </w:rPr>
            </w:pPr>
          </w:p>
        </w:tc>
        <w:tc>
          <w:tcPr>
            <w:tcW w:w="0" w:type="auto"/>
            <w:gridSpan w:val="3"/>
            <w:shd w:val="clear" w:color="auto" w:fill="auto"/>
            <w:vAlign w:val="bottom"/>
          </w:tcPr>
          <w:p w14:paraId="07DCE67D" w14:textId="77777777" w:rsidR="00AE727E" w:rsidRDefault="00AE727E">
            <w:pPr>
              <w:rPr>
                <w:rFonts w:ascii="宋体"/>
                <w:vanish/>
              </w:rPr>
            </w:pPr>
          </w:p>
        </w:tc>
        <w:tc>
          <w:tcPr>
            <w:tcW w:w="0" w:type="auto"/>
            <w:gridSpan w:val="3"/>
            <w:shd w:val="clear" w:color="auto" w:fill="auto"/>
            <w:vAlign w:val="bottom"/>
          </w:tcPr>
          <w:p w14:paraId="07DCE67E" w14:textId="77777777" w:rsidR="00AE727E" w:rsidRDefault="00AE727E">
            <w:pPr>
              <w:rPr>
                <w:rFonts w:ascii="宋体"/>
                <w:vanish/>
              </w:rPr>
            </w:pPr>
          </w:p>
        </w:tc>
        <w:tc>
          <w:tcPr>
            <w:tcW w:w="0" w:type="auto"/>
            <w:gridSpan w:val="3"/>
            <w:shd w:val="clear" w:color="auto" w:fill="auto"/>
            <w:vAlign w:val="bottom"/>
          </w:tcPr>
          <w:p w14:paraId="07DCE67F" w14:textId="77777777" w:rsidR="00AE727E" w:rsidRDefault="00AE727E">
            <w:pPr>
              <w:rPr>
                <w:rFonts w:ascii="宋体"/>
                <w:vanish/>
              </w:rPr>
            </w:pPr>
          </w:p>
        </w:tc>
        <w:tc>
          <w:tcPr>
            <w:tcW w:w="0" w:type="auto"/>
            <w:gridSpan w:val="3"/>
            <w:shd w:val="clear" w:color="auto" w:fill="auto"/>
            <w:vAlign w:val="bottom"/>
          </w:tcPr>
          <w:p w14:paraId="07DCE680" w14:textId="77777777" w:rsidR="00AE727E" w:rsidRDefault="00AE727E">
            <w:pPr>
              <w:rPr>
                <w:rFonts w:ascii="宋体"/>
                <w:vanish/>
              </w:rPr>
            </w:pPr>
          </w:p>
        </w:tc>
        <w:tc>
          <w:tcPr>
            <w:tcW w:w="0" w:type="auto"/>
            <w:gridSpan w:val="3"/>
            <w:shd w:val="clear" w:color="auto" w:fill="auto"/>
            <w:vAlign w:val="bottom"/>
          </w:tcPr>
          <w:p w14:paraId="07DCE681" w14:textId="77777777" w:rsidR="00AE727E" w:rsidRDefault="00AE727E">
            <w:pPr>
              <w:rPr>
                <w:rFonts w:ascii="宋体"/>
                <w:vanish/>
              </w:rPr>
            </w:pPr>
          </w:p>
        </w:tc>
        <w:tc>
          <w:tcPr>
            <w:tcW w:w="0" w:type="auto"/>
            <w:gridSpan w:val="3"/>
            <w:shd w:val="clear" w:color="auto" w:fill="auto"/>
            <w:vAlign w:val="bottom"/>
          </w:tcPr>
          <w:p w14:paraId="07DCE682" w14:textId="77777777" w:rsidR="00AE727E" w:rsidRDefault="00AE727E">
            <w:pPr>
              <w:rPr>
                <w:rFonts w:ascii="宋体"/>
                <w:vanish/>
              </w:rPr>
            </w:pPr>
          </w:p>
        </w:tc>
        <w:tc>
          <w:tcPr>
            <w:tcW w:w="0" w:type="auto"/>
            <w:gridSpan w:val="3"/>
            <w:shd w:val="clear" w:color="auto" w:fill="auto"/>
            <w:vAlign w:val="bottom"/>
          </w:tcPr>
          <w:p w14:paraId="07DCE683" w14:textId="77777777" w:rsidR="00AE727E" w:rsidRDefault="00AE727E">
            <w:pPr>
              <w:rPr>
                <w:rFonts w:ascii="宋体"/>
                <w:vanish/>
              </w:rPr>
            </w:pPr>
          </w:p>
        </w:tc>
        <w:tc>
          <w:tcPr>
            <w:tcW w:w="0" w:type="auto"/>
            <w:gridSpan w:val="3"/>
            <w:shd w:val="clear" w:color="auto" w:fill="auto"/>
            <w:vAlign w:val="bottom"/>
          </w:tcPr>
          <w:p w14:paraId="07DCE684" w14:textId="77777777" w:rsidR="00AE727E" w:rsidRDefault="00AE727E">
            <w:pPr>
              <w:rPr>
                <w:rFonts w:ascii="宋体"/>
                <w:vanish/>
              </w:rPr>
            </w:pPr>
          </w:p>
        </w:tc>
        <w:tc>
          <w:tcPr>
            <w:tcW w:w="0" w:type="auto"/>
            <w:gridSpan w:val="3"/>
            <w:shd w:val="clear" w:color="auto" w:fill="auto"/>
            <w:vAlign w:val="bottom"/>
          </w:tcPr>
          <w:p w14:paraId="07DCE685" w14:textId="77777777" w:rsidR="00AE727E" w:rsidRDefault="00AE727E">
            <w:pPr>
              <w:rPr>
                <w:rFonts w:ascii="宋体"/>
                <w:vanish/>
              </w:rPr>
            </w:pPr>
          </w:p>
        </w:tc>
        <w:tc>
          <w:tcPr>
            <w:tcW w:w="0" w:type="auto"/>
            <w:gridSpan w:val="3"/>
            <w:shd w:val="clear" w:color="auto" w:fill="auto"/>
            <w:vAlign w:val="bottom"/>
          </w:tcPr>
          <w:p w14:paraId="07DCE686" w14:textId="77777777" w:rsidR="00AE727E" w:rsidRDefault="00AE727E">
            <w:pPr>
              <w:rPr>
                <w:rFonts w:ascii="宋体"/>
                <w:vanish/>
              </w:rPr>
            </w:pPr>
          </w:p>
        </w:tc>
      </w:tr>
    </w:tbl>
    <w:p w14:paraId="07DCE688" w14:textId="77777777" w:rsidR="00AE727E" w:rsidRDefault="00AE727E">
      <w:pPr>
        <w:jc w:val="center"/>
      </w:pPr>
    </w:p>
    <w:p w14:paraId="07DCE689" w14:textId="77777777" w:rsidR="00AE727E" w:rsidRDefault="008433E0">
      <w:pPr>
        <w:jc w:val="center"/>
      </w:pPr>
      <w:r>
        <w:rPr>
          <w:rFonts w:ascii="Times New Roman" w:eastAsia="宋体" w:hAnsi="Times New Roman"/>
          <w:color w:val="000000"/>
          <w:sz w:val="20"/>
          <w:szCs w:val="20"/>
        </w:rPr>
        <w:t>18</w:t>
      </w:r>
    </w:p>
    <w:p w14:paraId="07DCE68A" w14:textId="77777777" w:rsidR="00AE727E" w:rsidRDefault="00AE727E">
      <w:pPr>
        <w:jc w:val="center"/>
      </w:pPr>
    </w:p>
    <w:p w14:paraId="07DCE68B" w14:textId="77777777" w:rsidR="00AE727E" w:rsidRDefault="008433E0">
      <w:r>
        <w:pict w14:anchorId="07DD18E2">
          <v:rect id="_x0000_i1042" style="width:415.3pt;height:1.5pt" o:hralign="center" o:hrstd="t" o:hr="t" fillcolor="#a0a0a0" stroked="f"/>
        </w:pict>
      </w:r>
    </w:p>
    <w:p w14:paraId="07DCE68C" w14:textId="77777777" w:rsidR="00AE727E" w:rsidRDefault="008433E0">
      <w:hyperlink r:id="rId143" w:anchor="i1c8279be622a460ea19600488436f115_10" w:history="1">
        <w:r>
          <w:rPr>
            <w:rStyle w:val="a5"/>
            <w:rFonts w:ascii="Times New Roman" w:eastAsia="宋体" w:hAnsi="Times New Roman"/>
            <w:sz w:val="20"/>
            <w:szCs w:val="20"/>
          </w:rPr>
          <w:t>Table of Contents</w:t>
        </w:r>
      </w:hyperlink>
    </w:p>
    <w:p w14:paraId="07DCE68D"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68E"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68F"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690" w14:textId="77777777" w:rsidR="00AE727E" w:rsidRDefault="00AE727E">
      <w:pPr>
        <w:jc w:val="center"/>
      </w:pPr>
    </w:p>
    <w:p w14:paraId="07DCE691" w14:textId="77777777" w:rsidR="00AE727E" w:rsidRDefault="008433E0">
      <w:r>
        <w:rPr>
          <w:rFonts w:ascii="Times New Roman" w:eastAsia="宋体" w:hAnsi="Times New Roman"/>
          <w:i/>
          <w:iCs/>
          <w:color w:val="000000"/>
          <w:sz w:val="20"/>
          <w:szCs w:val="20"/>
          <w:u w:val="single"/>
        </w:rPr>
        <w:t>Aging</w:t>
      </w:r>
    </w:p>
    <w:p w14:paraId="07DCE692" w14:textId="77777777" w:rsidR="00AE727E" w:rsidRDefault="00AE727E"/>
    <w:p w14:paraId="07DCE693" w14:textId="77777777" w:rsidR="00AE727E" w:rsidRDefault="008433E0">
      <w:pPr>
        <w:spacing w:after="60"/>
      </w:pPr>
      <w:r>
        <w:rPr>
          <w:rFonts w:ascii="Times New Roman" w:eastAsia="宋体" w:hAnsi="Times New Roman"/>
          <w:color w:val="000000"/>
          <w:sz w:val="20"/>
          <w:szCs w:val="20"/>
        </w:rPr>
        <w:t>The following table presents the aging of the Company’s customer financing receivables, gross, including accrued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232"/>
        <w:gridCol w:w="38"/>
        <w:gridCol w:w="121"/>
        <w:gridCol w:w="647"/>
        <w:gridCol w:w="36"/>
        <w:gridCol w:w="36"/>
        <w:gridCol w:w="36"/>
        <w:gridCol w:w="36"/>
        <w:gridCol w:w="120"/>
        <w:gridCol w:w="396"/>
        <w:gridCol w:w="36"/>
        <w:gridCol w:w="36"/>
        <w:gridCol w:w="36"/>
        <w:gridCol w:w="36"/>
        <w:gridCol w:w="121"/>
        <w:gridCol w:w="396"/>
        <w:gridCol w:w="36"/>
        <w:gridCol w:w="36"/>
        <w:gridCol w:w="36"/>
        <w:gridCol w:w="36"/>
        <w:gridCol w:w="120"/>
        <w:gridCol w:w="600"/>
        <w:gridCol w:w="36"/>
        <w:gridCol w:w="36"/>
        <w:gridCol w:w="36"/>
        <w:gridCol w:w="36"/>
        <w:gridCol w:w="121"/>
        <w:gridCol w:w="647"/>
        <w:gridCol w:w="36"/>
        <w:gridCol w:w="36"/>
        <w:gridCol w:w="36"/>
        <w:gridCol w:w="36"/>
        <w:gridCol w:w="120"/>
        <w:gridCol w:w="350"/>
        <w:gridCol w:w="36"/>
        <w:gridCol w:w="36"/>
        <w:gridCol w:w="36"/>
        <w:gridCol w:w="36"/>
        <w:gridCol w:w="120"/>
        <w:gridCol w:w="384"/>
        <w:gridCol w:w="36"/>
        <w:gridCol w:w="36"/>
        <w:gridCol w:w="36"/>
        <w:gridCol w:w="36"/>
        <w:gridCol w:w="120"/>
        <w:gridCol w:w="600"/>
        <w:gridCol w:w="36"/>
      </w:tblGrid>
      <w:tr w:rsidR="00AE727E" w14:paraId="07DCE6C4" w14:textId="77777777">
        <w:tc>
          <w:tcPr>
            <w:tcW w:w="50" w:type="pct"/>
            <w:shd w:val="clear" w:color="auto" w:fill="auto"/>
            <w:vAlign w:val="bottom"/>
          </w:tcPr>
          <w:p w14:paraId="07DCE694" w14:textId="77777777" w:rsidR="00AE727E" w:rsidRDefault="00AE727E">
            <w:pPr>
              <w:rPr>
                <w:rFonts w:ascii="宋体"/>
              </w:rPr>
            </w:pPr>
          </w:p>
        </w:tc>
        <w:tc>
          <w:tcPr>
            <w:tcW w:w="1472" w:type="pct"/>
            <w:shd w:val="clear" w:color="auto" w:fill="auto"/>
            <w:vAlign w:val="bottom"/>
          </w:tcPr>
          <w:p w14:paraId="07DCE695" w14:textId="77777777" w:rsidR="00AE727E" w:rsidRDefault="00AE727E">
            <w:pPr>
              <w:rPr>
                <w:rFonts w:ascii="宋体"/>
              </w:rPr>
            </w:pPr>
          </w:p>
        </w:tc>
        <w:tc>
          <w:tcPr>
            <w:tcW w:w="5" w:type="pct"/>
            <w:shd w:val="clear" w:color="auto" w:fill="auto"/>
            <w:vAlign w:val="bottom"/>
          </w:tcPr>
          <w:p w14:paraId="07DCE696" w14:textId="77777777" w:rsidR="00AE727E" w:rsidRDefault="00AE727E">
            <w:pPr>
              <w:rPr>
                <w:rFonts w:ascii="宋体"/>
              </w:rPr>
            </w:pPr>
          </w:p>
        </w:tc>
        <w:tc>
          <w:tcPr>
            <w:tcW w:w="50" w:type="pct"/>
            <w:shd w:val="clear" w:color="auto" w:fill="auto"/>
            <w:vAlign w:val="bottom"/>
          </w:tcPr>
          <w:p w14:paraId="07DCE697" w14:textId="77777777" w:rsidR="00AE727E" w:rsidRDefault="00AE727E">
            <w:pPr>
              <w:rPr>
                <w:rFonts w:ascii="宋体"/>
              </w:rPr>
            </w:pPr>
          </w:p>
        </w:tc>
        <w:tc>
          <w:tcPr>
            <w:tcW w:w="383" w:type="pct"/>
            <w:shd w:val="clear" w:color="auto" w:fill="auto"/>
            <w:vAlign w:val="bottom"/>
          </w:tcPr>
          <w:p w14:paraId="07DCE698" w14:textId="77777777" w:rsidR="00AE727E" w:rsidRDefault="00AE727E">
            <w:pPr>
              <w:rPr>
                <w:rFonts w:ascii="宋体"/>
              </w:rPr>
            </w:pPr>
          </w:p>
        </w:tc>
        <w:tc>
          <w:tcPr>
            <w:tcW w:w="5" w:type="pct"/>
            <w:shd w:val="clear" w:color="auto" w:fill="auto"/>
            <w:vAlign w:val="bottom"/>
          </w:tcPr>
          <w:p w14:paraId="07DCE699" w14:textId="77777777" w:rsidR="00AE727E" w:rsidRDefault="00AE727E">
            <w:pPr>
              <w:rPr>
                <w:rFonts w:ascii="宋体"/>
              </w:rPr>
            </w:pPr>
          </w:p>
        </w:tc>
        <w:tc>
          <w:tcPr>
            <w:tcW w:w="5" w:type="pct"/>
            <w:shd w:val="clear" w:color="auto" w:fill="auto"/>
            <w:vAlign w:val="bottom"/>
          </w:tcPr>
          <w:p w14:paraId="07DCE69A" w14:textId="77777777" w:rsidR="00AE727E" w:rsidRDefault="00AE727E">
            <w:pPr>
              <w:rPr>
                <w:rFonts w:ascii="宋体"/>
              </w:rPr>
            </w:pPr>
          </w:p>
        </w:tc>
        <w:tc>
          <w:tcPr>
            <w:tcW w:w="19" w:type="pct"/>
            <w:shd w:val="clear" w:color="auto" w:fill="auto"/>
            <w:vAlign w:val="bottom"/>
          </w:tcPr>
          <w:p w14:paraId="07DCE69B" w14:textId="77777777" w:rsidR="00AE727E" w:rsidRDefault="00AE727E">
            <w:pPr>
              <w:rPr>
                <w:rFonts w:ascii="宋体"/>
              </w:rPr>
            </w:pPr>
          </w:p>
        </w:tc>
        <w:tc>
          <w:tcPr>
            <w:tcW w:w="5" w:type="pct"/>
            <w:shd w:val="clear" w:color="auto" w:fill="auto"/>
            <w:vAlign w:val="bottom"/>
          </w:tcPr>
          <w:p w14:paraId="07DCE69C" w14:textId="77777777" w:rsidR="00AE727E" w:rsidRDefault="00AE727E">
            <w:pPr>
              <w:rPr>
                <w:rFonts w:ascii="宋体"/>
              </w:rPr>
            </w:pPr>
          </w:p>
        </w:tc>
        <w:tc>
          <w:tcPr>
            <w:tcW w:w="50" w:type="pct"/>
            <w:shd w:val="clear" w:color="auto" w:fill="auto"/>
            <w:vAlign w:val="bottom"/>
          </w:tcPr>
          <w:p w14:paraId="07DCE69D" w14:textId="77777777" w:rsidR="00AE727E" w:rsidRDefault="00AE727E">
            <w:pPr>
              <w:rPr>
                <w:rFonts w:ascii="宋体"/>
              </w:rPr>
            </w:pPr>
          </w:p>
        </w:tc>
        <w:tc>
          <w:tcPr>
            <w:tcW w:w="325" w:type="pct"/>
            <w:shd w:val="clear" w:color="auto" w:fill="auto"/>
            <w:vAlign w:val="bottom"/>
          </w:tcPr>
          <w:p w14:paraId="07DCE69E" w14:textId="77777777" w:rsidR="00AE727E" w:rsidRDefault="00AE727E">
            <w:pPr>
              <w:rPr>
                <w:rFonts w:ascii="宋体"/>
              </w:rPr>
            </w:pPr>
          </w:p>
        </w:tc>
        <w:tc>
          <w:tcPr>
            <w:tcW w:w="5" w:type="pct"/>
            <w:shd w:val="clear" w:color="auto" w:fill="auto"/>
            <w:vAlign w:val="bottom"/>
          </w:tcPr>
          <w:p w14:paraId="07DCE69F" w14:textId="77777777" w:rsidR="00AE727E" w:rsidRDefault="00AE727E">
            <w:pPr>
              <w:rPr>
                <w:rFonts w:ascii="宋体"/>
              </w:rPr>
            </w:pPr>
          </w:p>
        </w:tc>
        <w:tc>
          <w:tcPr>
            <w:tcW w:w="5" w:type="pct"/>
            <w:shd w:val="clear" w:color="auto" w:fill="auto"/>
            <w:vAlign w:val="bottom"/>
          </w:tcPr>
          <w:p w14:paraId="07DCE6A0" w14:textId="77777777" w:rsidR="00AE727E" w:rsidRDefault="00AE727E">
            <w:pPr>
              <w:rPr>
                <w:rFonts w:ascii="宋体"/>
              </w:rPr>
            </w:pPr>
          </w:p>
        </w:tc>
        <w:tc>
          <w:tcPr>
            <w:tcW w:w="19" w:type="pct"/>
            <w:shd w:val="clear" w:color="auto" w:fill="auto"/>
            <w:vAlign w:val="bottom"/>
          </w:tcPr>
          <w:p w14:paraId="07DCE6A1" w14:textId="77777777" w:rsidR="00AE727E" w:rsidRDefault="00AE727E">
            <w:pPr>
              <w:rPr>
                <w:rFonts w:ascii="宋体"/>
              </w:rPr>
            </w:pPr>
          </w:p>
        </w:tc>
        <w:tc>
          <w:tcPr>
            <w:tcW w:w="5" w:type="pct"/>
            <w:shd w:val="clear" w:color="auto" w:fill="auto"/>
            <w:vAlign w:val="bottom"/>
          </w:tcPr>
          <w:p w14:paraId="07DCE6A2" w14:textId="77777777" w:rsidR="00AE727E" w:rsidRDefault="00AE727E">
            <w:pPr>
              <w:rPr>
                <w:rFonts w:ascii="宋体"/>
              </w:rPr>
            </w:pPr>
          </w:p>
        </w:tc>
        <w:tc>
          <w:tcPr>
            <w:tcW w:w="50" w:type="pct"/>
            <w:shd w:val="clear" w:color="auto" w:fill="auto"/>
            <w:vAlign w:val="bottom"/>
          </w:tcPr>
          <w:p w14:paraId="07DCE6A3" w14:textId="77777777" w:rsidR="00AE727E" w:rsidRDefault="00AE727E">
            <w:pPr>
              <w:rPr>
                <w:rFonts w:ascii="宋体"/>
              </w:rPr>
            </w:pPr>
          </w:p>
        </w:tc>
        <w:tc>
          <w:tcPr>
            <w:tcW w:w="325" w:type="pct"/>
            <w:shd w:val="clear" w:color="auto" w:fill="auto"/>
            <w:vAlign w:val="bottom"/>
          </w:tcPr>
          <w:p w14:paraId="07DCE6A4" w14:textId="77777777" w:rsidR="00AE727E" w:rsidRDefault="00AE727E">
            <w:pPr>
              <w:rPr>
                <w:rFonts w:ascii="宋体"/>
              </w:rPr>
            </w:pPr>
          </w:p>
        </w:tc>
        <w:tc>
          <w:tcPr>
            <w:tcW w:w="5" w:type="pct"/>
            <w:shd w:val="clear" w:color="auto" w:fill="auto"/>
            <w:vAlign w:val="bottom"/>
          </w:tcPr>
          <w:p w14:paraId="07DCE6A5" w14:textId="77777777" w:rsidR="00AE727E" w:rsidRDefault="00AE727E">
            <w:pPr>
              <w:rPr>
                <w:rFonts w:ascii="宋体"/>
              </w:rPr>
            </w:pPr>
          </w:p>
        </w:tc>
        <w:tc>
          <w:tcPr>
            <w:tcW w:w="5" w:type="pct"/>
            <w:shd w:val="clear" w:color="auto" w:fill="auto"/>
            <w:vAlign w:val="bottom"/>
          </w:tcPr>
          <w:p w14:paraId="07DCE6A6" w14:textId="77777777" w:rsidR="00AE727E" w:rsidRDefault="00AE727E">
            <w:pPr>
              <w:rPr>
                <w:rFonts w:ascii="宋体"/>
              </w:rPr>
            </w:pPr>
          </w:p>
        </w:tc>
        <w:tc>
          <w:tcPr>
            <w:tcW w:w="19" w:type="pct"/>
            <w:shd w:val="clear" w:color="auto" w:fill="auto"/>
            <w:vAlign w:val="bottom"/>
          </w:tcPr>
          <w:p w14:paraId="07DCE6A7" w14:textId="77777777" w:rsidR="00AE727E" w:rsidRDefault="00AE727E">
            <w:pPr>
              <w:rPr>
                <w:rFonts w:ascii="宋体"/>
              </w:rPr>
            </w:pPr>
          </w:p>
        </w:tc>
        <w:tc>
          <w:tcPr>
            <w:tcW w:w="5" w:type="pct"/>
            <w:shd w:val="clear" w:color="auto" w:fill="auto"/>
            <w:vAlign w:val="bottom"/>
          </w:tcPr>
          <w:p w14:paraId="07DCE6A8" w14:textId="77777777" w:rsidR="00AE727E" w:rsidRDefault="00AE727E">
            <w:pPr>
              <w:rPr>
                <w:rFonts w:ascii="宋体"/>
              </w:rPr>
            </w:pPr>
          </w:p>
        </w:tc>
        <w:tc>
          <w:tcPr>
            <w:tcW w:w="50" w:type="pct"/>
            <w:shd w:val="clear" w:color="auto" w:fill="auto"/>
            <w:vAlign w:val="bottom"/>
          </w:tcPr>
          <w:p w14:paraId="07DCE6A9" w14:textId="77777777" w:rsidR="00AE727E" w:rsidRDefault="00AE727E">
            <w:pPr>
              <w:rPr>
                <w:rFonts w:ascii="宋体"/>
              </w:rPr>
            </w:pPr>
          </w:p>
        </w:tc>
        <w:tc>
          <w:tcPr>
            <w:tcW w:w="383" w:type="pct"/>
            <w:shd w:val="clear" w:color="auto" w:fill="auto"/>
            <w:vAlign w:val="bottom"/>
          </w:tcPr>
          <w:p w14:paraId="07DCE6AA" w14:textId="77777777" w:rsidR="00AE727E" w:rsidRDefault="00AE727E">
            <w:pPr>
              <w:rPr>
                <w:rFonts w:ascii="宋体"/>
              </w:rPr>
            </w:pPr>
          </w:p>
        </w:tc>
        <w:tc>
          <w:tcPr>
            <w:tcW w:w="5" w:type="pct"/>
            <w:shd w:val="clear" w:color="auto" w:fill="auto"/>
            <w:vAlign w:val="bottom"/>
          </w:tcPr>
          <w:p w14:paraId="07DCE6AB" w14:textId="77777777" w:rsidR="00AE727E" w:rsidRDefault="00AE727E">
            <w:pPr>
              <w:rPr>
                <w:rFonts w:ascii="宋体"/>
              </w:rPr>
            </w:pPr>
          </w:p>
        </w:tc>
        <w:tc>
          <w:tcPr>
            <w:tcW w:w="5" w:type="pct"/>
            <w:shd w:val="clear" w:color="auto" w:fill="auto"/>
            <w:vAlign w:val="bottom"/>
          </w:tcPr>
          <w:p w14:paraId="07DCE6AC" w14:textId="77777777" w:rsidR="00AE727E" w:rsidRDefault="00AE727E">
            <w:pPr>
              <w:rPr>
                <w:rFonts w:ascii="宋体"/>
              </w:rPr>
            </w:pPr>
          </w:p>
        </w:tc>
        <w:tc>
          <w:tcPr>
            <w:tcW w:w="19" w:type="pct"/>
            <w:shd w:val="clear" w:color="auto" w:fill="auto"/>
            <w:vAlign w:val="bottom"/>
          </w:tcPr>
          <w:p w14:paraId="07DCE6AD" w14:textId="77777777" w:rsidR="00AE727E" w:rsidRDefault="00AE727E">
            <w:pPr>
              <w:rPr>
                <w:rFonts w:ascii="宋体"/>
              </w:rPr>
            </w:pPr>
          </w:p>
        </w:tc>
        <w:tc>
          <w:tcPr>
            <w:tcW w:w="5" w:type="pct"/>
            <w:shd w:val="clear" w:color="auto" w:fill="auto"/>
            <w:vAlign w:val="bottom"/>
          </w:tcPr>
          <w:p w14:paraId="07DCE6AE" w14:textId="77777777" w:rsidR="00AE727E" w:rsidRDefault="00AE727E">
            <w:pPr>
              <w:rPr>
                <w:rFonts w:ascii="宋体"/>
              </w:rPr>
            </w:pPr>
          </w:p>
        </w:tc>
        <w:tc>
          <w:tcPr>
            <w:tcW w:w="50" w:type="pct"/>
            <w:shd w:val="clear" w:color="auto" w:fill="auto"/>
            <w:vAlign w:val="bottom"/>
          </w:tcPr>
          <w:p w14:paraId="07DCE6AF" w14:textId="77777777" w:rsidR="00AE727E" w:rsidRDefault="00AE727E">
            <w:pPr>
              <w:rPr>
                <w:rFonts w:ascii="宋体"/>
              </w:rPr>
            </w:pPr>
          </w:p>
        </w:tc>
        <w:tc>
          <w:tcPr>
            <w:tcW w:w="383" w:type="pct"/>
            <w:shd w:val="clear" w:color="auto" w:fill="auto"/>
            <w:vAlign w:val="bottom"/>
          </w:tcPr>
          <w:p w14:paraId="07DCE6B0" w14:textId="77777777" w:rsidR="00AE727E" w:rsidRDefault="00AE727E">
            <w:pPr>
              <w:rPr>
                <w:rFonts w:ascii="宋体"/>
              </w:rPr>
            </w:pPr>
          </w:p>
        </w:tc>
        <w:tc>
          <w:tcPr>
            <w:tcW w:w="5" w:type="pct"/>
            <w:shd w:val="clear" w:color="auto" w:fill="auto"/>
            <w:vAlign w:val="bottom"/>
          </w:tcPr>
          <w:p w14:paraId="07DCE6B1" w14:textId="77777777" w:rsidR="00AE727E" w:rsidRDefault="00AE727E">
            <w:pPr>
              <w:rPr>
                <w:rFonts w:ascii="宋体"/>
              </w:rPr>
            </w:pPr>
          </w:p>
        </w:tc>
        <w:tc>
          <w:tcPr>
            <w:tcW w:w="5" w:type="pct"/>
            <w:shd w:val="clear" w:color="auto" w:fill="auto"/>
            <w:vAlign w:val="bottom"/>
          </w:tcPr>
          <w:p w14:paraId="07DCE6B2" w14:textId="77777777" w:rsidR="00AE727E" w:rsidRDefault="00AE727E">
            <w:pPr>
              <w:rPr>
                <w:rFonts w:ascii="宋体"/>
              </w:rPr>
            </w:pPr>
          </w:p>
        </w:tc>
        <w:tc>
          <w:tcPr>
            <w:tcW w:w="19" w:type="pct"/>
            <w:shd w:val="clear" w:color="auto" w:fill="auto"/>
            <w:vAlign w:val="bottom"/>
          </w:tcPr>
          <w:p w14:paraId="07DCE6B3" w14:textId="77777777" w:rsidR="00AE727E" w:rsidRDefault="00AE727E">
            <w:pPr>
              <w:rPr>
                <w:rFonts w:ascii="宋体"/>
              </w:rPr>
            </w:pPr>
          </w:p>
        </w:tc>
        <w:tc>
          <w:tcPr>
            <w:tcW w:w="5" w:type="pct"/>
            <w:shd w:val="clear" w:color="auto" w:fill="auto"/>
            <w:vAlign w:val="bottom"/>
          </w:tcPr>
          <w:p w14:paraId="07DCE6B4" w14:textId="77777777" w:rsidR="00AE727E" w:rsidRDefault="00AE727E">
            <w:pPr>
              <w:rPr>
                <w:rFonts w:ascii="宋体"/>
              </w:rPr>
            </w:pPr>
          </w:p>
        </w:tc>
        <w:tc>
          <w:tcPr>
            <w:tcW w:w="50" w:type="pct"/>
            <w:shd w:val="clear" w:color="auto" w:fill="auto"/>
            <w:vAlign w:val="bottom"/>
          </w:tcPr>
          <w:p w14:paraId="07DCE6B5" w14:textId="77777777" w:rsidR="00AE727E" w:rsidRDefault="00AE727E">
            <w:pPr>
              <w:rPr>
                <w:rFonts w:ascii="宋体"/>
              </w:rPr>
            </w:pPr>
          </w:p>
        </w:tc>
        <w:tc>
          <w:tcPr>
            <w:tcW w:w="325" w:type="pct"/>
            <w:shd w:val="clear" w:color="auto" w:fill="auto"/>
            <w:vAlign w:val="bottom"/>
          </w:tcPr>
          <w:p w14:paraId="07DCE6B6" w14:textId="77777777" w:rsidR="00AE727E" w:rsidRDefault="00AE727E">
            <w:pPr>
              <w:rPr>
                <w:rFonts w:ascii="宋体"/>
              </w:rPr>
            </w:pPr>
          </w:p>
        </w:tc>
        <w:tc>
          <w:tcPr>
            <w:tcW w:w="5" w:type="pct"/>
            <w:shd w:val="clear" w:color="auto" w:fill="auto"/>
            <w:vAlign w:val="bottom"/>
          </w:tcPr>
          <w:p w14:paraId="07DCE6B7" w14:textId="77777777" w:rsidR="00AE727E" w:rsidRDefault="00AE727E">
            <w:pPr>
              <w:rPr>
                <w:rFonts w:ascii="宋体"/>
              </w:rPr>
            </w:pPr>
          </w:p>
        </w:tc>
        <w:tc>
          <w:tcPr>
            <w:tcW w:w="5" w:type="pct"/>
            <w:shd w:val="clear" w:color="auto" w:fill="auto"/>
            <w:vAlign w:val="bottom"/>
          </w:tcPr>
          <w:p w14:paraId="07DCE6B8" w14:textId="77777777" w:rsidR="00AE727E" w:rsidRDefault="00AE727E">
            <w:pPr>
              <w:rPr>
                <w:rFonts w:ascii="宋体"/>
              </w:rPr>
            </w:pPr>
          </w:p>
        </w:tc>
        <w:tc>
          <w:tcPr>
            <w:tcW w:w="19" w:type="pct"/>
            <w:shd w:val="clear" w:color="auto" w:fill="auto"/>
            <w:vAlign w:val="bottom"/>
          </w:tcPr>
          <w:p w14:paraId="07DCE6B9" w14:textId="77777777" w:rsidR="00AE727E" w:rsidRDefault="00AE727E">
            <w:pPr>
              <w:rPr>
                <w:rFonts w:ascii="宋体"/>
              </w:rPr>
            </w:pPr>
          </w:p>
        </w:tc>
        <w:tc>
          <w:tcPr>
            <w:tcW w:w="5" w:type="pct"/>
            <w:shd w:val="clear" w:color="auto" w:fill="auto"/>
            <w:vAlign w:val="bottom"/>
          </w:tcPr>
          <w:p w14:paraId="07DCE6BA" w14:textId="77777777" w:rsidR="00AE727E" w:rsidRDefault="00AE727E">
            <w:pPr>
              <w:rPr>
                <w:rFonts w:ascii="宋体"/>
              </w:rPr>
            </w:pPr>
          </w:p>
        </w:tc>
        <w:tc>
          <w:tcPr>
            <w:tcW w:w="50" w:type="pct"/>
            <w:shd w:val="clear" w:color="auto" w:fill="auto"/>
            <w:vAlign w:val="bottom"/>
          </w:tcPr>
          <w:p w14:paraId="07DCE6BB" w14:textId="77777777" w:rsidR="00AE727E" w:rsidRDefault="00AE727E">
            <w:pPr>
              <w:rPr>
                <w:rFonts w:ascii="宋体"/>
              </w:rPr>
            </w:pPr>
          </w:p>
        </w:tc>
        <w:tc>
          <w:tcPr>
            <w:tcW w:w="325" w:type="pct"/>
            <w:shd w:val="clear" w:color="auto" w:fill="auto"/>
            <w:vAlign w:val="bottom"/>
          </w:tcPr>
          <w:p w14:paraId="07DCE6BC" w14:textId="77777777" w:rsidR="00AE727E" w:rsidRDefault="00AE727E">
            <w:pPr>
              <w:rPr>
                <w:rFonts w:ascii="宋体"/>
              </w:rPr>
            </w:pPr>
          </w:p>
        </w:tc>
        <w:tc>
          <w:tcPr>
            <w:tcW w:w="5" w:type="pct"/>
            <w:shd w:val="clear" w:color="auto" w:fill="auto"/>
            <w:vAlign w:val="bottom"/>
          </w:tcPr>
          <w:p w14:paraId="07DCE6BD" w14:textId="77777777" w:rsidR="00AE727E" w:rsidRDefault="00AE727E">
            <w:pPr>
              <w:rPr>
                <w:rFonts w:ascii="宋体"/>
              </w:rPr>
            </w:pPr>
          </w:p>
        </w:tc>
        <w:tc>
          <w:tcPr>
            <w:tcW w:w="5" w:type="pct"/>
            <w:shd w:val="clear" w:color="auto" w:fill="auto"/>
            <w:vAlign w:val="bottom"/>
          </w:tcPr>
          <w:p w14:paraId="07DCE6BE" w14:textId="77777777" w:rsidR="00AE727E" w:rsidRDefault="00AE727E">
            <w:pPr>
              <w:rPr>
                <w:rFonts w:ascii="宋体"/>
              </w:rPr>
            </w:pPr>
          </w:p>
        </w:tc>
        <w:tc>
          <w:tcPr>
            <w:tcW w:w="19" w:type="pct"/>
            <w:shd w:val="clear" w:color="auto" w:fill="auto"/>
            <w:vAlign w:val="bottom"/>
          </w:tcPr>
          <w:p w14:paraId="07DCE6BF" w14:textId="77777777" w:rsidR="00AE727E" w:rsidRDefault="00AE727E">
            <w:pPr>
              <w:rPr>
                <w:rFonts w:ascii="宋体"/>
              </w:rPr>
            </w:pPr>
          </w:p>
        </w:tc>
        <w:tc>
          <w:tcPr>
            <w:tcW w:w="5" w:type="pct"/>
            <w:shd w:val="clear" w:color="auto" w:fill="auto"/>
            <w:vAlign w:val="bottom"/>
          </w:tcPr>
          <w:p w14:paraId="07DCE6C0" w14:textId="77777777" w:rsidR="00AE727E" w:rsidRDefault="00AE727E">
            <w:pPr>
              <w:rPr>
                <w:rFonts w:ascii="宋体"/>
              </w:rPr>
            </w:pPr>
          </w:p>
        </w:tc>
        <w:tc>
          <w:tcPr>
            <w:tcW w:w="50" w:type="pct"/>
            <w:shd w:val="clear" w:color="auto" w:fill="auto"/>
            <w:vAlign w:val="bottom"/>
          </w:tcPr>
          <w:p w14:paraId="07DCE6C1" w14:textId="77777777" w:rsidR="00AE727E" w:rsidRDefault="00AE727E">
            <w:pPr>
              <w:rPr>
                <w:rFonts w:ascii="宋体"/>
              </w:rPr>
            </w:pPr>
          </w:p>
        </w:tc>
        <w:tc>
          <w:tcPr>
            <w:tcW w:w="376" w:type="pct"/>
            <w:shd w:val="clear" w:color="auto" w:fill="auto"/>
            <w:vAlign w:val="bottom"/>
          </w:tcPr>
          <w:p w14:paraId="07DCE6C2" w14:textId="77777777" w:rsidR="00AE727E" w:rsidRDefault="00AE727E">
            <w:pPr>
              <w:rPr>
                <w:rFonts w:ascii="宋体"/>
              </w:rPr>
            </w:pPr>
          </w:p>
        </w:tc>
        <w:tc>
          <w:tcPr>
            <w:tcW w:w="5" w:type="pct"/>
            <w:shd w:val="clear" w:color="auto" w:fill="auto"/>
            <w:vAlign w:val="bottom"/>
          </w:tcPr>
          <w:p w14:paraId="07DCE6C3" w14:textId="77777777" w:rsidR="00AE727E" w:rsidRDefault="00AE727E">
            <w:pPr>
              <w:rPr>
                <w:rFonts w:ascii="宋体"/>
              </w:rPr>
            </w:pPr>
          </w:p>
        </w:tc>
      </w:tr>
      <w:tr w:rsidR="00AE727E" w14:paraId="07DCE6C9" w14:textId="77777777">
        <w:tc>
          <w:tcPr>
            <w:tcW w:w="0" w:type="auto"/>
            <w:gridSpan w:val="3"/>
            <w:shd w:val="clear" w:color="auto" w:fill="auto"/>
            <w:tcMar>
              <w:top w:w="0" w:type="dxa"/>
              <w:left w:w="20" w:type="dxa"/>
              <w:bottom w:w="0" w:type="dxa"/>
              <w:right w:w="20" w:type="dxa"/>
            </w:tcMar>
            <w:vAlign w:val="bottom"/>
          </w:tcPr>
          <w:p w14:paraId="07DCE6C5" w14:textId="77777777" w:rsidR="00AE727E" w:rsidRDefault="00AE727E">
            <w:pPr>
              <w:rPr>
                <w:rFonts w:ascii="宋体"/>
              </w:rPr>
            </w:pPr>
          </w:p>
        </w:tc>
        <w:tc>
          <w:tcPr>
            <w:tcW w:w="0" w:type="auto"/>
            <w:gridSpan w:val="21"/>
            <w:shd w:val="clear" w:color="auto" w:fill="auto"/>
            <w:tcMar>
              <w:top w:w="40" w:type="dxa"/>
              <w:left w:w="20" w:type="dxa"/>
              <w:bottom w:w="40" w:type="dxa"/>
              <w:right w:w="20" w:type="dxa"/>
            </w:tcMar>
            <w:vAlign w:val="bottom"/>
          </w:tcPr>
          <w:p w14:paraId="07DCE6C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6C7" w14:textId="77777777" w:rsidR="00AE727E" w:rsidRDefault="00AE727E">
            <w:pPr>
              <w:rPr>
                <w:rFonts w:ascii="宋体"/>
              </w:rPr>
            </w:pPr>
          </w:p>
        </w:tc>
        <w:tc>
          <w:tcPr>
            <w:tcW w:w="0" w:type="auto"/>
            <w:gridSpan w:val="21"/>
            <w:shd w:val="clear" w:color="auto" w:fill="auto"/>
            <w:tcMar>
              <w:top w:w="40" w:type="dxa"/>
              <w:left w:w="20" w:type="dxa"/>
              <w:bottom w:w="40" w:type="dxa"/>
              <w:right w:w="20" w:type="dxa"/>
            </w:tcMar>
            <w:vAlign w:val="bottom"/>
          </w:tcPr>
          <w:p w14:paraId="07DCE6C8"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6DA" w14:textId="77777777">
        <w:tc>
          <w:tcPr>
            <w:tcW w:w="0" w:type="auto"/>
            <w:gridSpan w:val="3"/>
            <w:shd w:val="clear" w:color="auto" w:fill="auto"/>
            <w:tcMar>
              <w:top w:w="0" w:type="dxa"/>
              <w:left w:w="20" w:type="dxa"/>
              <w:bottom w:w="0" w:type="dxa"/>
              <w:right w:w="20" w:type="dxa"/>
            </w:tcMar>
            <w:vAlign w:val="bottom"/>
          </w:tcPr>
          <w:p w14:paraId="07DCE6C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6CB" w14:textId="77777777" w:rsidR="00AE727E" w:rsidRDefault="008433E0">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C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CD" w14:textId="77777777" w:rsidR="00AE727E" w:rsidRDefault="008433E0">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C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CF" w14:textId="77777777" w:rsidR="00AE727E" w:rsidRDefault="008433E0">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D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D1" w14:textId="77777777" w:rsidR="00AE727E" w:rsidRDefault="008433E0">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E6D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D3" w14:textId="77777777" w:rsidR="00AE727E" w:rsidRDefault="008433E0">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D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D5" w14:textId="77777777" w:rsidR="00AE727E" w:rsidRDefault="008433E0">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D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D7" w14:textId="77777777" w:rsidR="00AE727E" w:rsidRDefault="008433E0">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6D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6D9"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6DD" w14:textId="77777777">
        <w:tc>
          <w:tcPr>
            <w:tcW w:w="0" w:type="auto"/>
            <w:gridSpan w:val="3"/>
            <w:shd w:val="clear" w:color="auto" w:fill="auto"/>
            <w:tcMar>
              <w:top w:w="0" w:type="dxa"/>
              <w:left w:w="20" w:type="dxa"/>
              <w:bottom w:w="0" w:type="dxa"/>
              <w:right w:w="20" w:type="dxa"/>
            </w:tcMar>
            <w:vAlign w:val="bottom"/>
          </w:tcPr>
          <w:p w14:paraId="07DCE6DB" w14:textId="77777777" w:rsidR="00AE727E" w:rsidRDefault="00AE727E">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07DCE6DC" w14:textId="77777777" w:rsidR="00AE727E" w:rsidRDefault="008433E0">
            <w:pPr>
              <w:jc w:val="center"/>
              <w:textAlignment w:val="center"/>
            </w:pPr>
            <w:r>
              <w:rPr>
                <w:rFonts w:ascii="Times New Roman" w:eastAsia="宋体" w:hAnsi="Times New Roman"/>
                <w:color w:val="000000"/>
                <w:sz w:val="20"/>
                <w:szCs w:val="20"/>
              </w:rPr>
              <w:t>(in millions)</w:t>
            </w:r>
          </w:p>
        </w:tc>
      </w:tr>
      <w:tr w:rsidR="008433E0" w14:paraId="07DCE6FE" w14:textId="77777777">
        <w:tc>
          <w:tcPr>
            <w:tcW w:w="0" w:type="auto"/>
            <w:gridSpan w:val="3"/>
            <w:shd w:val="clear" w:color="auto" w:fill="CCEEFF"/>
            <w:tcMar>
              <w:top w:w="40" w:type="dxa"/>
              <w:left w:w="20" w:type="dxa"/>
              <w:bottom w:w="40" w:type="dxa"/>
              <w:right w:w="20" w:type="dxa"/>
            </w:tcMar>
            <w:vAlign w:val="bottom"/>
          </w:tcPr>
          <w:p w14:paraId="07DCE6DE" w14:textId="77777777" w:rsidR="00AE727E" w:rsidRDefault="008433E0">
            <w:pPr>
              <w:textAlignment w:val="bottom"/>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center"/>
          </w:tcPr>
          <w:p w14:paraId="07DCE6D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E0" w14:textId="77777777" w:rsidR="00AE727E" w:rsidRDefault="008433E0">
            <w:pPr>
              <w:jc w:val="right"/>
              <w:textAlignment w:val="center"/>
            </w:pPr>
            <w:r>
              <w:rPr>
                <w:rFonts w:ascii="Times New Roman" w:eastAsia="宋体" w:hAnsi="Times New Roman"/>
                <w:color w:val="000000"/>
                <w:sz w:val="20"/>
                <w:szCs w:val="20"/>
              </w:rPr>
              <w:t>485 </w:t>
            </w:r>
          </w:p>
        </w:tc>
        <w:tc>
          <w:tcPr>
            <w:tcW w:w="0" w:type="auto"/>
            <w:shd w:val="clear" w:color="auto" w:fill="CCEEFF"/>
            <w:tcMar>
              <w:top w:w="40" w:type="dxa"/>
              <w:left w:w="0" w:type="dxa"/>
              <w:bottom w:w="40" w:type="dxa"/>
              <w:right w:w="20" w:type="dxa"/>
            </w:tcMar>
            <w:vAlign w:val="center"/>
          </w:tcPr>
          <w:p w14:paraId="07DCE6E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E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E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E4" w14:textId="77777777" w:rsidR="00AE727E" w:rsidRDefault="008433E0">
            <w:pPr>
              <w:jc w:val="right"/>
              <w:textAlignment w:val="center"/>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center"/>
          </w:tcPr>
          <w:p w14:paraId="07DCE6E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E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E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E8"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07DCE6E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E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E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EC" w14:textId="77777777" w:rsidR="00AE727E" w:rsidRDefault="008433E0">
            <w:pPr>
              <w:jc w:val="right"/>
              <w:textAlignment w:val="center"/>
            </w:pPr>
            <w:r>
              <w:rPr>
                <w:rFonts w:ascii="Times New Roman" w:eastAsia="宋体" w:hAnsi="Times New Roman"/>
                <w:color w:val="000000"/>
                <w:sz w:val="20"/>
                <w:szCs w:val="20"/>
              </w:rPr>
              <w:t>529 </w:t>
            </w:r>
          </w:p>
        </w:tc>
        <w:tc>
          <w:tcPr>
            <w:tcW w:w="0" w:type="auto"/>
            <w:shd w:val="clear" w:color="auto" w:fill="CCEEFF"/>
            <w:tcMar>
              <w:top w:w="40" w:type="dxa"/>
              <w:left w:w="0" w:type="dxa"/>
              <w:bottom w:w="40" w:type="dxa"/>
              <w:right w:w="20" w:type="dxa"/>
            </w:tcMar>
            <w:vAlign w:val="center"/>
          </w:tcPr>
          <w:p w14:paraId="07DCE6E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E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E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F0" w14:textId="77777777" w:rsidR="00AE727E" w:rsidRDefault="008433E0">
            <w:pPr>
              <w:jc w:val="right"/>
              <w:textAlignment w:val="center"/>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center"/>
          </w:tcPr>
          <w:p w14:paraId="07DCE6F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F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F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F4" w14:textId="77777777" w:rsidR="00AE727E" w:rsidRDefault="008433E0">
            <w:pPr>
              <w:jc w:val="right"/>
              <w:textAlignment w:val="center"/>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center"/>
          </w:tcPr>
          <w:p w14:paraId="07DCE6F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F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F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F8" w14:textId="77777777" w:rsidR="00AE727E" w:rsidRDefault="008433E0">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center"/>
          </w:tcPr>
          <w:p w14:paraId="07DCE6F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6F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6F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6FC" w14:textId="77777777" w:rsidR="00AE727E" w:rsidRDefault="008433E0">
            <w:pPr>
              <w:jc w:val="right"/>
              <w:textAlignment w:val="center"/>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center"/>
          </w:tcPr>
          <w:p w14:paraId="07DCE6FD" w14:textId="77777777" w:rsidR="00AE727E" w:rsidRDefault="00AE727E">
            <w:pPr>
              <w:jc w:val="right"/>
              <w:rPr>
                <w:rFonts w:ascii="宋体"/>
              </w:rPr>
            </w:pPr>
          </w:p>
        </w:tc>
      </w:tr>
      <w:tr w:rsidR="00AE727E" w14:paraId="07DCE717" w14:textId="77777777">
        <w:tc>
          <w:tcPr>
            <w:tcW w:w="0" w:type="auto"/>
            <w:gridSpan w:val="3"/>
            <w:shd w:val="clear" w:color="auto" w:fill="FFFFFF"/>
            <w:tcMar>
              <w:top w:w="40" w:type="dxa"/>
              <w:left w:w="20" w:type="dxa"/>
              <w:bottom w:w="40" w:type="dxa"/>
              <w:right w:w="20" w:type="dxa"/>
            </w:tcMar>
            <w:vAlign w:val="bottom"/>
          </w:tcPr>
          <w:p w14:paraId="07DCE6FF" w14:textId="77777777" w:rsidR="00AE727E" w:rsidRDefault="008433E0">
            <w:pPr>
              <w:textAlignment w:val="bottom"/>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center"/>
          </w:tcPr>
          <w:p w14:paraId="07DCE700" w14:textId="77777777" w:rsidR="00AE727E" w:rsidRDefault="008433E0">
            <w:pPr>
              <w:jc w:val="right"/>
              <w:textAlignment w:val="center"/>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center"/>
          </w:tcPr>
          <w:p w14:paraId="07DCE70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0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03"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center"/>
          </w:tcPr>
          <w:p w14:paraId="07DCE70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0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06" w14:textId="77777777" w:rsidR="00AE727E" w:rsidRDefault="008433E0">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07DCE70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0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09" w14:textId="77777777" w:rsidR="00AE727E" w:rsidRDefault="008433E0">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center"/>
          </w:tcPr>
          <w:p w14:paraId="07DCE7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0C" w14:textId="77777777" w:rsidR="00AE727E" w:rsidRDefault="008433E0">
            <w:pPr>
              <w:jc w:val="right"/>
              <w:textAlignment w:val="center"/>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center"/>
          </w:tcPr>
          <w:p w14:paraId="07DCE7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0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0F" w14:textId="77777777" w:rsidR="00AE727E" w:rsidRDefault="008433E0">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07DCE7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1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12" w14:textId="77777777" w:rsidR="00AE727E" w:rsidRDefault="008433E0">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07DCE7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1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715" w14:textId="77777777" w:rsidR="00AE727E" w:rsidRDefault="008433E0">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center"/>
          </w:tcPr>
          <w:p w14:paraId="07DCE716" w14:textId="77777777" w:rsidR="00AE727E" w:rsidRDefault="00AE727E">
            <w:pPr>
              <w:jc w:val="right"/>
              <w:rPr>
                <w:rFonts w:ascii="宋体"/>
              </w:rPr>
            </w:pPr>
          </w:p>
        </w:tc>
      </w:tr>
      <w:tr w:rsidR="00AE727E" w14:paraId="07DCE730" w14:textId="77777777">
        <w:tc>
          <w:tcPr>
            <w:tcW w:w="0" w:type="auto"/>
            <w:gridSpan w:val="3"/>
            <w:shd w:val="clear" w:color="auto" w:fill="CCEEFF"/>
            <w:tcMar>
              <w:top w:w="40" w:type="dxa"/>
              <w:left w:w="20" w:type="dxa"/>
              <w:bottom w:w="40" w:type="dxa"/>
              <w:right w:w="20" w:type="dxa"/>
            </w:tcMar>
            <w:vAlign w:val="bottom"/>
          </w:tcPr>
          <w:p w14:paraId="07DCE718" w14:textId="77777777" w:rsidR="00AE727E" w:rsidRDefault="008433E0">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07DCE719" w14:textId="77777777" w:rsidR="00AE727E" w:rsidRDefault="008433E0">
            <w:pPr>
              <w:jc w:val="right"/>
              <w:textAlignment w:val="bottom"/>
            </w:pPr>
            <w:r>
              <w:rPr>
                <w:rFonts w:ascii="Times New Roman" w:eastAsia="宋体" w:hAnsi="Times New Roman"/>
                <w:color w:val="000000"/>
                <w:sz w:val="20"/>
                <w:szCs w:val="20"/>
              </w:rPr>
              <w:t>9,063 </w:t>
            </w:r>
          </w:p>
        </w:tc>
        <w:tc>
          <w:tcPr>
            <w:tcW w:w="0" w:type="auto"/>
            <w:shd w:val="clear" w:color="auto" w:fill="CCEEFF"/>
            <w:tcMar>
              <w:top w:w="40" w:type="dxa"/>
              <w:left w:w="0" w:type="dxa"/>
              <w:bottom w:w="40" w:type="dxa"/>
              <w:right w:w="20" w:type="dxa"/>
            </w:tcMar>
            <w:vAlign w:val="bottom"/>
          </w:tcPr>
          <w:p w14:paraId="07DCE71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1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1C" w14:textId="77777777" w:rsidR="00AE727E" w:rsidRDefault="008433E0">
            <w:pPr>
              <w:jc w:val="right"/>
              <w:textAlignment w:val="bottom"/>
            </w:pPr>
            <w:r>
              <w:rPr>
                <w:rFonts w:ascii="Times New Roman" w:eastAsia="宋体" w:hAnsi="Times New Roman"/>
                <w:color w:val="000000"/>
                <w:sz w:val="20"/>
                <w:szCs w:val="20"/>
              </w:rPr>
              <w:t>411 </w:t>
            </w:r>
          </w:p>
        </w:tc>
        <w:tc>
          <w:tcPr>
            <w:tcW w:w="0" w:type="auto"/>
            <w:shd w:val="clear" w:color="auto" w:fill="CCEEFF"/>
            <w:tcMar>
              <w:top w:w="40" w:type="dxa"/>
              <w:left w:w="0" w:type="dxa"/>
              <w:bottom w:w="40" w:type="dxa"/>
              <w:right w:w="20" w:type="dxa"/>
            </w:tcMar>
            <w:vAlign w:val="bottom"/>
          </w:tcPr>
          <w:p w14:paraId="07DCE71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1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1F" w14:textId="77777777" w:rsidR="00AE727E" w:rsidRDefault="008433E0">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7DCE72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2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22" w14:textId="77777777" w:rsidR="00AE727E" w:rsidRDefault="008433E0">
            <w:pPr>
              <w:jc w:val="right"/>
              <w:textAlignment w:val="bottom"/>
            </w:pPr>
            <w:r>
              <w:rPr>
                <w:rFonts w:ascii="Times New Roman" w:eastAsia="宋体" w:hAnsi="Times New Roman"/>
                <w:color w:val="000000"/>
                <w:sz w:val="20"/>
                <w:szCs w:val="20"/>
              </w:rPr>
              <w:t>9,495 </w:t>
            </w:r>
          </w:p>
        </w:tc>
        <w:tc>
          <w:tcPr>
            <w:tcW w:w="0" w:type="auto"/>
            <w:shd w:val="clear" w:color="auto" w:fill="CCEEFF"/>
            <w:tcMar>
              <w:top w:w="40" w:type="dxa"/>
              <w:left w:w="0" w:type="dxa"/>
              <w:bottom w:w="40" w:type="dxa"/>
              <w:right w:w="20" w:type="dxa"/>
            </w:tcMar>
            <w:vAlign w:val="bottom"/>
          </w:tcPr>
          <w:p w14:paraId="07DCE72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2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25" w14:textId="77777777" w:rsidR="00AE727E" w:rsidRDefault="008433E0">
            <w:pPr>
              <w:jc w:val="right"/>
              <w:textAlignment w:val="bottom"/>
            </w:pPr>
            <w:r>
              <w:rPr>
                <w:rFonts w:ascii="Times New Roman" w:eastAsia="宋体" w:hAnsi="Times New Roman"/>
                <w:color w:val="000000"/>
                <w:sz w:val="20"/>
                <w:szCs w:val="20"/>
              </w:rPr>
              <w:t>9,192 </w:t>
            </w:r>
          </w:p>
        </w:tc>
        <w:tc>
          <w:tcPr>
            <w:tcW w:w="0" w:type="auto"/>
            <w:shd w:val="clear" w:color="auto" w:fill="CCEEFF"/>
            <w:tcMar>
              <w:top w:w="40" w:type="dxa"/>
              <w:left w:w="0" w:type="dxa"/>
              <w:bottom w:w="40" w:type="dxa"/>
              <w:right w:w="20" w:type="dxa"/>
            </w:tcMar>
            <w:vAlign w:val="bottom"/>
          </w:tcPr>
          <w:p w14:paraId="07DCE72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2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28" w14:textId="77777777" w:rsidR="00AE727E" w:rsidRDefault="008433E0">
            <w:pPr>
              <w:jc w:val="right"/>
              <w:textAlignment w:val="bottom"/>
            </w:pPr>
            <w:r>
              <w:rPr>
                <w:rFonts w:ascii="Times New Roman" w:eastAsia="宋体" w:hAnsi="Times New Roman"/>
                <w:color w:val="000000"/>
                <w:sz w:val="20"/>
                <w:szCs w:val="20"/>
              </w:rPr>
              <w:t>316 </w:t>
            </w:r>
          </w:p>
        </w:tc>
        <w:tc>
          <w:tcPr>
            <w:tcW w:w="0" w:type="auto"/>
            <w:shd w:val="clear" w:color="auto" w:fill="CCEEFF"/>
            <w:tcMar>
              <w:top w:w="40" w:type="dxa"/>
              <w:left w:w="0" w:type="dxa"/>
              <w:bottom w:w="40" w:type="dxa"/>
              <w:right w:w="20" w:type="dxa"/>
            </w:tcMar>
            <w:vAlign w:val="bottom"/>
          </w:tcPr>
          <w:p w14:paraId="07DCE72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2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2B" w14:textId="77777777" w:rsidR="00AE727E" w:rsidRDefault="008433E0">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07DCE72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2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72E" w14:textId="77777777" w:rsidR="00AE727E" w:rsidRDefault="008433E0">
            <w:pPr>
              <w:jc w:val="right"/>
              <w:textAlignment w:val="bottom"/>
            </w:pPr>
            <w:r>
              <w:rPr>
                <w:rFonts w:ascii="Times New Roman" w:eastAsia="宋体" w:hAnsi="Times New Roman"/>
                <w:color w:val="000000"/>
                <w:sz w:val="20"/>
                <w:szCs w:val="20"/>
              </w:rPr>
              <w:t>9,595 </w:t>
            </w:r>
          </w:p>
        </w:tc>
        <w:tc>
          <w:tcPr>
            <w:tcW w:w="0" w:type="auto"/>
            <w:shd w:val="clear" w:color="auto" w:fill="CCEEFF"/>
            <w:tcMar>
              <w:top w:w="40" w:type="dxa"/>
              <w:left w:w="0" w:type="dxa"/>
              <w:bottom w:w="40" w:type="dxa"/>
              <w:right w:w="20" w:type="dxa"/>
            </w:tcMar>
            <w:vAlign w:val="bottom"/>
          </w:tcPr>
          <w:p w14:paraId="07DCE72F" w14:textId="77777777" w:rsidR="00AE727E" w:rsidRDefault="00AE727E">
            <w:pPr>
              <w:jc w:val="right"/>
              <w:rPr>
                <w:rFonts w:ascii="宋体"/>
              </w:rPr>
            </w:pPr>
          </w:p>
        </w:tc>
      </w:tr>
      <w:tr w:rsidR="00AE727E" w14:paraId="07DCE751" w14:textId="77777777">
        <w:tc>
          <w:tcPr>
            <w:tcW w:w="0" w:type="auto"/>
            <w:gridSpan w:val="3"/>
            <w:shd w:val="clear" w:color="auto" w:fill="FFFFFF"/>
            <w:tcMar>
              <w:top w:w="40" w:type="dxa"/>
              <w:left w:w="155" w:type="dxa"/>
              <w:bottom w:w="40" w:type="dxa"/>
              <w:right w:w="20" w:type="dxa"/>
            </w:tcMar>
            <w:vAlign w:val="bottom"/>
          </w:tcPr>
          <w:p w14:paraId="07DCE731" w14:textId="77777777" w:rsidR="00AE727E" w:rsidRDefault="008433E0">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3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33" w14:textId="77777777" w:rsidR="00AE727E" w:rsidRDefault="008433E0">
            <w:pPr>
              <w:jc w:val="right"/>
              <w:textAlignment w:val="center"/>
            </w:pPr>
            <w:r>
              <w:rPr>
                <w:rFonts w:ascii="Times New Roman" w:eastAsia="宋体" w:hAnsi="Times New Roman"/>
                <w:color w:val="000000"/>
                <w:sz w:val="20"/>
                <w:szCs w:val="20"/>
              </w:rPr>
              <w:t>9,705 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3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3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37" w14:textId="77777777" w:rsidR="00AE727E" w:rsidRDefault="008433E0">
            <w:pPr>
              <w:jc w:val="right"/>
              <w:textAlignment w:val="center"/>
            </w:pPr>
            <w:r>
              <w:rPr>
                <w:rFonts w:ascii="Times New Roman" w:eastAsia="宋体" w:hAnsi="Times New Roman"/>
                <w:color w:val="000000"/>
                <w:sz w:val="20"/>
                <w:szCs w:val="20"/>
              </w:rPr>
              <w:t>461 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3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3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3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3B" w14:textId="77777777" w:rsidR="00AE727E" w:rsidRDefault="008433E0">
            <w:pPr>
              <w:jc w:val="right"/>
              <w:textAlignment w:val="center"/>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3D" w14:textId="77777777" w:rsidR="00AE727E" w:rsidRDefault="00AE727E">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center"/>
          </w:tcPr>
          <w:p w14:paraId="07DCE73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center"/>
          </w:tcPr>
          <w:p w14:paraId="07DCE73F" w14:textId="77777777" w:rsidR="00AE727E" w:rsidRDefault="008433E0">
            <w:pPr>
              <w:jc w:val="right"/>
              <w:textAlignment w:val="center"/>
            </w:pPr>
            <w:r>
              <w:rPr>
                <w:rFonts w:ascii="Times New Roman" w:eastAsia="宋体" w:hAnsi="Times New Roman"/>
                <w:color w:val="000000"/>
                <w:sz w:val="20"/>
                <w:szCs w:val="20"/>
              </w:rPr>
              <w:t>10,200 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07DCE74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4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4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43" w14:textId="77777777" w:rsidR="00AE727E" w:rsidRDefault="008433E0">
            <w:pPr>
              <w:jc w:val="right"/>
              <w:textAlignment w:val="center"/>
            </w:pPr>
            <w:r>
              <w:rPr>
                <w:rFonts w:ascii="Times New Roman" w:eastAsia="宋体" w:hAnsi="Times New Roman"/>
                <w:color w:val="000000"/>
                <w:sz w:val="20"/>
                <w:szCs w:val="20"/>
              </w:rPr>
              <w:t>9,927 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4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4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4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47" w14:textId="77777777" w:rsidR="00AE727E" w:rsidRDefault="008433E0">
            <w:pPr>
              <w:jc w:val="right"/>
              <w:textAlignment w:val="center"/>
            </w:pPr>
            <w:r>
              <w:rPr>
                <w:rFonts w:ascii="Times New Roman" w:eastAsia="宋体" w:hAnsi="Times New Roman"/>
                <w:color w:val="000000"/>
                <w:sz w:val="20"/>
                <w:szCs w:val="20"/>
              </w:rPr>
              <w:t>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4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4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4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4B" w14:textId="77777777" w:rsidR="00AE727E" w:rsidRDefault="008433E0">
            <w:pPr>
              <w:jc w:val="right"/>
              <w:textAlignment w:val="center"/>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4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74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74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74F" w14:textId="77777777" w:rsidR="00AE727E" w:rsidRDefault="008433E0">
            <w:pPr>
              <w:jc w:val="right"/>
              <w:textAlignment w:val="center"/>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750" w14:textId="77777777" w:rsidR="00AE727E" w:rsidRDefault="00AE727E">
            <w:pPr>
              <w:jc w:val="right"/>
              <w:rPr>
                <w:rFonts w:ascii="宋体"/>
              </w:rPr>
            </w:pPr>
          </w:p>
        </w:tc>
      </w:tr>
      <w:tr w:rsidR="00AE727E" w14:paraId="07DCE762" w14:textId="77777777">
        <w:trPr>
          <w:hidden/>
        </w:trPr>
        <w:tc>
          <w:tcPr>
            <w:tcW w:w="0" w:type="auto"/>
            <w:gridSpan w:val="3"/>
            <w:shd w:val="clear" w:color="auto" w:fill="auto"/>
            <w:vAlign w:val="bottom"/>
          </w:tcPr>
          <w:p w14:paraId="07DCE752" w14:textId="77777777" w:rsidR="00AE727E" w:rsidRDefault="00AE727E">
            <w:pPr>
              <w:rPr>
                <w:rFonts w:ascii="宋体"/>
                <w:vanish/>
              </w:rPr>
            </w:pPr>
          </w:p>
        </w:tc>
        <w:tc>
          <w:tcPr>
            <w:tcW w:w="0" w:type="auto"/>
            <w:gridSpan w:val="3"/>
            <w:shd w:val="clear" w:color="auto" w:fill="auto"/>
            <w:vAlign w:val="bottom"/>
          </w:tcPr>
          <w:p w14:paraId="07DCE753" w14:textId="77777777" w:rsidR="00AE727E" w:rsidRDefault="00AE727E">
            <w:pPr>
              <w:rPr>
                <w:rFonts w:ascii="宋体"/>
                <w:vanish/>
              </w:rPr>
            </w:pPr>
          </w:p>
        </w:tc>
        <w:tc>
          <w:tcPr>
            <w:tcW w:w="0" w:type="auto"/>
            <w:gridSpan w:val="3"/>
            <w:shd w:val="clear" w:color="auto" w:fill="auto"/>
            <w:vAlign w:val="bottom"/>
          </w:tcPr>
          <w:p w14:paraId="07DCE754" w14:textId="77777777" w:rsidR="00AE727E" w:rsidRDefault="00AE727E">
            <w:pPr>
              <w:rPr>
                <w:rFonts w:ascii="宋体"/>
                <w:vanish/>
              </w:rPr>
            </w:pPr>
          </w:p>
        </w:tc>
        <w:tc>
          <w:tcPr>
            <w:tcW w:w="0" w:type="auto"/>
            <w:gridSpan w:val="3"/>
            <w:shd w:val="clear" w:color="auto" w:fill="auto"/>
            <w:vAlign w:val="bottom"/>
          </w:tcPr>
          <w:p w14:paraId="07DCE755" w14:textId="77777777" w:rsidR="00AE727E" w:rsidRDefault="00AE727E">
            <w:pPr>
              <w:rPr>
                <w:rFonts w:ascii="宋体"/>
                <w:vanish/>
              </w:rPr>
            </w:pPr>
          </w:p>
        </w:tc>
        <w:tc>
          <w:tcPr>
            <w:tcW w:w="0" w:type="auto"/>
            <w:gridSpan w:val="3"/>
            <w:shd w:val="clear" w:color="auto" w:fill="auto"/>
            <w:vAlign w:val="bottom"/>
          </w:tcPr>
          <w:p w14:paraId="07DCE756" w14:textId="77777777" w:rsidR="00AE727E" w:rsidRDefault="00AE727E">
            <w:pPr>
              <w:rPr>
                <w:rFonts w:ascii="宋体"/>
                <w:vanish/>
              </w:rPr>
            </w:pPr>
          </w:p>
        </w:tc>
        <w:tc>
          <w:tcPr>
            <w:tcW w:w="0" w:type="auto"/>
            <w:gridSpan w:val="3"/>
            <w:shd w:val="clear" w:color="auto" w:fill="auto"/>
            <w:vAlign w:val="bottom"/>
          </w:tcPr>
          <w:p w14:paraId="07DCE757" w14:textId="77777777" w:rsidR="00AE727E" w:rsidRDefault="00AE727E">
            <w:pPr>
              <w:rPr>
                <w:rFonts w:ascii="宋体"/>
                <w:vanish/>
              </w:rPr>
            </w:pPr>
          </w:p>
        </w:tc>
        <w:tc>
          <w:tcPr>
            <w:tcW w:w="0" w:type="auto"/>
            <w:gridSpan w:val="3"/>
            <w:shd w:val="clear" w:color="auto" w:fill="auto"/>
            <w:vAlign w:val="bottom"/>
          </w:tcPr>
          <w:p w14:paraId="07DCE758" w14:textId="77777777" w:rsidR="00AE727E" w:rsidRDefault="00AE727E">
            <w:pPr>
              <w:rPr>
                <w:rFonts w:ascii="宋体"/>
                <w:vanish/>
              </w:rPr>
            </w:pPr>
          </w:p>
        </w:tc>
        <w:tc>
          <w:tcPr>
            <w:tcW w:w="0" w:type="auto"/>
            <w:gridSpan w:val="3"/>
            <w:shd w:val="clear" w:color="auto" w:fill="auto"/>
            <w:vAlign w:val="bottom"/>
          </w:tcPr>
          <w:p w14:paraId="07DCE759" w14:textId="77777777" w:rsidR="00AE727E" w:rsidRDefault="00AE727E">
            <w:pPr>
              <w:rPr>
                <w:rFonts w:ascii="宋体"/>
                <w:vanish/>
              </w:rPr>
            </w:pPr>
          </w:p>
        </w:tc>
        <w:tc>
          <w:tcPr>
            <w:tcW w:w="0" w:type="auto"/>
            <w:gridSpan w:val="3"/>
            <w:shd w:val="clear" w:color="auto" w:fill="auto"/>
            <w:vAlign w:val="bottom"/>
          </w:tcPr>
          <w:p w14:paraId="07DCE75A" w14:textId="77777777" w:rsidR="00AE727E" w:rsidRDefault="00AE727E">
            <w:pPr>
              <w:rPr>
                <w:rFonts w:ascii="宋体"/>
                <w:vanish/>
              </w:rPr>
            </w:pPr>
          </w:p>
        </w:tc>
        <w:tc>
          <w:tcPr>
            <w:tcW w:w="0" w:type="auto"/>
            <w:gridSpan w:val="3"/>
            <w:shd w:val="clear" w:color="auto" w:fill="auto"/>
            <w:vAlign w:val="bottom"/>
          </w:tcPr>
          <w:p w14:paraId="07DCE75B" w14:textId="77777777" w:rsidR="00AE727E" w:rsidRDefault="00AE727E">
            <w:pPr>
              <w:rPr>
                <w:rFonts w:ascii="宋体"/>
                <w:vanish/>
              </w:rPr>
            </w:pPr>
          </w:p>
        </w:tc>
        <w:tc>
          <w:tcPr>
            <w:tcW w:w="0" w:type="auto"/>
            <w:gridSpan w:val="3"/>
            <w:shd w:val="clear" w:color="auto" w:fill="auto"/>
            <w:vAlign w:val="bottom"/>
          </w:tcPr>
          <w:p w14:paraId="07DCE75C" w14:textId="77777777" w:rsidR="00AE727E" w:rsidRDefault="00AE727E">
            <w:pPr>
              <w:rPr>
                <w:rFonts w:ascii="宋体"/>
                <w:vanish/>
              </w:rPr>
            </w:pPr>
          </w:p>
        </w:tc>
        <w:tc>
          <w:tcPr>
            <w:tcW w:w="0" w:type="auto"/>
            <w:gridSpan w:val="3"/>
            <w:shd w:val="clear" w:color="auto" w:fill="auto"/>
            <w:vAlign w:val="bottom"/>
          </w:tcPr>
          <w:p w14:paraId="07DCE75D" w14:textId="77777777" w:rsidR="00AE727E" w:rsidRDefault="00AE727E">
            <w:pPr>
              <w:rPr>
                <w:rFonts w:ascii="宋体"/>
                <w:vanish/>
              </w:rPr>
            </w:pPr>
          </w:p>
        </w:tc>
        <w:tc>
          <w:tcPr>
            <w:tcW w:w="0" w:type="auto"/>
            <w:gridSpan w:val="3"/>
            <w:shd w:val="clear" w:color="auto" w:fill="auto"/>
            <w:vAlign w:val="bottom"/>
          </w:tcPr>
          <w:p w14:paraId="07DCE75E" w14:textId="77777777" w:rsidR="00AE727E" w:rsidRDefault="00AE727E">
            <w:pPr>
              <w:rPr>
                <w:rFonts w:ascii="宋体"/>
                <w:vanish/>
              </w:rPr>
            </w:pPr>
          </w:p>
        </w:tc>
        <w:tc>
          <w:tcPr>
            <w:tcW w:w="0" w:type="auto"/>
            <w:gridSpan w:val="3"/>
            <w:shd w:val="clear" w:color="auto" w:fill="auto"/>
            <w:vAlign w:val="bottom"/>
          </w:tcPr>
          <w:p w14:paraId="07DCE75F" w14:textId="77777777" w:rsidR="00AE727E" w:rsidRDefault="00AE727E">
            <w:pPr>
              <w:rPr>
                <w:rFonts w:ascii="宋体"/>
                <w:vanish/>
              </w:rPr>
            </w:pPr>
          </w:p>
        </w:tc>
        <w:tc>
          <w:tcPr>
            <w:tcW w:w="0" w:type="auto"/>
            <w:gridSpan w:val="3"/>
            <w:shd w:val="clear" w:color="auto" w:fill="auto"/>
            <w:vAlign w:val="bottom"/>
          </w:tcPr>
          <w:p w14:paraId="07DCE760" w14:textId="77777777" w:rsidR="00AE727E" w:rsidRDefault="00AE727E">
            <w:pPr>
              <w:rPr>
                <w:rFonts w:ascii="宋体"/>
                <w:vanish/>
              </w:rPr>
            </w:pPr>
          </w:p>
        </w:tc>
        <w:tc>
          <w:tcPr>
            <w:tcW w:w="0" w:type="auto"/>
            <w:gridSpan w:val="3"/>
            <w:shd w:val="clear" w:color="auto" w:fill="auto"/>
            <w:vAlign w:val="bottom"/>
          </w:tcPr>
          <w:p w14:paraId="07DCE761" w14:textId="77777777" w:rsidR="00AE727E" w:rsidRDefault="00AE727E">
            <w:pPr>
              <w:rPr>
                <w:rFonts w:ascii="宋体"/>
                <w:vanish/>
              </w:rPr>
            </w:pPr>
          </w:p>
        </w:tc>
      </w:tr>
      <w:tr w:rsidR="00AE727E" w14:paraId="07DCE773" w14:textId="77777777">
        <w:trPr>
          <w:hidden/>
        </w:trPr>
        <w:tc>
          <w:tcPr>
            <w:tcW w:w="0" w:type="auto"/>
            <w:gridSpan w:val="3"/>
            <w:shd w:val="clear" w:color="auto" w:fill="auto"/>
            <w:vAlign w:val="bottom"/>
          </w:tcPr>
          <w:p w14:paraId="07DCE763" w14:textId="77777777" w:rsidR="00AE727E" w:rsidRDefault="00AE727E">
            <w:pPr>
              <w:rPr>
                <w:rFonts w:ascii="宋体"/>
                <w:vanish/>
              </w:rPr>
            </w:pPr>
          </w:p>
        </w:tc>
        <w:tc>
          <w:tcPr>
            <w:tcW w:w="0" w:type="auto"/>
            <w:gridSpan w:val="3"/>
            <w:shd w:val="clear" w:color="auto" w:fill="auto"/>
            <w:vAlign w:val="bottom"/>
          </w:tcPr>
          <w:p w14:paraId="07DCE764" w14:textId="77777777" w:rsidR="00AE727E" w:rsidRDefault="00AE727E">
            <w:pPr>
              <w:rPr>
                <w:rFonts w:ascii="宋体"/>
                <w:vanish/>
              </w:rPr>
            </w:pPr>
          </w:p>
        </w:tc>
        <w:tc>
          <w:tcPr>
            <w:tcW w:w="0" w:type="auto"/>
            <w:gridSpan w:val="3"/>
            <w:shd w:val="clear" w:color="auto" w:fill="auto"/>
            <w:vAlign w:val="bottom"/>
          </w:tcPr>
          <w:p w14:paraId="07DCE765" w14:textId="77777777" w:rsidR="00AE727E" w:rsidRDefault="00AE727E">
            <w:pPr>
              <w:rPr>
                <w:rFonts w:ascii="宋体"/>
                <w:vanish/>
              </w:rPr>
            </w:pPr>
          </w:p>
        </w:tc>
        <w:tc>
          <w:tcPr>
            <w:tcW w:w="0" w:type="auto"/>
            <w:gridSpan w:val="3"/>
            <w:shd w:val="clear" w:color="auto" w:fill="auto"/>
            <w:vAlign w:val="bottom"/>
          </w:tcPr>
          <w:p w14:paraId="07DCE766" w14:textId="77777777" w:rsidR="00AE727E" w:rsidRDefault="00AE727E">
            <w:pPr>
              <w:rPr>
                <w:rFonts w:ascii="宋体"/>
                <w:vanish/>
              </w:rPr>
            </w:pPr>
          </w:p>
        </w:tc>
        <w:tc>
          <w:tcPr>
            <w:tcW w:w="0" w:type="auto"/>
            <w:gridSpan w:val="3"/>
            <w:shd w:val="clear" w:color="auto" w:fill="auto"/>
            <w:vAlign w:val="bottom"/>
          </w:tcPr>
          <w:p w14:paraId="07DCE767" w14:textId="77777777" w:rsidR="00AE727E" w:rsidRDefault="00AE727E">
            <w:pPr>
              <w:rPr>
                <w:rFonts w:ascii="宋体"/>
                <w:vanish/>
              </w:rPr>
            </w:pPr>
          </w:p>
        </w:tc>
        <w:tc>
          <w:tcPr>
            <w:tcW w:w="0" w:type="auto"/>
            <w:gridSpan w:val="3"/>
            <w:shd w:val="clear" w:color="auto" w:fill="auto"/>
            <w:vAlign w:val="bottom"/>
          </w:tcPr>
          <w:p w14:paraId="07DCE768" w14:textId="77777777" w:rsidR="00AE727E" w:rsidRDefault="00AE727E">
            <w:pPr>
              <w:rPr>
                <w:rFonts w:ascii="宋体"/>
                <w:vanish/>
              </w:rPr>
            </w:pPr>
          </w:p>
        </w:tc>
        <w:tc>
          <w:tcPr>
            <w:tcW w:w="0" w:type="auto"/>
            <w:gridSpan w:val="3"/>
            <w:shd w:val="clear" w:color="auto" w:fill="auto"/>
            <w:vAlign w:val="bottom"/>
          </w:tcPr>
          <w:p w14:paraId="07DCE769" w14:textId="77777777" w:rsidR="00AE727E" w:rsidRDefault="00AE727E">
            <w:pPr>
              <w:rPr>
                <w:rFonts w:ascii="宋体"/>
                <w:vanish/>
              </w:rPr>
            </w:pPr>
          </w:p>
        </w:tc>
        <w:tc>
          <w:tcPr>
            <w:tcW w:w="0" w:type="auto"/>
            <w:gridSpan w:val="3"/>
            <w:shd w:val="clear" w:color="auto" w:fill="auto"/>
            <w:vAlign w:val="bottom"/>
          </w:tcPr>
          <w:p w14:paraId="07DCE76A" w14:textId="77777777" w:rsidR="00AE727E" w:rsidRDefault="00AE727E">
            <w:pPr>
              <w:rPr>
                <w:rFonts w:ascii="宋体"/>
                <w:vanish/>
              </w:rPr>
            </w:pPr>
          </w:p>
        </w:tc>
        <w:tc>
          <w:tcPr>
            <w:tcW w:w="0" w:type="auto"/>
            <w:gridSpan w:val="3"/>
            <w:shd w:val="clear" w:color="auto" w:fill="auto"/>
            <w:vAlign w:val="bottom"/>
          </w:tcPr>
          <w:p w14:paraId="07DCE76B" w14:textId="77777777" w:rsidR="00AE727E" w:rsidRDefault="00AE727E">
            <w:pPr>
              <w:rPr>
                <w:rFonts w:ascii="宋体"/>
                <w:vanish/>
              </w:rPr>
            </w:pPr>
          </w:p>
        </w:tc>
        <w:tc>
          <w:tcPr>
            <w:tcW w:w="0" w:type="auto"/>
            <w:gridSpan w:val="3"/>
            <w:shd w:val="clear" w:color="auto" w:fill="auto"/>
            <w:vAlign w:val="bottom"/>
          </w:tcPr>
          <w:p w14:paraId="07DCE76C" w14:textId="77777777" w:rsidR="00AE727E" w:rsidRDefault="00AE727E">
            <w:pPr>
              <w:rPr>
                <w:rFonts w:ascii="宋体"/>
                <w:vanish/>
              </w:rPr>
            </w:pPr>
          </w:p>
        </w:tc>
        <w:tc>
          <w:tcPr>
            <w:tcW w:w="0" w:type="auto"/>
            <w:gridSpan w:val="3"/>
            <w:shd w:val="clear" w:color="auto" w:fill="auto"/>
            <w:vAlign w:val="bottom"/>
          </w:tcPr>
          <w:p w14:paraId="07DCE76D" w14:textId="77777777" w:rsidR="00AE727E" w:rsidRDefault="00AE727E">
            <w:pPr>
              <w:rPr>
                <w:rFonts w:ascii="宋体"/>
                <w:vanish/>
              </w:rPr>
            </w:pPr>
          </w:p>
        </w:tc>
        <w:tc>
          <w:tcPr>
            <w:tcW w:w="0" w:type="auto"/>
            <w:gridSpan w:val="3"/>
            <w:shd w:val="clear" w:color="auto" w:fill="auto"/>
            <w:vAlign w:val="bottom"/>
          </w:tcPr>
          <w:p w14:paraId="07DCE76E" w14:textId="77777777" w:rsidR="00AE727E" w:rsidRDefault="00AE727E">
            <w:pPr>
              <w:rPr>
                <w:rFonts w:ascii="宋体"/>
                <w:vanish/>
              </w:rPr>
            </w:pPr>
          </w:p>
        </w:tc>
        <w:tc>
          <w:tcPr>
            <w:tcW w:w="0" w:type="auto"/>
            <w:gridSpan w:val="3"/>
            <w:shd w:val="clear" w:color="auto" w:fill="auto"/>
            <w:vAlign w:val="bottom"/>
          </w:tcPr>
          <w:p w14:paraId="07DCE76F" w14:textId="77777777" w:rsidR="00AE727E" w:rsidRDefault="00AE727E">
            <w:pPr>
              <w:rPr>
                <w:rFonts w:ascii="宋体"/>
                <w:vanish/>
              </w:rPr>
            </w:pPr>
          </w:p>
        </w:tc>
        <w:tc>
          <w:tcPr>
            <w:tcW w:w="0" w:type="auto"/>
            <w:gridSpan w:val="3"/>
            <w:shd w:val="clear" w:color="auto" w:fill="auto"/>
            <w:vAlign w:val="bottom"/>
          </w:tcPr>
          <w:p w14:paraId="07DCE770" w14:textId="77777777" w:rsidR="00AE727E" w:rsidRDefault="00AE727E">
            <w:pPr>
              <w:rPr>
                <w:rFonts w:ascii="宋体"/>
                <w:vanish/>
              </w:rPr>
            </w:pPr>
          </w:p>
        </w:tc>
        <w:tc>
          <w:tcPr>
            <w:tcW w:w="0" w:type="auto"/>
            <w:gridSpan w:val="3"/>
            <w:shd w:val="clear" w:color="auto" w:fill="auto"/>
            <w:vAlign w:val="bottom"/>
          </w:tcPr>
          <w:p w14:paraId="07DCE771" w14:textId="77777777" w:rsidR="00AE727E" w:rsidRDefault="00AE727E">
            <w:pPr>
              <w:rPr>
                <w:rFonts w:ascii="宋体"/>
                <w:vanish/>
              </w:rPr>
            </w:pPr>
          </w:p>
        </w:tc>
        <w:tc>
          <w:tcPr>
            <w:tcW w:w="0" w:type="auto"/>
            <w:gridSpan w:val="3"/>
            <w:shd w:val="clear" w:color="auto" w:fill="auto"/>
            <w:vAlign w:val="bottom"/>
          </w:tcPr>
          <w:p w14:paraId="07DCE772" w14:textId="77777777" w:rsidR="00AE727E" w:rsidRDefault="00AE727E">
            <w:pPr>
              <w:rPr>
                <w:rFonts w:ascii="宋体"/>
                <w:vanish/>
              </w:rPr>
            </w:pPr>
          </w:p>
        </w:tc>
      </w:tr>
    </w:tbl>
    <w:p w14:paraId="07DCE774" w14:textId="77777777" w:rsidR="00AE727E" w:rsidRDefault="00AE727E"/>
    <w:p w14:paraId="07DCE775" w14:textId="77777777" w:rsidR="00AE727E" w:rsidRDefault="008433E0">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w:t>
      </w:r>
      <w:r>
        <w:rPr>
          <w:rFonts w:ascii="Times New Roman" w:eastAsia="宋体" w:hAnsi="Times New Roman"/>
          <w:color w:val="000000"/>
          <w:sz w:val="20"/>
          <w:szCs w:val="20"/>
        </w:rPr>
        <w:t xml:space="preserve">accompany those larger transactions. Aging is also impacted by the timing of the Dell Technologies fiscal period end date, relative to calendar month-end customer payment due dates. As a result of these factors, fluctuations in aging from period to period </w:t>
      </w:r>
      <w:r>
        <w:rPr>
          <w:rFonts w:ascii="Times New Roman" w:eastAsia="宋体" w:hAnsi="Times New Roman"/>
          <w:color w:val="000000"/>
          <w:sz w:val="20"/>
          <w:szCs w:val="20"/>
        </w:rPr>
        <w:t>do not necessarily indicate a material change in the collectibility of the portfolio.</w:t>
      </w:r>
    </w:p>
    <w:p w14:paraId="07DCE776" w14:textId="77777777" w:rsidR="00AE727E" w:rsidRDefault="00AE727E"/>
    <w:p w14:paraId="07DCE777" w14:textId="77777777" w:rsidR="00AE727E" w:rsidRDefault="008433E0">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w:t>
      </w:r>
      <w:r>
        <w:rPr>
          <w:rFonts w:ascii="Times New Roman" w:eastAsia="宋体" w:hAnsi="Times New Roman"/>
          <w:color w:val="000000"/>
          <w:sz w:val="20"/>
          <w:szCs w:val="20"/>
        </w:rPr>
        <w:t>oncern about collectibility of a specific customer receivable. These receivables identified as doubtful for collectibility may be classified as current for aging purposes. Aged revolving portfolio customer receivables identified as delinquent are charged-o</w:t>
      </w:r>
      <w:r>
        <w:rPr>
          <w:rFonts w:ascii="Times New Roman" w:eastAsia="宋体" w:hAnsi="Times New Roman"/>
          <w:color w:val="000000"/>
          <w:sz w:val="20"/>
          <w:szCs w:val="20"/>
        </w:rPr>
        <w:t>ff. Receivables are moved back to accrual status when the collection of interest is probable, or the collection of the net investment is no longer doubtful.</w:t>
      </w:r>
    </w:p>
    <w:p w14:paraId="07DCE778" w14:textId="77777777" w:rsidR="00AE727E" w:rsidRDefault="00AE727E"/>
    <w:p w14:paraId="07DCE779" w14:textId="77777777" w:rsidR="00AE727E" w:rsidRDefault="00AE727E">
      <w:pPr>
        <w:jc w:val="center"/>
      </w:pPr>
    </w:p>
    <w:p w14:paraId="07DCE77A" w14:textId="77777777" w:rsidR="00AE727E" w:rsidRDefault="008433E0">
      <w:pPr>
        <w:jc w:val="center"/>
      </w:pPr>
      <w:r>
        <w:rPr>
          <w:rFonts w:ascii="Times New Roman" w:eastAsia="宋体" w:hAnsi="Times New Roman"/>
          <w:color w:val="000000"/>
          <w:sz w:val="20"/>
          <w:szCs w:val="20"/>
        </w:rPr>
        <w:t>19</w:t>
      </w:r>
    </w:p>
    <w:p w14:paraId="07DCE77B" w14:textId="77777777" w:rsidR="00AE727E" w:rsidRDefault="00AE727E">
      <w:pPr>
        <w:jc w:val="center"/>
      </w:pPr>
    </w:p>
    <w:p w14:paraId="07DCE77C" w14:textId="77777777" w:rsidR="00AE727E" w:rsidRDefault="008433E0">
      <w:r>
        <w:pict w14:anchorId="07DD18E3">
          <v:rect id="_x0000_i1043" style="width:415.3pt;height:1.5pt" o:hralign="center" o:hrstd="t" o:hr="t" fillcolor="#a0a0a0" stroked="f"/>
        </w:pict>
      </w:r>
    </w:p>
    <w:p w14:paraId="07DCE77D" w14:textId="77777777" w:rsidR="00AE727E" w:rsidRDefault="008433E0">
      <w:hyperlink r:id="rId144" w:anchor="i1c8279be622a460ea19600488436f115_10" w:history="1">
        <w:r>
          <w:rPr>
            <w:rStyle w:val="a5"/>
            <w:rFonts w:ascii="Times New Roman" w:eastAsia="宋体" w:hAnsi="Times New Roman"/>
            <w:sz w:val="20"/>
            <w:szCs w:val="20"/>
          </w:rPr>
          <w:t>Table of Contents</w:t>
        </w:r>
      </w:hyperlink>
    </w:p>
    <w:p w14:paraId="07DCE77E"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77F"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780"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781" w14:textId="77777777" w:rsidR="00AE727E" w:rsidRDefault="00AE727E">
      <w:pPr>
        <w:jc w:val="center"/>
      </w:pPr>
    </w:p>
    <w:p w14:paraId="07DCE782" w14:textId="77777777" w:rsidR="00AE727E" w:rsidRDefault="008433E0">
      <w:r>
        <w:rPr>
          <w:rFonts w:ascii="Times New Roman" w:eastAsia="宋体" w:hAnsi="Times New Roman"/>
          <w:i/>
          <w:iCs/>
          <w:color w:val="000000"/>
          <w:sz w:val="20"/>
          <w:szCs w:val="20"/>
          <w:u w:val="single"/>
        </w:rPr>
        <w:t>Credit Quality</w:t>
      </w:r>
    </w:p>
    <w:p w14:paraId="07DCE783" w14:textId="77777777" w:rsidR="00AE727E" w:rsidRDefault="00AE727E"/>
    <w:p w14:paraId="07DCE784" w14:textId="77777777" w:rsidR="00AE727E" w:rsidRDefault="008433E0">
      <w:pPr>
        <w:spacing w:after="60"/>
      </w:pPr>
      <w:r>
        <w:rPr>
          <w:rFonts w:ascii="Times New Roman" w:eastAsia="宋体" w:hAnsi="Times New Roman"/>
          <w:color w:val="000000"/>
          <w:sz w:val="20"/>
          <w:szCs w:val="20"/>
        </w:rPr>
        <w:t>The following tables present customer receivables, gross, including accrued interest, by credit quality indicator segregated by class and year of origination,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529"/>
        <w:gridCol w:w="36"/>
        <w:gridCol w:w="120"/>
        <w:gridCol w:w="500"/>
        <w:gridCol w:w="36"/>
        <w:gridCol w:w="36"/>
        <w:gridCol w:w="36"/>
        <w:gridCol w:w="36"/>
        <w:gridCol w:w="120"/>
        <w:gridCol w:w="546"/>
        <w:gridCol w:w="36"/>
        <w:gridCol w:w="36"/>
        <w:gridCol w:w="36"/>
        <w:gridCol w:w="36"/>
        <w:gridCol w:w="120"/>
        <w:gridCol w:w="552"/>
        <w:gridCol w:w="36"/>
        <w:gridCol w:w="36"/>
        <w:gridCol w:w="36"/>
        <w:gridCol w:w="36"/>
        <w:gridCol w:w="120"/>
        <w:gridCol w:w="552"/>
        <w:gridCol w:w="36"/>
        <w:gridCol w:w="36"/>
        <w:gridCol w:w="36"/>
        <w:gridCol w:w="36"/>
        <w:gridCol w:w="121"/>
        <w:gridCol w:w="552"/>
        <w:gridCol w:w="36"/>
        <w:gridCol w:w="36"/>
        <w:gridCol w:w="36"/>
        <w:gridCol w:w="36"/>
        <w:gridCol w:w="121"/>
        <w:gridCol w:w="552"/>
        <w:gridCol w:w="36"/>
        <w:gridCol w:w="36"/>
        <w:gridCol w:w="36"/>
        <w:gridCol w:w="36"/>
        <w:gridCol w:w="121"/>
        <w:gridCol w:w="792"/>
        <w:gridCol w:w="36"/>
        <w:gridCol w:w="36"/>
        <w:gridCol w:w="36"/>
        <w:gridCol w:w="36"/>
        <w:gridCol w:w="121"/>
        <w:gridCol w:w="792"/>
        <w:gridCol w:w="36"/>
        <w:gridCol w:w="36"/>
        <w:gridCol w:w="36"/>
        <w:gridCol w:w="36"/>
        <w:gridCol w:w="120"/>
        <w:gridCol w:w="600"/>
        <w:gridCol w:w="36"/>
      </w:tblGrid>
      <w:tr w:rsidR="00AE727E" w14:paraId="07DCE7BB" w14:textId="77777777">
        <w:trPr>
          <w:jc w:val="center"/>
        </w:trPr>
        <w:tc>
          <w:tcPr>
            <w:tcW w:w="50" w:type="pct"/>
            <w:shd w:val="clear" w:color="auto" w:fill="auto"/>
            <w:vAlign w:val="bottom"/>
          </w:tcPr>
          <w:p w14:paraId="07DCE785" w14:textId="77777777" w:rsidR="00AE727E" w:rsidRDefault="00AE727E">
            <w:pPr>
              <w:rPr>
                <w:rFonts w:ascii="宋体"/>
              </w:rPr>
            </w:pPr>
          </w:p>
        </w:tc>
        <w:tc>
          <w:tcPr>
            <w:tcW w:w="434" w:type="pct"/>
            <w:shd w:val="clear" w:color="auto" w:fill="auto"/>
            <w:vAlign w:val="bottom"/>
          </w:tcPr>
          <w:p w14:paraId="07DCE786" w14:textId="77777777" w:rsidR="00AE727E" w:rsidRDefault="00AE727E">
            <w:pPr>
              <w:rPr>
                <w:rFonts w:ascii="宋体"/>
              </w:rPr>
            </w:pPr>
          </w:p>
        </w:tc>
        <w:tc>
          <w:tcPr>
            <w:tcW w:w="5" w:type="pct"/>
            <w:shd w:val="clear" w:color="auto" w:fill="auto"/>
            <w:vAlign w:val="bottom"/>
          </w:tcPr>
          <w:p w14:paraId="07DCE787" w14:textId="77777777" w:rsidR="00AE727E" w:rsidRDefault="00AE727E">
            <w:pPr>
              <w:rPr>
                <w:rFonts w:ascii="宋体"/>
              </w:rPr>
            </w:pPr>
          </w:p>
        </w:tc>
        <w:tc>
          <w:tcPr>
            <w:tcW w:w="50" w:type="pct"/>
            <w:shd w:val="clear" w:color="auto" w:fill="auto"/>
            <w:vAlign w:val="bottom"/>
          </w:tcPr>
          <w:p w14:paraId="07DCE788" w14:textId="77777777" w:rsidR="00AE727E" w:rsidRDefault="00AE727E">
            <w:pPr>
              <w:rPr>
                <w:rFonts w:ascii="宋体"/>
              </w:rPr>
            </w:pPr>
          </w:p>
        </w:tc>
        <w:tc>
          <w:tcPr>
            <w:tcW w:w="420" w:type="pct"/>
            <w:shd w:val="clear" w:color="auto" w:fill="auto"/>
            <w:vAlign w:val="bottom"/>
          </w:tcPr>
          <w:p w14:paraId="07DCE789" w14:textId="77777777" w:rsidR="00AE727E" w:rsidRDefault="00AE727E">
            <w:pPr>
              <w:rPr>
                <w:rFonts w:ascii="宋体"/>
              </w:rPr>
            </w:pPr>
          </w:p>
        </w:tc>
        <w:tc>
          <w:tcPr>
            <w:tcW w:w="5" w:type="pct"/>
            <w:shd w:val="clear" w:color="auto" w:fill="auto"/>
            <w:vAlign w:val="bottom"/>
          </w:tcPr>
          <w:p w14:paraId="07DCE78A" w14:textId="77777777" w:rsidR="00AE727E" w:rsidRDefault="00AE727E">
            <w:pPr>
              <w:rPr>
                <w:rFonts w:ascii="宋体"/>
              </w:rPr>
            </w:pPr>
          </w:p>
        </w:tc>
        <w:tc>
          <w:tcPr>
            <w:tcW w:w="5" w:type="pct"/>
            <w:shd w:val="clear" w:color="auto" w:fill="auto"/>
            <w:vAlign w:val="bottom"/>
          </w:tcPr>
          <w:p w14:paraId="07DCE78B" w14:textId="77777777" w:rsidR="00AE727E" w:rsidRDefault="00AE727E">
            <w:pPr>
              <w:rPr>
                <w:rFonts w:ascii="宋体"/>
              </w:rPr>
            </w:pPr>
          </w:p>
        </w:tc>
        <w:tc>
          <w:tcPr>
            <w:tcW w:w="19" w:type="pct"/>
            <w:shd w:val="clear" w:color="auto" w:fill="auto"/>
            <w:vAlign w:val="bottom"/>
          </w:tcPr>
          <w:p w14:paraId="07DCE78C" w14:textId="77777777" w:rsidR="00AE727E" w:rsidRDefault="00AE727E">
            <w:pPr>
              <w:rPr>
                <w:rFonts w:ascii="宋体"/>
              </w:rPr>
            </w:pPr>
          </w:p>
        </w:tc>
        <w:tc>
          <w:tcPr>
            <w:tcW w:w="5" w:type="pct"/>
            <w:shd w:val="clear" w:color="auto" w:fill="auto"/>
            <w:vAlign w:val="bottom"/>
          </w:tcPr>
          <w:p w14:paraId="07DCE78D" w14:textId="77777777" w:rsidR="00AE727E" w:rsidRDefault="00AE727E">
            <w:pPr>
              <w:rPr>
                <w:rFonts w:ascii="宋体"/>
              </w:rPr>
            </w:pPr>
          </w:p>
        </w:tc>
        <w:tc>
          <w:tcPr>
            <w:tcW w:w="50" w:type="pct"/>
            <w:shd w:val="clear" w:color="auto" w:fill="auto"/>
            <w:vAlign w:val="bottom"/>
          </w:tcPr>
          <w:p w14:paraId="07DCE78E" w14:textId="77777777" w:rsidR="00AE727E" w:rsidRDefault="00AE727E">
            <w:pPr>
              <w:rPr>
                <w:rFonts w:ascii="宋体"/>
              </w:rPr>
            </w:pPr>
          </w:p>
        </w:tc>
        <w:tc>
          <w:tcPr>
            <w:tcW w:w="420" w:type="pct"/>
            <w:shd w:val="clear" w:color="auto" w:fill="auto"/>
            <w:vAlign w:val="bottom"/>
          </w:tcPr>
          <w:p w14:paraId="07DCE78F" w14:textId="77777777" w:rsidR="00AE727E" w:rsidRDefault="00AE727E">
            <w:pPr>
              <w:rPr>
                <w:rFonts w:ascii="宋体"/>
              </w:rPr>
            </w:pPr>
          </w:p>
        </w:tc>
        <w:tc>
          <w:tcPr>
            <w:tcW w:w="5" w:type="pct"/>
            <w:shd w:val="clear" w:color="auto" w:fill="auto"/>
            <w:vAlign w:val="bottom"/>
          </w:tcPr>
          <w:p w14:paraId="07DCE790" w14:textId="77777777" w:rsidR="00AE727E" w:rsidRDefault="00AE727E">
            <w:pPr>
              <w:rPr>
                <w:rFonts w:ascii="宋体"/>
              </w:rPr>
            </w:pPr>
          </w:p>
        </w:tc>
        <w:tc>
          <w:tcPr>
            <w:tcW w:w="5" w:type="pct"/>
            <w:shd w:val="clear" w:color="auto" w:fill="auto"/>
            <w:vAlign w:val="bottom"/>
          </w:tcPr>
          <w:p w14:paraId="07DCE791" w14:textId="77777777" w:rsidR="00AE727E" w:rsidRDefault="00AE727E">
            <w:pPr>
              <w:rPr>
                <w:rFonts w:ascii="宋体"/>
              </w:rPr>
            </w:pPr>
          </w:p>
        </w:tc>
        <w:tc>
          <w:tcPr>
            <w:tcW w:w="19" w:type="pct"/>
            <w:shd w:val="clear" w:color="auto" w:fill="auto"/>
            <w:vAlign w:val="bottom"/>
          </w:tcPr>
          <w:p w14:paraId="07DCE792" w14:textId="77777777" w:rsidR="00AE727E" w:rsidRDefault="00AE727E">
            <w:pPr>
              <w:rPr>
                <w:rFonts w:ascii="宋体"/>
              </w:rPr>
            </w:pPr>
          </w:p>
        </w:tc>
        <w:tc>
          <w:tcPr>
            <w:tcW w:w="5" w:type="pct"/>
            <w:shd w:val="clear" w:color="auto" w:fill="auto"/>
            <w:vAlign w:val="bottom"/>
          </w:tcPr>
          <w:p w14:paraId="07DCE793" w14:textId="77777777" w:rsidR="00AE727E" w:rsidRDefault="00AE727E">
            <w:pPr>
              <w:rPr>
                <w:rFonts w:ascii="宋体"/>
              </w:rPr>
            </w:pPr>
          </w:p>
        </w:tc>
        <w:tc>
          <w:tcPr>
            <w:tcW w:w="50" w:type="pct"/>
            <w:shd w:val="clear" w:color="auto" w:fill="auto"/>
            <w:vAlign w:val="bottom"/>
          </w:tcPr>
          <w:p w14:paraId="07DCE794" w14:textId="77777777" w:rsidR="00AE727E" w:rsidRDefault="00AE727E">
            <w:pPr>
              <w:rPr>
                <w:rFonts w:ascii="宋体"/>
              </w:rPr>
            </w:pPr>
          </w:p>
        </w:tc>
        <w:tc>
          <w:tcPr>
            <w:tcW w:w="420" w:type="pct"/>
            <w:shd w:val="clear" w:color="auto" w:fill="auto"/>
            <w:vAlign w:val="bottom"/>
          </w:tcPr>
          <w:p w14:paraId="07DCE795" w14:textId="77777777" w:rsidR="00AE727E" w:rsidRDefault="00AE727E">
            <w:pPr>
              <w:rPr>
                <w:rFonts w:ascii="宋体"/>
              </w:rPr>
            </w:pPr>
          </w:p>
        </w:tc>
        <w:tc>
          <w:tcPr>
            <w:tcW w:w="5" w:type="pct"/>
            <w:shd w:val="clear" w:color="auto" w:fill="auto"/>
            <w:vAlign w:val="bottom"/>
          </w:tcPr>
          <w:p w14:paraId="07DCE796" w14:textId="77777777" w:rsidR="00AE727E" w:rsidRDefault="00AE727E">
            <w:pPr>
              <w:rPr>
                <w:rFonts w:ascii="宋体"/>
              </w:rPr>
            </w:pPr>
          </w:p>
        </w:tc>
        <w:tc>
          <w:tcPr>
            <w:tcW w:w="5" w:type="pct"/>
            <w:shd w:val="clear" w:color="auto" w:fill="auto"/>
            <w:vAlign w:val="bottom"/>
          </w:tcPr>
          <w:p w14:paraId="07DCE797" w14:textId="77777777" w:rsidR="00AE727E" w:rsidRDefault="00AE727E">
            <w:pPr>
              <w:rPr>
                <w:rFonts w:ascii="宋体"/>
              </w:rPr>
            </w:pPr>
          </w:p>
        </w:tc>
        <w:tc>
          <w:tcPr>
            <w:tcW w:w="19" w:type="pct"/>
            <w:shd w:val="clear" w:color="auto" w:fill="auto"/>
            <w:vAlign w:val="bottom"/>
          </w:tcPr>
          <w:p w14:paraId="07DCE798" w14:textId="77777777" w:rsidR="00AE727E" w:rsidRDefault="00AE727E">
            <w:pPr>
              <w:rPr>
                <w:rFonts w:ascii="宋体"/>
              </w:rPr>
            </w:pPr>
          </w:p>
        </w:tc>
        <w:tc>
          <w:tcPr>
            <w:tcW w:w="5" w:type="pct"/>
            <w:shd w:val="clear" w:color="auto" w:fill="auto"/>
            <w:vAlign w:val="bottom"/>
          </w:tcPr>
          <w:p w14:paraId="07DCE799" w14:textId="77777777" w:rsidR="00AE727E" w:rsidRDefault="00AE727E">
            <w:pPr>
              <w:rPr>
                <w:rFonts w:ascii="宋体"/>
              </w:rPr>
            </w:pPr>
          </w:p>
        </w:tc>
        <w:tc>
          <w:tcPr>
            <w:tcW w:w="50" w:type="pct"/>
            <w:shd w:val="clear" w:color="auto" w:fill="auto"/>
            <w:vAlign w:val="bottom"/>
          </w:tcPr>
          <w:p w14:paraId="07DCE79A" w14:textId="77777777" w:rsidR="00AE727E" w:rsidRDefault="00AE727E">
            <w:pPr>
              <w:rPr>
                <w:rFonts w:ascii="宋体"/>
              </w:rPr>
            </w:pPr>
          </w:p>
        </w:tc>
        <w:tc>
          <w:tcPr>
            <w:tcW w:w="420" w:type="pct"/>
            <w:shd w:val="clear" w:color="auto" w:fill="auto"/>
            <w:vAlign w:val="bottom"/>
          </w:tcPr>
          <w:p w14:paraId="07DCE79B" w14:textId="77777777" w:rsidR="00AE727E" w:rsidRDefault="00AE727E">
            <w:pPr>
              <w:rPr>
                <w:rFonts w:ascii="宋体"/>
              </w:rPr>
            </w:pPr>
          </w:p>
        </w:tc>
        <w:tc>
          <w:tcPr>
            <w:tcW w:w="5" w:type="pct"/>
            <w:shd w:val="clear" w:color="auto" w:fill="auto"/>
            <w:vAlign w:val="bottom"/>
          </w:tcPr>
          <w:p w14:paraId="07DCE79C" w14:textId="77777777" w:rsidR="00AE727E" w:rsidRDefault="00AE727E">
            <w:pPr>
              <w:rPr>
                <w:rFonts w:ascii="宋体"/>
              </w:rPr>
            </w:pPr>
          </w:p>
        </w:tc>
        <w:tc>
          <w:tcPr>
            <w:tcW w:w="5" w:type="pct"/>
            <w:shd w:val="clear" w:color="auto" w:fill="auto"/>
            <w:vAlign w:val="bottom"/>
          </w:tcPr>
          <w:p w14:paraId="07DCE79D" w14:textId="77777777" w:rsidR="00AE727E" w:rsidRDefault="00AE727E">
            <w:pPr>
              <w:rPr>
                <w:rFonts w:ascii="宋体"/>
              </w:rPr>
            </w:pPr>
          </w:p>
        </w:tc>
        <w:tc>
          <w:tcPr>
            <w:tcW w:w="19" w:type="pct"/>
            <w:shd w:val="clear" w:color="auto" w:fill="auto"/>
            <w:vAlign w:val="bottom"/>
          </w:tcPr>
          <w:p w14:paraId="07DCE79E" w14:textId="77777777" w:rsidR="00AE727E" w:rsidRDefault="00AE727E">
            <w:pPr>
              <w:rPr>
                <w:rFonts w:ascii="宋体"/>
              </w:rPr>
            </w:pPr>
          </w:p>
        </w:tc>
        <w:tc>
          <w:tcPr>
            <w:tcW w:w="5" w:type="pct"/>
            <w:shd w:val="clear" w:color="auto" w:fill="auto"/>
            <w:vAlign w:val="bottom"/>
          </w:tcPr>
          <w:p w14:paraId="07DCE79F" w14:textId="77777777" w:rsidR="00AE727E" w:rsidRDefault="00AE727E">
            <w:pPr>
              <w:rPr>
                <w:rFonts w:ascii="宋体"/>
              </w:rPr>
            </w:pPr>
          </w:p>
        </w:tc>
        <w:tc>
          <w:tcPr>
            <w:tcW w:w="50" w:type="pct"/>
            <w:shd w:val="clear" w:color="auto" w:fill="auto"/>
            <w:vAlign w:val="bottom"/>
          </w:tcPr>
          <w:p w14:paraId="07DCE7A0" w14:textId="77777777" w:rsidR="00AE727E" w:rsidRDefault="00AE727E">
            <w:pPr>
              <w:rPr>
                <w:rFonts w:ascii="宋体"/>
              </w:rPr>
            </w:pPr>
          </w:p>
        </w:tc>
        <w:tc>
          <w:tcPr>
            <w:tcW w:w="420" w:type="pct"/>
            <w:shd w:val="clear" w:color="auto" w:fill="auto"/>
            <w:vAlign w:val="bottom"/>
          </w:tcPr>
          <w:p w14:paraId="07DCE7A1" w14:textId="77777777" w:rsidR="00AE727E" w:rsidRDefault="00AE727E">
            <w:pPr>
              <w:rPr>
                <w:rFonts w:ascii="宋体"/>
              </w:rPr>
            </w:pPr>
          </w:p>
        </w:tc>
        <w:tc>
          <w:tcPr>
            <w:tcW w:w="5" w:type="pct"/>
            <w:shd w:val="clear" w:color="auto" w:fill="auto"/>
            <w:vAlign w:val="bottom"/>
          </w:tcPr>
          <w:p w14:paraId="07DCE7A2" w14:textId="77777777" w:rsidR="00AE727E" w:rsidRDefault="00AE727E">
            <w:pPr>
              <w:rPr>
                <w:rFonts w:ascii="宋体"/>
              </w:rPr>
            </w:pPr>
          </w:p>
        </w:tc>
        <w:tc>
          <w:tcPr>
            <w:tcW w:w="5" w:type="pct"/>
            <w:shd w:val="clear" w:color="auto" w:fill="auto"/>
            <w:vAlign w:val="bottom"/>
          </w:tcPr>
          <w:p w14:paraId="07DCE7A3" w14:textId="77777777" w:rsidR="00AE727E" w:rsidRDefault="00AE727E">
            <w:pPr>
              <w:rPr>
                <w:rFonts w:ascii="宋体"/>
              </w:rPr>
            </w:pPr>
          </w:p>
        </w:tc>
        <w:tc>
          <w:tcPr>
            <w:tcW w:w="19" w:type="pct"/>
            <w:shd w:val="clear" w:color="auto" w:fill="auto"/>
            <w:vAlign w:val="bottom"/>
          </w:tcPr>
          <w:p w14:paraId="07DCE7A4" w14:textId="77777777" w:rsidR="00AE727E" w:rsidRDefault="00AE727E">
            <w:pPr>
              <w:rPr>
                <w:rFonts w:ascii="宋体"/>
              </w:rPr>
            </w:pPr>
          </w:p>
        </w:tc>
        <w:tc>
          <w:tcPr>
            <w:tcW w:w="5" w:type="pct"/>
            <w:shd w:val="clear" w:color="auto" w:fill="auto"/>
            <w:vAlign w:val="bottom"/>
          </w:tcPr>
          <w:p w14:paraId="07DCE7A5" w14:textId="77777777" w:rsidR="00AE727E" w:rsidRDefault="00AE727E">
            <w:pPr>
              <w:rPr>
                <w:rFonts w:ascii="宋体"/>
              </w:rPr>
            </w:pPr>
          </w:p>
        </w:tc>
        <w:tc>
          <w:tcPr>
            <w:tcW w:w="50" w:type="pct"/>
            <w:shd w:val="clear" w:color="auto" w:fill="auto"/>
            <w:vAlign w:val="bottom"/>
          </w:tcPr>
          <w:p w14:paraId="07DCE7A6" w14:textId="77777777" w:rsidR="00AE727E" w:rsidRDefault="00AE727E">
            <w:pPr>
              <w:rPr>
                <w:rFonts w:ascii="宋体"/>
              </w:rPr>
            </w:pPr>
          </w:p>
        </w:tc>
        <w:tc>
          <w:tcPr>
            <w:tcW w:w="420" w:type="pct"/>
            <w:shd w:val="clear" w:color="auto" w:fill="auto"/>
            <w:vAlign w:val="bottom"/>
          </w:tcPr>
          <w:p w14:paraId="07DCE7A7" w14:textId="77777777" w:rsidR="00AE727E" w:rsidRDefault="00AE727E">
            <w:pPr>
              <w:rPr>
                <w:rFonts w:ascii="宋体"/>
              </w:rPr>
            </w:pPr>
          </w:p>
        </w:tc>
        <w:tc>
          <w:tcPr>
            <w:tcW w:w="5" w:type="pct"/>
            <w:shd w:val="clear" w:color="auto" w:fill="auto"/>
            <w:vAlign w:val="bottom"/>
          </w:tcPr>
          <w:p w14:paraId="07DCE7A8" w14:textId="77777777" w:rsidR="00AE727E" w:rsidRDefault="00AE727E">
            <w:pPr>
              <w:rPr>
                <w:rFonts w:ascii="宋体"/>
              </w:rPr>
            </w:pPr>
          </w:p>
        </w:tc>
        <w:tc>
          <w:tcPr>
            <w:tcW w:w="5" w:type="pct"/>
            <w:shd w:val="clear" w:color="auto" w:fill="auto"/>
            <w:vAlign w:val="bottom"/>
          </w:tcPr>
          <w:p w14:paraId="07DCE7A9" w14:textId="77777777" w:rsidR="00AE727E" w:rsidRDefault="00AE727E">
            <w:pPr>
              <w:rPr>
                <w:rFonts w:ascii="宋体"/>
              </w:rPr>
            </w:pPr>
          </w:p>
        </w:tc>
        <w:tc>
          <w:tcPr>
            <w:tcW w:w="19" w:type="pct"/>
            <w:shd w:val="clear" w:color="auto" w:fill="auto"/>
            <w:vAlign w:val="bottom"/>
          </w:tcPr>
          <w:p w14:paraId="07DCE7AA" w14:textId="77777777" w:rsidR="00AE727E" w:rsidRDefault="00AE727E">
            <w:pPr>
              <w:rPr>
                <w:rFonts w:ascii="宋体"/>
              </w:rPr>
            </w:pPr>
          </w:p>
        </w:tc>
        <w:tc>
          <w:tcPr>
            <w:tcW w:w="5" w:type="pct"/>
            <w:shd w:val="clear" w:color="auto" w:fill="auto"/>
            <w:vAlign w:val="bottom"/>
          </w:tcPr>
          <w:p w14:paraId="07DCE7AB" w14:textId="77777777" w:rsidR="00AE727E" w:rsidRDefault="00AE727E">
            <w:pPr>
              <w:rPr>
                <w:rFonts w:ascii="宋体"/>
              </w:rPr>
            </w:pPr>
          </w:p>
        </w:tc>
        <w:tc>
          <w:tcPr>
            <w:tcW w:w="50" w:type="pct"/>
            <w:shd w:val="clear" w:color="auto" w:fill="auto"/>
            <w:vAlign w:val="bottom"/>
          </w:tcPr>
          <w:p w14:paraId="07DCE7AC" w14:textId="77777777" w:rsidR="00AE727E" w:rsidRDefault="00AE727E">
            <w:pPr>
              <w:rPr>
                <w:rFonts w:ascii="宋体"/>
              </w:rPr>
            </w:pPr>
          </w:p>
        </w:tc>
        <w:tc>
          <w:tcPr>
            <w:tcW w:w="420" w:type="pct"/>
            <w:shd w:val="clear" w:color="auto" w:fill="auto"/>
            <w:vAlign w:val="bottom"/>
          </w:tcPr>
          <w:p w14:paraId="07DCE7AD" w14:textId="77777777" w:rsidR="00AE727E" w:rsidRDefault="00AE727E">
            <w:pPr>
              <w:rPr>
                <w:rFonts w:ascii="宋体"/>
              </w:rPr>
            </w:pPr>
          </w:p>
        </w:tc>
        <w:tc>
          <w:tcPr>
            <w:tcW w:w="5" w:type="pct"/>
            <w:shd w:val="clear" w:color="auto" w:fill="auto"/>
            <w:vAlign w:val="bottom"/>
          </w:tcPr>
          <w:p w14:paraId="07DCE7AE" w14:textId="77777777" w:rsidR="00AE727E" w:rsidRDefault="00AE727E">
            <w:pPr>
              <w:rPr>
                <w:rFonts w:ascii="宋体"/>
              </w:rPr>
            </w:pPr>
          </w:p>
        </w:tc>
        <w:tc>
          <w:tcPr>
            <w:tcW w:w="5" w:type="pct"/>
            <w:shd w:val="clear" w:color="auto" w:fill="auto"/>
            <w:vAlign w:val="bottom"/>
          </w:tcPr>
          <w:p w14:paraId="07DCE7AF" w14:textId="77777777" w:rsidR="00AE727E" w:rsidRDefault="00AE727E">
            <w:pPr>
              <w:rPr>
                <w:rFonts w:ascii="宋体"/>
              </w:rPr>
            </w:pPr>
          </w:p>
        </w:tc>
        <w:tc>
          <w:tcPr>
            <w:tcW w:w="19" w:type="pct"/>
            <w:shd w:val="clear" w:color="auto" w:fill="auto"/>
            <w:vAlign w:val="bottom"/>
          </w:tcPr>
          <w:p w14:paraId="07DCE7B0" w14:textId="77777777" w:rsidR="00AE727E" w:rsidRDefault="00AE727E">
            <w:pPr>
              <w:rPr>
                <w:rFonts w:ascii="宋体"/>
              </w:rPr>
            </w:pPr>
          </w:p>
        </w:tc>
        <w:tc>
          <w:tcPr>
            <w:tcW w:w="5" w:type="pct"/>
            <w:shd w:val="clear" w:color="auto" w:fill="auto"/>
            <w:vAlign w:val="bottom"/>
          </w:tcPr>
          <w:p w14:paraId="07DCE7B1" w14:textId="77777777" w:rsidR="00AE727E" w:rsidRDefault="00AE727E">
            <w:pPr>
              <w:rPr>
                <w:rFonts w:ascii="宋体"/>
              </w:rPr>
            </w:pPr>
          </w:p>
        </w:tc>
        <w:tc>
          <w:tcPr>
            <w:tcW w:w="50" w:type="pct"/>
            <w:shd w:val="clear" w:color="auto" w:fill="auto"/>
            <w:vAlign w:val="bottom"/>
          </w:tcPr>
          <w:p w14:paraId="07DCE7B2" w14:textId="77777777" w:rsidR="00AE727E" w:rsidRDefault="00AE727E">
            <w:pPr>
              <w:rPr>
                <w:rFonts w:ascii="宋体"/>
              </w:rPr>
            </w:pPr>
          </w:p>
        </w:tc>
        <w:tc>
          <w:tcPr>
            <w:tcW w:w="420" w:type="pct"/>
            <w:shd w:val="clear" w:color="auto" w:fill="auto"/>
            <w:vAlign w:val="bottom"/>
          </w:tcPr>
          <w:p w14:paraId="07DCE7B3" w14:textId="77777777" w:rsidR="00AE727E" w:rsidRDefault="00AE727E">
            <w:pPr>
              <w:rPr>
                <w:rFonts w:ascii="宋体"/>
              </w:rPr>
            </w:pPr>
          </w:p>
        </w:tc>
        <w:tc>
          <w:tcPr>
            <w:tcW w:w="5" w:type="pct"/>
            <w:shd w:val="clear" w:color="auto" w:fill="auto"/>
            <w:vAlign w:val="bottom"/>
          </w:tcPr>
          <w:p w14:paraId="07DCE7B4" w14:textId="77777777" w:rsidR="00AE727E" w:rsidRDefault="00AE727E">
            <w:pPr>
              <w:rPr>
                <w:rFonts w:ascii="宋体"/>
              </w:rPr>
            </w:pPr>
          </w:p>
        </w:tc>
        <w:tc>
          <w:tcPr>
            <w:tcW w:w="5" w:type="pct"/>
            <w:shd w:val="clear" w:color="auto" w:fill="auto"/>
            <w:vAlign w:val="bottom"/>
          </w:tcPr>
          <w:p w14:paraId="07DCE7B5" w14:textId="77777777" w:rsidR="00AE727E" w:rsidRDefault="00AE727E">
            <w:pPr>
              <w:rPr>
                <w:rFonts w:ascii="宋体"/>
              </w:rPr>
            </w:pPr>
          </w:p>
        </w:tc>
        <w:tc>
          <w:tcPr>
            <w:tcW w:w="19" w:type="pct"/>
            <w:shd w:val="clear" w:color="auto" w:fill="auto"/>
            <w:vAlign w:val="bottom"/>
          </w:tcPr>
          <w:p w14:paraId="07DCE7B6" w14:textId="77777777" w:rsidR="00AE727E" w:rsidRDefault="00AE727E">
            <w:pPr>
              <w:rPr>
                <w:rFonts w:ascii="宋体"/>
              </w:rPr>
            </w:pPr>
          </w:p>
        </w:tc>
        <w:tc>
          <w:tcPr>
            <w:tcW w:w="5" w:type="pct"/>
            <w:shd w:val="clear" w:color="auto" w:fill="auto"/>
            <w:vAlign w:val="bottom"/>
          </w:tcPr>
          <w:p w14:paraId="07DCE7B7" w14:textId="77777777" w:rsidR="00AE727E" w:rsidRDefault="00AE727E">
            <w:pPr>
              <w:rPr>
                <w:rFonts w:ascii="宋体"/>
              </w:rPr>
            </w:pPr>
          </w:p>
        </w:tc>
        <w:tc>
          <w:tcPr>
            <w:tcW w:w="50" w:type="pct"/>
            <w:shd w:val="clear" w:color="auto" w:fill="auto"/>
            <w:vAlign w:val="bottom"/>
          </w:tcPr>
          <w:p w14:paraId="07DCE7B8" w14:textId="77777777" w:rsidR="00AE727E" w:rsidRDefault="00AE727E">
            <w:pPr>
              <w:rPr>
                <w:rFonts w:ascii="宋体"/>
              </w:rPr>
            </w:pPr>
          </w:p>
        </w:tc>
        <w:tc>
          <w:tcPr>
            <w:tcW w:w="420" w:type="pct"/>
            <w:shd w:val="clear" w:color="auto" w:fill="auto"/>
            <w:vAlign w:val="bottom"/>
          </w:tcPr>
          <w:p w14:paraId="07DCE7B9" w14:textId="77777777" w:rsidR="00AE727E" w:rsidRDefault="00AE727E">
            <w:pPr>
              <w:rPr>
                <w:rFonts w:ascii="宋体"/>
              </w:rPr>
            </w:pPr>
          </w:p>
        </w:tc>
        <w:tc>
          <w:tcPr>
            <w:tcW w:w="5" w:type="pct"/>
            <w:shd w:val="clear" w:color="auto" w:fill="auto"/>
            <w:vAlign w:val="bottom"/>
          </w:tcPr>
          <w:p w14:paraId="07DCE7BA" w14:textId="77777777" w:rsidR="00AE727E" w:rsidRDefault="00AE727E">
            <w:pPr>
              <w:rPr>
                <w:rFonts w:ascii="宋体"/>
              </w:rPr>
            </w:pPr>
          </w:p>
        </w:tc>
      </w:tr>
      <w:tr w:rsidR="00AE727E" w14:paraId="07DCE7BE" w14:textId="77777777">
        <w:trPr>
          <w:jc w:val="center"/>
        </w:trPr>
        <w:tc>
          <w:tcPr>
            <w:tcW w:w="0" w:type="auto"/>
            <w:gridSpan w:val="3"/>
            <w:shd w:val="clear" w:color="auto" w:fill="auto"/>
            <w:tcMar>
              <w:top w:w="0" w:type="dxa"/>
              <w:left w:w="20" w:type="dxa"/>
              <w:bottom w:w="0" w:type="dxa"/>
              <w:right w:w="20" w:type="dxa"/>
            </w:tcMar>
            <w:vAlign w:val="bottom"/>
          </w:tcPr>
          <w:p w14:paraId="07DCE7BC" w14:textId="77777777" w:rsidR="00AE727E" w:rsidRDefault="00AE727E">
            <w:pPr>
              <w:rPr>
                <w:rFonts w:ascii="宋体"/>
              </w:rPr>
            </w:pPr>
          </w:p>
        </w:tc>
        <w:tc>
          <w:tcPr>
            <w:tcW w:w="0" w:type="auto"/>
            <w:gridSpan w:val="51"/>
            <w:shd w:val="clear" w:color="auto" w:fill="auto"/>
            <w:tcMar>
              <w:top w:w="40" w:type="dxa"/>
              <w:left w:w="20" w:type="dxa"/>
              <w:bottom w:w="40" w:type="dxa"/>
              <w:right w:w="20" w:type="dxa"/>
            </w:tcMar>
            <w:vAlign w:val="bottom"/>
          </w:tcPr>
          <w:p w14:paraId="07DCE7BD"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E7C7" w14:textId="77777777">
        <w:trPr>
          <w:jc w:val="center"/>
        </w:trPr>
        <w:tc>
          <w:tcPr>
            <w:tcW w:w="0" w:type="auto"/>
            <w:gridSpan w:val="3"/>
            <w:shd w:val="clear" w:color="auto" w:fill="auto"/>
            <w:tcMar>
              <w:top w:w="0" w:type="dxa"/>
              <w:left w:w="20" w:type="dxa"/>
              <w:bottom w:w="0" w:type="dxa"/>
              <w:right w:w="20" w:type="dxa"/>
            </w:tcMar>
            <w:vAlign w:val="bottom"/>
          </w:tcPr>
          <w:p w14:paraId="07DCE7BF"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E7C0" w14:textId="77777777" w:rsidR="00AE727E" w:rsidRDefault="008433E0">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1"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2"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3"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4"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5"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6" w14:textId="77777777" w:rsidR="00AE727E" w:rsidRDefault="00AE727E">
            <w:pPr>
              <w:rPr>
                <w:rFonts w:ascii="宋体"/>
              </w:rPr>
            </w:pPr>
          </w:p>
        </w:tc>
      </w:tr>
      <w:tr w:rsidR="00AE727E" w14:paraId="07DCE7CA" w14:textId="77777777">
        <w:trPr>
          <w:jc w:val="center"/>
        </w:trPr>
        <w:tc>
          <w:tcPr>
            <w:tcW w:w="0" w:type="auto"/>
            <w:gridSpan w:val="3"/>
            <w:shd w:val="clear" w:color="auto" w:fill="auto"/>
            <w:tcMar>
              <w:top w:w="0" w:type="dxa"/>
              <w:left w:w="20" w:type="dxa"/>
              <w:bottom w:w="0" w:type="dxa"/>
              <w:right w:w="20" w:type="dxa"/>
            </w:tcMar>
            <w:vAlign w:val="bottom"/>
          </w:tcPr>
          <w:p w14:paraId="07DCE7C8" w14:textId="77777777" w:rsidR="00AE727E" w:rsidRDefault="00AE727E">
            <w:pPr>
              <w:rPr>
                <w:rFonts w:ascii="宋体"/>
              </w:rPr>
            </w:pPr>
          </w:p>
        </w:tc>
        <w:tc>
          <w:tcPr>
            <w:tcW w:w="0" w:type="auto"/>
            <w:gridSpan w:val="51"/>
            <w:shd w:val="clear" w:color="auto" w:fill="auto"/>
            <w:tcMar>
              <w:top w:w="40" w:type="dxa"/>
              <w:left w:w="20" w:type="dxa"/>
              <w:bottom w:w="40" w:type="dxa"/>
              <w:right w:w="20" w:type="dxa"/>
            </w:tcMar>
            <w:vAlign w:val="bottom"/>
          </w:tcPr>
          <w:p w14:paraId="07DCE7C9" w14:textId="77777777" w:rsidR="00AE727E" w:rsidRDefault="008433E0">
            <w:pPr>
              <w:jc w:val="center"/>
              <w:textAlignment w:val="bottom"/>
            </w:pPr>
            <w:r>
              <w:rPr>
                <w:rFonts w:ascii="Times New Roman" w:eastAsia="宋体" w:hAnsi="Times New Roman"/>
                <w:b/>
                <w:bCs/>
                <w:color w:val="000000"/>
                <w:sz w:val="20"/>
                <w:szCs w:val="20"/>
              </w:rPr>
              <w:t>Fiscal Year of Origination</w:t>
            </w:r>
          </w:p>
        </w:tc>
      </w:tr>
      <w:tr w:rsidR="00AE727E" w14:paraId="07DCE7DD" w14:textId="77777777">
        <w:trPr>
          <w:jc w:val="center"/>
        </w:trPr>
        <w:tc>
          <w:tcPr>
            <w:tcW w:w="0" w:type="auto"/>
            <w:gridSpan w:val="3"/>
            <w:shd w:val="clear" w:color="auto" w:fill="auto"/>
            <w:tcMar>
              <w:top w:w="0" w:type="dxa"/>
              <w:left w:w="20" w:type="dxa"/>
              <w:bottom w:w="0" w:type="dxa"/>
              <w:right w:w="20" w:type="dxa"/>
            </w:tcMar>
            <w:vAlign w:val="bottom"/>
          </w:tcPr>
          <w:p w14:paraId="07DCE7CB"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7CC" w14:textId="77777777" w:rsidR="00AE727E" w:rsidRDefault="008433E0">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CE" w14:textId="77777777" w:rsidR="00AE727E" w:rsidRDefault="008433E0">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C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0" w14:textId="77777777" w:rsidR="00AE727E" w:rsidRDefault="008433E0">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2" w14:textId="77777777" w:rsidR="00AE727E" w:rsidRDefault="008433E0">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4" w14:textId="77777777" w:rsidR="00AE727E" w:rsidRDefault="008433E0">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6" w14:textId="77777777" w:rsidR="00AE727E" w:rsidRDefault="008433E0">
            <w:pPr>
              <w:jc w:val="center"/>
              <w:textAlignment w:val="bottom"/>
            </w:pPr>
            <w:r>
              <w:rPr>
                <w:rFonts w:ascii="Times New Roman" w:eastAsia="宋体" w:hAnsi="Times New Roman"/>
                <w:b/>
                <w:bCs/>
                <w:color w:val="000000"/>
                <w:sz w:val="20"/>
                <w:szCs w:val="20"/>
              </w:rPr>
              <w:t>Years Prior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8" w14:textId="77777777" w:rsidR="00AE727E" w:rsidRDefault="008433E0">
            <w:pPr>
              <w:jc w:val="center"/>
              <w:textAlignment w:val="bottom"/>
            </w:pPr>
            <w:r>
              <w:rPr>
                <w:rFonts w:ascii="Times New Roman" w:eastAsia="宋体" w:hAnsi="Times New Roman"/>
                <w:b/>
                <w:bCs/>
                <w:color w:val="000000"/>
                <w:sz w:val="20"/>
                <w:szCs w:val="20"/>
              </w:rPr>
              <w:t>Revolving — DPA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A" w14:textId="77777777" w:rsidR="00AE727E" w:rsidRDefault="008433E0">
            <w:pPr>
              <w:jc w:val="center"/>
              <w:textAlignment w:val="bottom"/>
            </w:pPr>
            <w:r>
              <w:rPr>
                <w:rFonts w:ascii="Times New Roman" w:eastAsia="宋体" w:hAnsi="Times New Roman"/>
                <w:b/>
                <w:bCs/>
                <w:color w:val="000000"/>
                <w:sz w:val="20"/>
                <w:szCs w:val="20"/>
              </w:rPr>
              <w:t>Revolving — DBC</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7D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7DC"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7E0" w14:textId="77777777">
        <w:trPr>
          <w:jc w:val="center"/>
        </w:trPr>
        <w:tc>
          <w:tcPr>
            <w:tcW w:w="0" w:type="auto"/>
            <w:gridSpan w:val="3"/>
            <w:shd w:val="clear" w:color="auto" w:fill="auto"/>
            <w:tcMar>
              <w:top w:w="0" w:type="dxa"/>
              <w:left w:w="20" w:type="dxa"/>
              <w:bottom w:w="0" w:type="dxa"/>
              <w:right w:w="20" w:type="dxa"/>
            </w:tcMar>
            <w:vAlign w:val="bottom"/>
          </w:tcPr>
          <w:p w14:paraId="07DCE7DE" w14:textId="77777777" w:rsidR="00AE727E" w:rsidRDefault="00AE727E">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07DCE7DF" w14:textId="77777777" w:rsidR="00AE727E" w:rsidRDefault="008433E0">
            <w:pPr>
              <w:jc w:val="center"/>
              <w:textAlignment w:val="center"/>
            </w:pPr>
            <w:r>
              <w:rPr>
                <w:rFonts w:ascii="Times New Roman" w:eastAsia="宋体" w:hAnsi="Times New Roman"/>
                <w:color w:val="000000"/>
                <w:sz w:val="20"/>
                <w:szCs w:val="20"/>
              </w:rPr>
              <w:t>(in millions)</w:t>
            </w:r>
          </w:p>
        </w:tc>
      </w:tr>
      <w:tr w:rsidR="008433E0" w14:paraId="07DCE805" w14:textId="77777777">
        <w:trPr>
          <w:jc w:val="center"/>
        </w:trPr>
        <w:tc>
          <w:tcPr>
            <w:tcW w:w="0" w:type="auto"/>
            <w:gridSpan w:val="3"/>
            <w:shd w:val="clear" w:color="auto" w:fill="CCEEFF"/>
            <w:tcMar>
              <w:top w:w="40" w:type="dxa"/>
              <w:left w:w="20" w:type="dxa"/>
              <w:bottom w:w="40" w:type="dxa"/>
              <w:right w:w="20" w:type="dxa"/>
            </w:tcMar>
            <w:vAlign w:val="center"/>
          </w:tcPr>
          <w:p w14:paraId="07DCE7E1" w14:textId="77777777" w:rsidR="00AE727E" w:rsidRDefault="008433E0">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07DCE7E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E3" w14:textId="77777777" w:rsidR="00AE727E" w:rsidRDefault="008433E0">
            <w:pPr>
              <w:jc w:val="right"/>
              <w:textAlignment w:val="center"/>
            </w:pPr>
            <w:r>
              <w:rPr>
                <w:rFonts w:ascii="Times New Roman" w:eastAsia="宋体" w:hAnsi="Times New Roman"/>
                <w:color w:val="000000"/>
                <w:sz w:val="20"/>
                <w:szCs w:val="20"/>
              </w:rPr>
              <w:t>2,441 </w:t>
            </w:r>
          </w:p>
        </w:tc>
        <w:tc>
          <w:tcPr>
            <w:tcW w:w="0" w:type="auto"/>
            <w:shd w:val="clear" w:color="auto" w:fill="CCEEFF"/>
            <w:tcMar>
              <w:top w:w="40" w:type="dxa"/>
              <w:left w:w="0" w:type="dxa"/>
              <w:bottom w:w="40" w:type="dxa"/>
              <w:right w:w="20" w:type="dxa"/>
            </w:tcMar>
            <w:vAlign w:val="center"/>
          </w:tcPr>
          <w:p w14:paraId="07DCE7E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E5"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E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E7" w14:textId="77777777" w:rsidR="00AE727E" w:rsidRDefault="008433E0">
            <w:pPr>
              <w:jc w:val="right"/>
              <w:textAlignment w:val="center"/>
            </w:pPr>
            <w:r>
              <w:rPr>
                <w:rFonts w:ascii="Times New Roman" w:eastAsia="宋体" w:hAnsi="Times New Roman"/>
                <w:color w:val="000000"/>
                <w:sz w:val="20"/>
                <w:szCs w:val="20"/>
              </w:rPr>
              <w:t>2,055 </w:t>
            </w:r>
          </w:p>
        </w:tc>
        <w:tc>
          <w:tcPr>
            <w:tcW w:w="0" w:type="auto"/>
            <w:shd w:val="clear" w:color="auto" w:fill="CCEEFF"/>
            <w:tcMar>
              <w:top w:w="40" w:type="dxa"/>
              <w:left w:w="0" w:type="dxa"/>
              <w:bottom w:w="40" w:type="dxa"/>
              <w:right w:w="20" w:type="dxa"/>
            </w:tcMar>
            <w:vAlign w:val="center"/>
          </w:tcPr>
          <w:p w14:paraId="07DCE7E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E9"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E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EB" w14:textId="77777777" w:rsidR="00AE727E" w:rsidRDefault="008433E0">
            <w:pPr>
              <w:jc w:val="right"/>
              <w:textAlignment w:val="center"/>
            </w:pPr>
            <w:r>
              <w:rPr>
                <w:rFonts w:ascii="Times New Roman" w:eastAsia="宋体" w:hAnsi="Times New Roman"/>
                <w:color w:val="000000"/>
                <w:sz w:val="20"/>
                <w:szCs w:val="20"/>
              </w:rPr>
              <w:t>1,108 </w:t>
            </w:r>
          </w:p>
        </w:tc>
        <w:tc>
          <w:tcPr>
            <w:tcW w:w="0" w:type="auto"/>
            <w:shd w:val="clear" w:color="auto" w:fill="CCEEFF"/>
            <w:tcMar>
              <w:top w:w="40" w:type="dxa"/>
              <w:left w:w="0" w:type="dxa"/>
              <w:bottom w:w="40" w:type="dxa"/>
              <w:right w:w="20" w:type="dxa"/>
            </w:tcMar>
            <w:vAlign w:val="center"/>
          </w:tcPr>
          <w:p w14:paraId="07DCE7E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E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E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EF" w14:textId="77777777" w:rsidR="00AE727E" w:rsidRDefault="008433E0">
            <w:pPr>
              <w:jc w:val="right"/>
              <w:textAlignment w:val="center"/>
            </w:pPr>
            <w:r>
              <w:rPr>
                <w:rFonts w:ascii="Times New Roman" w:eastAsia="宋体" w:hAnsi="Times New Roman"/>
                <w:color w:val="000000"/>
                <w:sz w:val="20"/>
                <w:szCs w:val="20"/>
              </w:rPr>
              <w:t>297 </w:t>
            </w:r>
          </w:p>
        </w:tc>
        <w:tc>
          <w:tcPr>
            <w:tcW w:w="0" w:type="auto"/>
            <w:shd w:val="clear" w:color="auto" w:fill="CCEEFF"/>
            <w:tcMar>
              <w:top w:w="40" w:type="dxa"/>
              <w:left w:w="0" w:type="dxa"/>
              <w:bottom w:w="40" w:type="dxa"/>
              <w:right w:w="20" w:type="dxa"/>
            </w:tcMar>
            <w:vAlign w:val="center"/>
          </w:tcPr>
          <w:p w14:paraId="07DCE7F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F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F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F3" w14:textId="77777777" w:rsidR="00AE727E" w:rsidRDefault="008433E0">
            <w:pPr>
              <w:jc w:val="right"/>
              <w:textAlignment w:val="center"/>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center"/>
          </w:tcPr>
          <w:p w14:paraId="07DCE7F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F5"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F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F7" w14:textId="77777777" w:rsidR="00AE727E" w:rsidRDefault="008433E0">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07DCE7F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F9"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F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FB" w14:textId="77777777" w:rsidR="00AE727E" w:rsidRDefault="008433E0">
            <w:pPr>
              <w:jc w:val="right"/>
              <w:textAlignment w:val="center"/>
            </w:pPr>
            <w:r>
              <w:rPr>
                <w:rFonts w:ascii="Times New Roman" w:eastAsia="宋体" w:hAnsi="Times New Roman"/>
                <w:color w:val="000000"/>
                <w:sz w:val="20"/>
                <w:szCs w:val="20"/>
              </w:rPr>
              <w:t>135 </w:t>
            </w:r>
          </w:p>
        </w:tc>
        <w:tc>
          <w:tcPr>
            <w:tcW w:w="0" w:type="auto"/>
            <w:shd w:val="clear" w:color="auto" w:fill="CCEEFF"/>
            <w:tcMar>
              <w:top w:w="40" w:type="dxa"/>
              <w:left w:w="0" w:type="dxa"/>
              <w:bottom w:w="40" w:type="dxa"/>
              <w:right w:w="20" w:type="dxa"/>
            </w:tcMar>
            <w:vAlign w:val="center"/>
          </w:tcPr>
          <w:p w14:paraId="07DCE7F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7F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7F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7FF" w14:textId="77777777" w:rsidR="00AE727E" w:rsidRDefault="008433E0">
            <w:pPr>
              <w:jc w:val="right"/>
              <w:textAlignment w:val="center"/>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center"/>
          </w:tcPr>
          <w:p w14:paraId="07DCE8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0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0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03" w14:textId="77777777" w:rsidR="00AE727E" w:rsidRDefault="008433E0">
            <w:pPr>
              <w:jc w:val="right"/>
              <w:textAlignment w:val="center"/>
            </w:pPr>
            <w:r>
              <w:rPr>
                <w:rFonts w:ascii="Times New Roman" w:eastAsia="宋体" w:hAnsi="Times New Roman"/>
                <w:color w:val="000000"/>
                <w:sz w:val="20"/>
                <w:szCs w:val="20"/>
              </w:rPr>
              <w:t>6,131 </w:t>
            </w:r>
          </w:p>
        </w:tc>
        <w:tc>
          <w:tcPr>
            <w:tcW w:w="0" w:type="auto"/>
            <w:shd w:val="clear" w:color="auto" w:fill="CCEEFF"/>
            <w:tcMar>
              <w:top w:w="40" w:type="dxa"/>
              <w:left w:w="0" w:type="dxa"/>
              <w:bottom w:w="40" w:type="dxa"/>
              <w:right w:w="20" w:type="dxa"/>
            </w:tcMar>
            <w:vAlign w:val="center"/>
          </w:tcPr>
          <w:p w14:paraId="07DCE804" w14:textId="77777777" w:rsidR="00AE727E" w:rsidRDefault="00AE727E">
            <w:pPr>
              <w:jc w:val="right"/>
              <w:rPr>
                <w:rFonts w:ascii="宋体"/>
              </w:rPr>
            </w:pPr>
          </w:p>
        </w:tc>
      </w:tr>
      <w:tr w:rsidR="00AE727E" w14:paraId="07DCE821" w14:textId="77777777">
        <w:trPr>
          <w:jc w:val="center"/>
        </w:trPr>
        <w:tc>
          <w:tcPr>
            <w:tcW w:w="0" w:type="auto"/>
            <w:gridSpan w:val="3"/>
            <w:shd w:val="clear" w:color="auto" w:fill="FFFFFF"/>
            <w:tcMar>
              <w:top w:w="40" w:type="dxa"/>
              <w:left w:w="20" w:type="dxa"/>
              <w:bottom w:w="40" w:type="dxa"/>
              <w:right w:w="20" w:type="dxa"/>
            </w:tcMar>
            <w:vAlign w:val="center"/>
          </w:tcPr>
          <w:p w14:paraId="07DCE806" w14:textId="77777777" w:rsidR="00AE727E" w:rsidRDefault="008433E0">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07DCE807" w14:textId="77777777" w:rsidR="00AE727E" w:rsidRDefault="008433E0">
            <w:pPr>
              <w:jc w:val="right"/>
              <w:textAlignment w:val="center"/>
            </w:pPr>
            <w:r>
              <w:rPr>
                <w:rFonts w:ascii="Times New Roman" w:eastAsia="宋体" w:hAnsi="Times New Roman"/>
                <w:color w:val="000000"/>
                <w:sz w:val="20"/>
                <w:szCs w:val="20"/>
              </w:rPr>
              <w:t>765 </w:t>
            </w:r>
          </w:p>
        </w:tc>
        <w:tc>
          <w:tcPr>
            <w:tcW w:w="0" w:type="auto"/>
            <w:shd w:val="clear" w:color="auto" w:fill="FFFFFF"/>
            <w:tcMar>
              <w:top w:w="40" w:type="dxa"/>
              <w:left w:w="0" w:type="dxa"/>
              <w:bottom w:w="40" w:type="dxa"/>
              <w:right w:w="20" w:type="dxa"/>
            </w:tcMar>
            <w:vAlign w:val="center"/>
          </w:tcPr>
          <w:p w14:paraId="07DCE80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0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0A" w14:textId="77777777" w:rsidR="00AE727E" w:rsidRDefault="008433E0">
            <w:pPr>
              <w:jc w:val="right"/>
              <w:textAlignment w:val="center"/>
            </w:pPr>
            <w:r>
              <w:rPr>
                <w:rFonts w:ascii="Times New Roman" w:eastAsia="宋体" w:hAnsi="Times New Roman"/>
                <w:color w:val="000000"/>
                <w:sz w:val="20"/>
                <w:szCs w:val="20"/>
              </w:rPr>
              <w:t>863 </w:t>
            </w:r>
          </w:p>
        </w:tc>
        <w:tc>
          <w:tcPr>
            <w:tcW w:w="0" w:type="auto"/>
            <w:shd w:val="clear" w:color="auto" w:fill="FFFFFF"/>
            <w:tcMar>
              <w:top w:w="40" w:type="dxa"/>
              <w:left w:w="0" w:type="dxa"/>
              <w:bottom w:w="40" w:type="dxa"/>
              <w:right w:w="20" w:type="dxa"/>
            </w:tcMar>
            <w:vAlign w:val="center"/>
          </w:tcPr>
          <w:p w14:paraId="07DCE80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0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0D" w14:textId="77777777" w:rsidR="00AE727E" w:rsidRDefault="008433E0">
            <w:pPr>
              <w:jc w:val="right"/>
              <w:textAlignment w:val="center"/>
            </w:pPr>
            <w:r>
              <w:rPr>
                <w:rFonts w:ascii="Times New Roman" w:eastAsia="宋体" w:hAnsi="Times New Roman"/>
                <w:color w:val="000000"/>
                <w:sz w:val="20"/>
                <w:szCs w:val="20"/>
              </w:rPr>
              <w:t>426 </w:t>
            </w:r>
          </w:p>
        </w:tc>
        <w:tc>
          <w:tcPr>
            <w:tcW w:w="0" w:type="auto"/>
            <w:shd w:val="clear" w:color="auto" w:fill="FFFFFF"/>
            <w:tcMar>
              <w:top w:w="40" w:type="dxa"/>
              <w:left w:w="0" w:type="dxa"/>
              <w:bottom w:w="40" w:type="dxa"/>
              <w:right w:w="20" w:type="dxa"/>
            </w:tcMar>
            <w:vAlign w:val="center"/>
          </w:tcPr>
          <w:p w14:paraId="07DCE80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0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0" w14:textId="77777777" w:rsidR="00AE727E" w:rsidRDefault="008433E0">
            <w:pPr>
              <w:jc w:val="right"/>
              <w:textAlignment w:val="center"/>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center"/>
          </w:tcPr>
          <w:p w14:paraId="07DCE81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1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3" w14:textId="77777777" w:rsidR="00AE727E" w:rsidRDefault="008433E0">
            <w:pPr>
              <w:jc w:val="right"/>
              <w:textAlignment w:val="center"/>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center"/>
          </w:tcPr>
          <w:p w14:paraId="07DCE81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1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6"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07DCE8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1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9" w14:textId="77777777" w:rsidR="00AE727E" w:rsidRDefault="008433E0">
            <w:pPr>
              <w:jc w:val="right"/>
              <w:textAlignment w:val="center"/>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center"/>
          </w:tcPr>
          <w:p w14:paraId="07DCE81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1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C" w14:textId="77777777" w:rsidR="00AE727E" w:rsidRDefault="008433E0">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center"/>
          </w:tcPr>
          <w:p w14:paraId="07DCE81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1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1F" w14:textId="77777777" w:rsidR="00AE727E" w:rsidRDefault="008433E0">
            <w:pPr>
              <w:jc w:val="right"/>
              <w:textAlignment w:val="center"/>
            </w:pPr>
            <w:r>
              <w:rPr>
                <w:rFonts w:ascii="Times New Roman" w:eastAsia="宋体" w:hAnsi="Times New Roman"/>
                <w:color w:val="000000"/>
                <w:sz w:val="20"/>
                <w:szCs w:val="20"/>
              </w:rPr>
              <w:t>2,423 </w:t>
            </w:r>
          </w:p>
        </w:tc>
        <w:tc>
          <w:tcPr>
            <w:tcW w:w="0" w:type="auto"/>
            <w:shd w:val="clear" w:color="auto" w:fill="FFFFFF"/>
            <w:tcMar>
              <w:top w:w="40" w:type="dxa"/>
              <w:left w:w="0" w:type="dxa"/>
              <w:bottom w:w="40" w:type="dxa"/>
              <w:right w:w="20" w:type="dxa"/>
            </w:tcMar>
            <w:vAlign w:val="center"/>
          </w:tcPr>
          <w:p w14:paraId="07DCE820" w14:textId="77777777" w:rsidR="00AE727E" w:rsidRDefault="00AE727E">
            <w:pPr>
              <w:jc w:val="right"/>
              <w:rPr>
                <w:rFonts w:ascii="宋体"/>
              </w:rPr>
            </w:pPr>
          </w:p>
        </w:tc>
      </w:tr>
      <w:tr w:rsidR="00AE727E" w14:paraId="07DCE83D" w14:textId="77777777">
        <w:trPr>
          <w:jc w:val="center"/>
        </w:trPr>
        <w:tc>
          <w:tcPr>
            <w:tcW w:w="0" w:type="auto"/>
            <w:gridSpan w:val="3"/>
            <w:shd w:val="clear" w:color="auto" w:fill="CCEEFF"/>
            <w:tcMar>
              <w:top w:w="40" w:type="dxa"/>
              <w:left w:w="20" w:type="dxa"/>
              <w:bottom w:w="40" w:type="dxa"/>
              <w:right w:w="20" w:type="dxa"/>
            </w:tcMar>
            <w:vAlign w:val="center"/>
          </w:tcPr>
          <w:p w14:paraId="07DCE822" w14:textId="77777777" w:rsidR="00AE727E" w:rsidRDefault="008433E0">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07DCE823" w14:textId="77777777" w:rsidR="00AE727E" w:rsidRDefault="008433E0">
            <w:pPr>
              <w:jc w:val="right"/>
              <w:textAlignment w:val="center"/>
            </w:pPr>
            <w:r>
              <w:rPr>
                <w:rFonts w:ascii="Times New Roman" w:eastAsia="宋体" w:hAnsi="Times New Roman"/>
                <w:color w:val="000000"/>
                <w:sz w:val="20"/>
                <w:szCs w:val="20"/>
              </w:rPr>
              <w:t>486 </w:t>
            </w:r>
          </w:p>
        </w:tc>
        <w:tc>
          <w:tcPr>
            <w:tcW w:w="0" w:type="auto"/>
            <w:shd w:val="clear" w:color="auto" w:fill="CCEEFF"/>
            <w:tcMar>
              <w:top w:w="40" w:type="dxa"/>
              <w:left w:w="0" w:type="dxa"/>
              <w:bottom w:w="40" w:type="dxa"/>
              <w:right w:w="20" w:type="dxa"/>
            </w:tcMar>
            <w:vAlign w:val="center"/>
          </w:tcPr>
          <w:p w14:paraId="07DCE8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2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26" w14:textId="77777777" w:rsidR="00AE727E" w:rsidRDefault="008433E0">
            <w:pPr>
              <w:jc w:val="right"/>
              <w:textAlignment w:val="center"/>
            </w:pPr>
            <w:r>
              <w:rPr>
                <w:rFonts w:ascii="Times New Roman" w:eastAsia="宋体" w:hAnsi="Times New Roman"/>
                <w:color w:val="000000"/>
                <w:sz w:val="20"/>
                <w:szCs w:val="20"/>
              </w:rPr>
              <w:t>515 </w:t>
            </w:r>
          </w:p>
        </w:tc>
        <w:tc>
          <w:tcPr>
            <w:tcW w:w="0" w:type="auto"/>
            <w:shd w:val="clear" w:color="auto" w:fill="CCEEFF"/>
            <w:tcMar>
              <w:top w:w="40" w:type="dxa"/>
              <w:left w:w="0" w:type="dxa"/>
              <w:bottom w:w="40" w:type="dxa"/>
              <w:right w:w="20" w:type="dxa"/>
            </w:tcMar>
            <w:vAlign w:val="center"/>
          </w:tcPr>
          <w:p w14:paraId="07DCE8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2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29" w14:textId="77777777" w:rsidR="00AE727E" w:rsidRDefault="008433E0">
            <w:pPr>
              <w:jc w:val="right"/>
              <w:textAlignment w:val="center"/>
            </w:pPr>
            <w:r>
              <w:rPr>
                <w:rFonts w:ascii="Times New Roman" w:eastAsia="宋体" w:hAnsi="Times New Roman"/>
                <w:color w:val="000000"/>
                <w:sz w:val="20"/>
                <w:szCs w:val="20"/>
              </w:rPr>
              <w:t>267 </w:t>
            </w:r>
          </w:p>
        </w:tc>
        <w:tc>
          <w:tcPr>
            <w:tcW w:w="0" w:type="auto"/>
            <w:shd w:val="clear" w:color="auto" w:fill="CCEEFF"/>
            <w:tcMar>
              <w:top w:w="40" w:type="dxa"/>
              <w:left w:w="0" w:type="dxa"/>
              <w:bottom w:w="40" w:type="dxa"/>
              <w:right w:w="20" w:type="dxa"/>
            </w:tcMar>
            <w:vAlign w:val="center"/>
          </w:tcPr>
          <w:p w14:paraId="07DCE82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2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2C" w14:textId="77777777" w:rsidR="00AE727E" w:rsidRDefault="008433E0">
            <w:pPr>
              <w:jc w:val="right"/>
              <w:textAlignment w:val="center"/>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center"/>
          </w:tcPr>
          <w:p w14:paraId="07DCE82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2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2F"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07DCE83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3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32"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CE8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35" w14:textId="77777777" w:rsidR="00AE727E" w:rsidRDefault="008433E0">
            <w:pPr>
              <w:jc w:val="right"/>
              <w:textAlignment w:val="center"/>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center"/>
          </w:tcPr>
          <w:p w14:paraId="07DCE83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3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38" w14:textId="77777777" w:rsidR="00AE727E" w:rsidRDefault="008433E0">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07DCE83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3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83B" w14:textId="77777777" w:rsidR="00AE727E" w:rsidRDefault="008433E0">
            <w:pPr>
              <w:jc w:val="right"/>
              <w:textAlignment w:val="center"/>
            </w:pPr>
            <w:r>
              <w:rPr>
                <w:rFonts w:ascii="Times New Roman" w:eastAsia="宋体" w:hAnsi="Times New Roman"/>
                <w:color w:val="000000"/>
                <w:sz w:val="20"/>
                <w:szCs w:val="20"/>
              </w:rPr>
              <w:t>1,646 </w:t>
            </w:r>
          </w:p>
        </w:tc>
        <w:tc>
          <w:tcPr>
            <w:tcW w:w="0" w:type="auto"/>
            <w:shd w:val="clear" w:color="auto" w:fill="CCEEFF"/>
            <w:tcMar>
              <w:top w:w="40" w:type="dxa"/>
              <w:left w:w="0" w:type="dxa"/>
              <w:bottom w:w="40" w:type="dxa"/>
              <w:right w:w="20" w:type="dxa"/>
            </w:tcMar>
            <w:vAlign w:val="center"/>
          </w:tcPr>
          <w:p w14:paraId="07DCE83C" w14:textId="77777777" w:rsidR="00AE727E" w:rsidRDefault="00AE727E">
            <w:pPr>
              <w:jc w:val="right"/>
              <w:rPr>
                <w:rFonts w:ascii="宋体"/>
              </w:rPr>
            </w:pPr>
          </w:p>
        </w:tc>
      </w:tr>
      <w:tr w:rsidR="008433E0" w14:paraId="07DCE862" w14:textId="77777777">
        <w:trPr>
          <w:jc w:val="center"/>
        </w:trPr>
        <w:tc>
          <w:tcPr>
            <w:tcW w:w="0" w:type="auto"/>
            <w:gridSpan w:val="3"/>
            <w:shd w:val="clear" w:color="auto" w:fill="FFFFFF"/>
            <w:tcMar>
              <w:top w:w="40" w:type="dxa"/>
              <w:left w:w="155" w:type="dxa"/>
              <w:bottom w:w="40" w:type="dxa"/>
              <w:right w:w="20" w:type="dxa"/>
            </w:tcMar>
            <w:vAlign w:val="center"/>
          </w:tcPr>
          <w:p w14:paraId="07DCE83E" w14:textId="77777777" w:rsidR="00AE727E" w:rsidRDefault="008433E0">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3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40" w14:textId="77777777" w:rsidR="00AE727E" w:rsidRDefault="008433E0">
            <w:pPr>
              <w:jc w:val="right"/>
              <w:textAlignment w:val="center"/>
            </w:pPr>
            <w:r>
              <w:rPr>
                <w:rFonts w:ascii="Times New Roman" w:eastAsia="宋体" w:hAnsi="Times New Roman"/>
                <w:color w:val="000000"/>
                <w:sz w:val="20"/>
                <w:szCs w:val="20"/>
              </w:rPr>
              <w:t>3,692 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4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4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44" w14:textId="77777777" w:rsidR="00AE727E" w:rsidRDefault="008433E0">
            <w:pPr>
              <w:jc w:val="right"/>
              <w:textAlignment w:val="center"/>
            </w:pPr>
            <w:r>
              <w:rPr>
                <w:rFonts w:ascii="Times New Roman" w:eastAsia="宋体" w:hAnsi="Times New Roman"/>
                <w:color w:val="000000"/>
                <w:sz w:val="20"/>
                <w:szCs w:val="20"/>
              </w:rPr>
              <w:t>3,433 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4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4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48" w14:textId="77777777" w:rsidR="00AE727E" w:rsidRDefault="008433E0">
            <w:pPr>
              <w:jc w:val="right"/>
              <w:textAlignment w:val="center"/>
            </w:pPr>
            <w:r>
              <w:rPr>
                <w:rFonts w:ascii="Times New Roman" w:eastAsia="宋体" w:hAnsi="Times New Roman"/>
                <w:color w:val="000000"/>
                <w:sz w:val="20"/>
                <w:szCs w:val="20"/>
              </w:rPr>
              <w:t>1,801 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4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4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4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4C" w14:textId="77777777" w:rsidR="00AE727E" w:rsidRDefault="008433E0">
            <w:pPr>
              <w:jc w:val="right"/>
              <w:textAlignment w:val="center"/>
            </w:pPr>
            <w:r>
              <w:rPr>
                <w:rFonts w:ascii="Times New Roman" w:eastAsia="宋体" w:hAnsi="Times New Roman"/>
                <w:color w:val="000000"/>
                <w:sz w:val="20"/>
                <w:szCs w:val="20"/>
              </w:rPr>
              <w:t>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4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4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4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50" w14:textId="77777777" w:rsidR="00AE727E" w:rsidRDefault="008433E0">
            <w:pPr>
              <w:jc w:val="right"/>
              <w:textAlignment w:val="center"/>
            </w:pPr>
            <w:r>
              <w:rPr>
                <w:rFonts w:ascii="Times New Roman" w:eastAsia="宋体" w:hAnsi="Times New Roman"/>
                <w:color w:val="000000"/>
                <w:sz w:val="20"/>
                <w:szCs w:val="20"/>
              </w:rPr>
              <w:t>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5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5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5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54" w14:textId="77777777" w:rsidR="00AE727E" w:rsidRDefault="008433E0">
            <w:pPr>
              <w:jc w:val="right"/>
              <w:textAlignment w:val="center"/>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5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5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58" w14:textId="77777777" w:rsidR="00AE727E" w:rsidRDefault="008433E0">
            <w:pPr>
              <w:jc w:val="right"/>
              <w:textAlignment w:val="center"/>
            </w:pPr>
            <w:r>
              <w:rPr>
                <w:rFonts w:ascii="Times New Roman" w:eastAsia="宋体" w:hAnsi="Times New Roman"/>
                <w:color w:val="000000"/>
                <w:sz w:val="20"/>
                <w:szCs w:val="20"/>
              </w:rPr>
              <w:t>529 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5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5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5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5C" w14:textId="77777777" w:rsidR="00AE727E" w:rsidRDefault="008433E0">
            <w:pPr>
              <w:jc w:val="right"/>
              <w:textAlignment w:val="center"/>
            </w:pPr>
            <w:r>
              <w:rPr>
                <w:rFonts w:ascii="Times New Roman" w:eastAsia="宋体" w:hAnsi="Times New Roman"/>
                <w:color w:val="000000"/>
                <w:sz w:val="20"/>
                <w:szCs w:val="20"/>
              </w:rPr>
              <w:t>176 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5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5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85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860" w14:textId="77777777" w:rsidR="00AE727E" w:rsidRDefault="008433E0">
            <w:pPr>
              <w:jc w:val="right"/>
              <w:textAlignment w:val="center"/>
            </w:pPr>
            <w:r>
              <w:rPr>
                <w:rFonts w:ascii="Times New Roman" w:eastAsia="宋体" w:hAnsi="Times New Roman"/>
                <w:color w:val="000000"/>
                <w:sz w:val="20"/>
                <w:szCs w:val="20"/>
              </w:rPr>
              <w:t>10,200 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861" w14:textId="77777777" w:rsidR="00AE727E" w:rsidRDefault="00AE727E">
            <w:pPr>
              <w:jc w:val="right"/>
              <w:rPr>
                <w:rFonts w:ascii="宋体"/>
              </w:rPr>
            </w:pPr>
          </w:p>
        </w:tc>
      </w:tr>
    </w:tbl>
    <w:p w14:paraId="07DCE863" w14:textId="77777777" w:rsidR="00AE727E" w:rsidRDefault="00AE727E">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529"/>
        <w:gridCol w:w="36"/>
        <w:gridCol w:w="120"/>
        <w:gridCol w:w="500"/>
        <w:gridCol w:w="36"/>
        <w:gridCol w:w="36"/>
        <w:gridCol w:w="36"/>
        <w:gridCol w:w="36"/>
        <w:gridCol w:w="120"/>
        <w:gridCol w:w="546"/>
        <w:gridCol w:w="36"/>
        <w:gridCol w:w="36"/>
        <w:gridCol w:w="36"/>
        <w:gridCol w:w="36"/>
        <w:gridCol w:w="120"/>
        <w:gridCol w:w="552"/>
        <w:gridCol w:w="36"/>
        <w:gridCol w:w="36"/>
        <w:gridCol w:w="36"/>
        <w:gridCol w:w="36"/>
        <w:gridCol w:w="120"/>
        <w:gridCol w:w="552"/>
        <w:gridCol w:w="36"/>
        <w:gridCol w:w="36"/>
        <w:gridCol w:w="36"/>
        <w:gridCol w:w="36"/>
        <w:gridCol w:w="121"/>
        <w:gridCol w:w="552"/>
        <w:gridCol w:w="36"/>
        <w:gridCol w:w="36"/>
        <w:gridCol w:w="36"/>
        <w:gridCol w:w="36"/>
        <w:gridCol w:w="121"/>
        <w:gridCol w:w="552"/>
        <w:gridCol w:w="36"/>
        <w:gridCol w:w="36"/>
        <w:gridCol w:w="36"/>
        <w:gridCol w:w="36"/>
        <w:gridCol w:w="121"/>
        <w:gridCol w:w="792"/>
        <w:gridCol w:w="36"/>
        <w:gridCol w:w="36"/>
        <w:gridCol w:w="36"/>
        <w:gridCol w:w="36"/>
        <w:gridCol w:w="121"/>
        <w:gridCol w:w="792"/>
        <w:gridCol w:w="36"/>
        <w:gridCol w:w="36"/>
        <w:gridCol w:w="36"/>
        <w:gridCol w:w="36"/>
        <w:gridCol w:w="120"/>
        <w:gridCol w:w="600"/>
        <w:gridCol w:w="36"/>
      </w:tblGrid>
      <w:tr w:rsidR="00AE727E" w14:paraId="07DCE89A" w14:textId="77777777">
        <w:tc>
          <w:tcPr>
            <w:tcW w:w="50" w:type="pct"/>
            <w:shd w:val="clear" w:color="auto" w:fill="auto"/>
            <w:vAlign w:val="bottom"/>
          </w:tcPr>
          <w:p w14:paraId="07DCE864" w14:textId="77777777" w:rsidR="00AE727E" w:rsidRDefault="00AE727E">
            <w:pPr>
              <w:rPr>
                <w:rFonts w:ascii="宋体"/>
              </w:rPr>
            </w:pPr>
          </w:p>
        </w:tc>
        <w:tc>
          <w:tcPr>
            <w:tcW w:w="434" w:type="pct"/>
            <w:shd w:val="clear" w:color="auto" w:fill="auto"/>
            <w:vAlign w:val="bottom"/>
          </w:tcPr>
          <w:p w14:paraId="07DCE865" w14:textId="77777777" w:rsidR="00AE727E" w:rsidRDefault="00AE727E">
            <w:pPr>
              <w:rPr>
                <w:rFonts w:ascii="宋体"/>
              </w:rPr>
            </w:pPr>
          </w:p>
        </w:tc>
        <w:tc>
          <w:tcPr>
            <w:tcW w:w="5" w:type="pct"/>
            <w:shd w:val="clear" w:color="auto" w:fill="auto"/>
            <w:vAlign w:val="bottom"/>
          </w:tcPr>
          <w:p w14:paraId="07DCE866" w14:textId="77777777" w:rsidR="00AE727E" w:rsidRDefault="00AE727E">
            <w:pPr>
              <w:rPr>
                <w:rFonts w:ascii="宋体"/>
              </w:rPr>
            </w:pPr>
          </w:p>
        </w:tc>
        <w:tc>
          <w:tcPr>
            <w:tcW w:w="50" w:type="pct"/>
            <w:shd w:val="clear" w:color="auto" w:fill="auto"/>
            <w:vAlign w:val="bottom"/>
          </w:tcPr>
          <w:p w14:paraId="07DCE867" w14:textId="77777777" w:rsidR="00AE727E" w:rsidRDefault="00AE727E">
            <w:pPr>
              <w:rPr>
                <w:rFonts w:ascii="宋体"/>
              </w:rPr>
            </w:pPr>
          </w:p>
        </w:tc>
        <w:tc>
          <w:tcPr>
            <w:tcW w:w="420" w:type="pct"/>
            <w:shd w:val="clear" w:color="auto" w:fill="auto"/>
            <w:vAlign w:val="bottom"/>
          </w:tcPr>
          <w:p w14:paraId="07DCE868" w14:textId="77777777" w:rsidR="00AE727E" w:rsidRDefault="00AE727E">
            <w:pPr>
              <w:rPr>
                <w:rFonts w:ascii="宋体"/>
              </w:rPr>
            </w:pPr>
          </w:p>
        </w:tc>
        <w:tc>
          <w:tcPr>
            <w:tcW w:w="5" w:type="pct"/>
            <w:shd w:val="clear" w:color="auto" w:fill="auto"/>
            <w:vAlign w:val="bottom"/>
          </w:tcPr>
          <w:p w14:paraId="07DCE869" w14:textId="77777777" w:rsidR="00AE727E" w:rsidRDefault="00AE727E">
            <w:pPr>
              <w:rPr>
                <w:rFonts w:ascii="宋体"/>
              </w:rPr>
            </w:pPr>
          </w:p>
        </w:tc>
        <w:tc>
          <w:tcPr>
            <w:tcW w:w="5" w:type="pct"/>
            <w:shd w:val="clear" w:color="auto" w:fill="auto"/>
            <w:vAlign w:val="bottom"/>
          </w:tcPr>
          <w:p w14:paraId="07DCE86A" w14:textId="77777777" w:rsidR="00AE727E" w:rsidRDefault="00AE727E">
            <w:pPr>
              <w:rPr>
                <w:rFonts w:ascii="宋体"/>
              </w:rPr>
            </w:pPr>
          </w:p>
        </w:tc>
        <w:tc>
          <w:tcPr>
            <w:tcW w:w="19" w:type="pct"/>
            <w:shd w:val="clear" w:color="auto" w:fill="auto"/>
            <w:vAlign w:val="bottom"/>
          </w:tcPr>
          <w:p w14:paraId="07DCE86B" w14:textId="77777777" w:rsidR="00AE727E" w:rsidRDefault="00AE727E">
            <w:pPr>
              <w:rPr>
                <w:rFonts w:ascii="宋体"/>
              </w:rPr>
            </w:pPr>
          </w:p>
        </w:tc>
        <w:tc>
          <w:tcPr>
            <w:tcW w:w="5" w:type="pct"/>
            <w:shd w:val="clear" w:color="auto" w:fill="auto"/>
            <w:vAlign w:val="bottom"/>
          </w:tcPr>
          <w:p w14:paraId="07DCE86C" w14:textId="77777777" w:rsidR="00AE727E" w:rsidRDefault="00AE727E">
            <w:pPr>
              <w:rPr>
                <w:rFonts w:ascii="宋体"/>
              </w:rPr>
            </w:pPr>
          </w:p>
        </w:tc>
        <w:tc>
          <w:tcPr>
            <w:tcW w:w="50" w:type="pct"/>
            <w:shd w:val="clear" w:color="auto" w:fill="auto"/>
            <w:vAlign w:val="bottom"/>
          </w:tcPr>
          <w:p w14:paraId="07DCE86D" w14:textId="77777777" w:rsidR="00AE727E" w:rsidRDefault="00AE727E">
            <w:pPr>
              <w:rPr>
                <w:rFonts w:ascii="宋体"/>
              </w:rPr>
            </w:pPr>
          </w:p>
        </w:tc>
        <w:tc>
          <w:tcPr>
            <w:tcW w:w="420" w:type="pct"/>
            <w:shd w:val="clear" w:color="auto" w:fill="auto"/>
            <w:vAlign w:val="bottom"/>
          </w:tcPr>
          <w:p w14:paraId="07DCE86E" w14:textId="77777777" w:rsidR="00AE727E" w:rsidRDefault="00AE727E">
            <w:pPr>
              <w:rPr>
                <w:rFonts w:ascii="宋体"/>
              </w:rPr>
            </w:pPr>
          </w:p>
        </w:tc>
        <w:tc>
          <w:tcPr>
            <w:tcW w:w="5" w:type="pct"/>
            <w:shd w:val="clear" w:color="auto" w:fill="auto"/>
            <w:vAlign w:val="bottom"/>
          </w:tcPr>
          <w:p w14:paraId="07DCE86F" w14:textId="77777777" w:rsidR="00AE727E" w:rsidRDefault="00AE727E">
            <w:pPr>
              <w:rPr>
                <w:rFonts w:ascii="宋体"/>
              </w:rPr>
            </w:pPr>
          </w:p>
        </w:tc>
        <w:tc>
          <w:tcPr>
            <w:tcW w:w="5" w:type="pct"/>
            <w:shd w:val="clear" w:color="auto" w:fill="auto"/>
            <w:vAlign w:val="bottom"/>
          </w:tcPr>
          <w:p w14:paraId="07DCE870" w14:textId="77777777" w:rsidR="00AE727E" w:rsidRDefault="00AE727E">
            <w:pPr>
              <w:rPr>
                <w:rFonts w:ascii="宋体"/>
              </w:rPr>
            </w:pPr>
          </w:p>
        </w:tc>
        <w:tc>
          <w:tcPr>
            <w:tcW w:w="19" w:type="pct"/>
            <w:shd w:val="clear" w:color="auto" w:fill="auto"/>
            <w:vAlign w:val="bottom"/>
          </w:tcPr>
          <w:p w14:paraId="07DCE871" w14:textId="77777777" w:rsidR="00AE727E" w:rsidRDefault="00AE727E">
            <w:pPr>
              <w:rPr>
                <w:rFonts w:ascii="宋体"/>
              </w:rPr>
            </w:pPr>
          </w:p>
        </w:tc>
        <w:tc>
          <w:tcPr>
            <w:tcW w:w="5" w:type="pct"/>
            <w:shd w:val="clear" w:color="auto" w:fill="auto"/>
            <w:vAlign w:val="bottom"/>
          </w:tcPr>
          <w:p w14:paraId="07DCE872" w14:textId="77777777" w:rsidR="00AE727E" w:rsidRDefault="00AE727E">
            <w:pPr>
              <w:rPr>
                <w:rFonts w:ascii="宋体"/>
              </w:rPr>
            </w:pPr>
          </w:p>
        </w:tc>
        <w:tc>
          <w:tcPr>
            <w:tcW w:w="50" w:type="pct"/>
            <w:shd w:val="clear" w:color="auto" w:fill="auto"/>
            <w:vAlign w:val="bottom"/>
          </w:tcPr>
          <w:p w14:paraId="07DCE873" w14:textId="77777777" w:rsidR="00AE727E" w:rsidRDefault="00AE727E">
            <w:pPr>
              <w:rPr>
                <w:rFonts w:ascii="宋体"/>
              </w:rPr>
            </w:pPr>
          </w:p>
        </w:tc>
        <w:tc>
          <w:tcPr>
            <w:tcW w:w="420" w:type="pct"/>
            <w:shd w:val="clear" w:color="auto" w:fill="auto"/>
            <w:vAlign w:val="bottom"/>
          </w:tcPr>
          <w:p w14:paraId="07DCE874" w14:textId="77777777" w:rsidR="00AE727E" w:rsidRDefault="00AE727E">
            <w:pPr>
              <w:rPr>
                <w:rFonts w:ascii="宋体"/>
              </w:rPr>
            </w:pPr>
          </w:p>
        </w:tc>
        <w:tc>
          <w:tcPr>
            <w:tcW w:w="5" w:type="pct"/>
            <w:shd w:val="clear" w:color="auto" w:fill="auto"/>
            <w:vAlign w:val="bottom"/>
          </w:tcPr>
          <w:p w14:paraId="07DCE875" w14:textId="77777777" w:rsidR="00AE727E" w:rsidRDefault="00AE727E">
            <w:pPr>
              <w:rPr>
                <w:rFonts w:ascii="宋体"/>
              </w:rPr>
            </w:pPr>
          </w:p>
        </w:tc>
        <w:tc>
          <w:tcPr>
            <w:tcW w:w="5" w:type="pct"/>
            <w:shd w:val="clear" w:color="auto" w:fill="auto"/>
            <w:vAlign w:val="bottom"/>
          </w:tcPr>
          <w:p w14:paraId="07DCE876" w14:textId="77777777" w:rsidR="00AE727E" w:rsidRDefault="00AE727E">
            <w:pPr>
              <w:rPr>
                <w:rFonts w:ascii="宋体"/>
              </w:rPr>
            </w:pPr>
          </w:p>
        </w:tc>
        <w:tc>
          <w:tcPr>
            <w:tcW w:w="19" w:type="pct"/>
            <w:shd w:val="clear" w:color="auto" w:fill="auto"/>
            <w:vAlign w:val="bottom"/>
          </w:tcPr>
          <w:p w14:paraId="07DCE877" w14:textId="77777777" w:rsidR="00AE727E" w:rsidRDefault="00AE727E">
            <w:pPr>
              <w:rPr>
                <w:rFonts w:ascii="宋体"/>
              </w:rPr>
            </w:pPr>
          </w:p>
        </w:tc>
        <w:tc>
          <w:tcPr>
            <w:tcW w:w="5" w:type="pct"/>
            <w:shd w:val="clear" w:color="auto" w:fill="auto"/>
            <w:vAlign w:val="bottom"/>
          </w:tcPr>
          <w:p w14:paraId="07DCE878" w14:textId="77777777" w:rsidR="00AE727E" w:rsidRDefault="00AE727E">
            <w:pPr>
              <w:rPr>
                <w:rFonts w:ascii="宋体"/>
              </w:rPr>
            </w:pPr>
          </w:p>
        </w:tc>
        <w:tc>
          <w:tcPr>
            <w:tcW w:w="50" w:type="pct"/>
            <w:shd w:val="clear" w:color="auto" w:fill="auto"/>
            <w:vAlign w:val="bottom"/>
          </w:tcPr>
          <w:p w14:paraId="07DCE879" w14:textId="77777777" w:rsidR="00AE727E" w:rsidRDefault="00AE727E">
            <w:pPr>
              <w:rPr>
                <w:rFonts w:ascii="宋体"/>
              </w:rPr>
            </w:pPr>
          </w:p>
        </w:tc>
        <w:tc>
          <w:tcPr>
            <w:tcW w:w="420" w:type="pct"/>
            <w:shd w:val="clear" w:color="auto" w:fill="auto"/>
            <w:vAlign w:val="bottom"/>
          </w:tcPr>
          <w:p w14:paraId="07DCE87A" w14:textId="77777777" w:rsidR="00AE727E" w:rsidRDefault="00AE727E">
            <w:pPr>
              <w:rPr>
                <w:rFonts w:ascii="宋体"/>
              </w:rPr>
            </w:pPr>
          </w:p>
        </w:tc>
        <w:tc>
          <w:tcPr>
            <w:tcW w:w="5" w:type="pct"/>
            <w:shd w:val="clear" w:color="auto" w:fill="auto"/>
            <w:vAlign w:val="bottom"/>
          </w:tcPr>
          <w:p w14:paraId="07DCE87B" w14:textId="77777777" w:rsidR="00AE727E" w:rsidRDefault="00AE727E">
            <w:pPr>
              <w:rPr>
                <w:rFonts w:ascii="宋体"/>
              </w:rPr>
            </w:pPr>
          </w:p>
        </w:tc>
        <w:tc>
          <w:tcPr>
            <w:tcW w:w="5" w:type="pct"/>
            <w:shd w:val="clear" w:color="auto" w:fill="auto"/>
            <w:vAlign w:val="bottom"/>
          </w:tcPr>
          <w:p w14:paraId="07DCE87C" w14:textId="77777777" w:rsidR="00AE727E" w:rsidRDefault="00AE727E">
            <w:pPr>
              <w:rPr>
                <w:rFonts w:ascii="宋体"/>
              </w:rPr>
            </w:pPr>
          </w:p>
        </w:tc>
        <w:tc>
          <w:tcPr>
            <w:tcW w:w="19" w:type="pct"/>
            <w:shd w:val="clear" w:color="auto" w:fill="auto"/>
            <w:vAlign w:val="bottom"/>
          </w:tcPr>
          <w:p w14:paraId="07DCE87D" w14:textId="77777777" w:rsidR="00AE727E" w:rsidRDefault="00AE727E">
            <w:pPr>
              <w:rPr>
                <w:rFonts w:ascii="宋体"/>
              </w:rPr>
            </w:pPr>
          </w:p>
        </w:tc>
        <w:tc>
          <w:tcPr>
            <w:tcW w:w="5" w:type="pct"/>
            <w:shd w:val="clear" w:color="auto" w:fill="auto"/>
            <w:vAlign w:val="bottom"/>
          </w:tcPr>
          <w:p w14:paraId="07DCE87E" w14:textId="77777777" w:rsidR="00AE727E" w:rsidRDefault="00AE727E">
            <w:pPr>
              <w:rPr>
                <w:rFonts w:ascii="宋体"/>
              </w:rPr>
            </w:pPr>
          </w:p>
        </w:tc>
        <w:tc>
          <w:tcPr>
            <w:tcW w:w="50" w:type="pct"/>
            <w:shd w:val="clear" w:color="auto" w:fill="auto"/>
            <w:vAlign w:val="bottom"/>
          </w:tcPr>
          <w:p w14:paraId="07DCE87F" w14:textId="77777777" w:rsidR="00AE727E" w:rsidRDefault="00AE727E">
            <w:pPr>
              <w:rPr>
                <w:rFonts w:ascii="宋体"/>
              </w:rPr>
            </w:pPr>
          </w:p>
        </w:tc>
        <w:tc>
          <w:tcPr>
            <w:tcW w:w="420" w:type="pct"/>
            <w:shd w:val="clear" w:color="auto" w:fill="auto"/>
            <w:vAlign w:val="bottom"/>
          </w:tcPr>
          <w:p w14:paraId="07DCE880" w14:textId="77777777" w:rsidR="00AE727E" w:rsidRDefault="00AE727E">
            <w:pPr>
              <w:rPr>
                <w:rFonts w:ascii="宋体"/>
              </w:rPr>
            </w:pPr>
          </w:p>
        </w:tc>
        <w:tc>
          <w:tcPr>
            <w:tcW w:w="5" w:type="pct"/>
            <w:shd w:val="clear" w:color="auto" w:fill="auto"/>
            <w:vAlign w:val="bottom"/>
          </w:tcPr>
          <w:p w14:paraId="07DCE881" w14:textId="77777777" w:rsidR="00AE727E" w:rsidRDefault="00AE727E">
            <w:pPr>
              <w:rPr>
                <w:rFonts w:ascii="宋体"/>
              </w:rPr>
            </w:pPr>
          </w:p>
        </w:tc>
        <w:tc>
          <w:tcPr>
            <w:tcW w:w="5" w:type="pct"/>
            <w:shd w:val="clear" w:color="auto" w:fill="auto"/>
            <w:vAlign w:val="bottom"/>
          </w:tcPr>
          <w:p w14:paraId="07DCE882" w14:textId="77777777" w:rsidR="00AE727E" w:rsidRDefault="00AE727E">
            <w:pPr>
              <w:rPr>
                <w:rFonts w:ascii="宋体"/>
              </w:rPr>
            </w:pPr>
          </w:p>
        </w:tc>
        <w:tc>
          <w:tcPr>
            <w:tcW w:w="19" w:type="pct"/>
            <w:shd w:val="clear" w:color="auto" w:fill="auto"/>
            <w:vAlign w:val="bottom"/>
          </w:tcPr>
          <w:p w14:paraId="07DCE883" w14:textId="77777777" w:rsidR="00AE727E" w:rsidRDefault="00AE727E">
            <w:pPr>
              <w:rPr>
                <w:rFonts w:ascii="宋体"/>
              </w:rPr>
            </w:pPr>
          </w:p>
        </w:tc>
        <w:tc>
          <w:tcPr>
            <w:tcW w:w="5" w:type="pct"/>
            <w:shd w:val="clear" w:color="auto" w:fill="auto"/>
            <w:vAlign w:val="bottom"/>
          </w:tcPr>
          <w:p w14:paraId="07DCE884" w14:textId="77777777" w:rsidR="00AE727E" w:rsidRDefault="00AE727E">
            <w:pPr>
              <w:rPr>
                <w:rFonts w:ascii="宋体"/>
              </w:rPr>
            </w:pPr>
          </w:p>
        </w:tc>
        <w:tc>
          <w:tcPr>
            <w:tcW w:w="50" w:type="pct"/>
            <w:shd w:val="clear" w:color="auto" w:fill="auto"/>
            <w:vAlign w:val="bottom"/>
          </w:tcPr>
          <w:p w14:paraId="07DCE885" w14:textId="77777777" w:rsidR="00AE727E" w:rsidRDefault="00AE727E">
            <w:pPr>
              <w:rPr>
                <w:rFonts w:ascii="宋体"/>
              </w:rPr>
            </w:pPr>
          </w:p>
        </w:tc>
        <w:tc>
          <w:tcPr>
            <w:tcW w:w="420" w:type="pct"/>
            <w:shd w:val="clear" w:color="auto" w:fill="auto"/>
            <w:vAlign w:val="bottom"/>
          </w:tcPr>
          <w:p w14:paraId="07DCE886" w14:textId="77777777" w:rsidR="00AE727E" w:rsidRDefault="00AE727E">
            <w:pPr>
              <w:rPr>
                <w:rFonts w:ascii="宋体"/>
              </w:rPr>
            </w:pPr>
          </w:p>
        </w:tc>
        <w:tc>
          <w:tcPr>
            <w:tcW w:w="5" w:type="pct"/>
            <w:shd w:val="clear" w:color="auto" w:fill="auto"/>
            <w:vAlign w:val="bottom"/>
          </w:tcPr>
          <w:p w14:paraId="07DCE887" w14:textId="77777777" w:rsidR="00AE727E" w:rsidRDefault="00AE727E">
            <w:pPr>
              <w:rPr>
                <w:rFonts w:ascii="宋体"/>
              </w:rPr>
            </w:pPr>
          </w:p>
        </w:tc>
        <w:tc>
          <w:tcPr>
            <w:tcW w:w="5" w:type="pct"/>
            <w:shd w:val="clear" w:color="auto" w:fill="auto"/>
            <w:vAlign w:val="bottom"/>
          </w:tcPr>
          <w:p w14:paraId="07DCE888" w14:textId="77777777" w:rsidR="00AE727E" w:rsidRDefault="00AE727E">
            <w:pPr>
              <w:rPr>
                <w:rFonts w:ascii="宋体"/>
              </w:rPr>
            </w:pPr>
          </w:p>
        </w:tc>
        <w:tc>
          <w:tcPr>
            <w:tcW w:w="19" w:type="pct"/>
            <w:shd w:val="clear" w:color="auto" w:fill="auto"/>
            <w:vAlign w:val="bottom"/>
          </w:tcPr>
          <w:p w14:paraId="07DCE889" w14:textId="77777777" w:rsidR="00AE727E" w:rsidRDefault="00AE727E">
            <w:pPr>
              <w:rPr>
                <w:rFonts w:ascii="宋体"/>
              </w:rPr>
            </w:pPr>
          </w:p>
        </w:tc>
        <w:tc>
          <w:tcPr>
            <w:tcW w:w="5" w:type="pct"/>
            <w:shd w:val="clear" w:color="auto" w:fill="auto"/>
            <w:vAlign w:val="bottom"/>
          </w:tcPr>
          <w:p w14:paraId="07DCE88A" w14:textId="77777777" w:rsidR="00AE727E" w:rsidRDefault="00AE727E">
            <w:pPr>
              <w:rPr>
                <w:rFonts w:ascii="宋体"/>
              </w:rPr>
            </w:pPr>
          </w:p>
        </w:tc>
        <w:tc>
          <w:tcPr>
            <w:tcW w:w="50" w:type="pct"/>
            <w:shd w:val="clear" w:color="auto" w:fill="auto"/>
            <w:vAlign w:val="bottom"/>
          </w:tcPr>
          <w:p w14:paraId="07DCE88B" w14:textId="77777777" w:rsidR="00AE727E" w:rsidRDefault="00AE727E">
            <w:pPr>
              <w:rPr>
                <w:rFonts w:ascii="宋体"/>
              </w:rPr>
            </w:pPr>
          </w:p>
        </w:tc>
        <w:tc>
          <w:tcPr>
            <w:tcW w:w="420" w:type="pct"/>
            <w:shd w:val="clear" w:color="auto" w:fill="auto"/>
            <w:vAlign w:val="bottom"/>
          </w:tcPr>
          <w:p w14:paraId="07DCE88C" w14:textId="77777777" w:rsidR="00AE727E" w:rsidRDefault="00AE727E">
            <w:pPr>
              <w:rPr>
                <w:rFonts w:ascii="宋体"/>
              </w:rPr>
            </w:pPr>
          </w:p>
        </w:tc>
        <w:tc>
          <w:tcPr>
            <w:tcW w:w="5" w:type="pct"/>
            <w:shd w:val="clear" w:color="auto" w:fill="auto"/>
            <w:vAlign w:val="bottom"/>
          </w:tcPr>
          <w:p w14:paraId="07DCE88D" w14:textId="77777777" w:rsidR="00AE727E" w:rsidRDefault="00AE727E">
            <w:pPr>
              <w:rPr>
                <w:rFonts w:ascii="宋体"/>
              </w:rPr>
            </w:pPr>
          </w:p>
        </w:tc>
        <w:tc>
          <w:tcPr>
            <w:tcW w:w="5" w:type="pct"/>
            <w:shd w:val="clear" w:color="auto" w:fill="auto"/>
            <w:vAlign w:val="bottom"/>
          </w:tcPr>
          <w:p w14:paraId="07DCE88E" w14:textId="77777777" w:rsidR="00AE727E" w:rsidRDefault="00AE727E">
            <w:pPr>
              <w:rPr>
                <w:rFonts w:ascii="宋体"/>
              </w:rPr>
            </w:pPr>
          </w:p>
        </w:tc>
        <w:tc>
          <w:tcPr>
            <w:tcW w:w="19" w:type="pct"/>
            <w:shd w:val="clear" w:color="auto" w:fill="auto"/>
            <w:vAlign w:val="bottom"/>
          </w:tcPr>
          <w:p w14:paraId="07DCE88F" w14:textId="77777777" w:rsidR="00AE727E" w:rsidRDefault="00AE727E">
            <w:pPr>
              <w:rPr>
                <w:rFonts w:ascii="宋体"/>
              </w:rPr>
            </w:pPr>
          </w:p>
        </w:tc>
        <w:tc>
          <w:tcPr>
            <w:tcW w:w="5" w:type="pct"/>
            <w:shd w:val="clear" w:color="auto" w:fill="auto"/>
            <w:vAlign w:val="bottom"/>
          </w:tcPr>
          <w:p w14:paraId="07DCE890" w14:textId="77777777" w:rsidR="00AE727E" w:rsidRDefault="00AE727E">
            <w:pPr>
              <w:rPr>
                <w:rFonts w:ascii="宋体"/>
              </w:rPr>
            </w:pPr>
          </w:p>
        </w:tc>
        <w:tc>
          <w:tcPr>
            <w:tcW w:w="50" w:type="pct"/>
            <w:shd w:val="clear" w:color="auto" w:fill="auto"/>
            <w:vAlign w:val="bottom"/>
          </w:tcPr>
          <w:p w14:paraId="07DCE891" w14:textId="77777777" w:rsidR="00AE727E" w:rsidRDefault="00AE727E">
            <w:pPr>
              <w:rPr>
                <w:rFonts w:ascii="宋体"/>
              </w:rPr>
            </w:pPr>
          </w:p>
        </w:tc>
        <w:tc>
          <w:tcPr>
            <w:tcW w:w="420" w:type="pct"/>
            <w:shd w:val="clear" w:color="auto" w:fill="auto"/>
            <w:vAlign w:val="bottom"/>
          </w:tcPr>
          <w:p w14:paraId="07DCE892" w14:textId="77777777" w:rsidR="00AE727E" w:rsidRDefault="00AE727E">
            <w:pPr>
              <w:rPr>
                <w:rFonts w:ascii="宋体"/>
              </w:rPr>
            </w:pPr>
          </w:p>
        </w:tc>
        <w:tc>
          <w:tcPr>
            <w:tcW w:w="5" w:type="pct"/>
            <w:shd w:val="clear" w:color="auto" w:fill="auto"/>
            <w:vAlign w:val="bottom"/>
          </w:tcPr>
          <w:p w14:paraId="07DCE893" w14:textId="77777777" w:rsidR="00AE727E" w:rsidRDefault="00AE727E">
            <w:pPr>
              <w:rPr>
                <w:rFonts w:ascii="宋体"/>
              </w:rPr>
            </w:pPr>
          </w:p>
        </w:tc>
        <w:tc>
          <w:tcPr>
            <w:tcW w:w="5" w:type="pct"/>
            <w:shd w:val="clear" w:color="auto" w:fill="auto"/>
            <w:vAlign w:val="bottom"/>
          </w:tcPr>
          <w:p w14:paraId="07DCE894" w14:textId="77777777" w:rsidR="00AE727E" w:rsidRDefault="00AE727E">
            <w:pPr>
              <w:rPr>
                <w:rFonts w:ascii="宋体"/>
              </w:rPr>
            </w:pPr>
          </w:p>
        </w:tc>
        <w:tc>
          <w:tcPr>
            <w:tcW w:w="19" w:type="pct"/>
            <w:shd w:val="clear" w:color="auto" w:fill="auto"/>
            <w:vAlign w:val="bottom"/>
          </w:tcPr>
          <w:p w14:paraId="07DCE895" w14:textId="77777777" w:rsidR="00AE727E" w:rsidRDefault="00AE727E">
            <w:pPr>
              <w:rPr>
                <w:rFonts w:ascii="宋体"/>
              </w:rPr>
            </w:pPr>
          </w:p>
        </w:tc>
        <w:tc>
          <w:tcPr>
            <w:tcW w:w="5" w:type="pct"/>
            <w:shd w:val="clear" w:color="auto" w:fill="auto"/>
            <w:vAlign w:val="bottom"/>
          </w:tcPr>
          <w:p w14:paraId="07DCE896" w14:textId="77777777" w:rsidR="00AE727E" w:rsidRDefault="00AE727E">
            <w:pPr>
              <w:rPr>
                <w:rFonts w:ascii="宋体"/>
              </w:rPr>
            </w:pPr>
          </w:p>
        </w:tc>
        <w:tc>
          <w:tcPr>
            <w:tcW w:w="50" w:type="pct"/>
            <w:shd w:val="clear" w:color="auto" w:fill="auto"/>
            <w:vAlign w:val="bottom"/>
          </w:tcPr>
          <w:p w14:paraId="07DCE897" w14:textId="77777777" w:rsidR="00AE727E" w:rsidRDefault="00AE727E">
            <w:pPr>
              <w:rPr>
                <w:rFonts w:ascii="宋体"/>
              </w:rPr>
            </w:pPr>
          </w:p>
        </w:tc>
        <w:tc>
          <w:tcPr>
            <w:tcW w:w="420" w:type="pct"/>
            <w:shd w:val="clear" w:color="auto" w:fill="auto"/>
            <w:vAlign w:val="bottom"/>
          </w:tcPr>
          <w:p w14:paraId="07DCE898" w14:textId="77777777" w:rsidR="00AE727E" w:rsidRDefault="00AE727E">
            <w:pPr>
              <w:rPr>
                <w:rFonts w:ascii="宋体"/>
              </w:rPr>
            </w:pPr>
          </w:p>
        </w:tc>
        <w:tc>
          <w:tcPr>
            <w:tcW w:w="5" w:type="pct"/>
            <w:shd w:val="clear" w:color="auto" w:fill="auto"/>
            <w:vAlign w:val="bottom"/>
          </w:tcPr>
          <w:p w14:paraId="07DCE899" w14:textId="77777777" w:rsidR="00AE727E" w:rsidRDefault="00AE727E">
            <w:pPr>
              <w:rPr>
                <w:rFonts w:ascii="宋体"/>
              </w:rPr>
            </w:pPr>
          </w:p>
        </w:tc>
      </w:tr>
      <w:tr w:rsidR="00AE727E" w14:paraId="07DCE89D" w14:textId="77777777">
        <w:tc>
          <w:tcPr>
            <w:tcW w:w="0" w:type="auto"/>
            <w:gridSpan w:val="3"/>
            <w:shd w:val="clear" w:color="auto" w:fill="auto"/>
            <w:tcMar>
              <w:top w:w="0" w:type="dxa"/>
              <w:left w:w="20" w:type="dxa"/>
              <w:bottom w:w="0" w:type="dxa"/>
              <w:right w:w="20" w:type="dxa"/>
            </w:tcMar>
            <w:vAlign w:val="bottom"/>
          </w:tcPr>
          <w:p w14:paraId="07DCE89B" w14:textId="77777777" w:rsidR="00AE727E" w:rsidRDefault="00AE727E">
            <w:pPr>
              <w:rPr>
                <w:rFonts w:ascii="宋体"/>
              </w:rPr>
            </w:pPr>
          </w:p>
        </w:tc>
        <w:tc>
          <w:tcPr>
            <w:tcW w:w="0" w:type="auto"/>
            <w:gridSpan w:val="51"/>
            <w:shd w:val="clear" w:color="auto" w:fill="auto"/>
            <w:tcMar>
              <w:top w:w="40" w:type="dxa"/>
              <w:left w:w="20" w:type="dxa"/>
              <w:bottom w:w="40" w:type="dxa"/>
              <w:right w:w="20" w:type="dxa"/>
            </w:tcMar>
            <w:vAlign w:val="bottom"/>
          </w:tcPr>
          <w:p w14:paraId="07DCE89C"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8A6" w14:textId="77777777">
        <w:tc>
          <w:tcPr>
            <w:tcW w:w="0" w:type="auto"/>
            <w:gridSpan w:val="3"/>
            <w:shd w:val="clear" w:color="auto" w:fill="auto"/>
            <w:tcMar>
              <w:top w:w="0" w:type="dxa"/>
              <w:left w:w="20" w:type="dxa"/>
              <w:bottom w:w="0" w:type="dxa"/>
              <w:right w:w="20" w:type="dxa"/>
            </w:tcMar>
            <w:vAlign w:val="bottom"/>
          </w:tcPr>
          <w:p w14:paraId="07DCE89E"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E89F" w14:textId="77777777" w:rsidR="00AE727E" w:rsidRDefault="008433E0">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0"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1"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2"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3"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4"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5" w14:textId="77777777" w:rsidR="00AE727E" w:rsidRDefault="00AE727E">
            <w:pPr>
              <w:rPr>
                <w:rFonts w:ascii="宋体"/>
              </w:rPr>
            </w:pPr>
          </w:p>
        </w:tc>
      </w:tr>
      <w:tr w:rsidR="00AE727E" w14:paraId="07DCE8A9" w14:textId="77777777">
        <w:tc>
          <w:tcPr>
            <w:tcW w:w="0" w:type="auto"/>
            <w:gridSpan w:val="3"/>
            <w:shd w:val="clear" w:color="auto" w:fill="auto"/>
            <w:tcMar>
              <w:top w:w="0" w:type="dxa"/>
              <w:left w:w="20" w:type="dxa"/>
              <w:bottom w:w="0" w:type="dxa"/>
              <w:right w:w="20" w:type="dxa"/>
            </w:tcMar>
            <w:vAlign w:val="bottom"/>
          </w:tcPr>
          <w:p w14:paraId="07DCE8A7" w14:textId="77777777" w:rsidR="00AE727E" w:rsidRDefault="00AE727E">
            <w:pPr>
              <w:rPr>
                <w:rFonts w:ascii="宋体"/>
              </w:rPr>
            </w:pPr>
          </w:p>
        </w:tc>
        <w:tc>
          <w:tcPr>
            <w:tcW w:w="0" w:type="auto"/>
            <w:gridSpan w:val="51"/>
            <w:shd w:val="clear" w:color="auto" w:fill="auto"/>
            <w:tcMar>
              <w:top w:w="40" w:type="dxa"/>
              <w:left w:w="20" w:type="dxa"/>
              <w:bottom w:w="40" w:type="dxa"/>
              <w:right w:w="20" w:type="dxa"/>
            </w:tcMar>
            <w:vAlign w:val="bottom"/>
          </w:tcPr>
          <w:p w14:paraId="07DCE8A8" w14:textId="77777777" w:rsidR="00AE727E" w:rsidRDefault="008433E0">
            <w:pPr>
              <w:jc w:val="center"/>
              <w:textAlignment w:val="bottom"/>
            </w:pPr>
            <w:r>
              <w:rPr>
                <w:rFonts w:ascii="Times New Roman" w:eastAsia="宋体" w:hAnsi="Times New Roman"/>
                <w:b/>
                <w:bCs/>
                <w:color w:val="000000"/>
                <w:sz w:val="20"/>
                <w:szCs w:val="20"/>
              </w:rPr>
              <w:t>Fiscal Year of Origination</w:t>
            </w:r>
          </w:p>
        </w:tc>
      </w:tr>
      <w:tr w:rsidR="00AE727E" w14:paraId="07DCE8BC" w14:textId="77777777">
        <w:tc>
          <w:tcPr>
            <w:tcW w:w="0" w:type="auto"/>
            <w:gridSpan w:val="3"/>
            <w:shd w:val="clear" w:color="auto" w:fill="auto"/>
            <w:tcMar>
              <w:top w:w="0" w:type="dxa"/>
              <w:left w:w="20" w:type="dxa"/>
              <w:bottom w:w="0" w:type="dxa"/>
              <w:right w:w="20" w:type="dxa"/>
            </w:tcMar>
            <w:vAlign w:val="bottom"/>
          </w:tcPr>
          <w:p w14:paraId="07DCE8A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8AB" w14:textId="77777777" w:rsidR="00AE727E" w:rsidRDefault="008433E0">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AD" w14:textId="77777777" w:rsidR="00AE727E" w:rsidRDefault="008433E0">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A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AF" w14:textId="77777777" w:rsidR="00AE727E" w:rsidRDefault="008433E0">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1" w14:textId="77777777" w:rsidR="00AE727E" w:rsidRDefault="008433E0">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3" w14:textId="77777777" w:rsidR="00AE727E" w:rsidRDefault="008433E0">
            <w:pPr>
              <w:jc w:val="center"/>
              <w:textAlignment w:val="bottom"/>
            </w:pPr>
            <w:r>
              <w:rPr>
                <w:rFonts w:ascii="Times New Roman" w:eastAsia="宋体" w:hAnsi="Times New Roman"/>
                <w:b/>
                <w:bCs/>
                <w:color w:val="000000"/>
                <w:sz w:val="20"/>
                <w:szCs w:val="20"/>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5" w14:textId="77777777" w:rsidR="00AE727E" w:rsidRDefault="008433E0">
            <w:pPr>
              <w:jc w:val="center"/>
              <w:textAlignment w:val="bottom"/>
            </w:pPr>
            <w:r>
              <w:rPr>
                <w:rFonts w:ascii="Times New Roman" w:eastAsia="宋体" w:hAnsi="Times New Roman"/>
                <w:b/>
                <w:bCs/>
                <w:color w:val="000000"/>
                <w:sz w:val="20"/>
                <w:szCs w:val="20"/>
              </w:rPr>
              <w:t>Years Prior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7" w14:textId="77777777" w:rsidR="00AE727E" w:rsidRDefault="008433E0">
            <w:pPr>
              <w:jc w:val="center"/>
              <w:textAlignment w:val="bottom"/>
            </w:pPr>
            <w:r>
              <w:rPr>
                <w:rFonts w:ascii="Times New Roman" w:eastAsia="宋体" w:hAnsi="Times New Roman"/>
                <w:b/>
                <w:bCs/>
                <w:color w:val="000000"/>
                <w:sz w:val="20"/>
                <w:szCs w:val="20"/>
              </w:rPr>
              <w:t>Revolving — DPA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9" w14:textId="77777777" w:rsidR="00AE727E" w:rsidRDefault="008433E0">
            <w:pPr>
              <w:jc w:val="center"/>
              <w:textAlignment w:val="bottom"/>
            </w:pPr>
            <w:r>
              <w:rPr>
                <w:rFonts w:ascii="Times New Roman" w:eastAsia="宋体" w:hAnsi="Times New Roman"/>
                <w:b/>
                <w:bCs/>
                <w:color w:val="000000"/>
                <w:sz w:val="20"/>
                <w:szCs w:val="20"/>
              </w:rPr>
              <w:t>Revolving — DBC</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8B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8BB"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8BF" w14:textId="77777777">
        <w:tc>
          <w:tcPr>
            <w:tcW w:w="0" w:type="auto"/>
            <w:gridSpan w:val="3"/>
            <w:shd w:val="clear" w:color="auto" w:fill="auto"/>
            <w:tcMar>
              <w:top w:w="0" w:type="dxa"/>
              <w:left w:w="20" w:type="dxa"/>
              <w:bottom w:w="0" w:type="dxa"/>
              <w:right w:w="20" w:type="dxa"/>
            </w:tcMar>
            <w:vAlign w:val="bottom"/>
          </w:tcPr>
          <w:p w14:paraId="07DCE8BD" w14:textId="77777777" w:rsidR="00AE727E" w:rsidRDefault="00AE727E">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07DCE8BE" w14:textId="77777777" w:rsidR="00AE727E" w:rsidRDefault="008433E0">
            <w:pPr>
              <w:jc w:val="center"/>
              <w:textAlignment w:val="center"/>
            </w:pPr>
            <w:r>
              <w:rPr>
                <w:rFonts w:ascii="Times New Roman" w:eastAsia="宋体" w:hAnsi="Times New Roman"/>
                <w:color w:val="000000"/>
                <w:sz w:val="20"/>
                <w:szCs w:val="20"/>
              </w:rPr>
              <w:t>(in millions)</w:t>
            </w:r>
          </w:p>
        </w:tc>
      </w:tr>
      <w:tr w:rsidR="008433E0" w14:paraId="07DCE8E4" w14:textId="77777777">
        <w:tc>
          <w:tcPr>
            <w:tcW w:w="0" w:type="auto"/>
            <w:gridSpan w:val="3"/>
            <w:shd w:val="clear" w:color="auto" w:fill="CCEEFF"/>
            <w:tcMar>
              <w:top w:w="40" w:type="dxa"/>
              <w:left w:w="20" w:type="dxa"/>
              <w:bottom w:w="40" w:type="dxa"/>
              <w:right w:w="20" w:type="dxa"/>
            </w:tcMar>
            <w:vAlign w:val="center"/>
          </w:tcPr>
          <w:p w14:paraId="07DCE8C0" w14:textId="77777777" w:rsidR="00AE727E" w:rsidRDefault="008433E0">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07DCE8C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C2" w14:textId="77777777" w:rsidR="00AE727E" w:rsidRDefault="008433E0">
            <w:pPr>
              <w:jc w:val="right"/>
              <w:textAlignment w:val="center"/>
            </w:pPr>
            <w:r>
              <w:rPr>
                <w:rFonts w:ascii="Times New Roman" w:eastAsia="宋体" w:hAnsi="Times New Roman"/>
                <w:color w:val="000000"/>
                <w:sz w:val="20"/>
                <w:szCs w:val="20"/>
              </w:rPr>
              <w:t>3,125 </w:t>
            </w:r>
          </w:p>
        </w:tc>
        <w:tc>
          <w:tcPr>
            <w:tcW w:w="0" w:type="auto"/>
            <w:shd w:val="clear" w:color="auto" w:fill="CCEEFF"/>
            <w:tcMar>
              <w:top w:w="40" w:type="dxa"/>
              <w:left w:w="0" w:type="dxa"/>
              <w:bottom w:w="40" w:type="dxa"/>
              <w:right w:w="20" w:type="dxa"/>
            </w:tcMar>
            <w:vAlign w:val="center"/>
          </w:tcPr>
          <w:p w14:paraId="07DCE8C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C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C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C6" w14:textId="77777777" w:rsidR="00AE727E" w:rsidRDefault="008433E0">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left w:w="0" w:type="dxa"/>
              <w:bottom w:w="40" w:type="dxa"/>
              <w:right w:w="20" w:type="dxa"/>
            </w:tcMar>
            <w:vAlign w:val="center"/>
          </w:tcPr>
          <w:p w14:paraId="07DCE8C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C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C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CA" w14:textId="77777777" w:rsidR="00AE727E" w:rsidRDefault="008433E0">
            <w:pPr>
              <w:jc w:val="right"/>
              <w:textAlignment w:val="center"/>
            </w:pPr>
            <w:r>
              <w:rPr>
                <w:rFonts w:ascii="Times New Roman" w:eastAsia="宋体" w:hAnsi="Times New Roman"/>
                <w:color w:val="000000"/>
                <w:sz w:val="20"/>
                <w:szCs w:val="20"/>
              </w:rPr>
              <w:t>661 </w:t>
            </w:r>
          </w:p>
        </w:tc>
        <w:tc>
          <w:tcPr>
            <w:tcW w:w="0" w:type="auto"/>
            <w:shd w:val="clear" w:color="auto" w:fill="CCEEFF"/>
            <w:tcMar>
              <w:top w:w="40" w:type="dxa"/>
              <w:left w:w="0" w:type="dxa"/>
              <w:bottom w:w="40" w:type="dxa"/>
              <w:right w:w="20" w:type="dxa"/>
            </w:tcMar>
            <w:vAlign w:val="center"/>
          </w:tcPr>
          <w:p w14:paraId="07DCE8C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CC"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C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CE" w14:textId="77777777" w:rsidR="00AE727E" w:rsidRDefault="008433E0">
            <w:pPr>
              <w:jc w:val="right"/>
              <w:textAlignment w:val="center"/>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center"/>
          </w:tcPr>
          <w:p w14:paraId="07DCE8C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D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D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D2" w14:textId="77777777" w:rsidR="00AE727E" w:rsidRDefault="008433E0">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07DCE8D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D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D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D6"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8D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D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D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DA" w14:textId="77777777" w:rsidR="00AE727E" w:rsidRDefault="008433E0">
            <w:pPr>
              <w:jc w:val="right"/>
              <w:textAlignment w:val="center"/>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center"/>
          </w:tcPr>
          <w:p w14:paraId="07DCE8D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DC"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D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DE" w14:textId="77777777" w:rsidR="00AE727E" w:rsidRDefault="008433E0">
            <w:pPr>
              <w:jc w:val="right"/>
              <w:textAlignment w:val="center"/>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center"/>
          </w:tcPr>
          <w:p w14:paraId="07DCE8D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8E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8E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8E2" w14:textId="77777777" w:rsidR="00AE727E" w:rsidRDefault="008433E0">
            <w:pPr>
              <w:jc w:val="right"/>
              <w:textAlignment w:val="center"/>
            </w:pPr>
            <w:r>
              <w:rPr>
                <w:rFonts w:ascii="Times New Roman" w:eastAsia="宋体" w:hAnsi="Times New Roman"/>
                <w:color w:val="000000"/>
                <w:sz w:val="20"/>
                <w:szCs w:val="20"/>
              </w:rPr>
              <w:t>5,999 </w:t>
            </w:r>
          </w:p>
        </w:tc>
        <w:tc>
          <w:tcPr>
            <w:tcW w:w="0" w:type="auto"/>
            <w:shd w:val="clear" w:color="auto" w:fill="CCEEFF"/>
            <w:tcMar>
              <w:top w:w="40" w:type="dxa"/>
              <w:left w:w="0" w:type="dxa"/>
              <w:bottom w:w="40" w:type="dxa"/>
              <w:right w:w="20" w:type="dxa"/>
            </w:tcMar>
            <w:vAlign w:val="center"/>
          </w:tcPr>
          <w:p w14:paraId="07DCE8E3" w14:textId="77777777" w:rsidR="00AE727E" w:rsidRDefault="00AE727E">
            <w:pPr>
              <w:jc w:val="right"/>
              <w:rPr>
                <w:rFonts w:ascii="宋体"/>
              </w:rPr>
            </w:pPr>
          </w:p>
        </w:tc>
      </w:tr>
      <w:tr w:rsidR="00AE727E" w14:paraId="07DCE900" w14:textId="77777777">
        <w:tc>
          <w:tcPr>
            <w:tcW w:w="0" w:type="auto"/>
            <w:gridSpan w:val="3"/>
            <w:shd w:val="clear" w:color="auto" w:fill="FFFFFF"/>
            <w:tcMar>
              <w:top w:w="40" w:type="dxa"/>
              <w:left w:w="20" w:type="dxa"/>
              <w:bottom w:w="40" w:type="dxa"/>
              <w:right w:w="20" w:type="dxa"/>
            </w:tcMar>
            <w:vAlign w:val="center"/>
          </w:tcPr>
          <w:p w14:paraId="07DCE8E5" w14:textId="77777777" w:rsidR="00AE727E" w:rsidRDefault="008433E0">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07DCE8E6" w14:textId="77777777" w:rsidR="00AE727E" w:rsidRDefault="008433E0">
            <w:pPr>
              <w:jc w:val="right"/>
              <w:textAlignment w:val="center"/>
            </w:pPr>
            <w:r>
              <w:rPr>
                <w:rFonts w:ascii="Times New Roman" w:eastAsia="宋体" w:hAnsi="Times New Roman"/>
                <w:color w:val="000000"/>
                <w:sz w:val="20"/>
                <w:szCs w:val="20"/>
              </w:rPr>
              <w:t>1,121 </w:t>
            </w:r>
          </w:p>
        </w:tc>
        <w:tc>
          <w:tcPr>
            <w:tcW w:w="0" w:type="auto"/>
            <w:shd w:val="clear" w:color="auto" w:fill="FFFFFF"/>
            <w:tcMar>
              <w:top w:w="40" w:type="dxa"/>
              <w:left w:w="0" w:type="dxa"/>
              <w:bottom w:w="40" w:type="dxa"/>
              <w:right w:w="20" w:type="dxa"/>
            </w:tcMar>
            <w:vAlign w:val="center"/>
          </w:tcPr>
          <w:p w14:paraId="07DCE8E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E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E9" w14:textId="77777777" w:rsidR="00AE727E" w:rsidRDefault="008433E0">
            <w:pPr>
              <w:jc w:val="right"/>
              <w:textAlignment w:val="center"/>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center"/>
          </w:tcPr>
          <w:p w14:paraId="07DCE8E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E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EC" w14:textId="77777777" w:rsidR="00AE727E" w:rsidRDefault="008433E0">
            <w:pPr>
              <w:jc w:val="right"/>
              <w:textAlignment w:val="center"/>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center"/>
          </w:tcPr>
          <w:p w14:paraId="07DCE8E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EF" w14:textId="77777777" w:rsidR="00AE727E" w:rsidRDefault="008433E0">
            <w:pPr>
              <w:jc w:val="right"/>
              <w:textAlignment w:val="center"/>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center"/>
          </w:tcPr>
          <w:p w14:paraId="07DCE8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F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F2"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07DCE8F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F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F5"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E8F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F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F8" w14:textId="77777777" w:rsidR="00AE727E" w:rsidRDefault="008433E0">
            <w:pPr>
              <w:jc w:val="right"/>
              <w:textAlignment w:val="center"/>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center"/>
          </w:tcPr>
          <w:p w14:paraId="07DCE8F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F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FB" w14:textId="77777777" w:rsidR="00AE727E" w:rsidRDefault="008433E0">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07DCE8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8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8FE" w14:textId="77777777" w:rsidR="00AE727E" w:rsidRDefault="008433E0">
            <w:pPr>
              <w:jc w:val="right"/>
              <w:textAlignment w:val="center"/>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center"/>
          </w:tcPr>
          <w:p w14:paraId="07DCE8FF" w14:textId="77777777" w:rsidR="00AE727E" w:rsidRDefault="00AE727E">
            <w:pPr>
              <w:jc w:val="right"/>
              <w:rPr>
                <w:rFonts w:ascii="宋体"/>
              </w:rPr>
            </w:pPr>
          </w:p>
        </w:tc>
      </w:tr>
      <w:tr w:rsidR="00AE727E" w14:paraId="07DCE91C" w14:textId="77777777">
        <w:tc>
          <w:tcPr>
            <w:tcW w:w="0" w:type="auto"/>
            <w:gridSpan w:val="3"/>
            <w:shd w:val="clear" w:color="auto" w:fill="CCEEFF"/>
            <w:tcMar>
              <w:top w:w="40" w:type="dxa"/>
              <w:left w:w="20" w:type="dxa"/>
              <w:bottom w:w="40" w:type="dxa"/>
              <w:right w:w="20" w:type="dxa"/>
            </w:tcMar>
            <w:vAlign w:val="center"/>
          </w:tcPr>
          <w:p w14:paraId="07DCE901" w14:textId="77777777" w:rsidR="00AE727E" w:rsidRDefault="008433E0">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07DCE902" w14:textId="77777777" w:rsidR="00AE727E" w:rsidRDefault="008433E0">
            <w:pPr>
              <w:jc w:val="right"/>
              <w:textAlignment w:val="center"/>
            </w:pPr>
            <w:r>
              <w:rPr>
                <w:rFonts w:ascii="Times New Roman" w:eastAsia="宋体" w:hAnsi="Times New Roman"/>
                <w:color w:val="000000"/>
                <w:sz w:val="20"/>
                <w:szCs w:val="20"/>
              </w:rPr>
              <w:t>865 </w:t>
            </w:r>
          </w:p>
        </w:tc>
        <w:tc>
          <w:tcPr>
            <w:tcW w:w="0" w:type="auto"/>
            <w:shd w:val="clear" w:color="auto" w:fill="CCEEFF"/>
            <w:tcMar>
              <w:top w:w="40" w:type="dxa"/>
              <w:left w:w="0" w:type="dxa"/>
              <w:bottom w:w="40" w:type="dxa"/>
              <w:right w:w="20" w:type="dxa"/>
            </w:tcMar>
            <w:vAlign w:val="center"/>
          </w:tcPr>
          <w:p w14:paraId="07DCE9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0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05" w14:textId="77777777" w:rsidR="00AE727E" w:rsidRDefault="008433E0">
            <w:pPr>
              <w:jc w:val="right"/>
              <w:textAlignment w:val="center"/>
            </w:pPr>
            <w:r>
              <w:rPr>
                <w:rFonts w:ascii="Times New Roman" w:eastAsia="宋体" w:hAnsi="Times New Roman"/>
                <w:color w:val="000000"/>
                <w:sz w:val="20"/>
                <w:szCs w:val="20"/>
              </w:rPr>
              <w:t>499 </w:t>
            </w:r>
          </w:p>
        </w:tc>
        <w:tc>
          <w:tcPr>
            <w:tcW w:w="0" w:type="auto"/>
            <w:shd w:val="clear" w:color="auto" w:fill="CCEEFF"/>
            <w:tcMar>
              <w:top w:w="40" w:type="dxa"/>
              <w:left w:w="0" w:type="dxa"/>
              <w:bottom w:w="40" w:type="dxa"/>
              <w:right w:w="20" w:type="dxa"/>
            </w:tcMar>
            <w:vAlign w:val="center"/>
          </w:tcPr>
          <w:p w14:paraId="07DCE90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0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08" w14:textId="77777777" w:rsidR="00AE727E" w:rsidRDefault="008433E0">
            <w:pPr>
              <w:jc w:val="right"/>
              <w:textAlignment w:val="center"/>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center"/>
          </w:tcPr>
          <w:p w14:paraId="07DCE90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0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0B" w14:textId="77777777" w:rsidR="00AE727E" w:rsidRDefault="008433E0">
            <w:pPr>
              <w:jc w:val="right"/>
              <w:textAlignment w:val="center"/>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center"/>
          </w:tcPr>
          <w:p w14:paraId="07DCE9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0E"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07DCE90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1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11"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E9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14" w14:textId="77777777" w:rsidR="00AE727E" w:rsidRDefault="008433E0">
            <w:pPr>
              <w:jc w:val="right"/>
              <w:textAlignment w:val="center"/>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center"/>
          </w:tcPr>
          <w:p w14:paraId="07DCE91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1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17" w14:textId="77777777" w:rsidR="00AE727E" w:rsidRDefault="008433E0">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07DCE91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1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91A" w14:textId="77777777" w:rsidR="00AE727E" w:rsidRDefault="008433E0">
            <w:pPr>
              <w:jc w:val="right"/>
              <w:textAlignment w:val="center"/>
            </w:pPr>
            <w:r>
              <w:rPr>
                <w:rFonts w:ascii="Times New Roman" w:eastAsia="宋体" w:hAnsi="Times New Roman"/>
                <w:color w:val="000000"/>
                <w:sz w:val="20"/>
                <w:szCs w:val="20"/>
              </w:rPr>
              <w:t>1,991 </w:t>
            </w:r>
          </w:p>
        </w:tc>
        <w:tc>
          <w:tcPr>
            <w:tcW w:w="0" w:type="auto"/>
            <w:shd w:val="clear" w:color="auto" w:fill="CCEEFF"/>
            <w:tcMar>
              <w:top w:w="40" w:type="dxa"/>
              <w:left w:w="0" w:type="dxa"/>
              <w:bottom w:w="40" w:type="dxa"/>
              <w:right w:w="20" w:type="dxa"/>
            </w:tcMar>
            <w:vAlign w:val="center"/>
          </w:tcPr>
          <w:p w14:paraId="07DCE91B" w14:textId="77777777" w:rsidR="00AE727E" w:rsidRDefault="00AE727E">
            <w:pPr>
              <w:jc w:val="right"/>
              <w:rPr>
                <w:rFonts w:ascii="宋体"/>
              </w:rPr>
            </w:pPr>
          </w:p>
        </w:tc>
      </w:tr>
      <w:tr w:rsidR="008433E0" w14:paraId="07DCE941" w14:textId="77777777">
        <w:tc>
          <w:tcPr>
            <w:tcW w:w="0" w:type="auto"/>
            <w:gridSpan w:val="3"/>
            <w:shd w:val="clear" w:color="auto" w:fill="FFFFFF"/>
            <w:tcMar>
              <w:top w:w="40" w:type="dxa"/>
              <w:left w:w="155" w:type="dxa"/>
              <w:bottom w:w="40" w:type="dxa"/>
              <w:right w:w="20" w:type="dxa"/>
            </w:tcMar>
            <w:vAlign w:val="center"/>
          </w:tcPr>
          <w:p w14:paraId="07DCE91D" w14:textId="77777777" w:rsidR="00AE727E" w:rsidRDefault="008433E0">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1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1F" w14:textId="77777777" w:rsidR="00AE727E" w:rsidRDefault="008433E0">
            <w:pPr>
              <w:jc w:val="right"/>
              <w:textAlignment w:val="center"/>
            </w:pPr>
            <w:r>
              <w:rPr>
                <w:rFonts w:ascii="Times New Roman" w:eastAsia="宋体" w:hAnsi="Times New Roman"/>
                <w:color w:val="000000"/>
                <w:sz w:val="20"/>
                <w:szCs w:val="20"/>
              </w:rPr>
              <w:t>5,111 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2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2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2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23" w14:textId="77777777" w:rsidR="00AE727E" w:rsidRDefault="008433E0">
            <w:pPr>
              <w:jc w:val="right"/>
              <w:textAlignment w:val="center"/>
            </w:pPr>
            <w:r>
              <w:rPr>
                <w:rFonts w:ascii="Times New Roman" w:eastAsia="宋体" w:hAnsi="Times New Roman"/>
                <w:color w:val="000000"/>
                <w:sz w:val="20"/>
                <w:szCs w:val="20"/>
              </w:rPr>
              <w:t>2,972 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2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2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2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27" w14:textId="77777777" w:rsidR="00AE727E" w:rsidRDefault="008433E0">
            <w:pPr>
              <w:jc w:val="right"/>
              <w:textAlignment w:val="center"/>
            </w:pPr>
            <w:r>
              <w:rPr>
                <w:rFonts w:ascii="Times New Roman" w:eastAsia="宋体" w:hAnsi="Times New Roman"/>
                <w:color w:val="000000"/>
                <w:sz w:val="20"/>
                <w:szCs w:val="20"/>
              </w:rPr>
              <w:t>1,191 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2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2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2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2B" w14:textId="77777777" w:rsidR="00AE727E" w:rsidRDefault="008433E0">
            <w:pPr>
              <w:jc w:val="right"/>
              <w:textAlignment w:val="center"/>
            </w:pPr>
            <w:r>
              <w:rPr>
                <w:rFonts w:ascii="Times New Roman" w:eastAsia="宋体" w:hAnsi="Times New Roman"/>
                <w:color w:val="000000"/>
                <w:sz w:val="20"/>
                <w:szCs w:val="20"/>
              </w:rPr>
              <w:t>277 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2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2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2F" w14:textId="77777777" w:rsidR="00AE727E" w:rsidRDefault="008433E0">
            <w:pPr>
              <w:jc w:val="right"/>
              <w:textAlignment w:val="center"/>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3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3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3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33"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3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3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37" w14:textId="77777777" w:rsidR="00AE727E" w:rsidRDefault="008433E0">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3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3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3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3B" w14:textId="77777777" w:rsidR="00AE727E" w:rsidRDefault="008433E0">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3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3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3F" w14:textId="77777777" w:rsidR="00AE727E" w:rsidRDefault="008433E0">
            <w:pPr>
              <w:jc w:val="right"/>
              <w:textAlignment w:val="center"/>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40" w14:textId="77777777" w:rsidR="00AE727E" w:rsidRDefault="00AE727E">
            <w:pPr>
              <w:jc w:val="right"/>
              <w:rPr>
                <w:rFonts w:ascii="宋体"/>
              </w:rPr>
            </w:pPr>
          </w:p>
        </w:tc>
      </w:tr>
    </w:tbl>
    <w:p w14:paraId="07DCE942" w14:textId="77777777" w:rsidR="00AE727E" w:rsidRDefault="00AE727E"/>
    <w:p w14:paraId="07DCE943" w14:textId="77777777" w:rsidR="00AE727E" w:rsidRDefault="008433E0">
      <w:r>
        <w:rPr>
          <w:rFonts w:ascii="Times New Roman" w:eastAsia="宋体" w:hAnsi="Times New Roman"/>
          <w:color w:val="000000"/>
          <w:sz w:val="20"/>
          <w:szCs w:val="20"/>
        </w:rPr>
        <w:t>The categories shown in the tables above segregate customer receivables based on the relative degrees of credit r</w:t>
      </w:r>
      <w:r>
        <w:rPr>
          <w:rFonts w:ascii="Times New Roman" w:eastAsia="宋体" w:hAnsi="Times New Roman"/>
          <w:color w:val="000000"/>
          <w:sz w:val="20"/>
          <w:szCs w:val="20"/>
        </w:rPr>
        <w:t xml:space="preserve">isk. The credit quality indicators for DPA revolving accounts are measured primarily as of each quarter-end date, while all other indicators are generally updated on a periodic basis. </w:t>
      </w:r>
    </w:p>
    <w:p w14:paraId="07DCE944" w14:textId="77777777" w:rsidR="00AE727E" w:rsidRDefault="00AE727E"/>
    <w:p w14:paraId="07DCE945" w14:textId="77777777" w:rsidR="00AE727E" w:rsidRDefault="008433E0">
      <w:r>
        <w:rPr>
          <w:rFonts w:ascii="Times New Roman" w:eastAsia="宋体" w:hAnsi="Times New Roman"/>
          <w:color w:val="000000"/>
          <w:sz w:val="20"/>
          <w:szCs w:val="20"/>
        </w:rPr>
        <w:t>For DPA revolving receivables shown in the table above, the Company ma</w:t>
      </w:r>
      <w:r>
        <w:rPr>
          <w:rFonts w:ascii="Times New Roman" w:eastAsia="宋体" w:hAnsi="Times New Roman"/>
          <w:color w:val="000000"/>
          <w:sz w:val="20"/>
          <w:szCs w:val="20"/>
        </w:rPr>
        <w:t>kes credit decisions based on proprietary scorecards, which include the customer’s credit history, payment history, credit usage, and other credit agency-related elements. The higher quality category includes prime accounts generally of a higher credit qua</w:t>
      </w:r>
      <w:r>
        <w:rPr>
          <w:rFonts w:ascii="Times New Roman" w:eastAsia="宋体" w:hAnsi="Times New Roman"/>
          <w:color w:val="000000"/>
          <w:sz w:val="20"/>
          <w:szCs w:val="20"/>
        </w:rPr>
        <w:t>lity that are comparable to U.S. customer FICO scores of 720 or above. The mid-category represents the mid-tier accounts that are comparable to U.S. customer FICO scores from 660 to 719. The lower category is generally sub-prime and represents lower credit</w:t>
      </w:r>
      <w:r>
        <w:rPr>
          <w:rFonts w:ascii="Times New Roman" w:eastAsia="宋体" w:hAnsi="Times New Roman"/>
          <w:color w:val="000000"/>
          <w:sz w:val="20"/>
          <w:szCs w:val="20"/>
        </w:rPr>
        <w:t xml:space="preserve"> quality accounts that are comparable to U.S. customer FICO scores below 660. For the DBC revolving receivables and fixed-term commercial receivables shown in the table above, an internal grading system is utilized that assigns a credit level score based o</w:t>
      </w:r>
      <w:r>
        <w:rPr>
          <w:rFonts w:ascii="Times New Roman" w:eastAsia="宋体" w:hAnsi="Times New Roman"/>
          <w:color w:val="000000"/>
          <w:sz w:val="20"/>
          <w:szCs w:val="20"/>
        </w:rPr>
        <w:t>n a number of considerations, including liquidity, operating performance, and industry outlook. The grading criteria and classifications for the fixed-term products differ from those for the revolving products as loss experience varies between these produc</w:t>
      </w:r>
      <w:r>
        <w:rPr>
          <w:rFonts w:ascii="Times New Roman" w:eastAsia="宋体" w:hAnsi="Times New Roman"/>
          <w:color w:val="000000"/>
          <w:sz w:val="20"/>
          <w:szCs w:val="20"/>
        </w:rPr>
        <w:t>t and customer groups. The credit quality categories cannot be compared between the different classes as loss experience varies substantially between the classes.</w:t>
      </w:r>
    </w:p>
    <w:p w14:paraId="07DCE946" w14:textId="77777777" w:rsidR="00AE727E" w:rsidRDefault="00AE727E"/>
    <w:p w14:paraId="07DCE947" w14:textId="77777777" w:rsidR="00AE727E" w:rsidRDefault="00AE727E">
      <w:pPr>
        <w:jc w:val="center"/>
      </w:pPr>
    </w:p>
    <w:p w14:paraId="07DCE948" w14:textId="77777777" w:rsidR="00AE727E" w:rsidRDefault="008433E0">
      <w:pPr>
        <w:jc w:val="center"/>
      </w:pPr>
      <w:r>
        <w:rPr>
          <w:rFonts w:ascii="Times New Roman" w:eastAsia="宋体" w:hAnsi="Times New Roman"/>
          <w:color w:val="000000"/>
          <w:sz w:val="20"/>
          <w:szCs w:val="20"/>
        </w:rPr>
        <w:t>20</w:t>
      </w:r>
    </w:p>
    <w:p w14:paraId="07DCE949" w14:textId="77777777" w:rsidR="00AE727E" w:rsidRDefault="00AE727E">
      <w:pPr>
        <w:jc w:val="center"/>
      </w:pPr>
    </w:p>
    <w:p w14:paraId="07DCE94A" w14:textId="77777777" w:rsidR="00AE727E" w:rsidRDefault="008433E0">
      <w:r>
        <w:pict w14:anchorId="07DD18E4">
          <v:rect id="_x0000_i1044" style="width:415.3pt;height:1.5pt" o:hralign="center" o:hrstd="t" o:hr="t" fillcolor="#a0a0a0" stroked="f"/>
        </w:pict>
      </w:r>
    </w:p>
    <w:p w14:paraId="07DCE94B" w14:textId="77777777" w:rsidR="00AE727E" w:rsidRDefault="008433E0">
      <w:hyperlink r:id="rId145" w:anchor="i1c8279be622a460ea19600488436f115_10" w:history="1">
        <w:r>
          <w:rPr>
            <w:rStyle w:val="a5"/>
            <w:rFonts w:ascii="Times New Roman" w:eastAsia="宋体" w:hAnsi="Times New Roman"/>
            <w:sz w:val="20"/>
            <w:szCs w:val="20"/>
          </w:rPr>
          <w:t>Table of Contents</w:t>
        </w:r>
      </w:hyperlink>
    </w:p>
    <w:p w14:paraId="07DCE94C"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94D"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E94E"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94F" w14:textId="77777777" w:rsidR="00AE727E" w:rsidRDefault="00AE727E">
      <w:pPr>
        <w:jc w:val="center"/>
      </w:pPr>
    </w:p>
    <w:p w14:paraId="07DCE950" w14:textId="77777777" w:rsidR="00AE727E" w:rsidRDefault="008433E0">
      <w:r>
        <w:rPr>
          <w:rFonts w:ascii="Times New Roman" w:eastAsia="宋体" w:hAnsi="Times New Roman"/>
          <w:i/>
          <w:iCs/>
          <w:color w:val="000000"/>
          <w:sz w:val="20"/>
          <w:szCs w:val="20"/>
          <w:u w:val="single"/>
        </w:rPr>
        <w:t>Leases</w:t>
      </w:r>
    </w:p>
    <w:p w14:paraId="07DCE951" w14:textId="77777777" w:rsidR="00AE727E" w:rsidRDefault="00AE727E"/>
    <w:p w14:paraId="07DCE952" w14:textId="77777777" w:rsidR="00AE727E" w:rsidRDefault="008433E0">
      <w:r>
        <w:rPr>
          <w:rFonts w:ascii="Times New Roman" w:eastAsia="宋体" w:hAnsi="Times New Roman"/>
          <w:color w:val="000000"/>
          <w:sz w:val="20"/>
          <w:szCs w:val="20"/>
        </w:rPr>
        <w:t>Interest income on sales-type lease receivables was $59 million and $69 million for the three months ended October 29, 2021 and October 30, 2020, respectively, and $186 million and $200 million for the nine month</w:t>
      </w:r>
      <w:r>
        <w:rPr>
          <w:rFonts w:ascii="Times New Roman" w:eastAsia="宋体" w:hAnsi="Times New Roman"/>
          <w:color w:val="000000"/>
          <w:sz w:val="20"/>
          <w:szCs w:val="20"/>
        </w:rPr>
        <w:t xml:space="preserve">s ended October 29, 2021, and October 30, 2020, respectively. </w:t>
      </w:r>
    </w:p>
    <w:p w14:paraId="07DCE953" w14:textId="77777777" w:rsidR="00AE727E" w:rsidRDefault="00AE727E"/>
    <w:p w14:paraId="07DCE954" w14:textId="77777777" w:rsidR="00AE727E" w:rsidRDefault="008433E0">
      <w:pPr>
        <w:spacing w:after="60"/>
      </w:pPr>
      <w:r>
        <w:rPr>
          <w:rFonts w:ascii="Times New Roman" w:eastAsia="宋体" w:hAnsi="Times New Roman"/>
          <w:color w:val="000000"/>
          <w:sz w:val="20"/>
          <w:szCs w:val="20"/>
        </w:rPr>
        <w:t>The following table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2578"/>
        <w:gridCol w:w="36"/>
        <w:gridCol w:w="121"/>
        <w:gridCol w:w="1182"/>
        <w:gridCol w:w="37"/>
        <w:gridCol w:w="36"/>
        <w:gridCol w:w="36"/>
        <w:gridCol w:w="36"/>
        <w:gridCol w:w="121"/>
        <w:gridCol w:w="1182"/>
        <w:gridCol w:w="37"/>
        <w:gridCol w:w="36"/>
        <w:gridCol w:w="36"/>
        <w:gridCol w:w="36"/>
        <w:gridCol w:w="121"/>
        <w:gridCol w:w="1182"/>
        <w:gridCol w:w="37"/>
        <w:gridCol w:w="36"/>
        <w:gridCol w:w="36"/>
        <w:gridCol w:w="36"/>
        <w:gridCol w:w="121"/>
        <w:gridCol w:w="1183"/>
        <w:gridCol w:w="37"/>
      </w:tblGrid>
      <w:tr w:rsidR="00AE727E" w14:paraId="07DCE96D" w14:textId="77777777">
        <w:tc>
          <w:tcPr>
            <w:tcW w:w="50" w:type="pct"/>
            <w:shd w:val="clear" w:color="auto" w:fill="auto"/>
            <w:vAlign w:val="bottom"/>
          </w:tcPr>
          <w:p w14:paraId="07DCE955" w14:textId="77777777" w:rsidR="00AE727E" w:rsidRDefault="00AE727E">
            <w:pPr>
              <w:rPr>
                <w:rFonts w:ascii="宋体"/>
              </w:rPr>
            </w:pPr>
          </w:p>
        </w:tc>
        <w:tc>
          <w:tcPr>
            <w:tcW w:w="1611" w:type="pct"/>
            <w:shd w:val="clear" w:color="auto" w:fill="auto"/>
            <w:vAlign w:val="bottom"/>
          </w:tcPr>
          <w:p w14:paraId="07DCE956" w14:textId="77777777" w:rsidR="00AE727E" w:rsidRDefault="00AE727E">
            <w:pPr>
              <w:rPr>
                <w:rFonts w:ascii="宋体"/>
              </w:rPr>
            </w:pPr>
          </w:p>
        </w:tc>
        <w:tc>
          <w:tcPr>
            <w:tcW w:w="5" w:type="pct"/>
            <w:shd w:val="clear" w:color="auto" w:fill="auto"/>
            <w:vAlign w:val="bottom"/>
          </w:tcPr>
          <w:p w14:paraId="07DCE957" w14:textId="77777777" w:rsidR="00AE727E" w:rsidRDefault="00AE727E">
            <w:pPr>
              <w:rPr>
                <w:rFonts w:ascii="宋体"/>
              </w:rPr>
            </w:pPr>
          </w:p>
        </w:tc>
        <w:tc>
          <w:tcPr>
            <w:tcW w:w="50" w:type="pct"/>
            <w:shd w:val="clear" w:color="auto" w:fill="auto"/>
            <w:vAlign w:val="bottom"/>
          </w:tcPr>
          <w:p w14:paraId="07DCE958" w14:textId="77777777" w:rsidR="00AE727E" w:rsidRDefault="00AE727E">
            <w:pPr>
              <w:rPr>
                <w:rFonts w:ascii="宋体"/>
              </w:rPr>
            </w:pPr>
          </w:p>
        </w:tc>
        <w:tc>
          <w:tcPr>
            <w:tcW w:w="756" w:type="pct"/>
            <w:shd w:val="clear" w:color="auto" w:fill="auto"/>
            <w:vAlign w:val="bottom"/>
          </w:tcPr>
          <w:p w14:paraId="07DCE959" w14:textId="77777777" w:rsidR="00AE727E" w:rsidRDefault="00AE727E">
            <w:pPr>
              <w:rPr>
                <w:rFonts w:ascii="宋体"/>
              </w:rPr>
            </w:pPr>
          </w:p>
        </w:tc>
        <w:tc>
          <w:tcPr>
            <w:tcW w:w="5" w:type="pct"/>
            <w:shd w:val="clear" w:color="auto" w:fill="auto"/>
            <w:vAlign w:val="bottom"/>
          </w:tcPr>
          <w:p w14:paraId="07DCE95A" w14:textId="77777777" w:rsidR="00AE727E" w:rsidRDefault="00AE727E">
            <w:pPr>
              <w:rPr>
                <w:rFonts w:ascii="宋体"/>
              </w:rPr>
            </w:pPr>
          </w:p>
        </w:tc>
        <w:tc>
          <w:tcPr>
            <w:tcW w:w="5" w:type="pct"/>
            <w:shd w:val="clear" w:color="auto" w:fill="auto"/>
            <w:vAlign w:val="bottom"/>
          </w:tcPr>
          <w:p w14:paraId="07DCE95B" w14:textId="77777777" w:rsidR="00AE727E" w:rsidRDefault="00AE727E">
            <w:pPr>
              <w:rPr>
                <w:rFonts w:ascii="宋体"/>
              </w:rPr>
            </w:pPr>
          </w:p>
        </w:tc>
        <w:tc>
          <w:tcPr>
            <w:tcW w:w="19" w:type="pct"/>
            <w:shd w:val="clear" w:color="auto" w:fill="auto"/>
            <w:vAlign w:val="bottom"/>
          </w:tcPr>
          <w:p w14:paraId="07DCE95C" w14:textId="77777777" w:rsidR="00AE727E" w:rsidRDefault="00AE727E">
            <w:pPr>
              <w:rPr>
                <w:rFonts w:ascii="宋体"/>
              </w:rPr>
            </w:pPr>
          </w:p>
        </w:tc>
        <w:tc>
          <w:tcPr>
            <w:tcW w:w="5" w:type="pct"/>
            <w:shd w:val="clear" w:color="auto" w:fill="auto"/>
            <w:vAlign w:val="bottom"/>
          </w:tcPr>
          <w:p w14:paraId="07DCE95D" w14:textId="77777777" w:rsidR="00AE727E" w:rsidRDefault="00AE727E">
            <w:pPr>
              <w:rPr>
                <w:rFonts w:ascii="宋体"/>
              </w:rPr>
            </w:pPr>
          </w:p>
        </w:tc>
        <w:tc>
          <w:tcPr>
            <w:tcW w:w="50" w:type="pct"/>
            <w:shd w:val="clear" w:color="auto" w:fill="auto"/>
            <w:vAlign w:val="bottom"/>
          </w:tcPr>
          <w:p w14:paraId="07DCE95E" w14:textId="77777777" w:rsidR="00AE727E" w:rsidRDefault="00AE727E">
            <w:pPr>
              <w:rPr>
                <w:rFonts w:ascii="宋体"/>
              </w:rPr>
            </w:pPr>
          </w:p>
        </w:tc>
        <w:tc>
          <w:tcPr>
            <w:tcW w:w="756" w:type="pct"/>
            <w:shd w:val="clear" w:color="auto" w:fill="auto"/>
            <w:vAlign w:val="bottom"/>
          </w:tcPr>
          <w:p w14:paraId="07DCE95F" w14:textId="77777777" w:rsidR="00AE727E" w:rsidRDefault="00AE727E">
            <w:pPr>
              <w:rPr>
                <w:rFonts w:ascii="宋体"/>
              </w:rPr>
            </w:pPr>
          </w:p>
        </w:tc>
        <w:tc>
          <w:tcPr>
            <w:tcW w:w="5" w:type="pct"/>
            <w:shd w:val="clear" w:color="auto" w:fill="auto"/>
            <w:vAlign w:val="bottom"/>
          </w:tcPr>
          <w:p w14:paraId="07DCE960" w14:textId="77777777" w:rsidR="00AE727E" w:rsidRDefault="00AE727E">
            <w:pPr>
              <w:rPr>
                <w:rFonts w:ascii="宋体"/>
              </w:rPr>
            </w:pPr>
          </w:p>
        </w:tc>
        <w:tc>
          <w:tcPr>
            <w:tcW w:w="5" w:type="pct"/>
            <w:shd w:val="clear" w:color="auto" w:fill="auto"/>
            <w:vAlign w:val="bottom"/>
          </w:tcPr>
          <w:p w14:paraId="07DCE961" w14:textId="77777777" w:rsidR="00AE727E" w:rsidRDefault="00AE727E">
            <w:pPr>
              <w:rPr>
                <w:rFonts w:ascii="宋体"/>
              </w:rPr>
            </w:pPr>
          </w:p>
        </w:tc>
        <w:tc>
          <w:tcPr>
            <w:tcW w:w="19" w:type="pct"/>
            <w:shd w:val="clear" w:color="auto" w:fill="auto"/>
            <w:vAlign w:val="bottom"/>
          </w:tcPr>
          <w:p w14:paraId="07DCE962" w14:textId="77777777" w:rsidR="00AE727E" w:rsidRDefault="00AE727E">
            <w:pPr>
              <w:rPr>
                <w:rFonts w:ascii="宋体"/>
              </w:rPr>
            </w:pPr>
          </w:p>
        </w:tc>
        <w:tc>
          <w:tcPr>
            <w:tcW w:w="5" w:type="pct"/>
            <w:shd w:val="clear" w:color="auto" w:fill="auto"/>
            <w:vAlign w:val="bottom"/>
          </w:tcPr>
          <w:p w14:paraId="07DCE963" w14:textId="77777777" w:rsidR="00AE727E" w:rsidRDefault="00AE727E">
            <w:pPr>
              <w:rPr>
                <w:rFonts w:ascii="宋体"/>
              </w:rPr>
            </w:pPr>
          </w:p>
        </w:tc>
        <w:tc>
          <w:tcPr>
            <w:tcW w:w="50" w:type="pct"/>
            <w:shd w:val="clear" w:color="auto" w:fill="auto"/>
            <w:vAlign w:val="bottom"/>
          </w:tcPr>
          <w:p w14:paraId="07DCE964" w14:textId="77777777" w:rsidR="00AE727E" w:rsidRDefault="00AE727E">
            <w:pPr>
              <w:rPr>
                <w:rFonts w:ascii="宋体"/>
              </w:rPr>
            </w:pPr>
          </w:p>
        </w:tc>
        <w:tc>
          <w:tcPr>
            <w:tcW w:w="756" w:type="pct"/>
            <w:shd w:val="clear" w:color="auto" w:fill="auto"/>
            <w:vAlign w:val="bottom"/>
          </w:tcPr>
          <w:p w14:paraId="07DCE965" w14:textId="77777777" w:rsidR="00AE727E" w:rsidRDefault="00AE727E">
            <w:pPr>
              <w:rPr>
                <w:rFonts w:ascii="宋体"/>
              </w:rPr>
            </w:pPr>
          </w:p>
        </w:tc>
        <w:tc>
          <w:tcPr>
            <w:tcW w:w="5" w:type="pct"/>
            <w:shd w:val="clear" w:color="auto" w:fill="auto"/>
            <w:vAlign w:val="bottom"/>
          </w:tcPr>
          <w:p w14:paraId="07DCE966" w14:textId="77777777" w:rsidR="00AE727E" w:rsidRDefault="00AE727E">
            <w:pPr>
              <w:rPr>
                <w:rFonts w:ascii="宋体"/>
              </w:rPr>
            </w:pPr>
          </w:p>
        </w:tc>
        <w:tc>
          <w:tcPr>
            <w:tcW w:w="5" w:type="pct"/>
            <w:shd w:val="clear" w:color="auto" w:fill="auto"/>
            <w:vAlign w:val="bottom"/>
          </w:tcPr>
          <w:p w14:paraId="07DCE967" w14:textId="77777777" w:rsidR="00AE727E" w:rsidRDefault="00AE727E">
            <w:pPr>
              <w:rPr>
                <w:rFonts w:ascii="宋体"/>
              </w:rPr>
            </w:pPr>
          </w:p>
        </w:tc>
        <w:tc>
          <w:tcPr>
            <w:tcW w:w="19" w:type="pct"/>
            <w:shd w:val="clear" w:color="auto" w:fill="auto"/>
            <w:vAlign w:val="bottom"/>
          </w:tcPr>
          <w:p w14:paraId="07DCE968" w14:textId="77777777" w:rsidR="00AE727E" w:rsidRDefault="00AE727E">
            <w:pPr>
              <w:rPr>
                <w:rFonts w:ascii="宋体"/>
              </w:rPr>
            </w:pPr>
          </w:p>
        </w:tc>
        <w:tc>
          <w:tcPr>
            <w:tcW w:w="5" w:type="pct"/>
            <w:shd w:val="clear" w:color="auto" w:fill="auto"/>
            <w:vAlign w:val="bottom"/>
          </w:tcPr>
          <w:p w14:paraId="07DCE969" w14:textId="77777777" w:rsidR="00AE727E" w:rsidRDefault="00AE727E">
            <w:pPr>
              <w:rPr>
                <w:rFonts w:ascii="宋体"/>
              </w:rPr>
            </w:pPr>
          </w:p>
        </w:tc>
        <w:tc>
          <w:tcPr>
            <w:tcW w:w="50" w:type="pct"/>
            <w:shd w:val="clear" w:color="auto" w:fill="auto"/>
            <w:vAlign w:val="bottom"/>
          </w:tcPr>
          <w:p w14:paraId="07DCE96A" w14:textId="77777777" w:rsidR="00AE727E" w:rsidRDefault="00AE727E">
            <w:pPr>
              <w:rPr>
                <w:rFonts w:ascii="宋体"/>
              </w:rPr>
            </w:pPr>
          </w:p>
        </w:tc>
        <w:tc>
          <w:tcPr>
            <w:tcW w:w="756" w:type="pct"/>
            <w:shd w:val="clear" w:color="auto" w:fill="auto"/>
            <w:vAlign w:val="bottom"/>
          </w:tcPr>
          <w:p w14:paraId="07DCE96B" w14:textId="77777777" w:rsidR="00AE727E" w:rsidRDefault="00AE727E">
            <w:pPr>
              <w:rPr>
                <w:rFonts w:ascii="宋体"/>
              </w:rPr>
            </w:pPr>
          </w:p>
        </w:tc>
        <w:tc>
          <w:tcPr>
            <w:tcW w:w="5" w:type="pct"/>
            <w:shd w:val="clear" w:color="auto" w:fill="auto"/>
            <w:vAlign w:val="bottom"/>
          </w:tcPr>
          <w:p w14:paraId="07DCE96C" w14:textId="77777777" w:rsidR="00AE727E" w:rsidRDefault="00AE727E">
            <w:pPr>
              <w:rPr>
                <w:rFonts w:ascii="宋体"/>
              </w:rPr>
            </w:pPr>
          </w:p>
        </w:tc>
      </w:tr>
      <w:tr w:rsidR="00AE727E" w14:paraId="07DCE972" w14:textId="77777777">
        <w:tc>
          <w:tcPr>
            <w:tcW w:w="0" w:type="auto"/>
            <w:gridSpan w:val="3"/>
            <w:shd w:val="clear" w:color="auto" w:fill="auto"/>
            <w:tcMar>
              <w:top w:w="0" w:type="dxa"/>
              <w:left w:w="20" w:type="dxa"/>
              <w:bottom w:w="0" w:type="dxa"/>
              <w:right w:w="20" w:type="dxa"/>
            </w:tcMar>
            <w:vAlign w:val="bottom"/>
          </w:tcPr>
          <w:p w14:paraId="07DCE96E"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96F"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E97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971"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E97B" w14:textId="77777777">
        <w:tc>
          <w:tcPr>
            <w:tcW w:w="0" w:type="auto"/>
            <w:gridSpan w:val="3"/>
            <w:shd w:val="clear" w:color="auto" w:fill="auto"/>
            <w:tcMar>
              <w:top w:w="0" w:type="dxa"/>
              <w:left w:w="20" w:type="dxa"/>
              <w:bottom w:w="0" w:type="dxa"/>
              <w:right w:w="20" w:type="dxa"/>
            </w:tcMar>
            <w:vAlign w:val="bottom"/>
          </w:tcPr>
          <w:p w14:paraId="07DCE97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97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97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976"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E97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97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97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97A"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E97E" w14:textId="77777777">
        <w:tc>
          <w:tcPr>
            <w:tcW w:w="0" w:type="auto"/>
            <w:gridSpan w:val="3"/>
            <w:shd w:val="clear" w:color="auto" w:fill="auto"/>
            <w:tcMar>
              <w:top w:w="0" w:type="dxa"/>
              <w:left w:w="20" w:type="dxa"/>
              <w:bottom w:w="0" w:type="dxa"/>
              <w:right w:w="20" w:type="dxa"/>
            </w:tcMar>
            <w:vAlign w:val="bottom"/>
          </w:tcPr>
          <w:p w14:paraId="07DCE97C"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CE97D"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98F" w14:textId="77777777">
        <w:tc>
          <w:tcPr>
            <w:tcW w:w="0" w:type="auto"/>
            <w:gridSpan w:val="3"/>
            <w:shd w:val="clear" w:color="auto" w:fill="CCEEFF"/>
            <w:tcMar>
              <w:top w:w="40" w:type="dxa"/>
              <w:left w:w="20" w:type="dxa"/>
              <w:bottom w:w="40" w:type="dxa"/>
              <w:right w:w="20" w:type="dxa"/>
            </w:tcMar>
            <w:vAlign w:val="center"/>
          </w:tcPr>
          <w:p w14:paraId="07DCE97F" w14:textId="77777777" w:rsidR="00AE727E" w:rsidRDefault="008433E0">
            <w:pPr>
              <w:textAlignment w:val="center"/>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center"/>
          </w:tcPr>
          <w:p w14:paraId="07DCE98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981" w14:textId="77777777" w:rsidR="00AE727E" w:rsidRDefault="008433E0">
            <w:pPr>
              <w:jc w:val="right"/>
              <w:textAlignment w:val="center"/>
            </w:pPr>
            <w:r>
              <w:rPr>
                <w:rFonts w:ascii="Times New Roman" w:eastAsia="宋体" w:hAnsi="Times New Roman"/>
                <w:color w:val="000000"/>
                <w:sz w:val="20"/>
                <w:szCs w:val="20"/>
              </w:rPr>
              <w:t>183 </w:t>
            </w:r>
          </w:p>
        </w:tc>
        <w:tc>
          <w:tcPr>
            <w:tcW w:w="0" w:type="auto"/>
            <w:shd w:val="clear" w:color="auto" w:fill="CCEEFF"/>
            <w:tcMar>
              <w:top w:w="40" w:type="dxa"/>
              <w:left w:w="0" w:type="dxa"/>
              <w:bottom w:w="40" w:type="dxa"/>
              <w:right w:w="20" w:type="dxa"/>
            </w:tcMar>
            <w:vAlign w:val="center"/>
          </w:tcPr>
          <w:p w14:paraId="07DCE98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83"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98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985" w14:textId="77777777" w:rsidR="00AE727E" w:rsidRDefault="008433E0">
            <w:pPr>
              <w:jc w:val="right"/>
              <w:textAlignment w:val="center"/>
            </w:pPr>
            <w:r>
              <w:rPr>
                <w:rFonts w:ascii="Times New Roman" w:eastAsia="宋体" w:hAnsi="Times New Roman"/>
                <w:color w:val="000000"/>
                <w:sz w:val="20"/>
                <w:szCs w:val="20"/>
              </w:rPr>
              <w:t>184 </w:t>
            </w:r>
          </w:p>
        </w:tc>
        <w:tc>
          <w:tcPr>
            <w:tcW w:w="0" w:type="auto"/>
            <w:shd w:val="clear" w:color="auto" w:fill="CCEEFF"/>
            <w:tcMar>
              <w:top w:w="40" w:type="dxa"/>
              <w:left w:w="0" w:type="dxa"/>
              <w:bottom w:w="40" w:type="dxa"/>
              <w:right w:w="20" w:type="dxa"/>
            </w:tcMar>
            <w:vAlign w:val="center"/>
          </w:tcPr>
          <w:p w14:paraId="07DCE98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87"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98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989" w14:textId="77777777" w:rsidR="00AE727E" w:rsidRDefault="008433E0">
            <w:pPr>
              <w:jc w:val="right"/>
              <w:textAlignment w:val="center"/>
            </w:pPr>
            <w:r>
              <w:rPr>
                <w:rFonts w:ascii="Times New Roman" w:eastAsia="宋体" w:hAnsi="Times New Roman"/>
                <w:color w:val="000000"/>
                <w:sz w:val="20"/>
                <w:szCs w:val="20"/>
              </w:rPr>
              <w:t>607 </w:t>
            </w:r>
          </w:p>
        </w:tc>
        <w:tc>
          <w:tcPr>
            <w:tcW w:w="0" w:type="auto"/>
            <w:shd w:val="clear" w:color="auto" w:fill="CCEEFF"/>
            <w:tcMar>
              <w:top w:w="40" w:type="dxa"/>
              <w:left w:w="0" w:type="dxa"/>
              <w:bottom w:w="40" w:type="dxa"/>
              <w:right w:w="20" w:type="dxa"/>
            </w:tcMar>
            <w:vAlign w:val="center"/>
          </w:tcPr>
          <w:p w14:paraId="07DCE9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8B"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98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98D" w14:textId="77777777" w:rsidR="00AE727E" w:rsidRDefault="008433E0">
            <w:pPr>
              <w:jc w:val="right"/>
              <w:textAlignment w:val="center"/>
            </w:pPr>
            <w:r>
              <w:rPr>
                <w:rFonts w:ascii="Times New Roman" w:eastAsia="宋体" w:hAnsi="Times New Roman"/>
                <w:color w:val="000000"/>
                <w:sz w:val="20"/>
                <w:szCs w:val="20"/>
              </w:rPr>
              <w:t>648 </w:t>
            </w:r>
          </w:p>
        </w:tc>
        <w:tc>
          <w:tcPr>
            <w:tcW w:w="0" w:type="auto"/>
            <w:shd w:val="clear" w:color="auto" w:fill="CCEEFF"/>
            <w:tcMar>
              <w:top w:w="40" w:type="dxa"/>
              <w:left w:w="0" w:type="dxa"/>
              <w:bottom w:w="40" w:type="dxa"/>
              <w:right w:w="20" w:type="dxa"/>
            </w:tcMar>
            <w:vAlign w:val="center"/>
          </w:tcPr>
          <w:p w14:paraId="07DCE98E" w14:textId="77777777" w:rsidR="00AE727E" w:rsidRDefault="00AE727E">
            <w:pPr>
              <w:jc w:val="right"/>
              <w:rPr>
                <w:rFonts w:ascii="宋体"/>
              </w:rPr>
            </w:pPr>
          </w:p>
        </w:tc>
      </w:tr>
      <w:tr w:rsidR="00AE727E" w14:paraId="07DCE99C" w14:textId="77777777">
        <w:tc>
          <w:tcPr>
            <w:tcW w:w="0" w:type="auto"/>
            <w:gridSpan w:val="3"/>
            <w:shd w:val="clear" w:color="auto" w:fill="FFFFFF"/>
            <w:tcMar>
              <w:top w:w="40" w:type="dxa"/>
              <w:left w:w="20" w:type="dxa"/>
              <w:bottom w:w="40" w:type="dxa"/>
              <w:right w:w="20" w:type="dxa"/>
            </w:tcMar>
            <w:vAlign w:val="center"/>
          </w:tcPr>
          <w:p w14:paraId="07DCE990" w14:textId="77777777" w:rsidR="00AE727E" w:rsidRDefault="008433E0">
            <w:pPr>
              <w:textAlignment w:val="center"/>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center"/>
          </w:tcPr>
          <w:p w14:paraId="07DCE991" w14:textId="77777777" w:rsidR="00AE727E" w:rsidRDefault="008433E0">
            <w:pPr>
              <w:jc w:val="right"/>
              <w:textAlignment w:val="center"/>
            </w:pPr>
            <w:r>
              <w:rPr>
                <w:rFonts w:ascii="Times New Roman" w:eastAsia="宋体" w:hAnsi="Times New Roman"/>
                <w:color w:val="000000"/>
                <w:sz w:val="20"/>
                <w:szCs w:val="20"/>
              </w:rPr>
              <w:t>162 </w:t>
            </w:r>
          </w:p>
        </w:tc>
        <w:tc>
          <w:tcPr>
            <w:tcW w:w="0" w:type="auto"/>
            <w:shd w:val="clear" w:color="auto" w:fill="FFFFFF"/>
            <w:tcMar>
              <w:top w:w="40" w:type="dxa"/>
              <w:left w:w="0" w:type="dxa"/>
              <w:bottom w:w="40" w:type="dxa"/>
              <w:right w:w="20" w:type="dxa"/>
            </w:tcMar>
            <w:vAlign w:val="center"/>
          </w:tcPr>
          <w:p w14:paraId="07DCE99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9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994" w14:textId="77777777" w:rsidR="00AE727E" w:rsidRDefault="008433E0">
            <w:pPr>
              <w:jc w:val="right"/>
              <w:textAlignment w:val="center"/>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center"/>
          </w:tcPr>
          <w:p w14:paraId="07DCE99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9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997" w14:textId="77777777" w:rsidR="00AE727E" w:rsidRDefault="008433E0">
            <w:pPr>
              <w:jc w:val="right"/>
              <w:textAlignment w:val="center"/>
            </w:pPr>
            <w:r>
              <w:rPr>
                <w:rFonts w:ascii="Times New Roman" w:eastAsia="宋体" w:hAnsi="Times New Roman"/>
                <w:color w:val="000000"/>
                <w:sz w:val="20"/>
                <w:szCs w:val="20"/>
              </w:rPr>
              <w:t>467 </w:t>
            </w:r>
          </w:p>
        </w:tc>
        <w:tc>
          <w:tcPr>
            <w:tcW w:w="0" w:type="auto"/>
            <w:shd w:val="clear" w:color="auto" w:fill="FFFFFF"/>
            <w:tcMar>
              <w:top w:w="40" w:type="dxa"/>
              <w:left w:w="0" w:type="dxa"/>
              <w:bottom w:w="40" w:type="dxa"/>
              <w:right w:w="20" w:type="dxa"/>
            </w:tcMar>
            <w:vAlign w:val="center"/>
          </w:tcPr>
          <w:p w14:paraId="07DCE99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99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99A" w14:textId="77777777" w:rsidR="00AE727E" w:rsidRDefault="008433E0">
            <w:pPr>
              <w:jc w:val="right"/>
              <w:textAlignment w:val="center"/>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center"/>
          </w:tcPr>
          <w:p w14:paraId="07DCE99B" w14:textId="77777777" w:rsidR="00AE727E" w:rsidRDefault="00AE727E">
            <w:pPr>
              <w:jc w:val="right"/>
              <w:rPr>
                <w:rFonts w:ascii="宋体"/>
              </w:rPr>
            </w:pPr>
          </w:p>
        </w:tc>
      </w:tr>
      <w:tr w:rsidR="00AE727E" w14:paraId="07DCE9AD" w14:textId="77777777">
        <w:tc>
          <w:tcPr>
            <w:tcW w:w="0" w:type="auto"/>
            <w:gridSpan w:val="3"/>
            <w:shd w:val="clear" w:color="auto" w:fill="CCEEFF"/>
            <w:tcMar>
              <w:top w:w="40" w:type="dxa"/>
              <w:left w:w="20" w:type="dxa"/>
              <w:bottom w:w="40" w:type="dxa"/>
              <w:right w:w="20" w:type="dxa"/>
            </w:tcMar>
            <w:vAlign w:val="center"/>
          </w:tcPr>
          <w:p w14:paraId="07DCE99D" w14:textId="77777777" w:rsidR="00AE727E" w:rsidRDefault="008433E0">
            <w:pPr>
              <w:textAlignment w:val="center"/>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99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99F" w14:textId="77777777" w:rsidR="00AE727E" w:rsidRDefault="008433E0">
            <w:pPr>
              <w:jc w:val="right"/>
              <w:textAlignment w:val="center"/>
            </w:pPr>
            <w:r>
              <w:rPr>
                <w:rFonts w:ascii="Times New Roman" w:eastAsia="宋体" w:hAnsi="Times New Roman"/>
                <w:color w:val="000000"/>
                <w:sz w:val="20"/>
                <w:szCs w:val="20"/>
              </w:rPr>
              <w:t>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9A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A1"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9A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9A3" w14:textId="77777777" w:rsidR="00AE727E" w:rsidRDefault="008433E0">
            <w:pPr>
              <w:jc w:val="right"/>
              <w:textAlignment w:val="center"/>
            </w:pPr>
            <w:r>
              <w:rPr>
                <w:rFonts w:ascii="Times New Roman" w:eastAsia="宋体" w:hAnsi="Times New Roman"/>
                <w:color w:val="000000"/>
                <w:sz w:val="20"/>
                <w:szCs w:val="20"/>
              </w:rPr>
              <w:t>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9A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A5"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9A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9A7" w14:textId="77777777" w:rsidR="00AE727E" w:rsidRDefault="008433E0">
            <w:pPr>
              <w:jc w:val="right"/>
              <w:textAlignment w:val="center"/>
            </w:pPr>
            <w:r>
              <w:rPr>
                <w:rFonts w:ascii="Times New Roman" w:eastAsia="宋体" w:hAnsi="Times New Roman"/>
                <w:color w:val="000000"/>
                <w:sz w:val="20"/>
                <w:szCs w:val="20"/>
              </w:rPr>
              <w:t>140 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9A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9A9"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9A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9AB" w14:textId="77777777" w:rsidR="00AE727E" w:rsidRDefault="008433E0">
            <w:pPr>
              <w:jc w:val="right"/>
              <w:textAlignment w:val="center"/>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9AC" w14:textId="77777777" w:rsidR="00AE727E" w:rsidRDefault="00AE727E">
            <w:pPr>
              <w:jc w:val="right"/>
              <w:rPr>
                <w:rFonts w:ascii="宋体"/>
              </w:rPr>
            </w:pPr>
          </w:p>
        </w:tc>
      </w:tr>
    </w:tbl>
    <w:p w14:paraId="07DCE9AE" w14:textId="77777777" w:rsidR="00AE727E" w:rsidRDefault="00AE727E"/>
    <w:p w14:paraId="07DCE9AF" w14:textId="77777777" w:rsidR="00AE727E" w:rsidRDefault="008433E0">
      <w:pPr>
        <w:spacing w:after="60"/>
      </w:pPr>
      <w:r>
        <w:rPr>
          <w:rFonts w:ascii="Times New Roman" w:eastAsia="宋体" w:hAnsi="Times New Roman"/>
          <w:color w:val="000000"/>
          <w:sz w:val="20"/>
          <w:szCs w:val="20"/>
        </w:rPr>
        <w:t xml:space="preserve">The following table presents the future maturity of the Company’s fixed-term customer </w:t>
      </w:r>
      <w:r>
        <w:rPr>
          <w:rFonts w:ascii="Times New Roman" w:eastAsia="宋体" w:hAnsi="Times New Roman"/>
          <w:color w:val="000000"/>
          <w:sz w:val="20"/>
          <w:szCs w:val="20"/>
        </w:rPr>
        <w:t xml:space="preserve">leases and associated financing payments, and reconciles the undiscounted cash flows to the customer receivables, gross recognized on the Condensed Consolidated Statements of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861"/>
        <w:gridCol w:w="37"/>
        <w:gridCol w:w="121"/>
        <w:gridCol w:w="1229"/>
        <w:gridCol w:w="37"/>
      </w:tblGrid>
      <w:tr w:rsidR="00AE727E" w14:paraId="07DCE9B6" w14:textId="77777777">
        <w:tc>
          <w:tcPr>
            <w:tcW w:w="50" w:type="pct"/>
            <w:shd w:val="clear" w:color="auto" w:fill="auto"/>
            <w:vAlign w:val="bottom"/>
          </w:tcPr>
          <w:p w14:paraId="07DCE9B0" w14:textId="77777777" w:rsidR="00AE727E" w:rsidRDefault="00AE727E">
            <w:pPr>
              <w:rPr>
                <w:rFonts w:ascii="宋体"/>
              </w:rPr>
            </w:pPr>
          </w:p>
        </w:tc>
        <w:tc>
          <w:tcPr>
            <w:tcW w:w="4133" w:type="pct"/>
            <w:shd w:val="clear" w:color="auto" w:fill="auto"/>
            <w:vAlign w:val="bottom"/>
          </w:tcPr>
          <w:p w14:paraId="07DCE9B1" w14:textId="77777777" w:rsidR="00AE727E" w:rsidRDefault="00AE727E">
            <w:pPr>
              <w:rPr>
                <w:rFonts w:ascii="宋体"/>
              </w:rPr>
            </w:pPr>
          </w:p>
        </w:tc>
        <w:tc>
          <w:tcPr>
            <w:tcW w:w="5" w:type="pct"/>
            <w:shd w:val="clear" w:color="auto" w:fill="auto"/>
            <w:vAlign w:val="bottom"/>
          </w:tcPr>
          <w:p w14:paraId="07DCE9B2" w14:textId="77777777" w:rsidR="00AE727E" w:rsidRDefault="00AE727E">
            <w:pPr>
              <w:rPr>
                <w:rFonts w:ascii="宋体"/>
              </w:rPr>
            </w:pPr>
          </w:p>
        </w:tc>
        <w:tc>
          <w:tcPr>
            <w:tcW w:w="50" w:type="pct"/>
            <w:shd w:val="clear" w:color="auto" w:fill="auto"/>
            <w:vAlign w:val="bottom"/>
          </w:tcPr>
          <w:p w14:paraId="07DCE9B3" w14:textId="77777777" w:rsidR="00AE727E" w:rsidRDefault="00AE727E">
            <w:pPr>
              <w:rPr>
                <w:rFonts w:ascii="宋体"/>
              </w:rPr>
            </w:pPr>
          </w:p>
        </w:tc>
        <w:tc>
          <w:tcPr>
            <w:tcW w:w="756" w:type="pct"/>
            <w:shd w:val="clear" w:color="auto" w:fill="auto"/>
            <w:vAlign w:val="bottom"/>
          </w:tcPr>
          <w:p w14:paraId="07DCE9B4" w14:textId="77777777" w:rsidR="00AE727E" w:rsidRDefault="00AE727E">
            <w:pPr>
              <w:rPr>
                <w:rFonts w:ascii="宋体"/>
              </w:rPr>
            </w:pPr>
          </w:p>
        </w:tc>
        <w:tc>
          <w:tcPr>
            <w:tcW w:w="5" w:type="pct"/>
            <w:shd w:val="clear" w:color="auto" w:fill="auto"/>
            <w:vAlign w:val="bottom"/>
          </w:tcPr>
          <w:p w14:paraId="07DCE9B5" w14:textId="77777777" w:rsidR="00AE727E" w:rsidRDefault="00AE727E">
            <w:pPr>
              <w:rPr>
                <w:rFonts w:ascii="宋体"/>
              </w:rPr>
            </w:pPr>
          </w:p>
        </w:tc>
      </w:tr>
      <w:tr w:rsidR="00AE727E" w14:paraId="07DCE9B9" w14:textId="77777777">
        <w:tc>
          <w:tcPr>
            <w:tcW w:w="0" w:type="auto"/>
            <w:gridSpan w:val="3"/>
            <w:shd w:val="clear" w:color="auto" w:fill="auto"/>
            <w:tcMar>
              <w:top w:w="0" w:type="dxa"/>
              <w:left w:w="20" w:type="dxa"/>
              <w:bottom w:w="0" w:type="dxa"/>
              <w:right w:w="20" w:type="dxa"/>
            </w:tcMar>
            <w:vAlign w:val="bottom"/>
          </w:tcPr>
          <w:p w14:paraId="07DCE9B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9B8"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E9BC" w14:textId="77777777">
        <w:tc>
          <w:tcPr>
            <w:tcW w:w="0" w:type="auto"/>
            <w:gridSpan w:val="3"/>
            <w:shd w:val="clear" w:color="auto" w:fill="auto"/>
            <w:tcMar>
              <w:top w:w="0" w:type="dxa"/>
              <w:left w:w="20" w:type="dxa"/>
              <w:bottom w:w="0" w:type="dxa"/>
              <w:right w:w="20" w:type="dxa"/>
            </w:tcMar>
            <w:vAlign w:val="bottom"/>
          </w:tcPr>
          <w:p w14:paraId="07DCE9B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DCE9BB" w14:textId="77777777" w:rsidR="00AE727E" w:rsidRDefault="008433E0">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AE727E" w14:paraId="07DCE9C1" w14:textId="77777777">
        <w:tc>
          <w:tcPr>
            <w:tcW w:w="0" w:type="auto"/>
            <w:gridSpan w:val="3"/>
            <w:shd w:val="clear" w:color="auto" w:fill="CCEEFF"/>
            <w:tcMar>
              <w:top w:w="40" w:type="dxa"/>
              <w:left w:w="20" w:type="dxa"/>
              <w:bottom w:w="40" w:type="dxa"/>
              <w:right w:w="20" w:type="dxa"/>
            </w:tcMar>
            <w:vAlign w:val="center"/>
          </w:tcPr>
          <w:p w14:paraId="07DCE9BD" w14:textId="77777777" w:rsidR="00AE727E" w:rsidRDefault="008433E0">
            <w:pPr>
              <w:textAlignment w:val="center"/>
            </w:pPr>
            <w:r>
              <w:rPr>
                <w:rFonts w:ascii="Times New Roman" w:eastAsia="宋体" w:hAnsi="Times New Roman"/>
                <w:color w:val="000000"/>
                <w:sz w:val="20"/>
                <w:szCs w:val="20"/>
              </w:rPr>
              <w:t>Fiscal 2022 (remaining three months)</w:t>
            </w:r>
          </w:p>
        </w:tc>
        <w:tc>
          <w:tcPr>
            <w:tcW w:w="0" w:type="auto"/>
            <w:shd w:val="clear" w:color="auto" w:fill="CCEEFF"/>
            <w:tcMar>
              <w:top w:w="40" w:type="dxa"/>
              <w:left w:w="20" w:type="dxa"/>
              <w:bottom w:w="40" w:type="dxa"/>
              <w:right w:w="0" w:type="dxa"/>
            </w:tcMar>
            <w:vAlign w:val="center"/>
          </w:tcPr>
          <w:p w14:paraId="07DCE9B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9BF" w14:textId="77777777" w:rsidR="00AE727E" w:rsidRDefault="008433E0">
            <w:pPr>
              <w:jc w:val="right"/>
              <w:textAlignment w:val="center"/>
            </w:pPr>
            <w:r>
              <w:rPr>
                <w:rFonts w:ascii="Times New Roman" w:eastAsia="宋体" w:hAnsi="Times New Roman"/>
                <w:color w:val="000000"/>
                <w:sz w:val="20"/>
                <w:szCs w:val="20"/>
              </w:rPr>
              <w:t>775 </w:t>
            </w:r>
          </w:p>
        </w:tc>
        <w:tc>
          <w:tcPr>
            <w:tcW w:w="0" w:type="auto"/>
            <w:shd w:val="clear" w:color="auto" w:fill="CCEEFF"/>
            <w:tcMar>
              <w:top w:w="40" w:type="dxa"/>
              <w:left w:w="0" w:type="dxa"/>
              <w:bottom w:w="40" w:type="dxa"/>
              <w:right w:w="20" w:type="dxa"/>
            </w:tcMar>
            <w:vAlign w:val="center"/>
          </w:tcPr>
          <w:p w14:paraId="07DCE9C0" w14:textId="77777777" w:rsidR="00AE727E" w:rsidRDefault="00AE727E">
            <w:pPr>
              <w:jc w:val="right"/>
              <w:rPr>
                <w:rFonts w:ascii="宋体"/>
              </w:rPr>
            </w:pPr>
          </w:p>
        </w:tc>
      </w:tr>
      <w:tr w:rsidR="00AE727E" w14:paraId="07DCE9C5" w14:textId="77777777">
        <w:tc>
          <w:tcPr>
            <w:tcW w:w="0" w:type="auto"/>
            <w:gridSpan w:val="3"/>
            <w:shd w:val="clear" w:color="auto" w:fill="FFFFFF"/>
            <w:tcMar>
              <w:top w:w="40" w:type="dxa"/>
              <w:left w:w="20" w:type="dxa"/>
              <w:bottom w:w="40" w:type="dxa"/>
              <w:right w:w="20" w:type="dxa"/>
            </w:tcMar>
            <w:vAlign w:val="center"/>
          </w:tcPr>
          <w:p w14:paraId="07DCE9C2" w14:textId="77777777" w:rsidR="00AE727E" w:rsidRDefault="008433E0">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07DCE9C3" w14:textId="77777777" w:rsidR="00AE727E" w:rsidRDefault="008433E0">
            <w:pPr>
              <w:jc w:val="right"/>
              <w:textAlignment w:val="center"/>
            </w:pPr>
            <w:r>
              <w:rPr>
                <w:rFonts w:ascii="Times New Roman" w:eastAsia="宋体" w:hAnsi="Times New Roman"/>
                <w:color w:val="000000"/>
                <w:sz w:val="20"/>
                <w:szCs w:val="20"/>
              </w:rPr>
              <w:t>2,207 </w:t>
            </w:r>
          </w:p>
        </w:tc>
        <w:tc>
          <w:tcPr>
            <w:tcW w:w="0" w:type="auto"/>
            <w:shd w:val="clear" w:color="auto" w:fill="FFFFFF"/>
            <w:tcMar>
              <w:top w:w="40" w:type="dxa"/>
              <w:left w:w="0" w:type="dxa"/>
              <w:bottom w:w="40" w:type="dxa"/>
              <w:right w:w="20" w:type="dxa"/>
            </w:tcMar>
            <w:vAlign w:val="center"/>
          </w:tcPr>
          <w:p w14:paraId="07DCE9C4" w14:textId="77777777" w:rsidR="00AE727E" w:rsidRDefault="00AE727E">
            <w:pPr>
              <w:jc w:val="right"/>
              <w:rPr>
                <w:rFonts w:ascii="宋体"/>
              </w:rPr>
            </w:pPr>
          </w:p>
        </w:tc>
      </w:tr>
      <w:tr w:rsidR="00AE727E" w14:paraId="07DCE9C9" w14:textId="77777777">
        <w:tc>
          <w:tcPr>
            <w:tcW w:w="0" w:type="auto"/>
            <w:gridSpan w:val="3"/>
            <w:shd w:val="clear" w:color="auto" w:fill="CCEEFF"/>
            <w:tcMar>
              <w:top w:w="40" w:type="dxa"/>
              <w:left w:w="20" w:type="dxa"/>
              <w:bottom w:w="40" w:type="dxa"/>
              <w:right w:w="20" w:type="dxa"/>
            </w:tcMar>
            <w:vAlign w:val="center"/>
          </w:tcPr>
          <w:p w14:paraId="07DCE9C6" w14:textId="77777777" w:rsidR="00AE727E" w:rsidRDefault="008433E0">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07DCE9C7" w14:textId="77777777" w:rsidR="00AE727E" w:rsidRDefault="008433E0">
            <w:pPr>
              <w:jc w:val="right"/>
              <w:textAlignment w:val="center"/>
            </w:pPr>
            <w:r>
              <w:rPr>
                <w:rFonts w:ascii="Times New Roman" w:eastAsia="宋体" w:hAnsi="Times New Roman"/>
                <w:color w:val="000000"/>
                <w:sz w:val="20"/>
                <w:szCs w:val="20"/>
              </w:rPr>
              <w:t>1,445 </w:t>
            </w:r>
          </w:p>
        </w:tc>
        <w:tc>
          <w:tcPr>
            <w:tcW w:w="0" w:type="auto"/>
            <w:shd w:val="clear" w:color="auto" w:fill="CCEEFF"/>
            <w:tcMar>
              <w:top w:w="40" w:type="dxa"/>
              <w:left w:w="0" w:type="dxa"/>
              <w:bottom w:w="40" w:type="dxa"/>
              <w:right w:w="20" w:type="dxa"/>
            </w:tcMar>
            <w:vAlign w:val="center"/>
          </w:tcPr>
          <w:p w14:paraId="07DCE9C8" w14:textId="77777777" w:rsidR="00AE727E" w:rsidRDefault="00AE727E">
            <w:pPr>
              <w:jc w:val="right"/>
              <w:rPr>
                <w:rFonts w:ascii="宋体"/>
              </w:rPr>
            </w:pPr>
          </w:p>
        </w:tc>
      </w:tr>
      <w:tr w:rsidR="00AE727E" w14:paraId="07DCE9CD" w14:textId="77777777">
        <w:tc>
          <w:tcPr>
            <w:tcW w:w="0" w:type="auto"/>
            <w:gridSpan w:val="3"/>
            <w:shd w:val="clear" w:color="auto" w:fill="FFFFFF"/>
            <w:tcMar>
              <w:top w:w="40" w:type="dxa"/>
              <w:left w:w="20" w:type="dxa"/>
              <w:bottom w:w="40" w:type="dxa"/>
              <w:right w:w="20" w:type="dxa"/>
            </w:tcMar>
            <w:vAlign w:val="center"/>
          </w:tcPr>
          <w:p w14:paraId="07DCE9CA" w14:textId="77777777" w:rsidR="00AE727E" w:rsidRDefault="008433E0">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07DCE9CB" w14:textId="77777777" w:rsidR="00AE727E" w:rsidRDefault="008433E0">
            <w:pPr>
              <w:jc w:val="right"/>
              <w:textAlignment w:val="center"/>
            </w:pPr>
            <w:r>
              <w:rPr>
                <w:rFonts w:ascii="Times New Roman" w:eastAsia="宋体" w:hAnsi="Times New Roman"/>
                <w:color w:val="000000"/>
                <w:sz w:val="20"/>
                <w:szCs w:val="20"/>
              </w:rPr>
              <w:t>735 </w:t>
            </w:r>
          </w:p>
        </w:tc>
        <w:tc>
          <w:tcPr>
            <w:tcW w:w="0" w:type="auto"/>
            <w:shd w:val="clear" w:color="auto" w:fill="FFFFFF"/>
            <w:tcMar>
              <w:top w:w="40" w:type="dxa"/>
              <w:left w:w="0" w:type="dxa"/>
              <w:bottom w:w="40" w:type="dxa"/>
              <w:right w:w="20" w:type="dxa"/>
            </w:tcMar>
            <w:vAlign w:val="center"/>
          </w:tcPr>
          <w:p w14:paraId="07DCE9CC" w14:textId="77777777" w:rsidR="00AE727E" w:rsidRDefault="00AE727E">
            <w:pPr>
              <w:jc w:val="right"/>
              <w:rPr>
                <w:rFonts w:ascii="宋体"/>
              </w:rPr>
            </w:pPr>
          </w:p>
        </w:tc>
      </w:tr>
      <w:tr w:rsidR="00AE727E" w14:paraId="07DCE9D1" w14:textId="77777777">
        <w:tc>
          <w:tcPr>
            <w:tcW w:w="0" w:type="auto"/>
            <w:gridSpan w:val="3"/>
            <w:shd w:val="clear" w:color="auto" w:fill="CCEEFF"/>
            <w:tcMar>
              <w:top w:w="40" w:type="dxa"/>
              <w:left w:w="20" w:type="dxa"/>
              <w:bottom w:w="40" w:type="dxa"/>
              <w:right w:w="20" w:type="dxa"/>
            </w:tcMar>
            <w:vAlign w:val="center"/>
          </w:tcPr>
          <w:p w14:paraId="07DCE9CE" w14:textId="77777777" w:rsidR="00AE727E" w:rsidRDefault="008433E0">
            <w:pPr>
              <w:textAlignment w:val="center"/>
            </w:pPr>
            <w:r>
              <w:rPr>
                <w:rFonts w:ascii="Times New Roman" w:eastAsia="宋体" w:hAnsi="Times New Roman"/>
                <w:color w:val="000000"/>
                <w:sz w:val="20"/>
                <w:szCs w:val="20"/>
              </w:rPr>
              <w:t>Fiscal 2026 and beyond</w:t>
            </w:r>
          </w:p>
        </w:tc>
        <w:tc>
          <w:tcPr>
            <w:tcW w:w="0" w:type="auto"/>
            <w:gridSpan w:val="2"/>
            <w:shd w:val="clear" w:color="auto" w:fill="CCEEFF"/>
            <w:tcMar>
              <w:top w:w="40" w:type="dxa"/>
              <w:left w:w="20" w:type="dxa"/>
              <w:bottom w:w="40" w:type="dxa"/>
              <w:right w:w="0" w:type="dxa"/>
            </w:tcMar>
            <w:vAlign w:val="center"/>
          </w:tcPr>
          <w:p w14:paraId="07DCE9CF" w14:textId="77777777" w:rsidR="00AE727E" w:rsidRDefault="008433E0">
            <w:pPr>
              <w:jc w:val="right"/>
              <w:textAlignment w:val="center"/>
            </w:pPr>
            <w:r>
              <w:rPr>
                <w:rFonts w:ascii="Times New Roman" w:eastAsia="宋体" w:hAnsi="Times New Roman"/>
                <w:color w:val="000000"/>
                <w:sz w:val="20"/>
                <w:szCs w:val="20"/>
              </w:rPr>
              <w:t>335 </w:t>
            </w:r>
          </w:p>
        </w:tc>
        <w:tc>
          <w:tcPr>
            <w:tcW w:w="0" w:type="auto"/>
            <w:shd w:val="clear" w:color="auto" w:fill="CCEEFF"/>
            <w:tcMar>
              <w:top w:w="40" w:type="dxa"/>
              <w:left w:w="0" w:type="dxa"/>
              <w:bottom w:w="40" w:type="dxa"/>
              <w:right w:w="20" w:type="dxa"/>
            </w:tcMar>
            <w:vAlign w:val="center"/>
          </w:tcPr>
          <w:p w14:paraId="07DCE9D0" w14:textId="77777777" w:rsidR="00AE727E" w:rsidRDefault="00AE727E">
            <w:pPr>
              <w:jc w:val="right"/>
              <w:rPr>
                <w:rFonts w:ascii="宋体"/>
              </w:rPr>
            </w:pPr>
          </w:p>
        </w:tc>
      </w:tr>
      <w:tr w:rsidR="00AE727E" w14:paraId="07DCE9D5" w14:textId="77777777">
        <w:tc>
          <w:tcPr>
            <w:tcW w:w="0" w:type="auto"/>
            <w:gridSpan w:val="3"/>
            <w:shd w:val="clear" w:color="auto" w:fill="FFFFFF"/>
            <w:tcMar>
              <w:top w:w="40" w:type="dxa"/>
              <w:left w:w="155" w:type="dxa"/>
              <w:bottom w:w="40" w:type="dxa"/>
              <w:right w:w="20" w:type="dxa"/>
            </w:tcMar>
            <w:vAlign w:val="center"/>
          </w:tcPr>
          <w:p w14:paraId="07DCE9D2" w14:textId="77777777" w:rsidR="00AE727E" w:rsidRDefault="008433E0">
            <w:pPr>
              <w:textAlignment w:val="center"/>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E9D3" w14:textId="77777777" w:rsidR="00AE727E" w:rsidRDefault="008433E0">
            <w:pPr>
              <w:jc w:val="right"/>
              <w:textAlignment w:val="center"/>
            </w:pPr>
            <w:r>
              <w:rPr>
                <w:rFonts w:ascii="Times New Roman" w:eastAsia="宋体" w:hAnsi="Times New Roman"/>
                <w:color w:val="000000"/>
                <w:sz w:val="20"/>
                <w:szCs w:val="20"/>
              </w:rPr>
              <w:t>5,497 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9D4" w14:textId="77777777" w:rsidR="00AE727E" w:rsidRDefault="00AE727E">
            <w:pPr>
              <w:jc w:val="right"/>
              <w:rPr>
                <w:rFonts w:ascii="宋体"/>
              </w:rPr>
            </w:pPr>
          </w:p>
        </w:tc>
      </w:tr>
      <w:tr w:rsidR="00AE727E" w14:paraId="07DCE9D9" w14:textId="77777777">
        <w:tc>
          <w:tcPr>
            <w:tcW w:w="0" w:type="auto"/>
            <w:gridSpan w:val="3"/>
            <w:shd w:val="clear" w:color="auto" w:fill="CCEEFF"/>
            <w:tcMar>
              <w:top w:w="40" w:type="dxa"/>
              <w:left w:w="20" w:type="dxa"/>
              <w:bottom w:w="40" w:type="dxa"/>
              <w:right w:w="20" w:type="dxa"/>
            </w:tcMar>
            <w:vAlign w:val="center"/>
          </w:tcPr>
          <w:p w14:paraId="07DCE9D6" w14:textId="77777777" w:rsidR="00AE727E" w:rsidRDefault="008433E0">
            <w:pPr>
              <w:textAlignment w:val="center"/>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center"/>
          </w:tcPr>
          <w:p w14:paraId="07DCE9D7" w14:textId="77777777" w:rsidR="00AE727E" w:rsidRDefault="008433E0">
            <w:pPr>
              <w:jc w:val="right"/>
              <w:textAlignment w:val="center"/>
            </w:pPr>
            <w:r>
              <w:rPr>
                <w:rFonts w:ascii="Times New Roman" w:eastAsia="宋体" w:hAnsi="Times New Roman"/>
                <w:color w:val="000000"/>
                <w:sz w:val="20"/>
                <w:szCs w:val="20"/>
              </w:rPr>
              <w:t>4,620 </w:t>
            </w:r>
          </w:p>
        </w:tc>
        <w:tc>
          <w:tcPr>
            <w:tcW w:w="0" w:type="auto"/>
            <w:shd w:val="clear" w:color="auto" w:fill="CCEEFF"/>
            <w:tcMar>
              <w:top w:w="40" w:type="dxa"/>
              <w:left w:w="0" w:type="dxa"/>
              <w:bottom w:w="40" w:type="dxa"/>
              <w:right w:w="20" w:type="dxa"/>
            </w:tcMar>
            <w:vAlign w:val="center"/>
          </w:tcPr>
          <w:p w14:paraId="07DCE9D8" w14:textId="77777777" w:rsidR="00AE727E" w:rsidRDefault="00AE727E">
            <w:pPr>
              <w:jc w:val="right"/>
              <w:rPr>
                <w:rFonts w:ascii="宋体"/>
              </w:rPr>
            </w:pPr>
          </w:p>
        </w:tc>
      </w:tr>
      <w:tr w:rsidR="00AE727E" w14:paraId="07DCE9DD" w14:textId="77777777">
        <w:tc>
          <w:tcPr>
            <w:tcW w:w="0" w:type="auto"/>
            <w:gridSpan w:val="3"/>
            <w:shd w:val="clear" w:color="auto" w:fill="FFFFFF"/>
            <w:tcMar>
              <w:top w:w="40" w:type="dxa"/>
              <w:left w:w="20" w:type="dxa"/>
              <w:bottom w:w="40" w:type="dxa"/>
              <w:right w:w="20" w:type="dxa"/>
            </w:tcMar>
            <w:vAlign w:val="center"/>
          </w:tcPr>
          <w:p w14:paraId="07DCE9DA" w14:textId="77777777" w:rsidR="00AE727E" w:rsidRDefault="008433E0">
            <w:pPr>
              <w:textAlignment w:val="center"/>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center"/>
          </w:tcPr>
          <w:p w14:paraId="07DCE9DB" w14:textId="77777777" w:rsidR="00AE727E" w:rsidRDefault="008433E0">
            <w:pPr>
              <w:jc w:val="right"/>
              <w:textAlignment w:val="center"/>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center"/>
          </w:tcPr>
          <w:p w14:paraId="07DCE9DC" w14:textId="77777777" w:rsidR="00AE727E" w:rsidRDefault="00AE727E">
            <w:pPr>
              <w:jc w:val="right"/>
              <w:rPr>
                <w:rFonts w:ascii="宋体"/>
              </w:rPr>
            </w:pPr>
          </w:p>
        </w:tc>
      </w:tr>
      <w:tr w:rsidR="00AE727E" w14:paraId="07DCE9E1" w14:textId="77777777">
        <w:tc>
          <w:tcPr>
            <w:tcW w:w="0" w:type="auto"/>
            <w:gridSpan w:val="3"/>
            <w:shd w:val="clear" w:color="auto" w:fill="CCEEFF"/>
            <w:tcMar>
              <w:top w:w="40" w:type="dxa"/>
              <w:left w:w="20" w:type="dxa"/>
              <w:bottom w:w="40" w:type="dxa"/>
              <w:right w:w="20" w:type="dxa"/>
            </w:tcMar>
            <w:vAlign w:val="center"/>
          </w:tcPr>
          <w:p w14:paraId="07DCE9DE" w14:textId="77777777" w:rsidR="00AE727E" w:rsidRDefault="008433E0">
            <w:pPr>
              <w:textAlignment w:val="center"/>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center"/>
          </w:tcPr>
          <w:p w14:paraId="07DCE9DF" w14:textId="77777777" w:rsidR="00AE727E" w:rsidRDefault="008433E0">
            <w:pPr>
              <w:jc w:val="right"/>
              <w:textAlignment w:val="center"/>
            </w:pPr>
            <w:r>
              <w:rPr>
                <w:rFonts w:ascii="Times New Roman" w:eastAsia="宋体" w:hAnsi="Times New Roman"/>
                <w:color w:val="000000"/>
                <w:sz w:val="20"/>
                <w:szCs w:val="20"/>
              </w:rPr>
              <w:t>(622)</w:t>
            </w:r>
          </w:p>
        </w:tc>
        <w:tc>
          <w:tcPr>
            <w:tcW w:w="0" w:type="auto"/>
            <w:shd w:val="clear" w:color="auto" w:fill="CCEEFF"/>
            <w:tcMar>
              <w:top w:w="40" w:type="dxa"/>
              <w:left w:w="0" w:type="dxa"/>
              <w:bottom w:w="40" w:type="dxa"/>
              <w:right w:w="20" w:type="dxa"/>
            </w:tcMar>
            <w:vAlign w:val="center"/>
          </w:tcPr>
          <w:p w14:paraId="07DCE9E0" w14:textId="77777777" w:rsidR="00AE727E" w:rsidRDefault="00AE727E">
            <w:pPr>
              <w:jc w:val="right"/>
              <w:rPr>
                <w:rFonts w:ascii="宋体"/>
              </w:rPr>
            </w:pPr>
          </w:p>
        </w:tc>
      </w:tr>
      <w:tr w:rsidR="00AE727E" w14:paraId="07DCE9E6" w14:textId="77777777">
        <w:tc>
          <w:tcPr>
            <w:tcW w:w="0" w:type="auto"/>
            <w:gridSpan w:val="3"/>
            <w:shd w:val="clear" w:color="auto" w:fill="FFFFFF"/>
            <w:tcMar>
              <w:top w:w="40" w:type="dxa"/>
              <w:left w:w="155" w:type="dxa"/>
              <w:bottom w:w="40" w:type="dxa"/>
              <w:right w:w="20" w:type="dxa"/>
            </w:tcMar>
            <w:vAlign w:val="center"/>
          </w:tcPr>
          <w:p w14:paraId="07DCE9E2" w14:textId="77777777" w:rsidR="00AE727E" w:rsidRDefault="008433E0">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9E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9E4" w14:textId="77777777" w:rsidR="00AE727E" w:rsidRDefault="008433E0">
            <w:pPr>
              <w:jc w:val="right"/>
              <w:textAlignment w:val="center"/>
            </w:pPr>
            <w:r>
              <w:rPr>
                <w:rFonts w:ascii="Times New Roman" w:eastAsia="宋体" w:hAnsi="Times New Roman"/>
                <w:color w:val="000000"/>
                <w:sz w:val="20"/>
                <w:szCs w:val="20"/>
              </w:rPr>
              <w:t>10,200 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9E5" w14:textId="77777777" w:rsidR="00AE727E" w:rsidRDefault="00AE727E">
            <w:pPr>
              <w:jc w:val="right"/>
              <w:rPr>
                <w:rFonts w:ascii="宋体"/>
              </w:rPr>
            </w:pPr>
          </w:p>
        </w:tc>
      </w:tr>
    </w:tbl>
    <w:p w14:paraId="07DCE9E7" w14:textId="77777777" w:rsidR="00AE727E" w:rsidRDefault="00AE727E"/>
    <w:p w14:paraId="07DCE9E8" w14:textId="77777777" w:rsidR="00AE727E" w:rsidRDefault="008433E0">
      <w:pPr>
        <w:jc w:val="both"/>
      </w:pPr>
      <w:r>
        <w:rPr>
          <w:rFonts w:ascii="Times New Roman" w:eastAsia="宋体" w:hAnsi="Times New Roman"/>
          <w:b/>
          <w:bCs/>
          <w:color w:val="000000"/>
          <w:sz w:val="20"/>
          <w:szCs w:val="20"/>
        </w:rPr>
        <w:t>Operating Leases</w:t>
      </w:r>
    </w:p>
    <w:p w14:paraId="07DCE9E9" w14:textId="77777777" w:rsidR="00AE727E" w:rsidRDefault="00AE727E">
      <w:pPr>
        <w:jc w:val="both"/>
      </w:pPr>
    </w:p>
    <w:p w14:paraId="07DCE9EA" w14:textId="77777777" w:rsidR="00AE727E" w:rsidRDefault="008433E0">
      <w:pPr>
        <w:spacing w:after="60"/>
      </w:pPr>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427"/>
        <w:gridCol w:w="37"/>
        <w:gridCol w:w="121"/>
        <w:gridCol w:w="1206"/>
        <w:gridCol w:w="36"/>
        <w:gridCol w:w="36"/>
        <w:gridCol w:w="36"/>
        <w:gridCol w:w="36"/>
        <w:gridCol w:w="121"/>
        <w:gridCol w:w="1206"/>
        <w:gridCol w:w="36"/>
      </w:tblGrid>
      <w:tr w:rsidR="00AE727E" w14:paraId="07DCE9F7" w14:textId="77777777">
        <w:tc>
          <w:tcPr>
            <w:tcW w:w="50" w:type="pct"/>
            <w:shd w:val="clear" w:color="auto" w:fill="auto"/>
            <w:vAlign w:val="bottom"/>
          </w:tcPr>
          <w:p w14:paraId="07DCE9EB" w14:textId="77777777" w:rsidR="00AE727E" w:rsidRDefault="00AE727E">
            <w:pPr>
              <w:rPr>
                <w:rFonts w:ascii="宋体"/>
              </w:rPr>
            </w:pPr>
          </w:p>
        </w:tc>
        <w:tc>
          <w:tcPr>
            <w:tcW w:w="3292" w:type="pct"/>
            <w:shd w:val="clear" w:color="auto" w:fill="auto"/>
            <w:vAlign w:val="bottom"/>
          </w:tcPr>
          <w:p w14:paraId="07DCE9EC" w14:textId="77777777" w:rsidR="00AE727E" w:rsidRDefault="00AE727E">
            <w:pPr>
              <w:rPr>
                <w:rFonts w:ascii="宋体"/>
              </w:rPr>
            </w:pPr>
          </w:p>
        </w:tc>
        <w:tc>
          <w:tcPr>
            <w:tcW w:w="5" w:type="pct"/>
            <w:shd w:val="clear" w:color="auto" w:fill="auto"/>
            <w:vAlign w:val="bottom"/>
          </w:tcPr>
          <w:p w14:paraId="07DCE9ED" w14:textId="77777777" w:rsidR="00AE727E" w:rsidRDefault="00AE727E">
            <w:pPr>
              <w:rPr>
                <w:rFonts w:ascii="宋体"/>
              </w:rPr>
            </w:pPr>
          </w:p>
        </w:tc>
        <w:tc>
          <w:tcPr>
            <w:tcW w:w="50" w:type="pct"/>
            <w:shd w:val="clear" w:color="auto" w:fill="auto"/>
            <w:vAlign w:val="bottom"/>
          </w:tcPr>
          <w:p w14:paraId="07DCE9EE" w14:textId="77777777" w:rsidR="00AE727E" w:rsidRDefault="00AE727E">
            <w:pPr>
              <w:rPr>
                <w:rFonts w:ascii="宋体"/>
              </w:rPr>
            </w:pPr>
          </w:p>
        </w:tc>
        <w:tc>
          <w:tcPr>
            <w:tcW w:w="756" w:type="pct"/>
            <w:shd w:val="clear" w:color="auto" w:fill="auto"/>
            <w:vAlign w:val="bottom"/>
          </w:tcPr>
          <w:p w14:paraId="07DCE9EF" w14:textId="77777777" w:rsidR="00AE727E" w:rsidRDefault="00AE727E">
            <w:pPr>
              <w:rPr>
                <w:rFonts w:ascii="宋体"/>
              </w:rPr>
            </w:pPr>
          </w:p>
        </w:tc>
        <w:tc>
          <w:tcPr>
            <w:tcW w:w="5" w:type="pct"/>
            <w:shd w:val="clear" w:color="auto" w:fill="auto"/>
            <w:vAlign w:val="bottom"/>
          </w:tcPr>
          <w:p w14:paraId="07DCE9F0" w14:textId="77777777" w:rsidR="00AE727E" w:rsidRDefault="00AE727E">
            <w:pPr>
              <w:rPr>
                <w:rFonts w:ascii="宋体"/>
              </w:rPr>
            </w:pPr>
          </w:p>
        </w:tc>
        <w:tc>
          <w:tcPr>
            <w:tcW w:w="5" w:type="pct"/>
            <w:shd w:val="clear" w:color="auto" w:fill="auto"/>
            <w:vAlign w:val="bottom"/>
          </w:tcPr>
          <w:p w14:paraId="07DCE9F1" w14:textId="77777777" w:rsidR="00AE727E" w:rsidRDefault="00AE727E">
            <w:pPr>
              <w:rPr>
                <w:rFonts w:ascii="宋体"/>
              </w:rPr>
            </w:pPr>
          </w:p>
        </w:tc>
        <w:tc>
          <w:tcPr>
            <w:tcW w:w="19" w:type="pct"/>
            <w:shd w:val="clear" w:color="auto" w:fill="auto"/>
            <w:vAlign w:val="bottom"/>
          </w:tcPr>
          <w:p w14:paraId="07DCE9F2" w14:textId="77777777" w:rsidR="00AE727E" w:rsidRDefault="00AE727E">
            <w:pPr>
              <w:rPr>
                <w:rFonts w:ascii="宋体"/>
              </w:rPr>
            </w:pPr>
          </w:p>
        </w:tc>
        <w:tc>
          <w:tcPr>
            <w:tcW w:w="5" w:type="pct"/>
            <w:shd w:val="clear" w:color="auto" w:fill="auto"/>
            <w:vAlign w:val="bottom"/>
          </w:tcPr>
          <w:p w14:paraId="07DCE9F3" w14:textId="77777777" w:rsidR="00AE727E" w:rsidRDefault="00AE727E">
            <w:pPr>
              <w:rPr>
                <w:rFonts w:ascii="宋体"/>
              </w:rPr>
            </w:pPr>
          </w:p>
        </w:tc>
        <w:tc>
          <w:tcPr>
            <w:tcW w:w="50" w:type="pct"/>
            <w:shd w:val="clear" w:color="auto" w:fill="auto"/>
            <w:vAlign w:val="bottom"/>
          </w:tcPr>
          <w:p w14:paraId="07DCE9F4" w14:textId="77777777" w:rsidR="00AE727E" w:rsidRDefault="00AE727E">
            <w:pPr>
              <w:rPr>
                <w:rFonts w:ascii="宋体"/>
              </w:rPr>
            </w:pPr>
          </w:p>
        </w:tc>
        <w:tc>
          <w:tcPr>
            <w:tcW w:w="756" w:type="pct"/>
            <w:shd w:val="clear" w:color="auto" w:fill="auto"/>
            <w:vAlign w:val="bottom"/>
          </w:tcPr>
          <w:p w14:paraId="07DCE9F5" w14:textId="77777777" w:rsidR="00AE727E" w:rsidRDefault="00AE727E">
            <w:pPr>
              <w:rPr>
                <w:rFonts w:ascii="宋体"/>
              </w:rPr>
            </w:pPr>
          </w:p>
        </w:tc>
        <w:tc>
          <w:tcPr>
            <w:tcW w:w="5" w:type="pct"/>
            <w:shd w:val="clear" w:color="auto" w:fill="auto"/>
            <w:vAlign w:val="bottom"/>
          </w:tcPr>
          <w:p w14:paraId="07DCE9F6" w14:textId="77777777" w:rsidR="00AE727E" w:rsidRDefault="00AE727E">
            <w:pPr>
              <w:rPr>
                <w:rFonts w:ascii="宋体"/>
              </w:rPr>
            </w:pPr>
          </w:p>
        </w:tc>
      </w:tr>
      <w:tr w:rsidR="00AE727E" w14:paraId="07DCE9FC" w14:textId="77777777">
        <w:tc>
          <w:tcPr>
            <w:tcW w:w="0" w:type="auto"/>
            <w:gridSpan w:val="3"/>
            <w:shd w:val="clear" w:color="auto" w:fill="auto"/>
            <w:tcMar>
              <w:top w:w="0" w:type="dxa"/>
              <w:left w:w="20" w:type="dxa"/>
              <w:bottom w:w="0" w:type="dxa"/>
              <w:right w:w="20" w:type="dxa"/>
            </w:tcMar>
            <w:vAlign w:val="bottom"/>
          </w:tcPr>
          <w:p w14:paraId="07DCE9F8"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9F9"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9FA"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9FB"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9FF" w14:textId="77777777">
        <w:tc>
          <w:tcPr>
            <w:tcW w:w="0" w:type="auto"/>
            <w:gridSpan w:val="3"/>
            <w:shd w:val="clear" w:color="auto" w:fill="auto"/>
            <w:tcMar>
              <w:top w:w="0" w:type="dxa"/>
              <w:left w:w="20" w:type="dxa"/>
              <w:bottom w:w="0" w:type="dxa"/>
              <w:right w:w="20" w:type="dxa"/>
            </w:tcMar>
            <w:vAlign w:val="bottom"/>
          </w:tcPr>
          <w:p w14:paraId="07DCE9FD"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CE9FE"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A08" w14:textId="77777777">
        <w:tc>
          <w:tcPr>
            <w:tcW w:w="0" w:type="auto"/>
            <w:gridSpan w:val="3"/>
            <w:shd w:val="clear" w:color="auto" w:fill="CCEEFF"/>
            <w:tcMar>
              <w:top w:w="40" w:type="dxa"/>
              <w:left w:w="20" w:type="dxa"/>
              <w:bottom w:w="40" w:type="dxa"/>
              <w:right w:w="20" w:type="dxa"/>
            </w:tcMar>
            <w:vAlign w:val="center"/>
          </w:tcPr>
          <w:p w14:paraId="07DCEA00" w14:textId="77777777" w:rsidR="00AE727E" w:rsidRDefault="008433E0">
            <w:pPr>
              <w:textAlignment w:val="center"/>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center"/>
          </w:tcPr>
          <w:p w14:paraId="07DCEA0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A02" w14:textId="77777777" w:rsidR="00AE727E" w:rsidRDefault="008433E0">
            <w:pPr>
              <w:jc w:val="right"/>
              <w:textAlignment w:val="center"/>
            </w:pPr>
            <w:r>
              <w:rPr>
                <w:rFonts w:ascii="Times New Roman" w:eastAsia="宋体" w:hAnsi="Times New Roman"/>
                <w:color w:val="000000"/>
                <w:sz w:val="20"/>
                <w:szCs w:val="20"/>
              </w:rPr>
              <w:t>2,367 </w:t>
            </w:r>
          </w:p>
        </w:tc>
        <w:tc>
          <w:tcPr>
            <w:tcW w:w="0" w:type="auto"/>
            <w:shd w:val="clear" w:color="auto" w:fill="CCEEFF"/>
            <w:tcMar>
              <w:top w:w="40" w:type="dxa"/>
              <w:left w:w="0" w:type="dxa"/>
              <w:bottom w:w="40" w:type="dxa"/>
              <w:right w:w="20" w:type="dxa"/>
            </w:tcMar>
            <w:vAlign w:val="center"/>
          </w:tcPr>
          <w:p w14:paraId="07DCEA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0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A0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A06" w14:textId="77777777" w:rsidR="00AE727E" w:rsidRDefault="008433E0">
            <w:pPr>
              <w:jc w:val="right"/>
              <w:textAlignment w:val="center"/>
            </w:pPr>
            <w:r>
              <w:rPr>
                <w:rFonts w:ascii="Times New Roman" w:eastAsia="宋体" w:hAnsi="Times New Roman"/>
                <w:color w:val="000000"/>
                <w:sz w:val="20"/>
                <w:szCs w:val="20"/>
              </w:rPr>
              <w:t>1,746 </w:t>
            </w:r>
          </w:p>
        </w:tc>
        <w:tc>
          <w:tcPr>
            <w:tcW w:w="0" w:type="auto"/>
            <w:shd w:val="clear" w:color="auto" w:fill="CCEEFF"/>
            <w:tcMar>
              <w:top w:w="40" w:type="dxa"/>
              <w:left w:w="0" w:type="dxa"/>
              <w:bottom w:w="40" w:type="dxa"/>
              <w:right w:w="20" w:type="dxa"/>
            </w:tcMar>
            <w:vAlign w:val="center"/>
          </w:tcPr>
          <w:p w14:paraId="07DCEA07" w14:textId="77777777" w:rsidR="00AE727E" w:rsidRDefault="00AE727E">
            <w:pPr>
              <w:jc w:val="right"/>
              <w:rPr>
                <w:rFonts w:ascii="宋体"/>
              </w:rPr>
            </w:pPr>
          </w:p>
        </w:tc>
      </w:tr>
      <w:tr w:rsidR="00AE727E" w14:paraId="07DCEA0F" w14:textId="77777777">
        <w:tc>
          <w:tcPr>
            <w:tcW w:w="0" w:type="auto"/>
            <w:gridSpan w:val="3"/>
            <w:shd w:val="clear" w:color="auto" w:fill="auto"/>
            <w:tcMar>
              <w:top w:w="40" w:type="dxa"/>
              <w:left w:w="20" w:type="dxa"/>
              <w:bottom w:w="40" w:type="dxa"/>
              <w:right w:w="20" w:type="dxa"/>
            </w:tcMar>
            <w:vAlign w:val="center"/>
          </w:tcPr>
          <w:p w14:paraId="07DCEA09" w14:textId="77777777" w:rsidR="00AE727E" w:rsidRDefault="008433E0">
            <w:pPr>
              <w:textAlignment w:val="center"/>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center"/>
          </w:tcPr>
          <w:p w14:paraId="07DCEA0A" w14:textId="77777777" w:rsidR="00AE727E" w:rsidRDefault="008433E0">
            <w:pPr>
              <w:jc w:val="right"/>
              <w:textAlignment w:val="center"/>
            </w:pPr>
            <w:r>
              <w:rPr>
                <w:rFonts w:ascii="Times New Roman" w:eastAsia="宋体" w:hAnsi="Times New Roman"/>
                <w:color w:val="000000"/>
                <w:sz w:val="20"/>
                <w:szCs w:val="20"/>
              </w:rPr>
              <w:t>(787)</w:t>
            </w:r>
          </w:p>
        </w:tc>
        <w:tc>
          <w:tcPr>
            <w:tcW w:w="0" w:type="auto"/>
            <w:shd w:val="clear" w:color="auto" w:fill="auto"/>
            <w:tcMar>
              <w:top w:w="40" w:type="dxa"/>
              <w:left w:w="0" w:type="dxa"/>
              <w:bottom w:w="40" w:type="dxa"/>
              <w:right w:w="20" w:type="dxa"/>
            </w:tcMar>
            <w:vAlign w:val="center"/>
          </w:tcPr>
          <w:p w14:paraId="07DCEA0B" w14:textId="77777777" w:rsidR="00AE727E" w:rsidRDefault="00AE727E">
            <w:pPr>
              <w:jc w:val="right"/>
              <w:rPr>
                <w:rFonts w:ascii="宋体"/>
              </w:rPr>
            </w:pPr>
          </w:p>
        </w:tc>
        <w:tc>
          <w:tcPr>
            <w:tcW w:w="0" w:type="auto"/>
            <w:gridSpan w:val="3"/>
            <w:shd w:val="clear" w:color="auto" w:fill="auto"/>
            <w:tcMar>
              <w:top w:w="0" w:type="dxa"/>
              <w:left w:w="20" w:type="dxa"/>
              <w:bottom w:w="0" w:type="dxa"/>
              <w:right w:w="20" w:type="dxa"/>
            </w:tcMar>
            <w:vAlign w:val="bottom"/>
          </w:tcPr>
          <w:p w14:paraId="07DCEA0C" w14:textId="77777777" w:rsidR="00AE727E" w:rsidRDefault="00AE727E">
            <w:pPr>
              <w:rPr>
                <w:rFonts w:ascii="宋体"/>
              </w:rPr>
            </w:pPr>
          </w:p>
        </w:tc>
        <w:tc>
          <w:tcPr>
            <w:tcW w:w="0" w:type="auto"/>
            <w:gridSpan w:val="2"/>
            <w:shd w:val="clear" w:color="auto" w:fill="auto"/>
            <w:tcMar>
              <w:top w:w="40" w:type="dxa"/>
              <w:left w:w="20" w:type="dxa"/>
              <w:bottom w:w="40" w:type="dxa"/>
              <w:right w:w="0" w:type="dxa"/>
            </w:tcMar>
            <w:vAlign w:val="center"/>
          </w:tcPr>
          <w:p w14:paraId="07DCEA0D" w14:textId="77777777" w:rsidR="00AE727E" w:rsidRDefault="008433E0">
            <w:pPr>
              <w:jc w:val="right"/>
              <w:textAlignment w:val="center"/>
            </w:pPr>
            <w:r>
              <w:rPr>
                <w:rFonts w:ascii="Times New Roman" w:eastAsia="宋体" w:hAnsi="Times New Roman"/>
                <w:color w:val="000000"/>
                <w:sz w:val="20"/>
                <w:szCs w:val="20"/>
              </w:rPr>
              <w:t>(432)</w:t>
            </w:r>
          </w:p>
        </w:tc>
        <w:tc>
          <w:tcPr>
            <w:tcW w:w="0" w:type="auto"/>
            <w:shd w:val="clear" w:color="auto" w:fill="auto"/>
            <w:tcMar>
              <w:top w:w="40" w:type="dxa"/>
              <w:left w:w="0" w:type="dxa"/>
              <w:bottom w:w="40" w:type="dxa"/>
              <w:right w:w="20" w:type="dxa"/>
            </w:tcMar>
            <w:vAlign w:val="center"/>
          </w:tcPr>
          <w:p w14:paraId="07DCEA0E" w14:textId="77777777" w:rsidR="00AE727E" w:rsidRDefault="00AE727E">
            <w:pPr>
              <w:jc w:val="right"/>
              <w:rPr>
                <w:rFonts w:ascii="宋体"/>
              </w:rPr>
            </w:pPr>
          </w:p>
        </w:tc>
      </w:tr>
      <w:tr w:rsidR="00AE727E" w14:paraId="07DCEA18" w14:textId="77777777">
        <w:tc>
          <w:tcPr>
            <w:tcW w:w="0" w:type="auto"/>
            <w:gridSpan w:val="3"/>
            <w:shd w:val="clear" w:color="auto" w:fill="CCEEFF"/>
            <w:tcMar>
              <w:top w:w="40" w:type="dxa"/>
              <w:left w:w="155" w:type="dxa"/>
              <w:bottom w:w="40" w:type="dxa"/>
              <w:right w:w="20" w:type="dxa"/>
            </w:tcMar>
            <w:vAlign w:val="center"/>
          </w:tcPr>
          <w:p w14:paraId="07DCEA10" w14:textId="77777777" w:rsidR="00AE727E" w:rsidRDefault="008433E0">
            <w:pPr>
              <w:textAlignment w:val="center"/>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A1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A12" w14:textId="77777777" w:rsidR="00AE727E" w:rsidRDefault="008433E0">
            <w:pPr>
              <w:jc w:val="right"/>
              <w:textAlignment w:val="center"/>
            </w:pPr>
            <w:r>
              <w:rPr>
                <w:rFonts w:ascii="Times New Roman" w:eastAsia="宋体" w:hAnsi="Times New Roman"/>
                <w:color w:val="000000"/>
                <w:sz w:val="20"/>
                <w:szCs w:val="20"/>
              </w:rPr>
              <w:t>1,580 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A1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1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A1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A16" w14:textId="77777777" w:rsidR="00AE727E" w:rsidRDefault="008433E0">
            <w:pPr>
              <w:jc w:val="right"/>
              <w:textAlignment w:val="center"/>
            </w:pPr>
            <w:r>
              <w:rPr>
                <w:rFonts w:ascii="Times New Roman" w:eastAsia="宋体" w:hAnsi="Times New Roman"/>
                <w:color w:val="000000"/>
                <w:sz w:val="20"/>
                <w:szCs w:val="20"/>
              </w:rPr>
              <w:t>1,314 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A17" w14:textId="77777777" w:rsidR="00AE727E" w:rsidRDefault="00AE727E">
            <w:pPr>
              <w:jc w:val="right"/>
              <w:rPr>
                <w:rFonts w:ascii="宋体"/>
              </w:rPr>
            </w:pPr>
          </w:p>
        </w:tc>
      </w:tr>
    </w:tbl>
    <w:p w14:paraId="07DCEA19" w14:textId="77777777" w:rsidR="00AE727E" w:rsidRDefault="00AE727E">
      <w:pPr>
        <w:jc w:val="both"/>
      </w:pPr>
    </w:p>
    <w:p w14:paraId="07DCEA1A" w14:textId="77777777" w:rsidR="00AE727E" w:rsidRDefault="00AE727E"/>
    <w:p w14:paraId="07DCEA1B" w14:textId="77777777" w:rsidR="00AE727E" w:rsidRDefault="00AE727E">
      <w:pPr>
        <w:jc w:val="both"/>
      </w:pPr>
    </w:p>
    <w:p w14:paraId="07DCEA1C" w14:textId="77777777" w:rsidR="00AE727E" w:rsidRDefault="00AE727E">
      <w:pPr>
        <w:jc w:val="center"/>
      </w:pPr>
    </w:p>
    <w:p w14:paraId="07DCEA1D" w14:textId="77777777" w:rsidR="00AE727E" w:rsidRDefault="008433E0">
      <w:pPr>
        <w:jc w:val="center"/>
      </w:pPr>
      <w:r>
        <w:rPr>
          <w:rFonts w:ascii="Times New Roman" w:eastAsia="宋体" w:hAnsi="Times New Roman"/>
          <w:color w:val="000000"/>
          <w:sz w:val="20"/>
          <w:szCs w:val="20"/>
        </w:rPr>
        <w:t>21</w:t>
      </w:r>
    </w:p>
    <w:p w14:paraId="07DCEA1E" w14:textId="77777777" w:rsidR="00AE727E" w:rsidRDefault="00AE727E">
      <w:pPr>
        <w:jc w:val="center"/>
      </w:pPr>
    </w:p>
    <w:p w14:paraId="07DCEA1F" w14:textId="77777777" w:rsidR="00AE727E" w:rsidRDefault="008433E0">
      <w:r>
        <w:pict w14:anchorId="07DD18E5">
          <v:rect id="_x0000_i1045" style="width:415.3pt;height:1.5pt" o:hralign="center" o:hrstd="t" o:hr="t" fillcolor="#a0a0a0" stroked="f"/>
        </w:pict>
      </w:r>
    </w:p>
    <w:p w14:paraId="07DCEA20" w14:textId="77777777" w:rsidR="00AE727E" w:rsidRDefault="008433E0">
      <w:hyperlink r:id="rId146" w:anchor="i1c8279be622a460ea19600488436f115_10" w:history="1">
        <w:r>
          <w:rPr>
            <w:rStyle w:val="a5"/>
            <w:rFonts w:ascii="Times New Roman" w:eastAsia="宋体" w:hAnsi="Times New Roman"/>
            <w:sz w:val="20"/>
            <w:szCs w:val="20"/>
          </w:rPr>
          <w:t>Table of Contents</w:t>
        </w:r>
      </w:hyperlink>
    </w:p>
    <w:p w14:paraId="07DCEA21"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A22"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A23"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A24" w14:textId="77777777" w:rsidR="00AE727E" w:rsidRDefault="00AE727E">
      <w:pPr>
        <w:jc w:val="center"/>
      </w:pPr>
    </w:p>
    <w:p w14:paraId="07DCEA25" w14:textId="77777777" w:rsidR="00AE727E" w:rsidRDefault="00AE727E">
      <w:pPr>
        <w:spacing w:after="60"/>
      </w:pPr>
    </w:p>
    <w:p w14:paraId="07DCEA26" w14:textId="77777777" w:rsidR="00AE727E" w:rsidRDefault="008433E0">
      <w:pPr>
        <w:spacing w:after="60"/>
      </w:pPr>
      <w:r>
        <w:rPr>
          <w:rFonts w:ascii="Times New Roman" w:eastAsia="宋体" w:hAnsi="Times New Roman"/>
          <w:color w:val="000000"/>
          <w:sz w:val="20"/>
          <w:szCs w:val="20"/>
        </w:rPr>
        <w:t>The following table presents operating lease income related to lease payments and depreciation expense for the Company’s operating lease portfolio for the periods indicated:</w:t>
      </w:r>
    </w:p>
    <w:p w14:paraId="07DCEA27" w14:textId="77777777" w:rsidR="00AE727E" w:rsidRDefault="00AE727E">
      <w:pPr>
        <w:spacing w:after="60"/>
      </w:pPr>
    </w:p>
    <w:tbl>
      <w:tblPr>
        <w:tblW w:w="5000" w:type="pct"/>
        <w:tblCellMar>
          <w:top w:w="15" w:type="dxa"/>
          <w:left w:w="15" w:type="dxa"/>
          <w:bottom w:w="15" w:type="dxa"/>
          <w:right w:w="15" w:type="dxa"/>
        </w:tblCellMar>
        <w:tblLook w:val="04A0" w:firstRow="1" w:lastRow="0" w:firstColumn="1" w:lastColumn="0" w:noHBand="0" w:noVBand="1"/>
      </w:tblPr>
      <w:tblGrid>
        <w:gridCol w:w="59"/>
        <w:gridCol w:w="2664"/>
        <w:gridCol w:w="37"/>
        <w:gridCol w:w="59"/>
        <w:gridCol w:w="1201"/>
        <w:gridCol w:w="37"/>
        <w:gridCol w:w="36"/>
        <w:gridCol w:w="36"/>
        <w:gridCol w:w="36"/>
        <w:gridCol w:w="46"/>
        <w:gridCol w:w="1234"/>
        <w:gridCol w:w="37"/>
        <w:gridCol w:w="36"/>
        <w:gridCol w:w="36"/>
        <w:gridCol w:w="36"/>
        <w:gridCol w:w="46"/>
        <w:gridCol w:w="1234"/>
        <w:gridCol w:w="38"/>
        <w:gridCol w:w="37"/>
        <w:gridCol w:w="36"/>
        <w:gridCol w:w="36"/>
        <w:gridCol w:w="46"/>
        <w:gridCol w:w="1236"/>
        <w:gridCol w:w="37"/>
      </w:tblGrid>
      <w:tr w:rsidR="00AE727E" w14:paraId="07DCEA40" w14:textId="77777777">
        <w:tc>
          <w:tcPr>
            <w:tcW w:w="50" w:type="pct"/>
            <w:shd w:val="clear" w:color="auto" w:fill="auto"/>
            <w:vAlign w:val="bottom"/>
          </w:tcPr>
          <w:p w14:paraId="07DCEA28" w14:textId="77777777" w:rsidR="00AE727E" w:rsidRDefault="00AE727E">
            <w:pPr>
              <w:rPr>
                <w:rFonts w:ascii="宋体"/>
              </w:rPr>
            </w:pPr>
          </w:p>
        </w:tc>
        <w:tc>
          <w:tcPr>
            <w:tcW w:w="1611" w:type="pct"/>
            <w:shd w:val="clear" w:color="auto" w:fill="auto"/>
            <w:vAlign w:val="bottom"/>
          </w:tcPr>
          <w:p w14:paraId="07DCEA29" w14:textId="77777777" w:rsidR="00AE727E" w:rsidRDefault="00AE727E">
            <w:pPr>
              <w:rPr>
                <w:rFonts w:ascii="宋体"/>
              </w:rPr>
            </w:pPr>
          </w:p>
        </w:tc>
        <w:tc>
          <w:tcPr>
            <w:tcW w:w="5" w:type="pct"/>
            <w:shd w:val="clear" w:color="auto" w:fill="auto"/>
            <w:vAlign w:val="bottom"/>
          </w:tcPr>
          <w:p w14:paraId="07DCEA2A" w14:textId="77777777" w:rsidR="00AE727E" w:rsidRDefault="00AE727E">
            <w:pPr>
              <w:rPr>
                <w:rFonts w:ascii="宋体"/>
              </w:rPr>
            </w:pPr>
          </w:p>
        </w:tc>
        <w:tc>
          <w:tcPr>
            <w:tcW w:w="50" w:type="pct"/>
            <w:shd w:val="clear" w:color="auto" w:fill="auto"/>
            <w:vAlign w:val="bottom"/>
          </w:tcPr>
          <w:p w14:paraId="07DCEA2B" w14:textId="77777777" w:rsidR="00AE727E" w:rsidRDefault="00AE727E">
            <w:pPr>
              <w:rPr>
                <w:rFonts w:ascii="宋体"/>
              </w:rPr>
            </w:pPr>
          </w:p>
        </w:tc>
        <w:tc>
          <w:tcPr>
            <w:tcW w:w="734" w:type="pct"/>
            <w:shd w:val="clear" w:color="auto" w:fill="auto"/>
            <w:vAlign w:val="bottom"/>
          </w:tcPr>
          <w:p w14:paraId="07DCEA2C" w14:textId="77777777" w:rsidR="00AE727E" w:rsidRDefault="00AE727E">
            <w:pPr>
              <w:rPr>
                <w:rFonts w:ascii="宋体"/>
              </w:rPr>
            </w:pPr>
          </w:p>
        </w:tc>
        <w:tc>
          <w:tcPr>
            <w:tcW w:w="5" w:type="pct"/>
            <w:shd w:val="clear" w:color="auto" w:fill="auto"/>
            <w:vAlign w:val="bottom"/>
          </w:tcPr>
          <w:p w14:paraId="07DCEA2D" w14:textId="77777777" w:rsidR="00AE727E" w:rsidRDefault="00AE727E">
            <w:pPr>
              <w:rPr>
                <w:rFonts w:ascii="宋体"/>
              </w:rPr>
            </w:pPr>
          </w:p>
        </w:tc>
        <w:tc>
          <w:tcPr>
            <w:tcW w:w="5" w:type="pct"/>
            <w:shd w:val="clear" w:color="auto" w:fill="auto"/>
            <w:vAlign w:val="bottom"/>
          </w:tcPr>
          <w:p w14:paraId="07DCEA2E" w14:textId="77777777" w:rsidR="00AE727E" w:rsidRDefault="00AE727E">
            <w:pPr>
              <w:rPr>
                <w:rFonts w:ascii="宋体"/>
              </w:rPr>
            </w:pPr>
          </w:p>
        </w:tc>
        <w:tc>
          <w:tcPr>
            <w:tcW w:w="26" w:type="pct"/>
            <w:shd w:val="clear" w:color="auto" w:fill="auto"/>
            <w:vAlign w:val="bottom"/>
          </w:tcPr>
          <w:p w14:paraId="07DCEA2F" w14:textId="77777777" w:rsidR="00AE727E" w:rsidRDefault="00AE727E">
            <w:pPr>
              <w:rPr>
                <w:rFonts w:ascii="宋体"/>
              </w:rPr>
            </w:pPr>
          </w:p>
        </w:tc>
        <w:tc>
          <w:tcPr>
            <w:tcW w:w="5" w:type="pct"/>
            <w:shd w:val="clear" w:color="auto" w:fill="auto"/>
            <w:vAlign w:val="bottom"/>
          </w:tcPr>
          <w:p w14:paraId="07DCEA30" w14:textId="77777777" w:rsidR="00AE727E" w:rsidRDefault="00AE727E">
            <w:pPr>
              <w:rPr>
                <w:rFonts w:ascii="宋体"/>
              </w:rPr>
            </w:pPr>
          </w:p>
        </w:tc>
        <w:tc>
          <w:tcPr>
            <w:tcW w:w="50" w:type="pct"/>
            <w:shd w:val="clear" w:color="auto" w:fill="auto"/>
            <w:vAlign w:val="bottom"/>
          </w:tcPr>
          <w:p w14:paraId="07DCEA31" w14:textId="77777777" w:rsidR="00AE727E" w:rsidRDefault="00AE727E">
            <w:pPr>
              <w:rPr>
                <w:rFonts w:ascii="宋体"/>
              </w:rPr>
            </w:pPr>
          </w:p>
        </w:tc>
        <w:tc>
          <w:tcPr>
            <w:tcW w:w="756" w:type="pct"/>
            <w:shd w:val="clear" w:color="auto" w:fill="auto"/>
            <w:vAlign w:val="bottom"/>
          </w:tcPr>
          <w:p w14:paraId="07DCEA32" w14:textId="77777777" w:rsidR="00AE727E" w:rsidRDefault="00AE727E">
            <w:pPr>
              <w:rPr>
                <w:rFonts w:ascii="宋体"/>
              </w:rPr>
            </w:pPr>
          </w:p>
        </w:tc>
        <w:tc>
          <w:tcPr>
            <w:tcW w:w="5" w:type="pct"/>
            <w:shd w:val="clear" w:color="auto" w:fill="auto"/>
            <w:vAlign w:val="bottom"/>
          </w:tcPr>
          <w:p w14:paraId="07DCEA33" w14:textId="77777777" w:rsidR="00AE727E" w:rsidRDefault="00AE727E">
            <w:pPr>
              <w:rPr>
                <w:rFonts w:ascii="宋体"/>
              </w:rPr>
            </w:pPr>
          </w:p>
        </w:tc>
        <w:tc>
          <w:tcPr>
            <w:tcW w:w="5" w:type="pct"/>
            <w:shd w:val="clear" w:color="auto" w:fill="auto"/>
            <w:vAlign w:val="bottom"/>
          </w:tcPr>
          <w:p w14:paraId="07DCEA34" w14:textId="77777777" w:rsidR="00AE727E" w:rsidRDefault="00AE727E">
            <w:pPr>
              <w:rPr>
                <w:rFonts w:ascii="宋体"/>
              </w:rPr>
            </w:pPr>
          </w:p>
        </w:tc>
        <w:tc>
          <w:tcPr>
            <w:tcW w:w="26" w:type="pct"/>
            <w:shd w:val="clear" w:color="auto" w:fill="auto"/>
            <w:vAlign w:val="bottom"/>
          </w:tcPr>
          <w:p w14:paraId="07DCEA35" w14:textId="77777777" w:rsidR="00AE727E" w:rsidRDefault="00AE727E">
            <w:pPr>
              <w:rPr>
                <w:rFonts w:ascii="宋体"/>
              </w:rPr>
            </w:pPr>
          </w:p>
        </w:tc>
        <w:tc>
          <w:tcPr>
            <w:tcW w:w="5" w:type="pct"/>
            <w:shd w:val="clear" w:color="auto" w:fill="auto"/>
            <w:vAlign w:val="bottom"/>
          </w:tcPr>
          <w:p w14:paraId="07DCEA36" w14:textId="77777777" w:rsidR="00AE727E" w:rsidRDefault="00AE727E">
            <w:pPr>
              <w:rPr>
                <w:rFonts w:ascii="宋体"/>
              </w:rPr>
            </w:pPr>
          </w:p>
        </w:tc>
        <w:tc>
          <w:tcPr>
            <w:tcW w:w="50" w:type="pct"/>
            <w:shd w:val="clear" w:color="auto" w:fill="auto"/>
            <w:vAlign w:val="bottom"/>
          </w:tcPr>
          <w:p w14:paraId="07DCEA37" w14:textId="77777777" w:rsidR="00AE727E" w:rsidRDefault="00AE727E">
            <w:pPr>
              <w:rPr>
                <w:rFonts w:ascii="宋体"/>
              </w:rPr>
            </w:pPr>
          </w:p>
        </w:tc>
        <w:tc>
          <w:tcPr>
            <w:tcW w:w="756" w:type="pct"/>
            <w:shd w:val="clear" w:color="auto" w:fill="auto"/>
            <w:vAlign w:val="bottom"/>
          </w:tcPr>
          <w:p w14:paraId="07DCEA38" w14:textId="77777777" w:rsidR="00AE727E" w:rsidRDefault="00AE727E">
            <w:pPr>
              <w:rPr>
                <w:rFonts w:ascii="宋体"/>
              </w:rPr>
            </w:pPr>
          </w:p>
        </w:tc>
        <w:tc>
          <w:tcPr>
            <w:tcW w:w="5" w:type="pct"/>
            <w:shd w:val="clear" w:color="auto" w:fill="auto"/>
            <w:vAlign w:val="bottom"/>
          </w:tcPr>
          <w:p w14:paraId="07DCEA39" w14:textId="77777777" w:rsidR="00AE727E" w:rsidRDefault="00AE727E">
            <w:pPr>
              <w:rPr>
                <w:rFonts w:ascii="宋体"/>
              </w:rPr>
            </w:pPr>
          </w:p>
        </w:tc>
        <w:tc>
          <w:tcPr>
            <w:tcW w:w="5" w:type="pct"/>
            <w:shd w:val="clear" w:color="auto" w:fill="auto"/>
            <w:vAlign w:val="bottom"/>
          </w:tcPr>
          <w:p w14:paraId="07DCEA3A" w14:textId="77777777" w:rsidR="00AE727E" w:rsidRDefault="00AE727E">
            <w:pPr>
              <w:rPr>
                <w:rFonts w:ascii="宋体"/>
              </w:rPr>
            </w:pPr>
          </w:p>
        </w:tc>
        <w:tc>
          <w:tcPr>
            <w:tcW w:w="26" w:type="pct"/>
            <w:shd w:val="clear" w:color="auto" w:fill="auto"/>
            <w:vAlign w:val="bottom"/>
          </w:tcPr>
          <w:p w14:paraId="07DCEA3B" w14:textId="77777777" w:rsidR="00AE727E" w:rsidRDefault="00AE727E">
            <w:pPr>
              <w:rPr>
                <w:rFonts w:ascii="宋体"/>
              </w:rPr>
            </w:pPr>
          </w:p>
        </w:tc>
        <w:tc>
          <w:tcPr>
            <w:tcW w:w="5" w:type="pct"/>
            <w:shd w:val="clear" w:color="auto" w:fill="auto"/>
            <w:vAlign w:val="bottom"/>
          </w:tcPr>
          <w:p w14:paraId="07DCEA3C" w14:textId="77777777" w:rsidR="00AE727E" w:rsidRDefault="00AE727E">
            <w:pPr>
              <w:rPr>
                <w:rFonts w:ascii="宋体"/>
              </w:rPr>
            </w:pPr>
          </w:p>
        </w:tc>
        <w:tc>
          <w:tcPr>
            <w:tcW w:w="50" w:type="pct"/>
            <w:shd w:val="clear" w:color="auto" w:fill="auto"/>
            <w:vAlign w:val="bottom"/>
          </w:tcPr>
          <w:p w14:paraId="07DCEA3D" w14:textId="77777777" w:rsidR="00AE727E" w:rsidRDefault="00AE727E">
            <w:pPr>
              <w:rPr>
                <w:rFonts w:ascii="宋体"/>
              </w:rPr>
            </w:pPr>
          </w:p>
        </w:tc>
        <w:tc>
          <w:tcPr>
            <w:tcW w:w="756" w:type="pct"/>
            <w:shd w:val="clear" w:color="auto" w:fill="auto"/>
            <w:vAlign w:val="bottom"/>
          </w:tcPr>
          <w:p w14:paraId="07DCEA3E" w14:textId="77777777" w:rsidR="00AE727E" w:rsidRDefault="00AE727E">
            <w:pPr>
              <w:rPr>
                <w:rFonts w:ascii="宋体"/>
              </w:rPr>
            </w:pPr>
          </w:p>
        </w:tc>
        <w:tc>
          <w:tcPr>
            <w:tcW w:w="5" w:type="pct"/>
            <w:shd w:val="clear" w:color="auto" w:fill="auto"/>
            <w:vAlign w:val="bottom"/>
          </w:tcPr>
          <w:p w14:paraId="07DCEA3F" w14:textId="77777777" w:rsidR="00AE727E" w:rsidRDefault="00AE727E">
            <w:pPr>
              <w:rPr>
                <w:rFonts w:ascii="宋体"/>
              </w:rPr>
            </w:pPr>
          </w:p>
        </w:tc>
      </w:tr>
      <w:tr w:rsidR="00AE727E" w14:paraId="07DCEA45" w14:textId="77777777">
        <w:tc>
          <w:tcPr>
            <w:tcW w:w="0" w:type="auto"/>
            <w:gridSpan w:val="3"/>
            <w:shd w:val="clear" w:color="auto" w:fill="auto"/>
            <w:tcMar>
              <w:top w:w="0" w:type="dxa"/>
              <w:left w:w="20" w:type="dxa"/>
              <w:bottom w:w="0" w:type="dxa"/>
              <w:right w:w="20" w:type="dxa"/>
            </w:tcMar>
            <w:vAlign w:val="bottom"/>
          </w:tcPr>
          <w:p w14:paraId="07DCEA41"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A42"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EA43"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A44"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EA4E" w14:textId="77777777">
        <w:tc>
          <w:tcPr>
            <w:tcW w:w="0" w:type="auto"/>
            <w:gridSpan w:val="3"/>
            <w:shd w:val="clear" w:color="auto" w:fill="auto"/>
            <w:tcMar>
              <w:top w:w="0" w:type="dxa"/>
              <w:left w:w="20" w:type="dxa"/>
              <w:bottom w:w="0" w:type="dxa"/>
              <w:right w:w="20" w:type="dxa"/>
            </w:tcMar>
            <w:vAlign w:val="bottom"/>
          </w:tcPr>
          <w:p w14:paraId="07DCEA46"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A4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A4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A49"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EA4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A4B"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A4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A4D"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EA51" w14:textId="77777777">
        <w:tc>
          <w:tcPr>
            <w:tcW w:w="0" w:type="auto"/>
            <w:gridSpan w:val="3"/>
            <w:shd w:val="clear" w:color="auto" w:fill="auto"/>
            <w:tcMar>
              <w:top w:w="0" w:type="dxa"/>
              <w:left w:w="20" w:type="dxa"/>
              <w:bottom w:w="0" w:type="dxa"/>
              <w:right w:w="20" w:type="dxa"/>
            </w:tcMar>
            <w:vAlign w:val="bottom"/>
          </w:tcPr>
          <w:p w14:paraId="07DCEA4F"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7DCEA50"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A5A" w14:textId="77777777">
        <w:tc>
          <w:tcPr>
            <w:tcW w:w="0" w:type="auto"/>
            <w:gridSpan w:val="3"/>
            <w:shd w:val="clear" w:color="auto" w:fill="CCEEFF"/>
            <w:tcMar>
              <w:top w:w="40" w:type="dxa"/>
              <w:left w:w="20" w:type="dxa"/>
              <w:bottom w:w="40" w:type="dxa"/>
              <w:right w:w="20" w:type="dxa"/>
            </w:tcMar>
            <w:vAlign w:val="bottom"/>
          </w:tcPr>
          <w:p w14:paraId="07DCEA52" w14:textId="77777777" w:rsidR="00AE727E" w:rsidRDefault="008433E0">
            <w:pPr>
              <w:textAlignment w:val="bottom"/>
            </w:pPr>
            <w:r>
              <w:rPr>
                <w:rFonts w:ascii="Times New Roman" w:eastAsia="宋体" w:hAnsi="Times New Roman"/>
                <w:color w:val="000000"/>
                <w:sz w:val="20"/>
                <w:szCs w:val="20"/>
              </w:rPr>
              <w:t>Income related to lease payments</w:t>
            </w:r>
          </w:p>
        </w:tc>
        <w:tc>
          <w:tcPr>
            <w:tcW w:w="0" w:type="auto"/>
            <w:gridSpan w:val="3"/>
            <w:shd w:val="clear" w:color="auto" w:fill="CCEEFF"/>
            <w:tcMar>
              <w:top w:w="40" w:type="dxa"/>
              <w:left w:w="20" w:type="dxa"/>
              <w:bottom w:w="40" w:type="dxa"/>
              <w:right w:w="20" w:type="dxa"/>
            </w:tcMar>
            <w:vAlign w:val="bottom"/>
          </w:tcPr>
          <w:p w14:paraId="07DCEA53" w14:textId="77777777" w:rsidR="00AE727E" w:rsidRDefault="008433E0">
            <w:pPr>
              <w:jc w:val="right"/>
              <w:textAlignment w:val="bottom"/>
            </w:pPr>
            <w:r>
              <w:rPr>
                <w:rFonts w:ascii="Times New Roman" w:eastAsia="宋体" w:hAnsi="Times New Roman"/>
                <w:color w:val="000000"/>
                <w:sz w:val="20"/>
                <w:szCs w:val="20"/>
              </w:rPr>
              <w:t>$187</w:t>
            </w:r>
          </w:p>
        </w:tc>
        <w:tc>
          <w:tcPr>
            <w:tcW w:w="0" w:type="auto"/>
            <w:gridSpan w:val="3"/>
            <w:shd w:val="clear" w:color="auto" w:fill="CCEEFF"/>
            <w:tcMar>
              <w:top w:w="0" w:type="dxa"/>
              <w:left w:w="20" w:type="dxa"/>
              <w:bottom w:w="0" w:type="dxa"/>
              <w:right w:w="20" w:type="dxa"/>
            </w:tcMar>
            <w:vAlign w:val="bottom"/>
          </w:tcPr>
          <w:p w14:paraId="07DCEA54"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EA55" w14:textId="77777777" w:rsidR="00AE727E" w:rsidRDefault="008433E0">
            <w:pPr>
              <w:jc w:val="right"/>
              <w:textAlignment w:val="bottom"/>
            </w:pPr>
            <w:r>
              <w:rPr>
                <w:rFonts w:ascii="Times New Roman" w:eastAsia="宋体" w:hAnsi="Times New Roman"/>
                <w:color w:val="000000"/>
                <w:sz w:val="20"/>
                <w:szCs w:val="20"/>
              </w:rPr>
              <w:t>$120</w:t>
            </w:r>
          </w:p>
        </w:tc>
        <w:tc>
          <w:tcPr>
            <w:tcW w:w="0" w:type="auto"/>
            <w:gridSpan w:val="3"/>
            <w:shd w:val="clear" w:color="auto" w:fill="CCEEFF"/>
            <w:tcMar>
              <w:top w:w="0" w:type="dxa"/>
              <w:left w:w="20" w:type="dxa"/>
              <w:bottom w:w="0" w:type="dxa"/>
              <w:right w:w="20" w:type="dxa"/>
            </w:tcMar>
            <w:vAlign w:val="bottom"/>
          </w:tcPr>
          <w:p w14:paraId="07DCEA56"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EA57" w14:textId="77777777" w:rsidR="00AE727E" w:rsidRDefault="008433E0">
            <w:pPr>
              <w:jc w:val="right"/>
              <w:textAlignment w:val="bottom"/>
            </w:pPr>
            <w:r>
              <w:rPr>
                <w:rFonts w:ascii="Times New Roman" w:eastAsia="宋体" w:hAnsi="Times New Roman"/>
                <w:color w:val="000000"/>
                <w:sz w:val="20"/>
                <w:szCs w:val="20"/>
              </w:rPr>
              <w:t>$510</w:t>
            </w:r>
          </w:p>
        </w:tc>
        <w:tc>
          <w:tcPr>
            <w:tcW w:w="0" w:type="auto"/>
            <w:gridSpan w:val="3"/>
            <w:shd w:val="clear" w:color="auto" w:fill="CCEEFF"/>
            <w:tcMar>
              <w:top w:w="0" w:type="dxa"/>
              <w:left w:w="20" w:type="dxa"/>
              <w:bottom w:w="0" w:type="dxa"/>
              <w:right w:w="20" w:type="dxa"/>
            </w:tcMar>
            <w:vAlign w:val="bottom"/>
          </w:tcPr>
          <w:p w14:paraId="07DCEA58"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EA59" w14:textId="77777777" w:rsidR="00AE727E" w:rsidRDefault="008433E0">
            <w:pPr>
              <w:jc w:val="right"/>
              <w:textAlignment w:val="bottom"/>
            </w:pPr>
            <w:r>
              <w:rPr>
                <w:rFonts w:ascii="Times New Roman" w:eastAsia="宋体" w:hAnsi="Times New Roman"/>
                <w:color w:val="000000"/>
                <w:sz w:val="20"/>
                <w:szCs w:val="20"/>
              </w:rPr>
              <w:t>$310</w:t>
            </w:r>
          </w:p>
        </w:tc>
      </w:tr>
      <w:tr w:rsidR="00AE727E" w14:paraId="07DCEA63" w14:textId="77777777">
        <w:tc>
          <w:tcPr>
            <w:tcW w:w="0" w:type="auto"/>
            <w:gridSpan w:val="3"/>
            <w:shd w:val="clear" w:color="auto" w:fill="FFFFFF"/>
            <w:tcMar>
              <w:top w:w="40" w:type="dxa"/>
              <w:left w:w="20" w:type="dxa"/>
              <w:bottom w:w="40" w:type="dxa"/>
              <w:right w:w="20" w:type="dxa"/>
            </w:tcMar>
            <w:vAlign w:val="bottom"/>
          </w:tcPr>
          <w:p w14:paraId="07DCEA5B" w14:textId="77777777" w:rsidR="00AE727E" w:rsidRDefault="008433E0">
            <w:pPr>
              <w:textAlignment w:val="bottom"/>
            </w:pPr>
            <w:r>
              <w:rPr>
                <w:rFonts w:ascii="Times New Roman" w:eastAsia="宋体" w:hAnsi="Times New Roman"/>
                <w:color w:val="000000"/>
                <w:sz w:val="20"/>
                <w:szCs w:val="20"/>
              </w:rPr>
              <w:t xml:space="preserve">Depreciation expense </w:t>
            </w:r>
          </w:p>
        </w:tc>
        <w:tc>
          <w:tcPr>
            <w:tcW w:w="0" w:type="auto"/>
            <w:gridSpan w:val="3"/>
            <w:shd w:val="clear" w:color="auto" w:fill="FFFFFF"/>
            <w:tcMar>
              <w:top w:w="40" w:type="dxa"/>
              <w:left w:w="20" w:type="dxa"/>
              <w:bottom w:w="40" w:type="dxa"/>
              <w:right w:w="20" w:type="dxa"/>
            </w:tcMar>
            <w:vAlign w:val="bottom"/>
          </w:tcPr>
          <w:p w14:paraId="07DCEA5C" w14:textId="77777777" w:rsidR="00AE727E" w:rsidRDefault="008433E0">
            <w:pPr>
              <w:jc w:val="right"/>
              <w:textAlignment w:val="bottom"/>
            </w:pPr>
            <w:r>
              <w:rPr>
                <w:rFonts w:ascii="Times New Roman" w:eastAsia="宋体" w:hAnsi="Times New Roman"/>
                <w:color w:val="000000"/>
                <w:sz w:val="20"/>
                <w:szCs w:val="20"/>
              </w:rPr>
              <w:t>$140</w:t>
            </w:r>
          </w:p>
        </w:tc>
        <w:tc>
          <w:tcPr>
            <w:tcW w:w="0" w:type="auto"/>
            <w:gridSpan w:val="3"/>
            <w:shd w:val="clear" w:color="auto" w:fill="FFFFFF"/>
            <w:tcMar>
              <w:top w:w="0" w:type="dxa"/>
              <w:left w:w="20" w:type="dxa"/>
              <w:bottom w:w="0" w:type="dxa"/>
              <w:right w:w="20" w:type="dxa"/>
            </w:tcMar>
            <w:vAlign w:val="bottom"/>
          </w:tcPr>
          <w:p w14:paraId="07DCEA5D"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EA5E" w14:textId="77777777" w:rsidR="00AE727E" w:rsidRDefault="008433E0">
            <w:pPr>
              <w:jc w:val="right"/>
              <w:textAlignment w:val="bottom"/>
            </w:pPr>
            <w:r>
              <w:rPr>
                <w:rFonts w:ascii="Times New Roman" w:eastAsia="宋体" w:hAnsi="Times New Roman"/>
                <w:color w:val="000000"/>
                <w:sz w:val="20"/>
                <w:szCs w:val="20"/>
              </w:rPr>
              <w:t>$92</w:t>
            </w:r>
          </w:p>
        </w:tc>
        <w:tc>
          <w:tcPr>
            <w:tcW w:w="0" w:type="auto"/>
            <w:gridSpan w:val="3"/>
            <w:shd w:val="clear" w:color="auto" w:fill="FFFFFF"/>
            <w:tcMar>
              <w:top w:w="0" w:type="dxa"/>
              <w:left w:w="20" w:type="dxa"/>
              <w:bottom w:w="0" w:type="dxa"/>
              <w:right w:w="20" w:type="dxa"/>
            </w:tcMar>
            <w:vAlign w:val="bottom"/>
          </w:tcPr>
          <w:p w14:paraId="07DCEA5F"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EA60" w14:textId="77777777" w:rsidR="00AE727E" w:rsidRDefault="008433E0">
            <w:pPr>
              <w:jc w:val="right"/>
              <w:textAlignment w:val="bottom"/>
            </w:pPr>
            <w:r>
              <w:rPr>
                <w:rFonts w:ascii="Times New Roman" w:eastAsia="宋体" w:hAnsi="Times New Roman"/>
                <w:color w:val="000000"/>
                <w:sz w:val="20"/>
                <w:szCs w:val="20"/>
              </w:rPr>
              <w:t>$383</w:t>
            </w:r>
          </w:p>
        </w:tc>
        <w:tc>
          <w:tcPr>
            <w:tcW w:w="0" w:type="auto"/>
            <w:gridSpan w:val="3"/>
            <w:shd w:val="clear" w:color="auto" w:fill="FFFFFF"/>
            <w:tcMar>
              <w:top w:w="0" w:type="dxa"/>
              <w:left w:w="20" w:type="dxa"/>
              <w:bottom w:w="0" w:type="dxa"/>
              <w:right w:w="20" w:type="dxa"/>
            </w:tcMar>
            <w:vAlign w:val="bottom"/>
          </w:tcPr>
          <w:p w14:paraId="07DCEA61"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EA62" w14:textId="77777777" w:rsidR="00AE727E" w:rsidRDefault="008433E0">
            <w:pPr>
              <w:jc w:val="right"/>
              <w:textAlignment w:val="bottom"/>
            </w:pPr>
            <w:r>
              <w:rPr>
                <w:rFonts w:ascii="Times New Roman" w:eastAsia="宋体" w:hAnsi="Times New Roman"/>
                <w:color w:val="000000"/>
                <w:sz w:val="20"/>
                <w:szCs w:val="20"/>
              </w:rPr>
              <w:t>$228</w:t>
            </w:r>
          </w:p>
        </w:tc>
      </w:tr>
    </w:tbl>
    <w:p w14:paraId="07DCEA64" w14:textId="77777777" w:rsidR="00AE727E" w:rsidRDefault="00AE727E">
      <w:pPr>
        <w:spacing w:after="60"/>
      </w:pPr>
    </w:p>
    <w:p w14:paraId="07DCEA65" w14:textId="77777777" w:rsidR="00AE727E" w:rsidRDefault="008433E0">
      <w:pPr>
        <w:spacing w:after="60"/>
      </w:pPr>
      <w:r>
        <w:rPr>
          <w:rFonts w:ascii="Times New Roman" w:eastAsia="宋体" w:hAnsi="Times New Roman"/>
          <w:color w:val="000000"/>
          <w:sz w:val="20"/>
          <w:szCs w:val="20"/>
        </w:rPr>
        <w:t>The following table presents the future payments to be received by the Company as lessor in operating lease contracts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1"/>
        <w:gridCol w:w="36"/>
        <w:gridCol w:w="121"/>
        <w:gridCol w:w="1230"/>
        <w:gridCol w:w="36"/>
      </w:tblGrid>
      <w:tr w:rsidR="00AE727E" w14:paraId="07DCEA6C" w14:textId="77777777">
        <w:trPr>
          <w:jc w:val="center"/>
        </w:trPr>
        <w:tc>
          <w:tcPr>
            <w:tcW w:w="50" w:type="pct"/>
            <w:shd w:val="clear" w:color="auto" w:fill="auto"/>
            <w:vAlign w:val="bottom"/>
          </w:tcPr>
          <w:p w14:paraId="07DCEA66" w14:textId="77777777" w:rsidR="00AE727E" w:rsidRDefault="00AE727E">
            <w:pPr>
              <w:rPr>
                <w:rFonts w:ascii="宋体"/>
              </w:rPr>
            </w:pPr>
          </w:p>
        </w:tc>
        <w:tc>
          <w:tcPr>
            <w:tcW w:w="4133" w:type="pct"/>
            <w:shd w:val="clear" w:color="auto" w:fill="auto"/>
            <w:vAlign w:val="bottom"/>
          </w:tcPr>
          <w:p w14:paraId="07DCEA67" w14:textId="77777777" w:rsidR="00AE727E" w:rsidRDefault="00AE727E">
            <w:pPr>
              <w:rPr>
                <w:rFonts w:ascii="宋体"/>
              </w:rPr>
            </w:pPr>
          </w:p>
        </w:tc>
        <w:tc>
          <w:tcPr>
            <w:tcW w:w="5" w:type="pct"/>
            <w:shd w:val="clear" w:color="auto" w:fill="auto"/>
            <w:vAlign w:val="bottom"/>
          </w:tcPr>
          <w:p w14:paraId="07DCEA68" w14:textId="77777777" w:rsidR="00AE727E" w:rsidRDefault="00AE727E">
            <w:pPr>
              <w:rPr>
                <w:rFonts w:ascii="宋体"/>
              </w:rPr>
            </w:pPr>
          </w:p>
        </w:tc>
        <w:tc>
          <w:tcPr>
            <w:tcW w:w="50" w:type="pct"/>
            <w:shd w:val="clear" w:color="auto" w:fill="auto"/>
            <w:vAlign w:val="bottom"/>
          </w:tcPr>
          <w:p w14:paraId="07DCEA69" w14:textId="77777777" w:rsidR="00AE727E" w:rsidRDefault="00AE727E">
            <w:pPr>
              <w:rPr>
                <w:rFonts w:ascii="宋体"/>
              </w:rPr>
            </w:pPr>
          </w:p>
        </w:tc>
        <w:tc>
          <w:tcPr>
            <w:tcW w:w="756" w:type="pct"/>
            <w:shd w:val="clear" w:color="auto" w:fill="auto"/>
            <w:vAlign w:val="bottom"/>
          </w:tcPr>
          <w:p w14:paraId="07DCEA6A" w14:textId="77777777" w:rsidR="00AE727E" w:rsidRDefault="00AE727E">
            <w:pPr>
              <w:rPr>
                <w:rFonts w:ascii="宋体"/>
              </w:rPr>
            </w:pPr>
          </w:p>
        </w:tc>
        <w:tc>
          <w:tcPr>
            <w:tcW w:w="5" w:type="pct"/>
            <w:shd w:val="clear" w:color="auto" w:fill="auto"/>
            <w:vAlign w:val="bottom"/>
          </w:tcPr>
          <w:p w14:paraId="07DCEA6B" w14:textId="77777777" w:rsidR="00AE727E" w:rsidRDefault="00AE727E">
            <w:pPr>
              <w:rPr>
                <w:rFonts w:ascii="宋体"/>
              </w:rPr>
            </w:pPr>
          </w:p>
        </w:tc>
      </w:tr>
      <w:tr w:rsidR="00AE727E" w14:paraId="07DCEA6F" w14:textId="77777777">
        <w:trPr>
          <w:jc w:val="center"/>
        </w:trPr>
        <w:tc>
          <w:tcPr>
            <w:tcW w:w="0" w:type="auto"/>
            <w:gridSpan w:val="3"/>
            <w:shd w:val="clear" w:color="auto" w:fill="auto"/>
            <w:tcMar>
              <w:top w:w="0" w:type="dxa"/>
              <w:left w:w="20" w:type="dxa"/>
              <w:bottom w:w="0" w:type="dxa"/>
              <w:right w:w="20" w:type="dxa"/>
            </w:tcMar>
            <w:vAlign w:val="bottom"/>
          </w:tcPr>
          <w:p w14:paraId="07DCEA6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A6E"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EA72" w14:textId="77777777">
        <w:trPr>
          <w:jc w:val="center"/>
        </w:trPr>
        <w:tc>
          <w:tcPr>
            <w:tcW w:w="0" w:type="auto"/>
            <w:gridSpan w:val="3"/>
            <w:shd w:val="clear" w:color="auto" w:fill="auto"/>
            <w:tcMar>
              <w:top w:w="0" w:type="dxa"/>
              <w:left w:w="20" w:type="dxa"/>
              <w:bottom w:w="0" w:type="dxa"/>
              <w:right w:w="20" w:type="dxa"/>
            </w:tcMar>
            <w:vAlign w:val="bottom"/>
          </w:tcPr>
          <w:p w14:paraId="07DCEA7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DCEA71"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A77" w14:textId="77777777">
        <w:trPr>
          <w:jc w:val="center"/>
        </w:trPr>
        <w:tc>
          <w:tcPr>
            <w:tcW w:w="0" w:type="auto"/>
            <w:gridSpan w:val="3"/>
            <w:shd w:val="clear" w:color="auto" w:fill="CCEEFF"/>
            <w:tcMar>
              <w:top w:w="40" w:type="dxa"/>
              <w:left w:w="20" w:type="dxa"/>
              <w:bottom w:w="40" w:type="dxa"/>
              <w:right w:w="20" w:type="dxa"/>
            </w:tcMar>
            <w:vAlign w:val="center"/>
          </w:tcPr>
          <w:p w14:paraId="07DCEA73" w14:textId="77777777" w:rsidR="00AE727E" w:rsidRDefault="008433E0">
            <w:pPr>
              <w:textAlignment w:val="center"/>
            </w:pPr>
            <w:r>
              <w:rPr>
                <w:rFonts w:ascii="Times New Roman" w:eastAsia="宋体" w:hAnsi="Times New Roman"/>
                <w:color w:val="000000"/>
                <w:sz w:val="20"/>
                <w:szCs w:val="20"/>
              </w:rPr>
              <w:t xml:space="preserve">Fiscal 2022 </w:t>
            </w:r>
            <w:r>
              <w:rPr>
                <w:rFonts w:ascii="Times New Roman" w:eastAsia="宋体" w:hAnsi="Times New Roman"/>
                <w:color w:val="000000"/>
                <w:sz w:val="20"/>
                <w:szCs w:val="20"/>
              </w:rPr>
              <w:t>(remaining three months)</w:t>
            </w:r>
          </w:p>
        </w:tc>
        <w:tc>
          <w:tcPr>
            <w:tcW w:w="0" w:type="auto"/>
            <w:shd w:val="clear" w:color="auto" w:fill="CCEEFF"/>
            <w:tcMar>
              <w:top w:w="40" w:type="dxa"/>
              <w:left w:w="20" w:type="dxa"/>
              <w:bottom w:w="40" w:type="dxa"/>
              <w:right w:w="0" w:type="dxa"/>
            </w:tcMar>
            <w:vAlign w:val="center"/>
          </w:tcPr>
          <w:p w14:paraId="07DCEA7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A75" w14:textId="77777777" w:rsidR="00AE727E" w:rsidRDefault="008433E0">
            <w:pPr>
              <w:jc w:val="right"/>
              <w:textAlignment w:val="center"/>
            </w:pPr>
            <w:r>
              <w:rPr>
                <w:rFonts w:ascii="Times New Roman" w:eastAsia="宋体" w:hAnsi="Times New Roman"/>
                <w:color w:val="000000"/>
                <w:sz w:val="20"/>
                <w:szCs w:val="20"/>
              </w:rPr>
              <w:t>220 </w:t>
            </w:r>
          </w:p>
        </w:tc>
        <w:tc>
          <w:tcPr>
            <w:tcW w:w="0" w:type="auto"/>
            <w:shd w:val="clear" w:color="auto" w:fill="CCEEFF"/>
            <w:tcMar>
              <w:top w:w="40" w:type="dxa"/>
              <w:left w:w="0" w:type="dxa"/>
              <w:bottom w:w="40" w:type="dxa"/>
              <w:right w:w="20" w:type="dxa"/>
            </w:tcMar>
            <w:vAlign w:val="center"/>
          </w:tcPr>
          <w:p w14:paraId="07DCEA76" w14:textId="77777777" w:rsidR="00AE727E" w:rsidRDefault="00AE727E">
            <w:pPr>
              <w:jc w:val="right"/>
              <w:rPr>
                <w:rFonts w:ascii="宋体"/>
              </w:rPr>
            </w:pPr>
          </w:p>
        </w:tc>
      </w:tr>
      <w:tr w:rsidR="00AE727E" w14:paraId="07DCEA7B" w14:textId="77777777">
        <w:trPr>
          <w:jc w:val="center"/>
        </w:trPr>
        <w:tc>
          <w:tcPr>
            <w:tcW w:w="0" w:type="auto"/>
            <w:gridSpan w:val="3"/>
            <w:shd w:val="clear" w:color="auto" w:fill="FFFFFF"/>
            <w:tcMar>
              <w:top w:w="40" w:type="dxa"/>
              <w:left w:w="20" w:type="dxa"/>
              <w:bottom w:w="40" w:type="dxa"/>
              <w:right w:w="20" w:type="dxa"/>
            </w:tcMar>
            <w:vAlign w:val="center"/>
          </w:tcPr>
          <w:p w14:paraId="07DCEA78" w14:textId="77777777" w:rsidR="00AE727E" w:rsidRDefault="008433E0">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07DCEA79" w14:textId="77777777" w:rsidR="00AE727E" w:rsidRDefault="008433E0">
            <w:pPr>
              <w:jc w:val="right"/>
              <w:textAlignment w:val="center"/>
            </w:pPr>
            <w:r>
              <w:rPr>
                <w:rFonts w:ascii="Times New Roman" w:eastAsia="宋体" w:hAnsi="Times New Roman"/>
                <w:color w:val="000000"/>
                <w:sz w:val="20"/>
                <w:szCs w:val="20"/>
              </w:rPr>
              <w:t>702 </w:t>
            </w:r>
          </w:p>
        </w:tc>
        <w:tc>
          <w:tcPr>
            <w:tcW w:w="0" w:type="auto"/>
            <w:shd w:val="clear" w:color="auto" w:fill="FFFFFF"/>
            <w:tcMar>
              <w:top w:w="40" w:type="dxa"/>
              <w:left w:w="0" w:type="dxa"/>
              <w:bottom w:w="40" w:type="dxa"/>
              <w:right w:w="20" w:type="dxa"/>
            </w:tcMar>
            <w:vAlign w:val="center"/>
          </w:tcPr>
          <w:p w14:paraId="07DCEA7A" w14:textId="77777777" w:rsidR="00AE727E" w:rsidRDefault="00AE727E">
            <w:pPr>
              <w:jc w:val="right"/>
              <w:rPr>
                <w:rFonts w:ascii="宋体"/>
              </w:rPr>
            </w:pPr>
          </w:p>
        </w:tc>
      </w:tr>
      <w:tr w:rsidR="00AE727E" w14:paraId="07DCEA7F" w14:textId="77777777">
        <w:trPr>
          <w:jc w:val="center"/>
        </w:trPr>
        <w:tc>
          <w:tcPr>
            <w:tcW w:w="0" w:type="auto"/>
            <w:gridSpan w:val="3"/>
            <w:shd w:val="clear" w:color="auto" w:fill="CCEEFF"/>
            <w:tcMar>
              <w:top w:w="40" w:type="dxa"/>
              <w:left w:w="20" w:type="dxa"/>
              <w:bottom w:w="40" w:type="dxa"/>
              <w:right w:w="20" w:type="dxa"/>
            </w:tcMar>
            <w:vAlign w:val="center"/>
          </w:tcPr>
          <w:p w14:paraId="07DCEA7C" w14:textId="77777777" w:rsidR="00AE727E" w:rsidRDefault="008433E0">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07DCEA7D" w14:textId="77777777" w:rsidR="00AE727E" w:rsidRDefault="008433E0">
            <w:pPr>
              <w:jc w:val="right"/>
              <w:textAlignment w:val="center"/>
            </w:pPr>
            <w:r>
              <w:rPr>
                <w:rFonts w:ascii="Times New Roman" w:eastAsia="宋体" w:hAnsi="Times New Roman"/>
                <w:color w:val="000000"/>
                <w:sz w:val="20"/>
                <w:szCs w:val="20"/>
              </w:rPr>
              <w:t>437 </w:t>
            </w:r>
          </w:p>
        </w:tc>
        <w:tc>
          <w:tcPr>
            <w:tcW w:w="0" w:type="auto"/>
            <w:shd w:val="clear" w:color="auto" w:fill="CCEEFF"/>
            <w:tcMar>
              <w:top w:w="40" w:type="dxa"/>
              <w:left w:w="0" w:type="dxa"/>
              <w:bottom w:w="40" w:type="dxa"/>
              <w:right w:w="20" w:type="dxa"/>
            </w:tcMar>
            <w:vAlign w:val="center"/>
          </w:tcPr>
          <w:p w14:paraId="07DCEA7E" w14:textId="77777777" w:rsidR="00AE727E" w:rsidRDefault="00AE727E">
            <w:pPr>
              <w:jc w:val="right"/>
              <w:rPr>
                <w:rFonts w:ascii="宋体"/>
              </w:rPr>
            </w:pPr>
          </w:p>
        </w:tc>
      </w:tr>
      <w:tr w:rsidR="00AE727E" w14:paraId="07DCEA83" w14:textId="77777777">
        <w:trPr>
          <w:jc w:val="center"/>
        </w:trPr>
        <w:tc>
          <w:tcPr>
            <w:tcW w:w="0" w:type="auto"/>
            <w:gridSpan w:val="3"/>
            <w:shd w:val="clear" w:color="auto" w:fill="FFFFFF"/>
            <w:tcMar>
              <w:top w:w="40" w:type="dxa"/>
              <w:left w:w="20" w:type="dxa"/>
              <w:bottom w:w="40" w:type="dxa"/>
              <w:right w:w="20" w:type="dxa"/>
            </w:tcMar>
            <w:vAlign w:val="center"/>
          </w:tcPr>
          <w:p w14:paraId="07DCEA80" w14:textId="77777777" w:rsidR="00AE727E" w:rsidRDefault="008433E0">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07DCEA81" w14:textId="77777777" w:rsidR="00AE727E" w:rsidRDefault="008433E0">
            <w:pPr>
              <w:jc w:val="right"/>
              <w:textAlignment w:val="center"/>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center"/>
          </w:tcPr>
          <w:p w14:paraId="07DCEA82" w14:textId="77777777" w:rsidR="00AE727E" w:rsidRDefault="00AE727E">
            <w:pPr>
              <w:jc w:val="right"/>
              <w:rPr>
                <w:rFonts w:ascii="宋体"/>
              </w:rPr>
            </w:pPr>
          </w:p>
        </w:tc>
      </w:tr>
      <w:tr w:rsidR="00AE727E" w14:paraId="07DCEA87" w14:textId="77777777">
        <w:trPr>
          <w:jc w:val="center"/>
        </w:trPr>
        <w:tc>
          <w:tcPr>
            <w:tcW w:w="0" w:type="auto"/>
            <w:gridSpan w:val="3"/>
            <w:shd w:val="clear" w:color="auto" w:fill="CCEEFF"/>
            <w:tcMar>
              <w:top w:w="40" w:type="dxa"/>
              <w:left w:w="20" w:type="dxa"/>
              <w:bottom w:w="40" w:type="dxa"/>
              <w:right w:w="20" w:type="dxa"/>
            </w:tcMar>
            <w:vAlign w:val="center"/>
          </w:tcPr>
          <w:p w14:paraId="07DCEA84" w14:textId="77777777" w:rsidR="00AE727E" w:rsidRDefault="008433E0">
            <w:pPr>
              <w:textAlignment w:val="center"/>
            </w:pPr>
            <w:r>
              <w:rPr>
                <w:rFonts w:ascii="Times New Roman" w:eastAsia="宋体" w:hAnsi="Times New Roman"/>
                <w:color w:val="000000"/>
                <w:sz w:val="20"/>
                <w:szCs w:val="20"/>
              </w:rPr>
              <w:t>Fiscal 2026 and beyond</w:t>
            </w:r>
          </w:p>
        </w:tc>
        <w:tc>
          <w:tcPr>
            <w:tcW w:w="0" w:type="auto"/>
            <w:gridSpan w:val="2"/>
            <w:shd w:val="clear" w:color="auto" w:fill="CCEEFF"/>
            <w:tcMar>
              <w:top w:w="40" w:type="dxa"/>
              <w:left w:w="20" w:type="dxa"/>
              <w:bottom w:w="40" w:type="dxa"/>
              <w:right w:w="0" w:type="dxa"/>
            </w:tcMar>
            <w:vAlign w:val="center"/>
          </w:tcPr>
          <w:p w14:paraId="07DCEA85" w14:textId="77777777" w:rsidR="00AE727E" w:rsidRDefault="008433E0">
            <w:pPr>
              <w:jc w:val="right"/>
              <w:textAlignment w:val="center"/>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center"/>
          </w:tcPr>
          <w:p w14:paraId="07DCEA86" w14:textId="77777777" w:rsidR="00AE727E" w:rsidRDefault="00AE727E">
            <w:pPr>
              <w:jc w:val="right"/>
              <w:rPr>
                <w:rFonts w:ascii="宋体"/>
              </w:rPr>
            </w:pPr>
          </w:p>
        </w:tc>
      </w:tr>
      <w:tr w:rsidR="00AE727E" w14:paraId="07DCEA8C" w14:textId="77777777">
        <w:trPr>
          <w:jc w:val="center"/>
        </w:trPr>
        <w:tc>
          <w:tcPr>
            <w:tcW w:w="0" w:type="auto"/>
            <w:gridSpan w:val="3"/>
            <w:shd w:val="clear" w:color="auto" w:fill="FFFFFF"/>
            <w:tcMar>
              <w:top w:w="40" w:type="dxa"/>
              <w:left w:w="155" w:type="dxa"/>
              <w:bottom w:w="40" w:type="dxa"/>
              <w:right w:w="20" w:type="dxa"/>
            </w:tcMar>
            <w:vAlign w:val="center"/>
          </w:tcPr>
          <w:p w14:paraId="07DCEA88" w14:textId="77777777" w:rsidR="00AE727E" w:rsidRDefault="008433E0">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EA8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EA8A" w14:textId="77777777" w:rsidR="00AE727E" w:rsidRDefault="008433E0">
            <w:pPr>
              <w:jc w:val="right"/>
              <w:textAlignment w:val="center"/>
            </w:pPr>
            <w:r>
              <w:rPr>
                <w:rFonts w:ascii="Times New Roman" w:eastAsia="宋体" w:hAnsi="Times New Roman"/>
                <w:color w:val="000000"/>
                <w:sz w:val="20"/>
                <w:szCs w:val="20"/>
              </w:rPr>
              <w:t>1,569 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EA8B" w14:textId="77777777" w:rsidR="00AE727E" w:rsidRDefault="00AE727E">
            <w:pPr>
              <w:jc w:val="right"/>
              <w:rPr>
                <w:rFonts w:ascii="宋体"/>
              </w:rPr>
            </w:pPr>
          </w:p>
        </w:tc>
      </w:tr>
    </w:tbl>
    <w:p w14:paraId="07DCEA8D" w14:textId="77777777" w:rsidR="00AE727E" w:rsidRDefault="00AE727E"/>
    <w:p w14:paraId="07DCEA8E" w14:textId="77777777" w:rsidR="00AE727E" w:rsidRDefault="00AE727E">
      <w:pPr>
        <w:jc w:val="center"/>
      </w:pPr>
    </w:p>
    <w:p w14:paraId="07DCEA8F" w14:textId="77777777" w:rsidR="00AE727E" w:rsidRDefault="008433E0">
      <w:pPr>
        <w:jc w:val="center"/>
      </w:pPr>
      <w:r>
        <w:rPr>
          <w:rFonts w:ascii="Times New Roman" w:eastAsia="宋体" w:hAnsi="Times New Roman"/>
          <w:color w:val="000000"/>
          <w:sz w:val="20"/>
          <w:szCs w:val="20"/>
        </w:rPr>
        <w:t>22</w:t>
      </w:r>
    </w:p>
    <w:p w14:paraId="07DCEA90" w14:textId="77777777" w:rsidR="00AE727E" w:rsidRDefault="00AE727E">
      <w:pPr>
        <w:jc w:val="center"/>
      </w:pPr>
    </w:p>
    <w:p w14:paraId="07DCEA91" w14:textId="77777777" w:rsidR="00AE727E" w:rsidRDefault="008433E0">
      <w:r>
        <w:pict w14:anchorId="07DD18E6">
          <v:rect id="_x0000_i1046" style="width:415.3pt;height:1.5pt" o:hralign="center" o:hrstd="t" o:hr="t" fillcolor="#a0a0a0" stroked="f"/>
        </w:pict>
      </w:r>
    </w:p>
    <w:p w14:paraId="07DCEA92" w14:textId="77777777" w:rsidR="00AE727E" w:rsidRDefault="008433E0">
      <w:hyperlink r:id="rId147" w:anchor="i1c8279be622a460ea19600488436f115_10" w:history="1">
        <w:r>
          <w:rPr>
            <w:rStyle w:val="a5"/>
            <w:rFonts w:ascii="Times New Roman" w:eastAsia="宋体" w:hAnsi="Times New Roman"/>
            <w:sz w:val="20"/>
            <w:szCs w:val="20"/>
          </w:rPr>
          <w:t>Table of Contents</w:t>
        </w:r>
      </w:hyperlink>
    </w:p>
    <w:p w14:paraId="07DCEA93"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A94"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A95"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A96" w14:textId="77777777" w:rsidR="00AE727E" w:rsidRDefault="00AE727E">
      <w:pPr>
        <w:jc w:val="center"/>
      </w:pPr>
    </w:p>
    <w:p w14:paraId="07DCEA97" w14:textId="77777777" w:rsidR="00AE727E" w:rsidRDefault="008433E0">
      <w:pPr>
        <w:jc w:val="both"/>
      </w:pPr>
      <w:r>
        <w:rPr>
          <w:rFonts w:ascii="Times New Roman" w:eastAsia="宋体" w:hAnsi="Times New Roman"/>
          <w:b/>
          <w:bCs/>
          <w:color w:val="000000"/>
          <w:sz w:val="20"/>
          <w:szCs w:val="20"/>
        </w:rPr>
        <w:t>DFS Debt</w:t>
      </w:r>
    </w:p>
    <w:p w14:paraId="07DCEA98" w14:textId="77777777" w:rsidR="00AE727E" w:rsidRDefault="00AE727E">
      <w:pPr>
        <w:jc w:val="both"/>
      </w:pPr>
    </w:p>
    <w:p w14:paraId="07DCEA99" w14:textId="77777777" w:rsidR="00AE727E" w:rsidRDefault="008433E0">
      <w:pPr>
        <w:spacing w:after="60"/>
      </w:pPr>
      <w:r>
        <w:rPr>
          <w:rFonts w:ascii="Times New Roman" w:eastAsia="宋体" w:hAnsi="Times New Roman"/>
          <w:color w:val="000000"/>
          <w:sz w:val="20"/>
          <w:szCs w:val="20"/>
        </w:rPr>
        <w:t xml:space="preserve">The Company maintains programs that facilitate the funding of leases, loans, and other alternative payment structures in the capital markets. The majority of DFS debt is non-recourse to Dell Technologies and </w:t>
      </w:r>
      <w:r>
        <w:rPr>
          <w:rFonts w:ascii="Times New Roman" w:eastAsia="宋体" w:hAnsi="Times New Roman"/>
          <w:color w:val="000000"/>
          <w:sz w:val="20"/>
          <w:szCs w:val="20"/>
        </w:rPr>
        <w:t>represents borrowings under securitization programs and structured financing programs, for which the Company’s risk of loss is limited to transferred loan and lease payments and associated equipment. The following table presents DFS debt as of the dates in</w:t>
      </w:r>
      <w:r>
        <w:rPr>
          <w:rFonts w:ascii="Times New Roman" w:eastAsia="宋体" w:hAnsi="Times New Roman"/>
          <w:color w:val="000000"/>
          <w:sz w:val="20"/>
          <w:szCs w:val="20"/>
        </w:rPr>
        <w:t>dicated. The table excludes the allocated portion of 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1"/>
        <w:gridCol w:w="1474"/>
        <w:gridCol w:w="36"/>
        <w:gridCol w:w="36"/>
        <w:gridCol w:w="36"/>
        <w:gridCol w:w="36"/>
        <w:gridCol w:w="121"/>
        <w:gridCol w:w="1474"/>
        <w:gridCol w:w="36"/>
      </w:tblGrid>
      <w:tr w:rsidR="00AE727E" w14:paraId="07DCEAA6" w14:textId="77777777">
        <w:tc>
          <w:tcPr>
            <w:tcW w:w="50" w:type="pct"/>
            <w:shd w:val="clear" w:color="auto" w:fill="auto"/>
            <w:vAlign w:val="bottom"/>
          </w:tcPr>
          <w:p w14:paraId="07DCEA9A" w14:textId="77777777" w:rsidR="00AE727E" w:rsidRDefault="00AE727E">
            <w:pPr>
              <w:rPr>
                <w:rFonts w:ascii="宋体"/>
              </w:rPr>
            </w:pPr>
          </w:p>
        </w:tc>
        <w:tc>
          <w:tcPr>
            <w:tcW w:w="2971" w:type="pct"/>
            <w:shd w:val="clear" w:color="auto" w:fill="auto"/>
            <w:vAlign w:val="bottom"/>
          </w:tcPr>
          <w:p w14:paraId="07DCEA9B" w14:textId="77777777" w:rsidR="00AE727E" w:rsidRDefault="00AE727E">
            <w:pPr>
              <w:rPr>
                <w:rFonts w:ascii="宋体"/>
              </w:rPr>
            </w:pPr>
          </w:p>
        </w:tc>
        <w:tc>
          <w:tcPr>
            <w:tcW w:w="5" w:type="pct"/>
            <w:shd w:val="clear" w:color="auto" w:fill="auto"/>
            <w:vAlign w:val="bottom"/>
          </w:tcPr>
          <w:p w14:paraId="07DCEA9C" w14:textId="77777777" w:rsidR="00AE727E" w:rsidRDefault="00AE727E">
            <w:pPr>
              <w:rPr>
                <w:rFonts w:ascii="宋体"/>
              </w:rPr>
            </w:pPr>
          </w:p>
        </w:tc>
        <w:tc>
          <w:tcPr>
            <w:tcW w:w="50" w:type="pct"/>
            <w:shd w:val="clear" w:color="auto" w:fill="auto"/>
            <w:vAlign w:val="bottom"/>
          </w:tcPr>
          <w:p w14:paraId="07DCEA9D" w14:textId="77777777" w:rsidR="00AE727E" w:rsidRDefault="00AE727E">
            <w:pPr>
              <w:rPr>
                <w:rFonts w:ascii="宋体"/>
              </w:rPr>
            </w:pPr>
          </w:p>
        </w:tc>
        <w:tc>
          <w:tcPr>
            <w:tcW w:w="917" w:type="pct"/>
            <w:shd w:val="clear" w:color="auto" w:fill="auto"/>
            <w:vAlign w:val="bottom"/>
          </w:tcPr>
          <w:p w14:paraId="07DCEA9E" w14:textId="77777777" w:rsidR="00AE727E" w:rsidRDefault="00AE727E">
            <w:pPr>
              <w:rPr>
                <w:rFonts w:ascii="宋体"/>
              </w:rPr>
            </w:pPr>
          </w:p>
        </w:tc>
        <w:tc>
          <w:tcPr>
            <w:tcW w:w="5" w:type="pct"/>
            <w:shd w:val="clear" w:color="auto" w:fill="auto"/>
            <w:vAlign w:val="bottom"/>
          </w:tcPr>
          <w:p w14:paraId="07DCEA9F" w14:textId="77777777" w:rsidR="00AE727E" w:rsidRDefault="00AE727E">
            <w:pPr>
              <w:rPr>
                <w:rFonts w:ascii="宋体"/>
              </w:rPr>
            </w:pPr>
          </w:p>
        </w:tc>
        <w:tc>
          <w:tcPr>
            <w:tcW w:w="5" w:type="pct"/>
            <w:shd w:val="clear" w:color="auto" w:fill="auto"/>
            <w:vAlign w:val="bottom"/>
          </w:tcPr>
          <w:p w14:paraId="07DCEAA0" w14:textId="77777777" w:rsidR="00AE727E" w:rsidRDefault="00AE727E">
            <w:pPr>
              <w:rPr>
                <w:rFonts w:ascii="宋体"/>
              </w:rPr>
            </w:pPr>
          </w:p>
        </w:tc>
        <w:tc>
          <w:tcPr>
            <w:tcW w:w="19" w:type="pct"/>
            <w:shd w:val="clear" w:color="auto" w:fill="auto"/>
            <w:vAlign w:val="bottom"/>
          </w:tcPr>
          <w:p w14:paraId="07DCEAA1" w14:textId="77777777" w:rsidR="00AE727E" w:rsidRDefault="00AE727E">
            <w:pPr>
              <w:rPr>
                <w:rFonts w:ascii="宋体"/>
              </w:rPr>
            </w:pPr>
          </w:p>
        </w:tc>
        <w:tc>
          <w:tcPr>
            <w:tcW w:w="5" w:type="pct"/>
            <w:shd w:val="clear" w:color="auto" w:fill="auto"/>
            <w:vAlign w:val="bottom"/>
          </w:tcPr>
          <w:p w14:paraId="07DCEAA2" w14:textId="77777777" w:rsidR="00AE727E" w:rsidRDefault="00AE727E">
            <w:pPr>
              <w:rPr>
                <w:rFonts w:ascii="宋体"/>
              </w:rPr>
            </w:pPr>
          </w:p>
        </w:tc>
        <w:tc>
          <w:tcPr>
            <w:tcW w:w="50" w:type="pct"/>
            <w:shd w:val="clear" w:color="auto" w:fill="auto"/>
            <w:vAlign w:val="bottom"/>
          </w:tcPr>
          <w:p w14:paraId="07DCEAA3" w14:textId="77777777" w:rsidR="00AE727E" w:rsidRDefault="00AE727E">
            <w:pPr>
              <w:rPr>
                <w:rFonts w:ascii="宋体"/>
              </w:rPr>
            </w:pPr>
          </w:p>
        </w:tc>
        <w:tc>
          <w:tcPr>
            <w:tcW w:w="917" w:type="pct"/>
            <w:shd w:val="clear" w:color="auto" w:fill="auto"/>
            <w:vAlign w:val="bottom"/>
          </w:tcPr>
          <w:p w14:paraId="07DCEAA4" w14:textId="77777777" w:rsidR="00AE727E" w:rsidRDefault="00AE727E">
            <w:pPr>
              <w:rPr>
                <w:rFonts w:ascii="宋体"/>
              </w:rPr>
            </w:pPr>
          </w:p>
        </w:tc>
        <w:tc>
          <w:tcPr>
            <w:tcW w:w="5" w:type="pct"/>
            <w:shd w:val="clear" w:color="auto" w:fill="auto"/>
            <w:vAlign w:val="bottom"/>
          </w:tcPr>
          <w:p w14:paraId="07DCEAA5" w14:textId="77777777" w:rsidR="00AE727E" w:rsidRDefault="00AE727E">
            <w:pPr>
              <w:rPr>
                <w:rFonts w:ascii="宋体"/>
              </w:rPr>
            </w:pPr>
          </w:p>
        </w:tc>
      </w:tr>
      <w:tr w:rsidR="00AE727E" w14:paraId="07DCEAAB" w14:textId="77777777">
        <w:tc>
          <w:tcPr>
            <w:tcW w:w="0" w:type="auto"/>
            <w:gridSpan w:val="3"/>
            <w:shd w:val="clear" w:color="auto" w:fill="auto"/>
            <w:tcMar>
              <w:top w:w="0" w:type="dxa"/>
              <w:left w:w="20" w:type="dxa"/>
              <w:bottom w:w="0" w:type="dxa"/>
              <w:right w:w="20" w:type="dxa"/>
            </w:tcMar>
            <w:vAlign w:val="bottom"/>
          </w:tcPr>
          <w:p w14:paraId="07DCEAA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AA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AA9"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AAA"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AAE" w14:textId="77777777">
        <w:tc>
          <w:tcPr>
            <w:tcW w:w="0" w:type="auto"/>
            <w:gridSpan w:val="3"/>
            <w:shd w:val="clear" w:color="auto" w:fill="FFFFFF"/>
            <w:tcMar>
              <w:top w:w="0" w:type="dxa"/>
              <w:left w:w="20" w:type="dxa"/>
              <w:bottom w:w="0" w:type="dxa"/>
              <w:right w:w="20" w:type="dxa"/>
            </w:tcMar>
            <w:vAlign w:val="bottom"/>
          </w:tcPr>
          <w:p w14:paraId="07DCEAAC"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CEAAD"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AB3" w14:textId="77777777">
        <w:tc>
          <w:tcPr>
            <w:tcW w:w="0" w:type="auto"/>
            <w:gridSpan w:val="3"/>
            <w:shd w:val="clear" w:color="auto" w:fill="CCEEFF"/>
            <w:tcMar>
              <w:top w:w="40" w:type="dxa"/>
              <w:left w:w="20" w:type="dxa"/>
              <w:bottom w:w="40" w:type="dxa"/>
              <w:right w:w="20" w:type="dxa"/>
            </w:tcMar>
            <w:vAlign w:val="center"/>
          </w:tcPr>
          <w:p w14:paraId="07DCEAAF" w14:textId="77777777" w:rsidR="00AE727E" w:rsidRDefault="008433E0">
            <w:pPr>
              <w:textAlignment w:val="center"/>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vAlign w:val="bottom"/>
          </w:tcPr>
          <w:p w14:paraId="07DCEAB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AB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AB2" w14:textId="77777777" w:rsidR="00AE727E" w:rsidRDefault="00AE727E">
            <w:pPr>
              <w:rPr>
                <w:rFonts w:ascii="宋体"/>
              </w:rPr>
            </w:pPr>
          </w:p>
        </w:tc>
      </w:tr>
      <w:tr w:rsidR="00AE727E" w14:paraId="07DCEABC" w14:textId="77777777">
        <w:tc>
          <w:tcPr>
            <w:tcW w:w="0" w:type="auto"/>
            <w:gridSpan w:val="3"/>
            <w:shd w:val="clear" w:color="auto" w:fill="FFFFFF"/>
            <w:tcMar>
              <w:top w:w="40" w:type="dxa"/>
              <w:left w:w="155" w:type="dxa"/>
              <w:bottom w:w="40" w:type="dxa"/>
              <w:right w:w="20" w:type="dxa"/>
            </w:tcMar>
            <w:vAlign w:val="center"/>
          </w:tcPr>
          <w:p w14:paraId="07DCEAB4" w14:textId="77777777" w:rsidR="00AE727E" w:rsidRDefault="008433E0">
            <w:pPr>
              <w:textAlignment w:val="center"/>
            </w:pPr>
            <w:r>
              <w:rPr>
                <w:rFonts w:ascii="Times New Roman" w:eastAsia="宋体" w:hAnsi="Times New Roman"/>
                <w:color w:val="000000"/>
                <w:sz w:val="20"/>
                <w:szCs w:val="20"/>
              </w:rPr>
              <w:t>Asset-based financing and securitization facilities</w:t>
            </w:r>
          </w:p>
        </w:tc>
        <w:tc>
          <w:tcPr>
            <w:tcW w:w="0" w:type="auto"/>
            <w:shd w:val="clear" w:color="auto" w:fill="FFFFFF"/>
            <w:tcMar>
              <w:top w:w="40" w:type="dxa"/>
              <w:left w:w="20" w:type="dxa"/>
              <w:bottom w:w="40" w:type="dxa"/>
              <w:right w:w="0" w:type="dxa"/>
            </w:tcMar>
            <w:vAlign w:val="center"/>
          </w:tcPr>
          <w:p w14:paraId="07DCEAB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AB6" w14:textId="77777777" w:rsidR="00AE727E" w:rsidRDefault="008433E0">
            <w:pPr>
              <w:jc w:val="right"/>
              <w:textAlignment w:val="center"/>
            </w:pPr>
            <w:r>
              <w:rPr>
                <w:rFonts w:ascii="Times New Roman" w:eastAsia="宋体" w:hAnsi="Times New Roman"/>
                <w:color w:val="000000"/>
                <w:sz w:val="20"/>
                <w:szCs w:val="20"/>
              </w:rPr>
              <w:t>2,650 </w:t>
            </w:r>
          </w:p>
        </w:tc>
        <w:tc>
          <w:tcPr>
            <w:tcW w:w="0" w:type="auto"/>
            <w:shd w:val="clear" w:color="auto" w:fill="FFFFFF"/>
            <w:tcMar>
              <w:top w:w="40" w:type="dxa"/>
              <w:left w:w="0" w:type="dxa"/>
              <w:bottom w:w="40" w:type="dxa"/>
              <w:right w:w="20" w:type="dxa"/>
            </w:tcMar>
            <w:vAlign w:val="center"/>
          </w:tcPr>
          <w:p w14:paraId="07DCEAB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AB8"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AB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ABA" w14:textId="77777777" w:rsidR="00AE727E" w:rsidRDefault="008433E0">
            <w:pPr>
              <w:jc w:val="right"/>
              <w:textAlignment w:val="center"/>
            </w:pPr>
            <w:r>
              <w:rPr>
                <w:rFonts w:ascii="Times New Roman" w:eastAsia="宋体" w:hAnsi="Times New Roman"/>
                <w:color w:val="000000"/>
                <w:sz w:val="20"/>
                <w:szCs w:val="20"/>
              </w:rPr>
              <w:t>3,311 </w:t>
            </w:r>
          </w:p>
        </w:tc>
        <w:tc>
          <w:tcPr>
            <w:tcW w:w="0" w:type="auto"/>
            <w:shd w:val="clear" w:color="auto" w:fill="FFFFFF"/>
            <w:tcMar>
              <w:top w:w="40" w:type="dxa"/>
              <w:left w:w="0" w:type="dxa"/>
              <w:bottom w:w="40" w:type="dxa"/>
              <w:right w:w="20" w:type="dxa"/>
            </w:tcMar>
            <w:vAlign w:val="center"/>
          </w:tcPr>
          <w:p w14:paraId="07DCEABB" w14:textId="77777777" w:rsidR="00AE727E" w:rsidRDefault="00AE727E">
            <w:pPr>
              <w:jc w:val="right"/>
              <w:rPr>
                <w:rFonts w:ascii="宋体"/>
              </w:rPr>
            </w:pPr>
          </w:p>
        </w:tc>
      </w:tr>
      <w:tr w:rsidR="00AE727E" w14:paraId="07DCEAC3" w14:textId="77777777">
        <w:tc>
          <w:tcPr>
            <w:tcW w:w="0" w:type="auto"/>
            <w:gridSpan w:val="3"/>
            <w:shd w:val="clear" w:color="auto" w:fill="CCEEFF"/>
            <w:tcMar>
              <w:top w:w="40" w:type="dxa"/>
              <w:left w:w="155" w:type="dxa"/>
              <w:bottom w:w="40" w:type="dxa"/>
              <w:right w:w="20" w:type="dxa"/>
            </w:tcMar>
            <w:vAlign w:val="center"/>
          </w:tcPr>
          <w:p w14:paraId="07DCEABD" w14:textId="77777777" w:rsidR="00AE727E" w:rsidRDefault="008433E0">
            <w:pPr>
              <w:textAlignment w:val="center"/>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center"/>
          </w:tcPr>
          <w:p w14:paraId="07DCEABE" w14:textId="77777777" w:rsidR="00AE727E" w:rsidRDefault="008433E0">
            <w:pPr>
              <w:jc w:val="right"/>
              <w:textAlignment w:val="center"/>
            </w:pPr>
            <w:r>
              <w:rPr>
                <w:rFonts w:ascii="Times New Roman" w:eastAsia="宋体" w:hAnsi="Times New Roman"/>
                <w:color w:val="000000"/>
                <w:sz w:val="20"/>
                <w:szCs w:val="20"/>
              </w:rPr>
              <w:t>3,618 </w:t>
            </w:r>
          </w:p>
        </w:tc>
        <w:tc>
          <w:tcPr>
            <w:tcW w:w="0" w:type="auto"/>
            <w:shd w:val="clear" w:color="auto" w:fill="CCEEFF"/>
            <w:tcMar>
              <w:top w:w="40" w:type="dxa"/>
              <w:left w:w="0" w:type="dxa"/>
              <w:bottom w:w="40" w:type="dxa"/>
              <w:right w:w="20" w:type="dxa"/>
            </w:tcMar>
            <w:vAlign w:val="center"/>
          </w:tcPr>
          <w:p w14:paraId="07DCEAB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AC1" w14:textId="77777777" w:rsidR="00AE727E" w:rsidRDefault="008433E0">
            <w:pPr>
              <w:jc w:val="right"/>
              <w:textAlignment w:val="center"/>
            </w:pPr>
            <w:r>
              <w:rPr>
                <w:rFonts w:ascii="Times New Roman" w:eastAsia="宋体" w:hAnsi="Times New Roman"/>
                <w:color w:val="000000"/>
                <w:sz w:val="20"/>
                <w:szCs w:val="20"/>
              </w:rPr>
              <w:t>2,961 </w:t>
            </w:r>
          </w:p>
        </w:tc>
        <w:tc>
          <w:tcPr>
            <w:tcW w:w="0" w:type="auto"/>
            <w:shd w:val="clear" w:color="auto" w:fill="CCEEFF"/>
            <w:tcMar>
              <w:top w:w="40" w:type="dxa"/>
              <w:left w:w="0" w:type="dxa"/>
              <w:bottom w:w="40" w:type="dxa"/>
              <w:right w:w="20" w:type="dxa"/>
            </w:tcMar>
            <w:vAlign w:val="center"/>
          </w:tcPr>
          <w:p w14:paraId="07DCEAC2" w14:textId="77777777" w:rsidR="00AE727E" w:rsidRDefault="00AE727E">
            <w:pPr>
              <w:jc w:val="right"/>
              <w:rPr>
                <w:rFonts w:ascii="宋体"/>
              </w:rPr>
            </w:pPr>
          </w:p>
        </w:tc>
      </w:tr>
      <w:tr w:rsidR="00AE727E" w14:paraId="07DCEACA" w14:textId="77777777">
        <w:tc>
          <w:tcPr>
            <w:tcW w:w="0" w:type="auto"/>
            <w:gridSpan w:val="3"/>
            <w:shd w:val="clear" w:color="auto" w:fill="FFFFFF"/>
            <w:tcMar>
              <w:top w:w="40" w:type="dxa"/>
              <w:left w:w="155" w:type="dxa"/>
              <w:bottom w:w="40" w:type="dxa"/>
              <w:right w:w="20" w:type="dxa"/>
            </w:tcMar>
            <w:vAlign w:val="center"/>
          </w:tcPr>
          <w:p w14:paraId="07DCEAC4" w14:textId="77777777" w:rsidR="00AE727E" w:rsidRDefault="008433E0">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07DCEAC5" w14:textId="77777777" w:rsidR="00AE727E" w:rsidRDefault="008433E0">
            <w:pPr>
              <w:jc w:val="right"/>
              <w:textAlignment w:val="center"/>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center"/>
          </w:tcPr>
          <w:p w14:paraId="07DCEA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AC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AC8" w14:textId="77777777" w:rsidR="00AE727E" w:rsidRDefault="008433E0">
            <w:pPr>
              <w:jc w:val="right"/>
              <w:textAlignment w:val="center"/>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center"/>
          </w:tcPr>
          <w:p w14:paraId="07DCEAC9" w14:textId="77777777" w:rsidR="00AE727E" w:rsidRDefault="00AE727E">
            <w:pPr>
              <w:jc w:val="right"/>
              <w:rPr>
                <w:rFonts w:ascii="宋体"/>
              </w:rPr>
            </w:pPr>
          </w:p>
        </w:tc>
      </w:tr>
      <w:tr w:rsidR="00AE727E" w14:paraId="07DCEAD1" w14:textId="77777777">
        <w:tc>
          <w:tcPr>
            <w:tcW w:w="0" w:type="auto"/>
            <w:gridSpan w:val="3"/>
            <w:shd w:val="clear" w:color="auto" w:fill="CCEEFF"/>
            <w:tcMar>
              <w:top w:w="40" w:type="dxa"/>
              <w:left w:w="245" w:type="dxa"/>
              <w:bottom w:w="40" w:type="dxa"/>
              <w:right w:w="20" w:type="dxa"/>
            </w:tcMar>
            <w:vAlign w:val="center"/>
          </w:tcPr>
          <w:p w14:paraId="07DCEACB" w14:textId="77777777" w:rsidR="00AE727E" w:rsidRDefault="008433E0">
            <w:pPr>
              <w:textAlignment w:val="center"/>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EACC" w14:textId="77777777" w:rsidR="00AE727E" w:rsidRDefault="008433E0">
            <w:pPr>
              <w:jc w:val="right"/>
              <w:textAlignment w:val="center"/>
            </w:pPr>
            <w:r>
              <w:rPr>
                <w:rFonts w:ascii="Times New Roman" w:eastAsia="宋体" w:hAnsi="Times New Roman"/>
                <w:color w:val="000000"/>
                <w:sz w:val="20"/>
                <w:szCs w:val="20"/>
              </w:rPr>
              <w:t>6,415 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A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CE"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EACF" w14:textId="77777777" w:rsidR="00AE727E" w:rsidRDefault="008433E0">
            <w:pPr>
              <w:jc w:val="right"/>
              <w:textAlignment w:val="center"/>
            </w:pPr>
            <w:r>
              <w:rPr>
                <w:rFonts w:ascii="Times New Roman" w:eastAsia="宋体" w:hAnsi="Times New Roman"/>
                <w:color w:val="000000"/>
                <w:sz w:val="20"/>
                <w:szCs w:val="20"/>
              </w:rPr>
              <w:t>6,412 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AD0" w14:textId="77777777" w:rsidR="00AE727E" w:rsidRDefault="00AE727E">
            <w:pPr>
              <w:jc w:val="right"/>
              <w:rPr>
                <w:rFonts w:ascii="宋体"/>
              </w:rPr>
            </w:pPr>
          </w:p>
        </w:tc>
      </w:tr>
      <w:tr w:rsidR="00AE727E" w14:paraId="07DCEAD6" w14:textId="77777777">
        <w:tc>
          <w:tcPr>
            <w:tcW w:w="0" w:type="auto"/>
            <w:gridSpan w:val="3"/>
            <w:shd w:val="clear" w:color="auto" w:fill="FFFFFF"/>
            <w:tcMar>
              <w:top w:w="40" w:type="dxa"/>
              <w:left w:w="20" w:type="dxa"/>
              <w:bottom w:w="40" w:type="dxa"/>
              <w:right w:w="20" w:type="dxa"/>
            </w:tcMar>
            <w:vAlign w:val="center"/>
          </w:tcPr>
          <w:p w14:paraId="07DCEAD2" w14:textId="77777777" w:rsidR="00AE727E" w:rsidRDefault="008433E0">
            <w:pPr>
              <w:textAlignment w:val="center"/>
            </w:pPr>
            <w:r>
              <w:rPr>
                <w:rFonts w:ascii="Times New Roman" w:eastAsia="宋体" w:hAnsi="Times New Roman"/>
                <w:i/>
                <w:iCs/>
                <w:color w:val="000000"/>
                <w:sz w:val="20"/>
                <w:szCs w:val="20"/>
              </w:rPr>
              <w:t>DFS international debt:</w:t>
            </w:r>
          </w:p>
        </w:tc>
        <w:tc>
          <w:tcPr>
            <w:tcW w:w="0" w:type="auto"/>
            <w:gridSpan w:val="3"/>
            <w:shd w:val="clear" w:color="auto" w:fill="FFFFFF"/>
            <w:tcMar>
              <w:top w:w="0" w:type="dxa"/>
              <w:left w:w="20" w:type="dxa"/>
              <w:bottom w:w="0" w:type="dxa"/>
              <w:right w:w="20" w:type="dxa"/>
            </w:tcMar>
            <w:vAlign w:val="bottom"/>
          </w:tcPr>
          <w:p w14:paraId="07DCEAD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AD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AD5" w14:textId="77777777" w:rsidR="00AE727E" w:rsidRDefault="00AE727E">
            <w:pPr>
              <w:rPr>
                <w:rFonts w:ascii="宋体"/>
              </w:rPr>
            </w:pPr>
          </w:p>
        </w:tc>
      </w:tr>
      <w:tr w:rsidR="00AE727E" w14:paraId="07DCEADD" w14:textId="77777777">
        <w:tc>
          <w:tcPr>
            <w:tcW w:w="0" w:type="auto"/>
            <w:gridSpan w:val="3"/>
            <w:shd w:val="clear" w:color="auto" w:fill="CCEEFF"/>
            <w:tcMar>
              <w:top w:w="40" w:type="dxa"/>
              <w:left w:w="155" w:type="dxa"/>
              <w:bottom w:w="40" w:type="dxa"/>
              <w:right w:w="20" w:type="dxa"/>
            </w:tcMar>
            <w:vAlign w:val="center"/>
          </w:tcPr>
          <w:p w14:paraId="07DCEAD7" w14:textId="77777777" w:rsidR="00AE727E" w:rsidRDefault="008433E0">
            <w:pPr>
              <w:textAlignment w:val="center"/>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center"/>
          </w:tcPr>
          <w:p w14:paraId="07DCEAD8" w14:textId="77777777" w:rsidR="00AE727E" w:rsidRDefault="008433E0">
            <w:pPr>
              <w:jc w:val="right"/>
              <w:textAlignment w:val="center"/>
            </w:pPr>
            <w:r>
              <w:rPr>
                <w:rFonts w:ascii="Times New Roman" w:eastAsia="宋体" w:hAnsi="Times New Roman"/>
                <w:color w:val="000000"/>
                <w:sz w:val="20"/>
                <w:szCs w:val="20"/>
              </w:rPr>
              <w:t>751 </w:t>
            </w:r>
          </w:p>
        </w:tc>
        <w:tc>
          <w:tcPr>
            <w:tcW w:w="0" w:type="auto"/>
            <w:shd w:val="clear" w:color="auto" w:fill="CCEEFF"/>
            <w:tcMar>
              <w:top w:w="40" w:type="dxa"/>
              <w:left w:w="0" w:type="dxa"/>
              <w:bottom w:w="40" w:type="dxa"/>
              <w:right w:w="20" w:type="dxa"/>
            </w:tcMar>
            <w:vAlign w:val="center"/>
          </w:tcPr>
          <w:p w14:paraId="07DCEAD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D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ADB" w14:textId="77777777" w:rsidR="00AE727E" w:rsidRDefault="008433E0">
            <w:pPr>
              <w:jc w:val="right"/>
              <w:textAlignment w:val="center"/>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center"/>
          </w:tcPr>
          <w:p w14:paraId="07DCEADC" w14:textId="77777777" w:rsidR="00AE727E" w:rsidRDefault="00AE727E">
            <w:pPr>
              <w:jc w:val="right"/>
              <w:rPr>
                <w:rFonts w:ascii="宋体"/>
              </w:rPr>
            </w:pPr>
          </w:p>
        </w:tc>
      </w:tr>
      <w:tr w:rsidR="00AE727E" w14:paraId="07DCEAE4" w14:textId="77777777">
        <w:tc>
          <w:tcPr>
            <w:tcW w:w="0" w:type="auto"/>
            <w:gridSpan w:val="3"/>
            <w:shd w:val="clear" w:color="auto" w:fill="FFFFFF"/>
            <w:tcMar>
              <w:top w:w="40" w:type="dxa"/>
              <w:left w:w="155" w:type="dxa"/>
              <w:bottom w:w="40" w:type="dxa"/>
              <w:right w:w="20" w:type="dxa"/>
            </w:tcMar>
            <w:vAlign w:val="center"/>
          </w:tcPr>
          <w:p w14:paraId="07DCEADE" w14:textId="77777777" w:rsidR="00AE727E" w:rsidRDefault="008433E0">
            <w:pPr>
              <w:textAlignment w:val="center"/>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center"/>
          </w:tcPr>
          <w:p w14:paraId="07DCEADF" w14:textId="77777777" w:rsidR="00AE727E" w:rsidRDefault="008433E0">
            <w:pPr>
              <w:jc w:val="right"/>
              <w:textAlignment w:val="center"/>
            </w:pPr>
            <w:r>
              <w:rPr>
                <w:rFonts w:ascii="Times New Roman" w:eastAsia="宋体" w:hAnsi="Times New Roman"/>
                <w:color w:val="000000"/>
                <w:sz w:val="20"/>
                <w:szCs w:val="20"/>
              </w:rPr>
              <w:t>809 </w:t>
            </w:r>
          </w:p>
        </w:tc>
        <w:tc>
          <w:tcPr>
            <w:tcW w:w="0" w:type="auto"/>
            <w:shd w:val="clear" w:color="auto" w:fill="FFFFFF"/>
            <w:tcMar>
              <w:top w:w="40" w:type="dxa"/>
              <w:left w:w="0" w:type="dxa"/>
              <w:bottom w:w="40" w:type="dxa"/>
              <w:right w:w="20" w:type="dxa"/>
            </w:tcMar>
            <w:vAlign w:val="center"/>
          </w:tcPr>
          <w:p w14:paraId="07DCEAE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AE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AE2" w14:textId="77777777" w:rsidR="00AE727E" w:rsidRDefault="008433E0">
            <w:pPr>
              <w:jc w:val="right"/>
              <w:textAlignment w:val="center"/>
            </w:pPr>
            <w:r>
              <w:rPr>
                <w:rFonts w:ascii="Times New Roman" w:eastAsia="宋体" w:hAnsi="Times New Roman"/>
                <w:color w:val="000000"/>
                <w:sz w:val="20"/>
                <w:szCs w:val="20"/>
              </w:rPr>
              <w:t>1,006 </w:t>
            </w:r>
          </w:p>
        </w:tc>
        <w:tc>
          <w:tcPr>
            <w:tcW w:w="0" w:type="auto"/>
            <w:shd w:val="clear" w:color="auto" w:fill="FFFFFF"/>
            <w:tcMar>
              <w:top w:w="40" w:type="dxa"/>
              <w:left w:w="0" w:type="dxa"/>
              <w:bottom w:w="40" w:type="dxa"/>
              <w:right w:w="20" w:type="dxa"/>
            </w:tcMar>
            <w:vAlign w:val="center"/>
          </w:tcPr>
          <w:p w14:paraId="07DCEAE3" w14:textId="77777777" w:rsidR="00AE727E" w:rsidRDefault="00AE727E">
            <w:pPr>
              <w:jc w:val="right"/>
              <w:rPr>
                <w:rFonts w:ascii="宋体"/>
              </w:rPr>
            </w:pPr>
          </w:p>
        </w:tc>
      </w:tr>
      <w:tr w:rsidR="00AE727E" w14:paraId="07DCEAEB" w14:textId="77777777">
        <w:tc>
          <w:tcPr>
            <w:tcW w:w="0" w:type="auto"/>
            <w:gridSpan w:val="3"/>
            <w:shd w:val="clear" w:color="auto" w:fill="CCEEFF"/>
            <w:tcMar>
              <w:top w:w="40" w:type="dxa"/>
              <w:left w:w="155" w:type="dxa"/>
              <w:bottom w:w="40" w:type="dxa"/>
              <w:right w:w="20" w:type="dxa"/>
            </w:tcMar>
            <w:vAlign w:val="center"/>
          </w:tcPr>
          <w:p w14:paraId="07DCEAE5" w14:textId="77777777" w:rsidR="00AE727E" w:rsidRDefault="008433E0">
            <w:pPr>
              <w:textAlignment w:val="center"/>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center"/>
          </w:tcPr>
          <w:p w14:paraId="07DCEAE6" w14:textId="77777777" w:rsidR="00AE727E" w:rsidRDefault="008433E0">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07DCEAE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E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AE9" w14:textId="77777777" w:rsidR="00AE727E" w:rsidRDefault="008433E0">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07DCEAEA" w14:textId="77777777" w:rsidR="00AE727E" w:rsidRDefault="00AE727E">
            <w:pPr>
              <w:jc w:val="right"/>
              <w:rPr>
                <w:rFonts w:ascii="宋体"/>
              </w:rPr>
            </w:pPr>
          </w:p>
        </w:tc>
      </w:tr>
      <w:tr w:rsidR="00AE727E" w14:paraId="07DCEAF2" w14:textId="77777777">
        <w:tc>
          <w:tcPr>
            <w:tcW w:w="0" w:type="auto"/>
            <w:gridSpan w:val="3"/>
            <w:shd w:val="clear" w:color="auto" w:fill="FFFFFF"/>
            <w:tcMar>
              <w:top w:w="40" w:type="dxa"/>
              <w:left w:w="155" w:type="dxa"/>
              <w:bottom w:w="40" w:type="dxa"/>
              <w:right w:w="20" w:type="dxa"/>
            </w:tcMar>
            <w:vAlign w:val="center"/>
          </w:tcPr>
          <w:p w14:paraId="07DCEAEC" w14:textId="77777777" w:rsidR="00AE727E" w:rsidRDefault="008433E0">
            <w:pPr>
              <w:textAlignment w:val="center"/>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center"/>
          </w:tcPr>
          <w:p w14:paraId="07DCEAED" w14:textId="77777777" w:rsidR="00AE727E" w:rsidRDefault="008433E0">
            <w:pPr>
              <w:jc w:val="right"/>
              <w:textAlignment w:val="center"/>
            </w:pPr>
            <w:r>
              <w:rPr>
                <w:rFonts w:ascii="Times New Roman" w:eastAsia="宋体" w:hAnsi="Times New Roman"/>
                <w:color w:val="000000"/>
                <w:sz w:val="20"/>
                <w:szCs w:val="20"/>
              </w:rPr>
              <w:t>1,752 </w:t>
            </w:r>
          </w:p>
        </w:tc>
        <w:tc>
          <w:tcPr>
            <w:tcW w:w="0" w:type="auto"/>
            <w:shd w:val="clear" w:color="auto" w:fill="FFFFFF"/>
            <w:tcMar>
              <w:top w:w="40" w:type="dxa"/>
              <w:left w:w="0" w:type="dxa"/>
              <w:bottom w:w="40" w:type="dxa"/>
              <w:right w:w="20" w:type="dxa"/>
            </w:tcMar>
            <w:vAlign w:val="center"/>
          </w:tcPr>
          <w:p w14:paraId="07DCEA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AE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AF0" w14:textId="77777777" w:rsidR="00AE727E" w:rsidRDefault="008433E0">
            <w:pPr>
              <w:jc w:val="right"/>
              <w:textAlignment w:val="center"/>
            </w:pPr>
            <w:r>
              <w:rPr>
                <w:rFonts w:ascii="Times New Roman" w:eastAsia="宋体" w:hAnsi="Times New Roman"/>
                <w:color w:val="000000"/>
                <w:sz w:val="20"/>
                <w:szCs w:val="20"/>
              </w:rPr>
              <w:t>1,212 </w:t>
            </w:r>
          </w:p>
        </w:tc>
        <w:tc>
          <w:tcPr>
            <w:tcW w:w="0" w:type="auto"/>
            <w:shd w:val="clear" w:color="auto" w:fill="FFFFFF"/>
            <w:tcMar>
              <w:top w:w="40" w:type="dxa"/>
              <w:left w:w="0" w:type="dxa"/>
              <w:bottom w:w="40" w:type="dxa"/>
              <w:right w:w="20" w:type="dxa"/>
            </w:tcMar>
            <w:vAlign w:val="center"/>
          </w:tcPr>
          <w:p w14:paraId="07DCEAF1" w14:textId="77777777" w:rsidR="00AE727E" w:rsidRDefault="00AE727E">
            <w:pPr>
              <w:jc w:val="right"/>
              <w:rPr>
                <w:rFonts w:ascii="宋体"/>
              </w:rPr>
            </w:pPr>
          </w:p>
        </w:tc>
      </w:tr>
      <w:tr w:rsidR="00AE727E" w14:paraId="07DCEAF9" w14:textId="77777777">
        <w:tc>
          <w:tcPr>
            <w:tcW w:w="0" w:type="auto"/>
            <w:gridSpan w:val="3"/>
            <w:shd w:val="clear" w:color="auto" w:fill="CCEEFF"/>
            <w:tcMar>
              <w:top w:w="40" w:type="dxa"/>
              <w:left w:w="245" w:type="dxa"/>
              <w:bottom w:w="40" w:type="dxa"/>
              <w:right w:w="20" w:type="dxa"/>
            </w:tcMar>
            <w:vAlign w:val="center"/>
          </w:tcPr>
          <w:p w14:paraId="07DCEAF3" w14:textId="77777777" w:rsidR="00AE727E" w:rsidRDefault="008433E0">
            <w:pPr>
              <w:textAlignment w:val="center"/>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EAF4" w14:textId="77777777" w:rsidR="00AE727E" w:rsidRDefault="008433E0">
            <w:pPr>
              <w:jc w:val="right"/>
              <w:textAlignment w:val="center"/>
            </w:pPr>
            <w:r>
              <w:rPr>
                <w:rFonts w:ascii="Times New Roman" w:eastAsia="宋体" w:hAnsi="Times New Roman"/>
                <w:color w:val="000000"/>
                <w:sz w:val="20"/>
                <w:szCs w:val="20"/>
              </w:rPr>
              <w:t>3,562 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AF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AF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EAF7" w14:textId="77777777" w:rsidR="00AE727E" w:rsidRDefault="008433E0">
            <w:pPr>
              <w:jc w:val="right"/>
              <w:textAlignment w:val="center"/>
            </w:pPr>
            <w:r>
              <w:rPr>
                <w:rFonts w:ascii="Times New Roman" w:eastAsia="宋体" w:hAnsi="Times New Roman"/>
                <w:color w:val="000000"/>
                <w:sz w:val="20"/>
                <w:szCs w:val="20"/>
              </w:rPr>
              <w:t>3,254 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AF8" w14:textId="77777777" w:rsidR="00AE727E" w:rsidRDefault="00AE727E">
            <w:pPr>
              <w:jc w:val="right"/>
              <w:rPr>
                <w:rFonts w:ascii="宋体"/>
              </w:rPr>
            </w:pPr>
          </w:p>
        </w:tc>
      </w:tr>
      <w:tr w:rsidR="00AE727E" w14:paraId="07DCEB02" w14:textId="77777777">
        <w:tc>
          <w:tcPr>
            <w:tcW w:w="0" w:type="auto"/>
            <w:gridSpan w:val="3"/>
            <w:shd w:val="clear" w:color="auto" w:fill="FFFFFF"/>
            <w:tcMar>
              <w:top w:w="40" w:type="dxa"/>
              <w:left w:w="380" w:type="dxa"/>
              <w:bottom w:w="40" w:type="dxa"/>
              <w:right w:w="20" w:type="dxa"/>
            </w:tcMar>
            <w:vAlign w:val="center"/>
          </w:tcPr>
          <w:p w14:paraId="07DCEAFA" w14:textId="77777777" w:rsidR="00AE727E" w:rsidRDefault="008433E0">
            <w:pPr>
              <w:textAlignment w:val="center"/>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center"/>
          </w:tcPr>
          <w:p w14:paraId="07DCEAF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AFC" w14:textId="77777777" w:rsidR="00AE727E" w:rsidRDefault="008433E0">
            <w:pPr>
              <w:jc w:val="right"/>
              <w:textAlignment w:val="center"/>
            </w:pPr>
            <w:r>
              <w:rPr>
                <w:rFonts w:ascii="Times New Roman" w:eastAsia="宋体" w:hAnsi="Times New Roman"/>
                <w:color w:val="000000"/>
                <w:sz w:val="20"/>
                <w:szCs w:val="20"/>
              </w:rPr>
              <w:t>9,977 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AF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AFE"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AF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B00" w14:textId="77777777" w:rsidR="00AE727E" w:rsidRDefault="008433E0">
            <w:pPr>
              <w:jc w:val="right"/>
              <w:textAlignment w:val="center"/>
            </w:pPr>
            <w:r>
              <w:rPr>
                <w:rFonts w:ascii="Times New Roman" w:eastAsia="宋体" w:hAnsi="Times New Roman"/>
                <w:color w:val="000000"/>
                <w:sz w:val="20"/>
                <w:szCs w:val="20"/>
              </w:rPr>
              <w:t>9,666 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B01" w14:textId="77777777" w:rsidR="00AE727E" w:rsidRDefault="00AE727E">
            <w:pPr>
              <w:jc w:val="right"/>
              <w:rPr>
                <w:rFonts w:ascii="宋体"/>
              </w:rPr>
            </w:pPr>
          </w:p>
        </w:tc>
      </w:tr>
      <w:tr w:rsidR="00AE727E" w14:paraId="07DCEB0B" w14:textId="77777777">
        <w:tc>
          <w:tcPr>
            <w:tcW w:w="0" w:type="auto"/>
            <w:gridSpan w:val="3"/>
            <w:shd w:val="clear" w:color="auto" w:fill="CCEEFF"/>
            <w:tcMar>
              <w:top w:w="40" w:type="dxa"/>
              <w:left w:w="515" w:type="dxa"/>
              <w:bottom w:w="40" w:type="dxa"/>
              <w:right w:w="20" w:type="dxa"/>
            </w:tcMar>
            <w:vAlign w:val="center"/>
          </w:tcPr>
          <w:p w14:paraId="07DCEB03" w14:textId="77777777" w:rsidR="00AE727E" w:rsidRDefault="008433E0">
            <w:pPr>
              <w:textAlignment w:val="center"/>
            </w:pPr>
            <w:r>
              <w:rPr>
                <w:rFonts w:ascii="Times New Roman" w:eastAsia="宋体" w:hAnsi="Times New Roman"/>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center"/>
          </w:tcPr>
          <w:p w14:paraId="07DCEB0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B05" w14:textId="77777777" w:rsidR="00AE727E" w:rsidRDefault="008433E0">
            <w:pPr>
              <w:jc w:val="right"/>
              <w:textAlignment w:val="center"/>
            </w:pPr>
            <w:r>
              <w:rPr>
                <w:rFonts w:ascii="Times New Roman" w:eastAsia="宋体" w:hAnsi="Times New Roman"/>
                <w:color w:val="000000"/>
                <w:sz w:val="20"/>
                <w:szCs w:val="20"/>
              </w:rPr>
              <w:t>5,475 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B0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07"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B08"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B09" w14:textId="77777777" w:rsidR="00AE727E" w:rsidRDefault="008433E0">
            <w:pPr>
              <w:jc w:val="right"/>
              <w:textAlignment w:val="center"/>
            </w:pPr>
            <w:r>
              <w:rPr>
                <w:rFonts w:ascii="Times New Roman" w:eastAsia="宋体" w:hAnsi="Times New Roman"/>
                <w:color w:val="000000"/>
                <w:sz w:val="20"/>
                <w:szCs w:val="20"/>
              </w:rPr>
              <w:t>4,888 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B0A" w14:textId="77777777" w:rsidR="00AE727E" w:rsidRDefault="00AE727E">
            <w:pPr>
              <w:jc w:val="right"/>
              <w:rPr>
                <w:rFonts w:ascii="宋体"/>
              </w:rPr>
            </w:pPr>
          </w:p>
        </w:tc>
      </w:tr>
      <w:tr w:rsidR="00AE727E" w14:paraId="07DCEB14" w14:textId="77777777">
        <w:tc>
          <w:tcPr>
            <w:tcW w:w="0" w:type="auto"/>
            <w:gridSpan w:val="3"/>
            <w:shd w:val="clear" w:color="auto" w:fill="FFFFFF"/>
            <w:tcMar>
              <w:top w:w="40" w:type="dxa"/>
              <w:left w:w="515" w:type="dxa"/>
              <w:bottom w:w="40" w:type="dxa"/>
              <w:right w:w="20" w:type="dxa"/>
            </w:tcMar>
            <w:vAlign w:val="center"/>
          </w:tcPr>
          <w:p w14:paraId="07DCEB0C" w14:textId="77777777" w:rsidR="00AE727E" w:rsidRDefault="008433E0">
            <w:pPr>
              <w:textAlignment w:val="center"/>
            </w:pPr>
            <w:r>
              <w:rPr>
                <w:rFonts w:ascii="Times New Roman" w:eastAsia="宋体" w:hAnsi="Times New Roman"/>
                <w:color w:val="000000"/>
                <w:sz w:val="20"/>
                <w:szCs w:val="20"/>
              </w:rPr>
              <w:t>Total long-term DFS debt</w:t>
            </w:r>
          </w:p>
        </w:tc>
        <w:tc>
          <w:tcPr>
            <w:tcW w:w="0" w:type="auto"/>
            <w:shd w:val="clear" w:color="auto" w:fill="FFFFFF"/>
            <w:tcMar>
              <w:top w:w="40" w:type="dxa"/>
              <w:left w:w="20" w:type="dxa"/>
              <w:bottom w:w="40" w:type="dxa"/>
              <w:right w:w="0" w:type="dxa"/>
            </w:tcMar>
            <w:vAlign w:val="center"/>
          </w:tcPr>
          <w:p w14:paraId="07DCEB0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0E" w14:textId="77777777" w:rsidR="00AE727E" w:rsidRDefault="008433E0">
            <w:pPr>
              <w:jc w:val="right"/>
              <w:textAlignment w:val="center"/>
            </w:pPr>
            <w:r>
              <w:rPr>
                <w:rFonts w:ascii="Times New Roman" w:eastAsia="宋体" w:hAnsi="Times New Roman"/>
                <w:color w:val="000000"/>
                <w:sz w:val="20"/>
                <w:szCs w:val="20"/>
              </w:rPr>
              <w:t>4,502 </w:t>
            </w:r>
          </w:p>
        </w:tc>
        <w:tc>
          <w:tcPr>
            <w:tcW w:w="0" w:type="auto"/>
            <w:shd w:val="clear" w:color="auto" w:fill="FFFFFF"/>
            <w:tcMar>
              <w:top w:w="40" w:type="dxa"/>
              <w:left w:w="0" w:type="dxa"/>
              <w:bottom w:w="40" w:type="dxa"/>
              <w:right w:w="20" w:type="dxa"/>
            </w:tcMar>
            <w:vAlign w:val="center"/>
          </w:tcPr>
          <w:p w14:paraId="07DCEB0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10"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B1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12" w14:textId="77777777" w:rsidR="00AE727E" w:rsidRDefault="008433E0">
            <w:pPr>
              <w:jc w:val="right"/>
              <w:textAlignment w:val="center"/>
            </w:pPr>
            <w:r>
              <w:rPr>
                <w:rFonts w:ascii="Times New Roman" w:eastAsia="宋体" w:hAnsi="Times New Roman"/>
                <w:color w:val="000000"/>
                <w:sz w:val="20"/>
                <w:szCs w:val="20"/>
              </w:rPr>
              <w:t>4,778 </w:t>
            </w:r>
          </w:p>
        </w:tc>
        <w:tc>
          <w:tcPr>
            <w:tcW w:w="0" w:type="auto"/>
            <w:shd w:val="clear" w:color="auto" w:fill="FFFFFF"/>
            <w:tcMar>
              <w:top w:w="40" w:type="dxa"/>
              <w:left w:w="0" w:type="dxa"/>
              <w:bottom w:w="40" w:type="dxa"/>
              <w:right w:w="20" w:type="dxa"/>
            </w:tcMar>
            <w:vAlign w:val="center"/>
          </w:tcPr>
          <w:p w14:paraId="07DCEB13" w14:textId="77777777" w:rsidR="00AE727E" w:rsidRDefault="00AE727E">
            <w:pPr>
              <w:jc w:val="right"/>
              <w:rPr>
                <w:rFonts w:ascii="宋体"/>
              </w:rPr>
            </w:pPr>
          </w:p>
        </w:tc>
      </w:tr>
    </w:tbl>
    <w:p w14:paraId="07DCEB15" w14:textId="77777777" w:rsidR="00AE727E" w:rsidRDefault="00AE727E"/>
    <w:p w14:paraId="07DCEB16" w14:textId="77777777" w:rsidR="00AE727E" w:rsidRDefault="008433E0">
      <w:r>
        <w:rPr>
          <w:rFonts w:ascii="Times New Roman" w:eastAsia="宋体" w:hAnsi="Times New Roman"/>
          <w:i/>
          <w:iCs/>
          <w:color w:val="000000"/>
          <w:sz w:val="20"/>
          <w:szCs w:val="20"/>
          <w:u w:val="single"/>
        </w:rPr>
        <w:t>DFS U.S. Debt</w:t>
      </w:r>
    </w:p>
    <w:p w14:paraId="07DCEB17" w14:textId="77777777" w:rsidR="00AE727E" w:rsidRDefault="00AE727E"/>
    <w:p w14:paraId="07DCEB18" w14:textId="77777777" w:rsidR="00AE727E" w:rsidRDefault="008433E0">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facilities and a securitization facility in the United States, which are </w:t>
      </w:r>
      <w:r>
        <w:rPr>
          <w:rFonts w:ascii="Times New Roman" w:eastAsia="宋体" w:hAnsi="Times New Roman"/>
          <w:color w:val="000000"/>
          <w:sz w:val="20"/>
          <w:szCs w:val="20"/>
        </w:rPr>
        <w:t>revolving facilities for fixed-term leases and loans and for revolving loans, respectively. This debt is collateralized solely by the U.S. lease and loan payments and associated equipment in the facilities. The debt has a variable interest rate and the dur</w:t>
      </w:r>
      <w:r>
        <w:rPr>
          <w:rFonts w:ascii="Times New Roman" w:eastAsia="宋体" w:hAnsi="Times New Roman"/>
          <w:color w:val="000000"/>
          <w:sz w:val="20"/>
          <w:szCs w:val="20"/>
        </w:rPr>
        <w:t>ation of the debt is based on the terms of the underlying loan and lease payment streams. As of October 29, 2021, the total debt capacity related to the U.S. asset-based financing and securitization facilities was $4.5 billion. The Company enters into inte</w:t>
      </w:r>
      <w:r>
        <w:rPr>
          <w:rFonts w:ascii="Times New Roman" w:eastAsia="宋体" w:hAnsi="Times New Roman"/>
          <w:color w:val="000000"/>
          <w:sz w:val="20"/>
          <w:szCs w:val="20"/>
        </w:rPr>
        <w:t>rest swap agreements to effectively convert a portion of this debt from a floating rate to a fixed rate. See Note 6 of the Notes to the Condensed Consolidated Financial Statements for additional information about interest rate swaps.</w:t>
      </w:r>
    </w:p>
    <w:p w14:paraId="07DCEB19" w14:textId="77777777" w:rsidR="00AE727E" w:rsidRDefault="00AE727E"/>
    <w:p w14:paraId="07DCEB1A" w14:textId="77777777" w:rsidR="00AE727E" w:rsidRDefault="008433E0">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Company’s U.S. securitization facility for revolving loans is effective through June 25, 2022. The Company’s two U.S. asset-based financing facilities for fixed-term leases and loans are effective through July 10, 2023 and July 26, 2022, respectively.</w:t>
      </w:r>
    </w:p>
    <w:p w14:paraId="07DCEB1B" w14:textId="77777777" w:rsidR="00AE727E" w:rsidRDefault="00AE727E"/>
    <w:p w14:paraId="07DCEB1C" w14:textId="77777777" w:rsidR="00AE727E" w:rsidRDefault="008433E0">
      <w:r>
        <w:rPr>
          <w:rFonts w:ascii="Times New Roman" w:eastAsia="宋体" w:hAnsi="Times New Roman"/>
          <w:color w:val="000000"/>
          <w:sz w:val="20"/>
          <w:szCs w:val="20"/>
        </w:rPr>
        <w:t>The</w:t>
      </w:r>
      <w:r>
        <w:rPr>
          <w:rFonts w:ascii="Times New Roman" w:eastAsia="宋体" w:hAnsi="Times New Roman"/>
          <w:color w:val="000000"/>
          <w:sz w:val="20"/>
          <w:szCs w:val="20"/>
        </w:rPr>
        <w:t xml:space="preserve"> asset-based financing and securitization facilities contain standard structural features related to the performance of the funded receivables, which include defined credit losses, delinquencies, average credit scores, and minimum collection requirements. </w:t>
      </w:r>
      <w:r>
        <w:rPr>
          <w:rFonts w:ascii="Times New Roman" w:eastAsia="宋体" w:hAnsi="Times New Roman"/>
          <w:color w:val="000000"/>
          <w:sz w:val="20"/>
          <w:szCs w:val="20"/>
        </w:rPr>
        <w:t>In the event one or more of these criteria are not met and the Company is unable to restructure the facility, no further funding of receivables will be permitted and the timing of the Company’s expected cash flows from over-collateralization will be delaye</w:t>
      </w:r>
      <w:r>
        <w:rPr>
          <w:rFonts w:ascii="Times New Roman" w:eastAsia="宋体" w:hAnsi="Times New Roman"/>
          <w:color w:val="000000"/>
          <w:sz w:val="20"/>
          <w:szCs w:val="20"/>
        </w:rPr>
        <w:t>d. As of October 29, 2021, these criteria were met.</w:t>
      </w:r>
    </w:p>
    <w:p w14:paraId="07DCEB1D" w14:textId="77777777" w:rsidR="00AE727E" w:rsidRDefault="00AE727E"/>
    <w:p w14:paraId="07DCEB1E" w14:textId="77777777" w:rsidR="00AE727E" w:rsidRDefault="008433E0">
      <w:r>
        <w:rPr>
          <w:rFonts w:ascii="Times New Roman" w:eastAsia="宋体" w:hAnsi="Times New Roman"/>
          <w:i/>
          <w:iCs/>
          <w:color w:val="000000"/>
          <w:sz w:val="20"/>
          <w:szCs w:val="20"/>
        </w:rPr>
        <w:t xml:space="preserve">Fixed-Term Securitization Offerings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periodically issues asset-backed debt securities under fixed-term securitization programs to private investors. The asset-backed debt securities are coll</w:t>
      </w:r>
      <w:r>
        <w:rPr>
          <w:rFonts w:ascii="Times New Roman" w:eastAsia="宋体" w:hAnsi="Times New Roman"/>
          <w:color w:val="000000"/>
          <w:sz w:val="20"/>
          <w:szCs w:val="20"/>
        </w:rPr>
        <w:t>ateralized solely by the U.S. fixed-term leases and loans in the offerings, which are held by Special Purpose Entities (“SPEs”), as discussed below. The interest rate on these securities is fixed and ranges from 0.18% to 5.92% per annum, and the duration o</w:t>
      </w:r>
      <w:r>
        <w:rPr>
          <w:rFonts w:ascii="Times New Roman" w:eastAsia="宋体" w:hAnsi="Times New Roman"/>
          <w:color w:val="000000"/>
          <w:sz w:val="20"/>
          <w:szCs w:val="20"/>
        </w:rPr>
        <w:t>f these securities is based on the terms of the underlying loan and lease payment streams.</w:t>
      </w:r>
    </w:p>
    <w:p w14:paraId="07DCEB1F" w14:textId="77777777" w:rsidR="00AE727E" w:rsidRDefault="00AE727E">
      <w:pPr>
        <w:jc w:val="center"/>
      </w:pPr>
    </w:p>
    <w:p w14:paraId="07DCEB20" w14:textId="77777777" w:rsidR="00AE727E" w:rsidRDefault="008433E0">
      <w:pPr>
        <w:jc w:val="center"/>
      </w:pPr>
      <w:r>
        <w:rPr>
          <w:rFonts w:ascii="Times New Roman" w:eastAsia="宋体" w:hAnsi="Times New Roman"/>
          <w:color w:val="000000"/>
          <w:sz w:val="20"/>
          <w:szCs w:val="20"/>
        </w:rPr>
        <w:t>23</w:t>
      </w:r>
    </w:p>
    <w:p w14:paraId="07DCEB21" w14:textId="77777777" w:rsidR="00AE727E" w:rsidRDefault="00AE727E">
      <w:pPr>
        <w:jc w:val="center"/>
      </w:pPr>
    </w:p>
    <w:p w14:paraId="07DCEB22" w14:textId="77777777" w:rsidR="00AE727E" w:rsidRDefault="008433E0">
      <w:r>
        <w:pict w14:anchorId="07DD18E7">
          <v:rect id="_x0000_i1047" style="width:415.3pt;height:1.5pt" o:hralign="center" o:hrstd="t" o:hr="t" fillcolor="#a0a0a0" stroked="f"/>
        </w:pict>
      </w:r>
    </w:p>
    <w:p w14:paraId="07DCEB23" w14:textId="77777777" w:rsidR="00AE727E" w:rsidRDefault="008433E0">
      <w:hyperlink r:id="rId148" w:anchor="i1c8279be622a460ea19600488436f115_10" w:history="1">
        <w:r>
          <w:rPr>
            <w:rStyle w:val="a5"/>
            <w:rFonts w:ascii="Times New Roman" w:eastAsia="宋体" w:hAnsi="Times New Roman"/>
            <w:sz w:val="20"/>
            <w:szCs w:val="20"/>
          </w:rPr>
          <w:t>Table of Contents</w:t>
        </w:r>
      </w:hyperlink>
    </w:p>
    <w:p w14:paraId="07DCEB2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B2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B2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B27" w14:textId="77777777" w:rsidR="00AE727E" w:rsidRDefault="00AE727E">
      <w:pPr>
        <w:jc w:val="center"/>
      </w:pPr>
    </w:p>
    <w:p w14:paraId="07DCEB28" w14:textId="77777777" w:rsidR="00AE727E" w:rsidRDefault="008433E0">
      <w:r>
        <w:rPr>
          <w:rFonts w:ascii="Times New Roman" w:eastAsia="宋体" w:hAnsi="Times New Roman"/>
          <w:i/>
          <w:iCs/>
          <w:color w:val="000000"/>
          <w:sz w:val="20"/>
          <w:szCs w:val="20"/>
          <w:u w:val="single"/>
        </w:rPr>
        <w:t>DFS International Debt</w:t>
      </w:r>
    </w:p>
    <w:p w14:paraId="07DCEB29" w14:textId="77777777" w:rsidR="00AE727E" w:rsidRDefault="00AE727E"/>
    <w:p w14:paraId="07DCEB2A" w14:textId="77777777" w:rsidR="00AE727E" w:rsidRDefault="008433E0">
      <w:r>
        <w:rPr>
          <w:rFonts w:ascii="Times New Roman" w:eastAsia="宋体" w:hAnsi="Times New Roman"/>
          <w:i/>
          <w:iCs/>
          <w:color w:val="000000"/>
          <w:sz w:val="20"/>
          <w:szCs w:val="20"/>
        </w:rPr>
        <w:t xml:space="preserve">Securitization Facility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maintains a securitization facility in Europe for fixed-term leases and loans. This facility is effective through December 21, 2022 and had a total debt capacity of $934 mil</w:t>
      </w:r>
      <w:r>
        <w:rPr>
          <w:rFonts w:ascii="Times New Roman" w:eastAsia="宋体" w:hAnsi="Times New Roman"/>
          <w:color w:val="000000"/>
          <w:sz w:val="20"/>
          <w:szCs w:val="20"/>
        </w:rPr>
        <w:t>lion as of October 29, 2021.</w:t>
      </w:r>
    </w:p>
    <w:p w14:paraId="07DCEB2B" w14:textId="77777777" w:rsidR="00AE727E" w:rsidRDefault="00AE727E"/>
    <w:p w14:paraId="07DCEB2C" w14:textId="77777777" w:rsidR="00AE727E" w:rsidRDefault="008433E0">
      <w:r>
        <w:rPr>
          <w:rFonts w:ascii="Times New Roman" w:eastAsia="宋体" w:hAnsi="Times New Roman"/>
          <w:color w:val="000000"/>
          <w:sz w:val="20"/>
          <w:szCs w:val="20"/>
        </w:rPr>
        <w:t>The securitization facility contains standard structural features related to the performance of the securitized receivables, which include defined credit losses, delinquencies, average credit scores, and minimum collection req</w:t>
      </w:r>
      <w:r>
        <w:rPr>
          <w:rFonts w:ascii="Times New Roman" w:eastAsia="宋体" w:hAnsi="Times New Roman"/>
          <w:color w:val="000000"/>
          <w:sz w:val="20"/>
          <w:szCs w:val="20"/>
        </w:rPr>
        <w:t>uirements. In the event one or more of these criteria are not met and the Company is unable to restructure the program, no further funding of receivables will be permitted and the timing of the Company’s expected cash flows from over-collateralization will</w:t>
      </w:r>
      <w:r>
        <w:rPr>
          <w:rFonts w:ascii="Times New Roman" w:eastAsia="宋体" w:hAnsi="Times New Roman"/>
          <w:color w:val="000000"/>
          <w:sz w:val="20"/>
          <w:szCs w:val="20"/>
        </w:rPr>
        <w:t xml:space="preserve"> be delayed. As of October 29, 2021, these criteria were met.</w:t>
      </w:r>
    </w:p>
    <w:p w14:paraId="07DCEB2D" w14:textId="77777777" w:rsidR="00AE727E" w:rsidRDefault="00AE727E"/>
    <w:p w14:paraId="07DCEB2E" w14:textId="77777777" w:rsidR="00AE727E" w:rsidRDefault="008433E0">
      <w:r>
        <w:rPr>
          <w:rFonts w:ascii="Times New Roman" w:eastAsia="宋体" w:hAnsi="Times New Roman"/>
          <w:i/>
          <w:iCs/>
          <w:color w:val="000000"/>
          <w:sz w:val="20"/>
          <w:szCs w:val="20"/>
        </w:rPr>
        <w:t xml:space="preserve">Other Borrowings </w:t>
      </w:r>
      <w:r>
        <w:rPr>
          <w:rFonts w:ascii="Times New Roman" w:eastAsia="宋体" w:hAnsi="Times New Roman"/>
          <w:color w:val="000000"/>
          <w:sz w:val="20"/>
          <w:szCs w:val="20"/>
        </w:rPr>
        <w: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In connection with the Company’s international financing operations, the Company enters into revolving structured financing debt programs related to its fixed-term lease </w:t>
      </w:r>
      <w:r>
        <w:rPr>
          <w:rFonts w:ascii="Times New Roman" w:eastAsia="宋体" w:hAnsi="Times New Roman"/>
          <w:color w:val="000000"/>
          <w:sz w:val="20"/>
          <w:szCs w:val="20"/>
        </w:rPr>
        <w:t xml:space="preserve">and loan products sold in Canada, Europe, Australia, and New Zealand. The Canadian facility, which is collateralized solely by Canadian lease and loan payments and associated equipment, had a total debt capacity of $364 million as of October 29, 2021, and </w:t>
      </w:r>
      <w:r>
        <w:rPr>
          <w:rFonts w:ascii="Times New Roman" w:eastAsia="宋体" w:hAnsi="Times New Roman"/>
          <w:color w:val="000000"/>
          <w:sz w:val="20"/>
          <w:szCs w:val="20"/>
        </w:rPr>
        <w:t>is effective through January 16, 2025. The European facility, which is collateralized solely by European loan and lease payments and associated equipment, had a total debt capacity of $701 million as of October 29, 2021, and is effective through December 1</w:t>
      </w:r>
      <w:r>
        <w:rPr>
          <w:rFonts w:ascii="Times New Roman" w:eastAsia="宋体" w:hAnsi="Times New Roman"/>
          <w:color w:val="000000"/>
          <w:sz w:val="20"/>
          <w:szCs w:val="20"/>
        </w:rPr>
        <w:t>4, 2023. The Australia and New Zealand facility, which is collateralized solely by Australia and New Zealand loan and lease payments and associated equipment, had a total debt capacity of $339 million as of October 29, 2021, and is effective through April </w:t>
      </w:r>
      <w:r>
        <w:rPr>
          <w:rFonts w:ascii="Times New Roman" w:eastAsia="宋体" w:hAnsi="Times New Roman"/>
          <w:color w:val="000000"/>
          <w:sz w:val="20"/>
          <w:szCs w:val="20"/>
        </w:rPr>
        <w:t>20, 2023.</w:t>
      </w:r>
    </w:p>
    <w:p w14:paraId="07DCEB2F" w14:textId="77777777" w:rsidR="00AE727E" w:rsidRDefault="00AE727E"/>
    <w:p w14:paraId="07DCEB30" w14:textId="77777777" w:rsidR="00AE727E" w:rsidRDefault="008433E0">
      <w:r>
        <w:rPr>
          <w:rFonts w:ascii="Times New Roman" w:eastAsia="宋体" w:hAnsi="Times New Roman"/>
          <w:i/>
          <w:iCs/>
          <w:color w:val="000000"/>
          <w:sz w:val="20"/>
          <w:szCs w:val="20"/>
        </w:rPr>
        <w:t xml:space="preserve">Note Payable </w:t>
      </w:r>
      <w:r>
        <w:rPr>
          <w:rFonts w:ascii="Times New Roman" w:eastAsia="宋体" w:hAnsi="Times New Roman"/>
          <w:color w:val="000000"/>
          <w:sz w:val="20"/>
          <w:szCs w:val="20"/>
        </w:rPr>
        <w:t>— On August 7, 2020, the Company entered into two new unsecured credit agreements to fund receivables in Mexico. As of October 29, 2021, the aggregate principal amount of the notes payable was $250 million. The notes bear interest a</w:t>
      </w:r>
      <w:r>
        <w:rPr>
          <w:rFonts w:ascii="Times New Roman" w:eastAsia="宋体" w:hAnsi="Times New Roman"/>
          <w:color w:val="000000"/>
          <w:sz w:val="20"/>
          <w:szCs w:val="20"/>
        </w:rPr>
        <w:t>t an annual rate of 3.37% and will mature on June 1, 2022.</w:t>
      </w:r>
    </w:p>
    <w:p w14:paraId="07DCEB31" w14:textId="77777777" w:rsidR="00AE727E" w:rsidRDefault="00AE727E"/>
    <w:p w14:paraId="07DCEB32" w14:textId="77777777" w:rsidR="00AE727E" w:rsidRDefault="008433E0">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International D.A.C., a wholly-owned subsidiary of Dell Technologies Inc., issued 500 million Euro of 0.625% senior unsecured </w:t>
      </w:r>
      <w:r>
        <w:rPr>
          <w:rFonts w:ascii="Times New Roman" w:eastAsia="宋体" w:hAnsi="Times New Roman"/>
          <w:color w:val="000000"/>
          <w:sz w:val="20"/>
          <w:szCs w:val="20"/>
        </w:rPr>
        <w:t>three year eurobonds due October 2022. On June 24, 2020, Dell Bank International D.A.C. issued 500 million Euro of 1.625% senior unsecured four year eurobonds due June 2024. On October 27, 2021, Dell Bank International D.A.C. issued 500 million Euro of 0.5</w:t>
      </w:r>
      <w:r>
        <w:rPr>
          <w:rFonts w:ascii="Times New Roman" w:eastAsia="宋体" w:hAnsi="Times New Roman"/>
          <w:color w:val="000000"/>
          <w:sz w:val="20"/>
          <w:szCs w:val="20"/>
        </w:rPr>
        <w:t>% senior unsecured five year eurobonds due October 2026. The issuances of the senior unsecured eurobonds support the expansion of the financing operations in Europe.</w:t>
      </w:r>
    </w:p>
    <w:p w14:paraId="07DCEB33" w14:textId="77777777" w:rsidR="00AE727E" w:rsidRDefault="00AE727E"/>
    <w:p w14:paraId="07DCEB34" w14:textId="77777777" w:rsidR="00AE727E" w:rsidRDefault="00AE727E"/>
    <w:p w14:paraId="07DCEB35" w14:textId="77777777" w:rsidR="00AE727E" w:rsidRDefault="00AE727E">
      <w:pPr>
        <w:jc w:val="center"/>
      </w:pPr>
    </w:p>
    <w:p w14:paraId="07DCEB36" w14:textId="77777777" w:rsidR="00AE727E" w:rsidRDefault="008433E0">
      <w:pPr>
        <w:jc w:val="center"/>
      </w:pPr>
      <w:r>
        <w:rPr>
          <w:rFonts w:ascii="Times New Roman" w:eastAsia="宋体" w:hAnsi="Times New Roman"/>
          <w:color w:val="000000"/>
          <w:sz w:val="20"/>
          <w:szCs w:val="20"/>
        </w:rPr>
        <w:t>24</w:t>
      </w:r>
    </w:p>
    <w:p w14:paraId="07DCEB37" w14:textId="77777777" w:rsidR="00AE727E" w:rsidRDefault="00AE727E">
      <w:pPr>
        <w:jc w:val="center"/>
      </w:pPr>
    </w:p>
    <w:p w14:paraId="07DCEB38" w14:textId="77777777" w:rsidR="00AE727E" w:rsidRDefault="008433E0">
      <w:r>
        <w:pict w14:anchorId="07DD18E8">
          <v:rect id="_x0000_i1048" style="width:415.3pt;height:1.5pt" o:hralign="center" o:hrstd="t" o:hr="t" fillcolor="#a0a0a0" stroked="f"/>
        </w:pict>
      </w:r>
    </w:p>
    <w:p w14:paraId="07DCEB39" w14:textId="77777777" w:rsidR="00AE727E" w:rsidRDefault="008433E0">
      <w:hyperlink r:id="rId149" w:anchor="i1c8279be622a460ea19600488436f115_10" w:history="1">
        <w:r>
          <w:rPr>
            <w:rStyle w:val="a5"/>
            <w:rFonts w:ascii="Times New Roman" w:eastAsia="宋体" w:hAnsi="Times New Roman"/>
            <w:sz w:val="20"/>
            <w:szCs w:val="20"/>
          </w:rPr>
          <w:t>Table of Contents</w:t>
        </w:r>
      </w:hyperlink>
    </w:p>
    <w:p w14:paraId="07DCEB3A"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B3B"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B3C"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B3D" w14:textId="77777777" w:rsidR="00AE727E" w:rsidRDefault="00AE727E">
      <w:pPr>
        <w:jc w:val="center"/>
      </w:pPr>
    </w:p>
    <w:p w14:paraId="07DCEB3E" w14:textId="77777777" w:rsidR="00AE727E" w:rsidRDefault="008433E0">
      <w:r>
        <w:rPr>
          <w:rFonts w:ascii="Times New Roman" w:eastAsia="宋体" w:hAnsi="Times New Roman"/>
          <w:b/>
          <w:bCs/>
          <w:color w:val="000000"/>
          <w:sz w:val="20"/>
          <w:szCs w:val="20"/>
        </w:rPr>
        <w:t>Variable Interest Entities</w:t>
      </w:r>
    </w:p>
    <w:p w14:paraId="07DCEB3F" w14:textId="77777777" w:rsidR="00AE727E" w:rsidRDefault="00AE727E"/>
    <w:p w14:paraId="07DCEB40" w14:textId="77777777" w:rsidR="00AE727E" w:rsidRDefault="008433E0">
      <w:r>
        <w:rPr>
          <w:rFonts w:ascii="Times New Roman" w:eastAsia="宋体" w:hAnsi="Times New Roman"/>
          <w:color w:val="000000"/>
          <w:sz w:val="20"/>
          <w:szCs w:val="20"/>
        </w:rPr>
        <w:t>In connection with the asset-based financing facilities, securitization facilities, and fixed-term securitization offerings discussed above, the Company transfers certain U.S. and European loan and lease pay</w:t>
      </w:r>
      <w:r>
        <w:rPr>
          <w:rFonts w:ascii="Times New Roman" w:eastAsia="宋体" w:hAnsi="Times New Roman"/>
          <w:color w:val="000000"/>
          <w:sz w:val="20"/>
          <w:szCs w:val="20"/>
        </w:rPr>
        <w:t>ments and associated equipment to SPEs that meet the definition of a Variable Interest Entity (“VIE”) and are consolidated, along with the associated debt detailed above, into the Condensed Consolidated Financial Statements, as the Company is the primary b</w:t>
      </w:r>
      <w:r>
        <w:rPr>
          <w:rFonts w:ascii="Times New Roman" w:eastAsia="宋体" w:hAnsi="Times New Roman"/>
          <w:color w:val="000000"/>
          <w:sz w:val="20"/>
          <w:szCs w:val="20"/>
        </w:rPr>
        <w:t>eneficiary of those VIEs. The SPEs are bankruptcy-remote legal entities with separate assets and liabilities. The purpose of the SPEs is to facilitate the funding of customer loan and lease payments and associated equipment in the capital markets.</w:t>
      </w:r>
    </w:p>
    <w:p w14:paraId="07DCEB41" w14:textId="77777777" w:rsidR="00AE727E" w:rsidRDefault="00AE727E"/>
    <w:p w14:paraId="07DCEB42" w14:textId="77777777" w:rsidR="00AE727E" w:rsidRDefault="008433E0">
      <w:r>
        <w:rPr>
          <w:rFonts w:ascii="Times New Roman" w:eastAsia="宋体" w:hAnsi="Times New Roman"/>
          <w:color w:val="000000"/>
          <w:sz w:val="20"/>
          <w:szCs w:val="20"/>
        </w:rPr>
        <w:t>Some of</w:t>
      </w:r>
      <w:r>
        <w:rPr>
          <w:rFonts w:ascii="Times New Roman" w:eastAsia="宋体" w:hAnsi="Times New Roman"/>
          <w:color w:val="000000"/>
          <w:sz w:val="20"/>
          <w:szCs w:val="20"/>
        </w:rPr>
        <w:t xml:space="preserve"> the SPEs have entered into financing arrangements with multi-seller conduits that, in turn, issue asset-backed debt securities in the capital markets. DFS debt outstanding held by the consolidated VIEs is collateralized by the loan and lease payments and </w:t>
      </w:r>
      <w:r>
        <w:rPr>
          <w:rFonts w:ascii="Times New Roman" w:eastAsia="宋体" w:hAnsi="Times New Roman"/>
          <w:color w:val="000000"/>
          <w:sz w:val="20"/>
          <w:szCs w:val="20"/>
        </w:rPr>
        <w:t>associated equipment. The Company’s risk of loss related to securitized receivables is limited to the amount by which the Company’s right to receive collections for assets securitized exceeds the amount required to pay interest, principal, and fees and exp</w:t>
      </w:r>
      <w:r>
        <w:rPr>
          <w:rFonts w:ascii="Times New Roman" w:eastAsia="宋体" w:hAnsi="Times New Roman"/>
          <w:color w:val="000000"/>
          <w:sz w:val="20"/>
          <w:szCs w:val="20"/>
        </w:rPr>
        <w:t>enses related to the asset-backed securities. The Company provides credit enhancement to the securitization in the form of over-collateralization.</w:t>
      </w:r>
    </w:p>
    <w:p w14:paraId="07DCEB43" w14:textId="77777777" w:rsidR="00AE727E" w:rsidRDefault="00AE727E"/>
    <w:p w14:paraId="07DCEB44" w14:textId="77777777" w:rsidR="00AE727E" w:rsidRDefault="008433E0">
      <w:pPr>
        <w:spacing w:after="60"/>
      </w:pPr>
      <w:r>
        <w:rPr>
          <w:rFonts w:ascii="Times New Roman" w:eastAsia="宋体" w:hAnsi="Times New Roman"/>
          <w:color w:val="000000"/>
          <w:sz w:val="20"/>
          <w:szCs w:val="20"/>
        </w:rPr>
        <w:t>The following table presents financing receivables and equipment under operating leases, net held by the con</w:t>
      </w:r>
      <w:r>
        <w:rPr>
          <w:rFonts w:ascii="Times New Roman" w:eastAsia="宋体" w:hAnsi="Times New Roman"/>
          <w:color w:val="000000"/>
          <w:sz w:val="20"/>
          <w:szCs w:val="20"/>
        </w:rPr>
        <w:t>solidated VIEs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AE727E" w14:paraId="07DCEB51" w14:textId="77777777">
        <w:trPr>
          <w:jc w:val="center"/>
        </w:trPr>
        <w:tc>
          <w:tcPr>
            <w:tcW w:w="50" w:type="pct"/>
            <w:shd w:val="clear" w:color="auto" w:fill="auto"/>
            <w:vAlign w:val="bottom"/>
          </w:tcPr>
          <w:p w14:paraId="07DCEB45" w14:textId="77777777" w:rsidR="00AE727E" w:rsidRDefault="00AE727E">
            <w:pPr>
              <w:rPr>
                <w:rFonts w:ascii="宋体"/>
              </w:rPr>
            </w:pPr>
          </w:p>
        </w:tc>
        <w:tc>
          <w:tcPr>
            <w:tcW w:w="2971" w:type="pct"/>
            <w:shd w:val="clear" w:color="auto" w:fill="auto"/>
            <w:vAlign w:val="bottom"/>
          </w:tcPr>
          <w:p w14:paraId="07DCEB46" w14:textId="77777777" w:rsidR="00AE727E" w:rsidRDefault="00AE727E">
            <w:pPr>
              <w:rPr>
                <w:rFonts w:ascii="宋体"/>
              </w:rPr>
            </w:pPr>
          </w:p>
        </w:tc>
        <w:tc>
          <w:tcPr>
            <w:tcW w:w="5" w:type="pct"/>
            <w:shd w:val="clear" w:color="auto" w:fill="auto"/>
            <w:vAlign w:val="bottom"/>
          </w:tcPr>
          <w:p w14:paraId="07DCEB47" w14:textId="77777777" w:rsidR="00AE727E" w:rsidRDefault="00AE727E">
            <w:pPr>
              <w:rPr>
                <w:rFonts w:ascii="宋体"/>
              </w:rPr>
            </w:pPr>
          </w:p>
        </w:tc>
        <w:tc>
          <w:tcPr>
            <w:tcW w:w="50" w:type="pct"/>
            <w:shd w:val="clear" w:color="auto" w:fill="auto"/>
            <w:vAlign w:val="bottom"/>
          </w:tcPr>
          <w:p w14:paraId="07DCEB48" w14:textId="77777777" w:rsidR="00AE727E" w:rsidRDefault="00AE727E">
            <w:pPr>
              <w:rPr>
                <w:rFonts w:ascii="宋体"/>
              </w:rPr>
            </w:pPr>
          </w:p>
        </w:tc>
        <w:tc>
          <w:tcPr>
            <w:tcW w:w="917" w:type="pct"/>
            <w:shd w:val="clear" w:color="auto" w:fill="auto"/>
            <w:vAlign w:val="bottom"/>
          </w:tcPr>
          <w:p w14:paraId="07DCEB49" w14:textId="77777777" w:rsidR="00AE727E" w:rsidRDefault="00AE727E">
            <w:pPr>
              <w:rPr>
                <w:rFonts w:ascii="宋体"/>
              </w:rPr>
            </w:pPr>
          </w:p>
        </w:tc>
        <w:tc>
          <w:tcPr>
            <w:tcW w:w="5" w:type="pct"/>
            <w:shd w:val="clear" w:color="auto" w:fill="auto"/>
            <w:vAlign w:val="bottom"/>
          </w:tcPr>
          <w:p w14:paraId="07DCEB4A" w14:textId="77777777" w:rsidR="00AE727E" w:rsidRDefault="00AE727E">
            <w:pPr>
              <w:rPr>
                <w:rFonts w:ascii="宋体"/>
              </w:rPr>
            </w:pPr>
          </w:p>
        </w:tc>
        <w:tc>
          <w:tcPr>
            <w:tcW w:w="5" w:type="pct"/>
            <w:shd w:val="clear" w:color="auto" w:fill="auto"/>
            <w:vAlign w:val="bottom"/>
          </w:tcPr>
          <w:p w14:paraId="07DCEB4B" w14:textId="77777777" w:rsidR="00AE727E" w:rsidRDefault="00AE727E">
            <w:pPr>
              <w:rPr>
                <w:rFonts w:ascii="宋体"/>
              </w:rPr>
            </w:pPr>
          </w:p>
        </w:tc>
        <w:tc>
          <w:tcPr>
            <w:tcW w:w="19" w:type="pct"/>
            <w:shd w:val="clear" w:color="auto" w:fill="auto"/>
            <w:vAlign w:val="bottom"/>
          </w:tcPr>
          <w:p w14:paraId="07DCEB4C" w14:textId="77777777" w:rsidR="00AE727E" w:rsidRDefault="00AE727E">
            <w:pPr>
              <w:rPr>
                <w:rFonts w:ascii="宋体"/>
              </w:rPr>
            </w:pPr>
          </w:p>
        </w:tc>
        <w:tc>
          <w:tcPr>
            <w:tcW w:w="5" w:type="pct"/>
            <w:shd w:val="clear" w:color="auto" w:fill="auto"/>
            <w:vAlign w:val="bottom"/>
          </w:tcPr>
          <w:p w14:paraId="07DCEB4D" w14:textId="77777777" w:rsidR="00AE727E" w:rsidRDefault="00AE727E">
            <w:pPr>
              <w:rPr>
                <w:rFonts w:ascii="宋体"/>
              </w:rPr>
            </w:pPr>
          </w:p>
        </w:tc>
        <w:tc>
          <w:tcPr>
            <w:tcW w:w="50" w:type="pct"/>
            <w:shd w:val="clear" w:color="auto" w:fill="auto"/>
            <w:vAlign w:val="bottom"/>
          </w:tcPr>
          <w:p w14:paraId="07DCEB4E" w14:textId="77777777" w:rsidR="00AE727E" w:rsidRDefault="00AE727E">
            <w:pPr>
              <w:rPr>
                <w:rFonts w:ascii="宋体"/>
              </w:rPr>
            </w:pPr>
          </w:p>
        </w:tc>
        <w:tc>
          <w:tcPr>
            <w:tcW w:w="917" w:type="pct"/>
            <w:shd w:val="clear" w:color="auto" w:fill="auto"/>
            <w:vAlign w:val="bottom"/>
          </w:tcPr>
          <w:p w14:paraId="07DCEB4F" w14:textId="77777777" w:rsidR="00AE727E" w:rsidRDefault="00AE727E">
            <w:pPr>
              <w:rPr>
                <w:rFonts w:ascii="宋体"/>
              </w:rPr>
            </w:pPr>
          </w:p>
        </w:tc>
        <w:tc>
          <w:tcPr>
            <w:tcW w:w="5" w:type="pct"/>
            <w:shd w:val="clear" w:color="auto" w:fill="auto"/>
            <w:vAlign w:val="bottom"/>
          </w:tcPr>
          <w:p w14:paraId="07DCEB50" w14:textId="77777777" w:rsidR="00AE727E" w:rsidRDefault="00AE727E">
            <w:pPr>
              <w:rPr>
                <w:rFonts w:ascii="宋体"/>
              </w:rPr>
            </w:pPr>
          </w:p>
        </w:tc>
      </w:tr>
      <w:tr w:rsidR="00AE727E" w14:paraId="07DCEB56" w14:textId="77777777">
        <w:trPr>
          <w:jc w:val="center"/>
        </w:trPr>
        <w:tc>
          <w:tcPr>
            <w:tcW w:w="0" w:type="auto"/>
            <w:gridSpan w:val="3"/>
            <w:shd w:val="clear" w:color="auto" w:fill="auto"/>
            <w:tcMar>
              <w:top w:w="40" w:type="dxa"/>
              <w:left w:w="20" w:type="dxa"/>
              <w:bottom w:w="40" w:type="dxa"/>
              <w:right w:w="20" w:type="dxa"/>
            </w:tcMar>
            <w:vAlign w:val="bottom"/>
          </w:tcPr>
          <w:p w14:paraId="07DCEB52"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DCEB53"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B54"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B55"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B59" w14:textId="77777777">
        <w:trPr>
          <w:jc w:val="center"/>
        </w:trPr>
        <w:tc>
          <w:tcPr>
            <w:tcW w:w="0" w:type="auto"/>
            <w:gridSpan w:val="3"/>
            <w:shd w:val="clear" w:color="auto" w:fill="auto"/>
            <w:tcMar>
              <w:top w:w="40" w:type="dxa"/>
              <w:left w:w="20" w:type="dxa"/>
              <w:bottom w:w="40" w:type="dxa"/>
              <w:right w:w="20" w:type="dxa"/>
            </w:tcMar>
            <w:vAlign w:val="center"/>
          </w:tcPr>
          <w:p w14:paraId="07DCEB57"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CEB58"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B5E" w14:textId="77777777">
        <w:trPr>
          <w:jc w:val="center"/>
        </w:trPr>
        <w:tc>
          <w:tcPr>
            <w:tcW w:w="0" w:type="auto"/>
            <w:gridSpan w:val="3"/>
            <w:shd w:val="clear" w:color="auto" w:fill="CCEEFF"/>
            <w:tcMar>
              <w:top w:w="40" w:type="dxa"/>
              <w:left w:w="20" w:type="dxa"/>
              <w:bottom w:w="40" w:type="dxa"/>
              <w:right w:w="20" w:type="dxa"/>
            </w:tcMar>
            <w:vAlign w:val="center"/>
          </w:tcPr>
          <w:p w14:paraId="07DCEB5A" w14:textId="77777777" w:rsidR="00AE727E" w:rsidRDefault="008433E0">
            <w:pPr>
              <w:textAlignment w:val="center"/>
            </w:pPr>
            <w:r>
              <w:rPr>
                <w:rFonts w:ascii="Times New Roman" w:eastAsia="宋体" w:hAnsi="Times New Roman"/>
                <w:b/>
                <w:bCs/>
                <w:i/>
                <w:iCs/>
                <w:color w:val="000000"/>
                <w:sz w:val="20"/>
                <w:szCs w:val="20"/>
              </w:rPr>
              <w:t>Assets held by consolidated VIEs</w:t>
            </w:r>
          </w:p>
        </w:tc>
        <w:tc>
          <w:tcPr>
            <w:tcW w:w="0" w:type="auto"/>
            <w:gridSpan w:val="3"/>
            <w:shd w:val="clear" w:color="auto" w:fill="CCEEFF"/>
            <w:tcMar>
              <w:top w:w="40" w:type="dxa"/>
              <w:left w:w="20" w:type="dxa"/>
              <w:bottom w:w="40" w:type="dxa"/>
              <w:right w:w="20" w:type="dxa"/>
            </w:tcMar>
            <w:vAlign w:val="center"/>
          </w:tcPr>
          <w:p w14:paraId="07DCEB5B"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EB5C"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EB5D" w14:textId="77777777" w:rsidR="00AE727E" w:rsidRDefault="008433E0">
            <w:pPr>
              <w:jc w:val="right"/>
              <w:textAlignment w:val="center"/>
            </w:pPr>
            <w:r>
              <w:rPr>
                <w:rFonts w:ascii="Times New Roman" w:eastAsia="宋体" w:hAnsi="Times New Roman"/>
                <w:color w:val="000000"/>
                <w:sz w:val="20"/>
                <w:szCs w:val="20"/>
              </w:rPr>
              <w:t> </w:t>
            </w:r>
          </w:p>
        </w:tc>
      </w:tr>
      <w:tr w:rsidR="00AE727E" w14:paraId="07DCEB67" w14:textId="77777777">
        <w:trPr>
          <w:jc w:val="center"/>
        </w:trPr>
        <w:tc>
          <w:tcPr>
            <w:tcW w:w="0" w:type="auto"/>
            <w:gridSpan w:val="3"/>
            <w:shd w:val="clear" w:color="auto" w:fill="FFFFFF"/>
            <w:tcMar>
              <w:top w:w="40" w:type="dxa"/>
              <w:left w:w="20" w:type="dxa"/>
              <w:bottom w:w="40" w:type="dxa"/>
              <w:right w:w="20" w:type="dxa"/>
            </w:tcMar>
            <w:vAlign w:val="center"/>
          </w:tcPr>
          <w:p w14:paraId="07DCEB5F" w14:textId="77777777" w:rsidR="00AE727E" w:rsidRDefault="008433E0">
            <w:pPr>
              <w:textAlignment w:val="center"/>
            </w:pPr>
            <w:r>
              <w:rPr>
                <w:rFonts w:ascii="Times New Roman" w:eastAsia="宋体" w:hAnsi="Times New Roman"/>
                <w:color w:val="000000"/>
                <w:sz w:val="20"/>
                <w:szCs w:val="20"/>
              </w:rPr>
              <w:t>Other current assets</w:t>
            </w:r>
          </w:p>
        </w:tc>
        <w:tc>
          <w:tcPr>
            <w:tcW w:w="0" w:type="auto"/>
            <w:shd w:val="clear" w:color="auto" w:fill="FFFFFF"/>
            <w:tcMar>
              <w:top w:w="40" w:type="dxa"/>
              <w:left w:w="20" w:type="dxa"/>
              <w:bottom w:w="40" w:type="dxa"/>
              <w:right w:w="0" w:type="dxa"/>
            </w:tcMar>
            <w:vAlign w:val="center"/>
          </w:tcPr>
          <w:p w14:paraId="07DCEB6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61" w14:textId="77777777" w:rsidR="00AE727E" w:rsidRDefault="008433E0">
            <w:pPr>
              <w:jc w:val="right"/>
              <w:textAlignment w:val="center"/>
            </w:pPr>
            <w:r>
              <w:rPr>
                <w:rFonts w:ascii="Times New Roman" w:eastAsia="宋体" w:hAnsi="Times New Roman"/>
                <w:color w:val="000000"/>
                <w:sz w:val="20"/>
                <w:szCs w:val="20"/>
              </w:rPr>
              <w:t>843 </w:t>
            </w:r>
          </w:p>
        </w:tc>
        <w:tc>
          <w:tcPr>
            <w:tcW w:w="0" w:type="auto"/>
            <w:shd w:val="clear" w:color="auto" w:fill="FFFFFF"/>
            <w:tcMar>
              <w:top w:w="40" w:type="dxa"/>
              <w:left w:w="0" w:type="dxa"/>
              <w:bottom w:w="40" w:type="dxa"/>
              <w:right w:w="20" w:type="dxa"/>
            </w:tcMar>
            <w:vAlign w:val="center"/>
          </w:tcPr>
          <w:p w14:paraId="07DCEB6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6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B6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65" w14:textId="77777777" w:rsidR="00AE727E" w:rsidRDefault="008433E0">
            <w:pPr>
              <w:jc w:val="right"/>
              <w:textAlignment w:val="center"/>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center"/>
          </w:tcPr>
          <w:p w14:paraId="07DCEB66" w14:textId="77777777" w:rsidR="00AE727E" w:rsidRDefault="00AE727E">
            <w:pPr>
              <w:jc w:val="right"/>
              <w:rPr>
                <w:rFonts w:ascii="宋体"/>
              </w:rPr>
            </w:pPr>
          </w:p>
        </w:tc>
      </w:tr>
      <w:tr w:rsidR="00AE727E" w14:paraId="07DCEB6C" w14:textId="77777777">
        <w:trPr>
          <w:jc w:val="center"/>
        </w:trPr>
        <w:tc>
          <w:tcPr>
            <w:tcW w:w="0" w:type="auto"/>
            <w:gridSpan w:val="3"/>
            <w:shd w:val="clear" w:color="auto" w:fill="CCEEFF"/>
            <w:tcMar>
              <w:top w:w="40" w:type="dxa"/>
              <w:left w:w="20" w:type="dxa"/>
              <w:bottom w:w="40" w:type="dxa"/>
              <w:right w:w="20" w:type="dxa"/>
            </w:tcMar>
            <w:vAlign w:val="center"/>
          </w:tcPr>
          <w:p w14:paraId="07DCEB68" w14:textId="77777777" w:rsidR="00AE727E" w:rsidRDefault="008433E0">
            <w:pPr>
              <w:textAlignment w:val="center"/>
            </w:pPr>
            <w:r>
              <w:rPr>
                <w:rFonts w:ascii="Times New Roman" w:eastAsia="宋体" w:hAnsi="Times New Roman"/>
                <w:color w:val="000000"/>
                <w:sz w:val="20"/>
                <w:szCs w:val="20"/>
              </w:rPr>
              <w:t>Financing receivables, net of allowance</w:t>
            </w:r>
          </w:p>
        </w:tc>
        <w:tc>
          <w:tcPr>
            <w:tcW w:w="0" w:type="auto"/>
            <w:gridSpan w:val="3"/>
            <w:shd w:val="clear" w:color="auto" w:fill="CCEEFF"/>
            <w:tcMar>
              <w:top w:w="0" w:type="dxa"/>
              <w:left w:w="20" w:type="dxa"/>
              <w:bottom w:w="0" w:type="dxa"/>
              <w:right w:w="20" w:type="dxa"/>
            </w:tcMar>
            <w:vAlign w:val="bottom"/>
          </w:tcPr>
          <w:p w14:paraId="07DCEB6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B6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B6B" w14:textId="77777777" w:rsidR="00AE727E" w:rsidRDefault="00AE727E">
            <w:pPr>
              <w:rPr>
                <w:rFonts w:ascii="宋体"/>
              </w:rPr>
            </w:pPr>
          </w:p>
        </w:tc>
      </w:tr>
      <w:tr w:rsidR="00AE727E" w14:paraId="07DCEB75" w14:textId="77777777">
        <w:trPr>
          <w:jc w:val="center"/>
        </w:trPr>
        <w:tc>
          <w:tcPr>
            <w:tcW w:w="0" w:type="auto"/>
            <w:gridSpan w:val="3"/>
            <w:shd w:val="clear" w:color="auto" w:fill="FFFFFF"/>
            <w:tcMar>
              <w:top w:w="40" w:type="dxa"/>
              <w:left w:w="140" w:type="dxa"/>
              <w:bottom w:w="40" w:type="dxa"/>
              <w:right w:w="20" w:type="dxa"/>
            </w:tcMar>
            <w:vAlign w:val="center"/>
          </w:tcPr>
          <w:p w14:paraId="07DCEB6D" w14:textId="77777777" w:rsidR="00AE727E" w:rsidRDefault="008433E0">
            <w:pPr>
              <w:textAlignment w:val="center"/>
            </w:pPr>
            <w:r>
              <w:rPr>
                <w:rFonts w:ascii="Times New Roman" w:eastAsia="宋体" w:hAnsi="Times New Roman"/>
                <w:color w:val="000000"/>
                <w:sz w:val="20"/>
                <w:szCs w:val="20"/>
              </w:rPr>
              <w:t>Short-term</w:t>
            </w:r>
          </w:p>
        </w:tc>
        <w:tc>
          <w:tcPr>
            <w:tcW w:w="0" w:type="auto"/>
            <w:shd w:val="clear" w:color="auto" w:fill="FFFFFF"/>
            <w:tcMar>
              <w:top w:w="40" w:type="dxa"/>
              <w:left w:w="20" w:type="dxa"/>
              <w:bottom w:w="40" w:type="dxa"/>
              <w:right w:w="0" w:type="dxa"/>
            </w:tcMar>
            <w:vAlign w:val="center"/>
          </w:tcPr>
          <w:p w14:paraId="07DCEB6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6F" w14:textId="77777777" w:rsidR="00AE727E" w:rsidRDefault="008433E0">
            <w:pPr>
              <w:jc w:val="right"/>
              <w:textAlignment w:val="center"/>
            </w:pPr>
            <w:r>
              <w:rPr>
                <w:rFonts w:ascii="Times New Roman" w:eastAsia="宋体" w:hAnsi="Times New Roman"/>
                <w:color w:val="000000"/>
                <w:sz w:val="20"/>
                <w:szCs w:val="20"/>
              </w:rPr>
              <w:t>3,467 </w:t>
            </w:r>
          </w:p>
        </w:tc>
        <w:tc>
          <w:tcPr>
            <w:tcW w:w="0" w:type="auto"/>
            <w:shd w:val="clear" w:color="auto" w:fill="FFFFFF"/>
            <w:tcMar>
              <w:top w:w="40" w:type="dxa"/>
              <w:left w:w="0" w:type="dxa"/>
              <w:bottom w:w="40" w:type="dxa"/>
              <w:right w:w="20" w:type="dxa"/>
            </w:tcMar>
            <w:vAlign w:val="center"/>
          </w:tcPr>
          <w:p w14:paraId="07DCEB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7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B7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73" w14:textId="77777777" w:rsidR="00AE727E" w:rsidRDefault="008433E0">
            <w:pPr>
              <w:jc w:val="right"/>
              <w:textAlignment w:val="center"/>
            </w:pPr>
            <w:r>
              <w:rPr>
                <w:rFonts w:ascii="Times New Roman" w:eastAsia="宋体" w:hAnsi="Times New Roman"/>
                <w:color w:val="000000"/>
                <w:sz w:val="20"/>
                <w:szCs w:val="20"/>
              </w:rPr>
              <w:t>3,534 </w:t>
            </w:r>
          </w:p>
        </w:tc>
        <w:tc>
          <w:tcPr>
            <w:tcW w:w="0" w:type="auto"/>
            <w:shd w:val="clear" w:color="auto" w:fill="FFFFFF"/>
            <w:tcMar>
              <w:top w:w="40" w:type="dxa"/>
              <w:left w:w="0" w:type="dxa"/>
              <w:bottom w:w="40" w:type="dxa"/>
              <w:right w:w="20" w:type="dxa"/>
            </w:tcMar>
            <w:vAlign w:val="center"/>
          </w:tcPr>
          <w:p w14:paraId="07DCEB74" w14:textId="77777777" w:rsidR="00AE727E" w:rsidRDefault="00AE727E">
            <w:pPr>
              <w:jc w:val="right"/>
              <w:rPr>
                <w:rFonts w:ascii="宋体"/>
              </w:rPr>
            </w:pPr>
          </w:p>
        </w:tc>
      </w:tr>
      <w:tr w:rsidR="00AE727E" w14:paraId="07DCEB7E" w14:textId="77777777">
        <w:trPr>
          <w:jc w:val="center"/>
        </w:trPr>
        <w:tc>
          <w:tcPr>
            <w:tcW w:w="0" w:type="auto"/>
            <w:gridSpan w:val="3"/>
            <w:shd w:val="clear" w:color="auto" w:fill="CCEEFF"/>
            <w:tcMar>
              <w:top w:w="40" w:type="dxa"/>
              <w:left w:w="140" w:type="dxa"/>
              <w:bottom w:w="40" w:type="dxa"/>
              <w:right w:w="20" w:type="dxa"/>
            </w:tcMar>
            <w:vAlign w:val="center"/>
          </w:tcPr>
          <w:p w14:paraId="07DCEB76" w14:textId="77777777" w:rsidR="00AE727E" w:rsidRDefault="008433E0">
            <w:pPr>
              <w:textAlignment w:val="center"/>
            </w:pPr>
            <w:r>
              <w:rPr>
                <w:rFonts w:ascii="Times New Roman" w:eastAsia="宋体" w:hAnsi="Times New Roman"/>
                <w:color w:val="000000"/>
                <w:sz w:val="20"/>
                <w:szCs w:val="20"/>
              </w:rPr>
              <w:t>Long-term</w:t>
            </w:r>
          </w:p>
        </w:tc>
        <w:tc>
          <w:tcPr>
            <w:tcW w:w="0" w:type="auto"/>
            <w:shd w:val="clear" w:color="auto" w:fill="CCEEFF"/>
            <w:tcMar>
              <w:top w:w="40" w:type="dxa"/>
              <w:left w:w="20" w:type="dxa"/>
              <w:bottom w:w="40" w:type="dxa"/>
              <w:right w:w="0" w:type="dxa"/>
            </w:tcMar>
            <w:vAlign w:val="center"/>
          </w:tcPr>
          <w:p w14:paraId="07DCEB7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78" w14:textId="77777777" w:rsidR="00AE727E" w:rsidRDefault="008433E0">
            <w:pPr>
              <w:jc w:val="right"/>
              <w:textAlignment w:val="center"/>
            </w:pPr>
            <w:r>
              <w:rPr>
                <w:rFonts w:ascii="Times New Roman" w:eastAsia="宋体" w:hAnsi="Times New Roman"/>
                <w:color w:val="000000"/>
                <w:sz w:val="20"/>
                <w:szCs w:val="20"/>
              </w:rPr>
              <w:t>3,294 </w:t>
            </w:r>
          </w:p>
        </w:tc>
        <w:tc>
          <w:tcPr>
            <w:tcW w:w="0" w:type="auto"/>
            <w:shd w:val="clear" w:color="auto" w:fill="CCEEFF"/>
            <w:tcMar>
              <w:top w:w="40" w:type="dxa"/>
              <w:left w:w="0" w:type="dxa"/>
              <w:bottom w:w="40" w:type="dxa"/>
              <w:right w:w="20" w:type="dxa"/>
            </w:tcMar>
            <w:vAlign w:val="center"/>
          </w:tcPr>
          <w:p w14:paraId="07DCEB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7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B7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7C" w14:textId="77777777" w:rsidR="00AE727E" w:rsidRDefault="008433E0">
            <w:pPr>
              <w:jc w:val="right"/>
              <w:textAlignment w:val="center"/>
            </w:pPr>
            <w:r>
              <w:rPr>
                <w:rFonts w:ascii="Times New Roman" w:eastAsia="宋体" w:hAnsi="Times New Roman"/>
                <w:color w:val="000000"/>
                <w:sz w:val="20"/>
                <w:szCs w:val="20"/>
              </w:rPr>
              <w:t>3,314 </w:t>
            </w:r>
          </w:p>
        </w:tc>
        <w:tc>
          <w:tcPr>
            <w:tcW w:w="0" w:type="auto"/>
            <w:shd w:val="clear" w:color="auto" w:fill="CCEEFF"/>
            <w:tcMar>
              <w:top w:w="40" w:type="dxa"/>
              <w:left w:w="0" w:type="dxa"/>
              <w:bottom w:w="40" w:type="dxa"/>
              <w:right w:w="20" w:type="dxa"/>
            </w:tcMar>
            <w:vAlign w:val="center"/>
          </w:tcPr>
          <w:p w14:paraId="07DCEB7D" w14:textId="77777777" w:rsidR="00AE727E" w:rsidRDefault="00AE727E">
            <w:pPr>
              <w:jc w:val="right"/>
              <w:rPr>
                <w:rFonts w:ascii="宋体"/>
              </w:rPr>
            </w:pPr>
          </w:p>
        </w:tc>
      </w:tr>
      <w:tr w:rsidR="00AE727E" w14:paraId="07DCEB87" w14:textId="77777777">
        <w:trPr>
          <w:jc w:val="center"/>
        </w:trPr>
        <w:tc>
          <w:tcPr>
            <w:tcW w:w="0" w:type="auto"/>
            <w:gridSpan w:val="3"/>
            <w:shd w:val="clear" w:color="auto" w:fill="FFFFFF"/>
            <w:tcMar>
              <w:top w:w="40" w:type="dxa"/>
              <w:left w:w="35" w:type="dxa"/>
              <w:bottom w:w="40" w:type="dxa"/>
              <w:right w:w="20" w:type="dxa"/>
            </w:tcMar>
            <w:vAlign w:val="center"/>
          </w:tcPr>
          <w:p w14:paraId="07DCEB7F" w14:textId="77777777" w:rsidR="00AE727E" w:rsidRDefault="008433E0">
            <w:pPr>
              <w:textAlignment w:val="center"/>
            </w:pPr>
            <w:r>
              <w:rPr>
                <w:rFonts w:ascii="Times New Roman" w:eastAsia="宋体" w:hAnsi="Times New Roman"/>
                <w:color w:val="000000"/>
                <w:sz w:val="20"/>
                <w:szCs w:val="20"/>
              </w:rPr>
              <w:t>Property, plant, and equipment, net</w:t>
            </w:r>
          </w:p>
        </w:tc>
        <w:tc>
          <w:tcPr>
            <w:tcW w:w="0" w:type="auto"/>
            <w:shd w:val="clear" w:color="auto" w:fill="FFFFFF"/>
            <w:tcMar>
              <w:top w:w="40" w:type="dxa"/>
              <w:left w:w="20" w:type="dxa"/>
              <w:bottom w:w="40" w:type="dxa"/>
              <w:right w:w="0" w:type="dxa"/>
            </w:tcMar>
            <w:vAlign w:val="center"/>
          </w:tcPr>
          <w:p w14:paraId="07DCEB8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81" w14:textId="77777777" w:rsidR="00AE727E" w:rsidRDefault="008433E0">
            <w:pPr>
              <w:jc w:val="right"/>
              <w:textAlignment w:val="center"/>
            </w:pPr>
            <w:r>
              <w:rPr>
                <w:rFonts w:ascii="Times New Roman" w:eastAsia="宋体" w:hAnsi="Times New Roman"/>
                <w:color w:val="000000"/>
                <w:sz w:val="20"/>
                <w:szCs w:val="20"/>
              </w:rPr>
              <w:t>874 </w:t>
            </w:r>
          </w:p>
        </w:tc>
        <w:tc>
          <w:tcPr>
            <w:tcW w:w="0" w:type="auto"/>
            <w:shd w:val="clear" w:color="auto" w:fill="FFFFFF"/>
            <w:tcMar>
              <w:top w:w="40" w:type="dxa"/>
              <w:left w:w="0" w:type="dxa"/>
              <w:bottom w:w="40" w:type="dxa"/>
              <w:right w:w="20" w:type="dxa"/>
            </w:tcMar>
            <w:vAlign w:val="center"/>
          </w:tcPr>
          <w:p w14:paraId="07DCEB8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8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B8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85" w14:textId="77777777" w:rsidR="00AE727E" w:rsidRDefault="008433E0">
            <w:pPr>
              <w:jc w:val="right"/>
              <w:textAlignment w:val="center"/>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center"/>
          </w:tcPr>
          <w:p w14:paraId="07DCEB86" w14:textId="77777777" w:rsidR="00AE727E" w:rsidRDefault="00AE727E">
            <w:pPr>
              <w:jc w:val="right"/>
              <w:rPr>
                <w:rFonts w:ascii="宋体"/>
              </w:rPr>
            </w:pPr>
          </w:p>
        </w:tc>
      </w:tr>
      <w:tr w:rsidR="00AE727E" w14:paraId="07DCEB8C" w14:textId="77777777">
        <w:trPr>
          <w:jc w:val="center"/>
        </w:trPr>
        <w:tc>
          <w:tcPr>
            <w:tcW w:w="0" w:type="auto"/>
            <w:gridSpan w:val="3"/>
            <w:shd w:val="clear" w:color="auto" w:fill="CCEEFF"/>
            <w:tcMar>
              <w:top w:w="40" w:type="dxa"/>
              <w:left w:w="35" w:type="dxa"/>
              <w:bottom w:w="40" w:type="dxa"/>
              <w:right w:w="20" w:type="dxa"/>
            </w:tcMar>
            <w:vAlign w:val="center"/>
          </w:tcPr>
          <w:p w14:paraId="07DCEB88" w14:textId="77777777" w:rsidR="00AE727E" w:rsidRDefault="008433E0">
            <w:pPr>
              <w:textAlignment w:val="center"/>
            </w:pPr>
            <w:r>
              <w:rPr>
                <w:rFonts w:ascii="Times New Roman" w:eastAsia="宋体" w:hAnsi="Times New Roman"/>
                <w:b/>
                <w:bCs/>
                <w:i/>
                <w:i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vAlign w:val="bottom"/>
          </w:tcPr>
          <w:p w14:paraId="07DCEB8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B8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B8B" w14:textId="77777777" w:rsidR="00AE727E" w:rsidRDefault="00AE727E">
            <w:pPr>
              <w:rPr>
                <w:rFonts w:ascii="宋体"/>
              </w:rPr>
            </w:pPr>
          </w:p>
        </w:tc>
      </w:tr>
      <w:tr w:rsidR="00AE727E" w14:paraId="07DCEB91" w14:textId="77777777">
        <w:trPr>
          <w:jc w:val="center"/>
        </w:trPr>
        <w:tc>
          <w:tcPr>
            <w:tcW w:w="0" w:type="auto"/>
            <w:gridSpan w:val="3"/>
            <w:shd w:val="clear" w:color="auto" w:fill="FFFFFF"/>
            <w:tcMar>
              <w:top w:w="40" w:type="dxa"/>
              <w:left w:w="35" w:type="dxa"/>
              <w:bottom w:w="40" w:type="dxa"/>
              <w:right w:w="20" w:type="dxa"/>
            </w:tcMar>
            <w:vAlign w:val="center"/>
          </w:tcPr>
          <w:p w14:paraId="07DCEB8D" w14:textId="77777777" w:rsidR="00AE727E" w:rsidRDefault="008433E0">
            <w:pPr>
              <w:textAlignment w:val="center"/>
            </w:pPr>
            <w:r>
              <w:rPr>
                <w:rFonts w:ascii="Times New Roman" w:eastAsia="宋体" w:hAnsi="Times New Roman"/>
                <w:color w:val="000000"/>
                <w:sz w:val="20"/>
                <w:szCs w:val="20"/>
              </w:rPr>
              <w:t xml:space="preserve">Debt, net of unamortized debt issuance costs </w:t>
            </w:r>
          </w:p>
        </w:tc>
        <w:tc>
          <w:tcPr>
            <w:tcW w:w="0" w:type="auto"/>
            <w:gridSpan w:val="3"/>
            <w:shd w:val="clear" w:color="auto" w:fill="FFFFFF"/>
            <w:tcMar>
              <w:top w:w="0" w:type="dxa"/>
              <w:left w:w="20" w:type="dxa"/>
              <w:bottom w:w="0" w:type="dxa"/>
              <w:right w:w="20" w:type="dxa"/>
            </w:tcMar>
            <w:vAlign w:val="bottom"/>
          </w:tcPr>
          <w:p w14:paraId="07DCEB8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B8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B90" w14:textId="77777777" w:rsidR="00AE727E" w:rsidRDefault="00AE727E">
            <w:pPr>
              <w:rPr>
                <w:rFonts w:ascii="宋体"/>
              </w:rPr>
            </w:pPr>
          </w:p>
        </w:tc>
      </w:tr>
      <w:tr w:rsidR="00AE727E" w14:paraId="07DCEB9A" w14:textId="77777777">
        <w:trPr>
          <w:jc w:val="center"/>
        </w:trPr>
        <w:tc>
          <w:tcPr>
            <w:tcW w:w="0" w:type="auto"/>
            <w:gridSpan w:val="3"/>
            <w:shd w:val="clear" w:color="auto" w:fill="CCEEFF"/>
            <w:tcMar>
              <w:top w:w="40" w:type="dxa"/>
              <w:left w:w="155" w:type="dxa"/>
              <w:bottom w:w="40" w:type="dxa"/>
              <w:right w:w="20" w:type="dxa"/>
            </w:tcMar>
            <w:vAlign w:val="center"/>
          </w:tcPr>
          <w:p w14:paraId="07DCEB92" w14:textId="77777777" w:rsidR="00AE727E" w:rsidRDefault="008433E0">
            <w:pPr>
              <w:textAlignment w:val="center"/>
            </w:pPr>
            <w:r>
              <w:rPr>
                <w:rFonts w:ascii="Times New Roman" w:eastAsia="宋体" w:hAnsi="Times New Roman"/>
                <w:color w:val="000000"/>
                <w:sz w:val="20"/>
                <w:szCs w:val="20"/>
              </w:rPr>
              <w:t>Short-term</w:t>
            </w:r>
          </w:p>
        </w:tc>
        <w:tc>
          <w:tcPr>
            <w:tcW w:w="0" w:type="auto"/>
            <w:shd w:val="clear" w:color="auto" w:fill="CCEEFF"/>
            <w:tcMar>
              <w:top w:w="40" w:type="dxa"/>
              <w:left w:w="20" w:type="dxa"/>
              <w:bottom w:w="40" w:type="dxa"/>
              <w:right w:w="0" w:type="dxa"/>
            </w:tcMar>
            <w:vAlign w:val="center"/>
          </w:tcPr>
          <w:p w14:paraId="07DCEB9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94" w14:textId="77777777" w:rsidR="00AE727E" w:rsidRDefault="008433E0">
            <w:pPr>
              <w:jc w:val="right"/>
              <w:textAlignment w:val="center"/>
            </w:pPr>
            <w:r>
              <w:rPr>
                <w:rFonts w:ascii="Times New Roman" w:eastAsia="宋体" w:hAnsi="Times New Roman"/>
                <w:color w:val="000000"/>
                <w:sz w:val="20"/>
                <w:szCs w:val="20"/>
              </w:rPr>
              <w:t>4,180 </w:t>
            </w:r>
          </w:p>
        </w:tc>
        <w:tc>
          <w:tcPr>
            <w:tcW w:w="0" w:type="auto"/>
            <w:shd w:val="clear" w:color="auto" w:fill="CCEEFF"/>
            <w:tcMar>
              <w:top w:w="40" w:type="dxa"/>
              <w:left w:w="0" w:type="dxa"/>
              <w:bottom w:w="40" w:type="dxa"/>
              <w:right w:w="20" w:type="dxa"/>
            </w:tcMar>
            <w:vAlign w:val="center"/>
          </w:tcPr>
          <w:p w14:paraId="07DCEB9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9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B9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98" w14:textId="77777777" w:rsidR="00AE727E" w:rsidRDefault="008433E0">
            <w:pPr>
              <w:jc w:val="right"/>
              <w:textAlignment w:val="center"/>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center"/>
          </w:tcPr>
          <w:p w14:paraId="07DCEB99" w14:textId="77777777" w:rsidR="00AE727E" w:rsidRDefault="00AE727E">
            <w:pPr>
              <w:jc w:val="right"/>
              <w:rPr>
                <w:rFonts w:ascii="宋体"/>
              </w:rPr>
            </w:pPr>
          </w:p>
        </w:tc>
      </w:tr>
      <w:tr w:rsidR="00AE727E" w14:paraId="07DCEBA3" w14:textId="77777777">
        <w:trPr>
          <w:jc w:val="center"/>
        </w:trPr>
        <w:tc>
          <w:tcPr>
            <w:tcW w:w="0" w:type="auto"/>
            <w:gridSpan w:val="3"/>
            <w:shd w:val="clear" w:color="auto" w:fill="FFFFFF"/>
            <w:tcMar>
              <w:top w:w="40" w:type="dxa"/>
              <w:left w:w="155" w:type="dxa"/>
              <w:bottom w:w="40" w:type="dxa"/>
              <w:right w:w="20" w:type="dxa"/>
            </w:tcMar>
            <w:vAlign w:val="center"/>
          </w:tcPr>
          <w:p w14:paraId="07DCEB9B" w14:textId="77777777" w:rsidR="00AE727E" w:rsidRDefault="008433E0">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center"/>
          </w:tcPr>
          <w:p w14:paraId="07DCEB9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9D" w14:textId="77777777" w:rsidR="00AE727E" w:rsidRDefault="008433E0">
            <w:pPr>
              <w:jc w:val="right"/>
              <w:textAlignment w:val="center"/>
            </w:pPr>
            <w:r>
              <w:rPr>
                <w:rFonts w:ascii="Times New Roman" w:eastAsia="宋体" w:hAnsi="Times New Roman"/>
                <w:color w:val="000000"/>
                <w:sz w:val="20"/>
                <w:szCs w:val="20"/>
              </w:rPr>
              <w:t>2,826 </w:t>
            </w:r>
          </w:p>
        </w:tc>
        <w:tc>
          <w:tcPr>
            <w:tcW w:w="0" w:type="auto"/>
            <w:shd w:val="clear" w:color="auto" w:fill="FFFFFF"/>
            <w:tcMar>
              <w:top w:w="40" w:type="dxa"/>
              <w:left w:w="0" w:type="dxa"/>
              <w:bottom w:w="40" w:type="dxa"/>
              <w:right w:w="20" w:type="dxa"/>
            </w:tcMar>
            <w:vAlign w:val="center"/>
          </w:tcPr>
          <w:p w14:paraId="07DCEB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9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BA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BA1" w14:textId="77777777" w:rsidR="00AE727E" w:rsidRDefault="008433E0">
            <w:pPr>
              <w:jc w:val="right"/>
              <w:textAlignment w:val="center"/>
            </w:pPr>
            <w:r>
              <w:rPr>
                <w:rFonts w:ascii="Times New Roman" w:eastAsia="宋体" w:hAnsi="Times New Roman"/>
                <w:color w:val="000000"/>
                <w:sz w:val="20"/>
                <w:szCs w:val="20"/>
              </w:rPr>
              <w:t>2,841 </w:t>
            </w:r>
          </w:p>
        </w:tc>
        <w:tc>
          <w:tcPr>
            <w:tcW w:w="0" w:type="auto"/>
            <w:shd w:val="clear" w:color="auto" w:fill="FFFFFF"/>
            <w:tcMar>
              <w:top w:w="40" w:type="dxa"/>
              <w:left w:w="0" w:type="dxa"/>
              <w:bottom w:w="40" w:type="dxa"/>
              <w:right w:w="20" w:type="dxa"/>
            </w:tcMar>
            <w:vAlign w:val="center"/>
          </w:tcPr>
          <w:p w14:paraId="07DCEBA2" w14:textId="77777777" w:rsidR="00AE727E" w:rsidRDefault="00AE727E">
            <w:pPr>
              <w:jc w:val="right"/>
              <w:rPr>
                <w:rFonts w:ascii="宋体"/>
              </w:rPr>
            </w:pPr>
          </w:p>
        </w:tc>
      </w:tr>
    </w:tbl>
    <w:p w14:paraId="07DCEBA4" w14:textId="77777777" w:rsidR="00AE727E" w:rsidRDefault="00AE727E"/>
    <w:p w14:paraId="07DCEBA5" w14:textId="77777777" w:rsidR="00AE727E" w:rsidRDefault="008433E0">
      <w:r>
        <w:rPr>
          <w:rFonts w:ascii="Times New Roman" w:eastAsia="宋体" w:hAnsi="Times New Roman"/>
          <w:color w:val="000000"/>
          <w:sz w:val="20"/>
          <w:szCs w:val="20"/>
        </w:rPr>
        <w:t>Loan and lease payments and associated equipment transferred via securitization through SPEs were $1.4 billion and $1.6 billion for the three months ended October 29, 2021 and October 30, 2020, respectively, and $4.1 billion and $4.6 billion for the nine m</w:t>
      </w:r>
      <w:r>
        <w:rPr>
          <w:rFonts w:ascii="Times New Roman" w:eastAsia="宋体" w:hAnsi="Times New Roman"/>
          <w:color w:val="000000"/>
          <w:sz w:val="20"/>
          <w:szCs w:val="20"/>
        </w:rPr>
        <w:t xml:space="preserve">onths ended October 29, 2021 and October 30, 2020, respectively. </w:t>
      </w:r>
    </w:p>
    <w:p w14:paraId="07DCEBA6" w14:textId="77777777" w:rsidR="00AE727E" w:rsidRDefault="00AE727E"/>
    <w:p w14:paraId="07DCEBA7" w14:textId="77777777" w:rsidR="00AE727E" w:rsidRDefault="008433E0">
      <w:r>
        <w:rPr>
          <w:rFonts w:ascii="Times New Roman" w:eastAsia="宋体" w:hAnsi="Times New Roman"/>
          <w:b/>
          <w:bCs/>
          <w:color w:val="000000"/>
          <w:sz w:val="20"/>
          <w:szCs w:val="20"/>
        </w:rPr>
        <w:t>Customer Receivables Sales</w:t>
      </w:r>
    </w:p>
    <w:p w14:paraId="07DCEBA8" w14:textId="77777777" w:rsidR="00AE727E" w:rsidRDefault="00AE727E"/>
    <w:p w14:paraId="07DCEBA9" w14:textId="77777777" w:rsidR="00AE727E" w:rsidRDefault="008433E0">
      <w:r>
        <w:rPr>
          <w:rFonts w:ascii="Times New Roman" w:eastAsia="宋体" w:hAnsi="Times New Roman"/>
          <w:color w:val="000000"/>
          <w:sz w:val="20"/>
          <w:szCs w:val="20"/>
        </w:rPr>
        <w:t xml:space="preserve">To manage certain concentrations of customer credit exposure, the Company may sell selected fixed-term customer receivables to unrelated third parties on a periodic basis, without recourse. The amount of customer receivables sold for this purpose was $180 </w:t>
      </w:r>
      <w:r>
        <w:rPr>
          <w:rFonts w:ascii="Times New Roman" w:eastAsia="宋体" w:hAnsi="Times New Roman"/>
          <w:color w:val="000000"/>
          <w:sz w:val="20"/>
          <w:szCs w:val="20"/>
        </w:rPr>
        <w:t xml:space="preserve">million and $414 million for the nine months ended October 29, 2021 and October 30, 2020, respectively. The Company’s continuing involvement in such customer receivables is primarily limited to servicing arrangements. The transactions are accounted for as </w:t>
      </w:r>
      <w:r>
        <w:rPr>
          <w:rFonts w:ascii="Times New Roman" w:eastAsia="宋体" w:hAnsi="Times New Roman"/>
          <w:color w:val="000000"/>
          <w:sz w:val="20"/>
          <w:szCs w:val="20"/>
        </w:rPr>
        <w:t xml:space="preserve">sales and, accordingly, the customer receivables are derecognized from the Condensed Consolidated Statements of Financial Position at the time of sale. </w:t>
      </w:r>
    </w:p>
    <w:p w14:paraId="07DCEBAA" w14:textId="77777777" w:rsidR="00AE727E" w:rsidRDefault="00AE727E">
      <w:pPr>
        <w:jc w:val="center"/>
      </w:pPr>
    </w:p>
    <w:p w14:paraId="07DCEBAB" w14:textId="77777777" w:rsidR="00AE727E" w:rsidRDefault="008433E0">
      <w:pPr>
        <w:jc w:val="center"/>
      </w:pPr>
      <w:r>
        <w:rPr>
          <w:rFonts w:ascii="Times New Roman" w:eastAsia="宋体" w:hAnsi="Times New Roman"/>
          <w:color w:val="000000"/>
          <w:sz w:val="20"/>
          <w:szCs w:val="20"/>
        </w:rPr>
        <w:t>25</w:t>
      </w:r>
    </w:p>
    <w:p w14:paraId="07DCEBAC" w14:textId="77777777" w:rsidR="00AE727E" w:rsidRDefault="00AE727E">
      <w:pPr>
        <w:jc w:val="center"/>
      </w:pPr>
    </w:p>
    <w:p w14:paraId="07DCEBAD" w14:textId="77777777" w:rsidR="00AE727E" w:rsidRDefault="008433E0">
      <w:r>
        <w:pict w14:anchorId="07DD18E9">
          <v:rect id="_x0000_i1049" style="width:415.3pt;height:1.5pt" o:hralign="center" o:hrstd="t" o:hr="t" fillcolor="#a0a0a0" stroked="f"/>
        </w:pict>
      </w:r>
    </w:p>
    <w:p w14:paraId="07DCEBAE" w14:textId="77777777" w:rsidR="00AE727E" w:rsidRDefault="008433E0">
      <w:hyperlink r:id="rId150" w:anchor="i1c8279be622a460ea19600488436f115_10" w:history="1">
        <w:r>
          <w:rPr>
            <w:rStyle w:val="a5"/>
            <w:rFonts w:ascii="Times New Roman" w:eastAsia="宋体" w:hAnsi="Times New Roman"/>
            <w:sz w:val="20"/>
            <w:szCs w:val="20"/>
          </w:rPr>
          <w:t>Table of Contents</w:t>
        </w:r>
      </w:hyperlink>
    </w:p>
    <w:p w14:paraId="07DCEBAF"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BB0"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BB1"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BB2" w14:textId="77777777" w:rsidR="00AE727E" w:rsidRDefault="00AE727E">
      <w:pPr>
        <w:jc w:val="center"/>
      </w:pPr>
    </w:p>
    <w:p w14:paraId="07DCEBB3" w14:textId="77777777" w:rsidR="00AE727E" w:rsidRDefault="008433E0">
      <w:r>
        <w:rPr>
          <w:rFonts w:ascii="Times New Roman" w:eastAsia="宋体" w:hAnsi="Times New Roman"/>
          <w:b/>
          <w:bCs/>
          <w:color w:val="000000"/>
          <w:sz w:val="20"/>
          <w:szCs w:val="20"/>
        </w:rPr>
        <w:t xml:space="preserve">NOTE 4 — LEASES </w:t>
      </w:r>
    </w:p>
    <w:p w14:paraId="07DCEBB4" w14:textId="77777777" w:rsidR="00AE727E" w:rsidRDefault="00AE727E"/>
    <w:p w14:paraId="07DCEBB5" w14:textId="77777777" w:rsidR="00AE727E" w:rsidRDefault="008433E0">
      <w:r>
        <w:rPr>
          <w:rFonts w:ascii="Times New Roman" w:eastAsia="宋体" w:hAnsi="Times New Roman"/>
          <w:color w:val="000000"/>
          <w:sz w:val="20"/>
          <w:szCs w:val="20"/>
        </w:rPr>
        <w:t>The Company enters into leasing transactions in which the Company is the lessee. These lease contracts are typically classified as operating leases. The Company’s lease contracts are generally for office buildings used to conduct its business, and the dete</w:t>
      </w:r>
      <w:r>
        <w:rPr>
          <w:rFonts w:ascii="Times New Roman" w:eastAsia="宋体" w:hAnsi="Times New Roman"/>
          <w:color w:val="000000"/>
          <w:sz w:val="20"/>
          <w:szCs w:val="20"/>
        </w:rPr>
        <w:t xml:space="preserve">rmination of whether such contracts contain leases generally does not require significant estimates or judgments. The Company also leases certain global logistics warehouses, employee vehicles, and equipment. As of October 29, 2021, the remaining terms of </w:t>
      </w:r>
      <w:r>
        <w:rPr>
          <w:rFonts w:ascii="Times New Roman" w:eastAsia="宋体" w:hAnsi="Times New Roman"/>
          <w:color w:val="000000"/>
          <w:sz w:val="20"/>
          <w:szCs w:val="20"/>
        </w:rPr>
        <w:t xml:space="preserve">the Company’s leases range from less than one month to approximately 25 years. </w:t>
      </w:r>
    </w:p>
    <w:p w14:paraId="07DCEBB6" w14:textId="77777777" w:rsidR="00AE727E" w:rsidRDefault="00AE727E"/>
    <w:p w14:paraId="07DCEBB7" w14:textId="77777777" w:rsidR="00AE727E" w:rsidRDefault="008433E0">
      <w:r>
        <w:rPr>
          <w:rFonts w:ascii="Times New Roman" w:eastAsia="宋体" w:hAnsi="Times New Roman"/>
          <w:color w:val="000000"/>
          <w:sz w:val="20"/>
          <w:szCs w:val="20"/>
        </w:rPr>
        <w:t>The Company also enters into leasing transactions in which the Company is the lessor, primarily through customer financing arrangements offered through DFS. DFS originates lea</w:t>
      </w:r>
      <w:r>
        <w:rPr>
          <w:rFonts w:ascii="Times New Roman" w:eastAsia="宋体" w:hAnsi="Times New Roman"/>
          <w:color w:val="000000"/>
          <w:sz w:val="20"/>
          <w:szCs w:val="20"/>
        </w:rPr>
        <w:t xml:space="preserve">ses that are primarily classified as either sales-type leases or operating leases. See Note 3 of the Notes to the Condensed Consolidated Financial Statements for more information on the DFS lease portfolio and related lease disclosures. </w:t>
      </w:r>
    </w:p>
    <w:p w14:paraId="07DCEBB8" w14:textId="77777777" w:rsidR="00AE727E" w:rsidRDefault="00AE727E"/>
    <w:p w14:paraId="07DCEBB9" w14:textId="77777777" w:rsidR="00AE727E" w:rsidRDefault="008433E0">
      <w:r>
        <w:rPr>
          <w:rFonts w:ascii="Times New Roman" w:eastAsia="宋体" w:hAnsi="Times New Roman"/>
          <w:color w:val="000000"/>
          <w:sz w:val="20"/>
          <w:szCs w:val="20"/>
        </w:rPr>
        <w:t>Financial informa</w:t>
      </w:r>
      <w:r>
        <w:rPr>
          <w:rFonts w:ascii="Times New Roman" w:eastAsia="宋体" w:hAnsi="Times New Roman"/>
          <w:color w:val="000000"/>
          <w:sz w:val="20"/>
          <w:szCs w:val="20"/>
        </w:rPr>
        <w:t xml:space="preserve">tion associated with the Company’s leases in which the Company is the lessee is contained in this Note. As of both October 29, 2021 and January 29, 2021, there were no material finance leases for which the Company was a lessee. </w:t>
      </w:r>
    </w:p>
    <w:p w14:paraId="07DCEBBA" w14:textId="77777777" w:rsidR="00AE727E" w:rsidRDefault="00AE727E"/>
    <w:p w14:paraId="07DCEBBB" w14:textId="77777777" w:rsidR="00AE727E" w:rsidRDefault="008433E0">
      <w:pPr>
        <w:spacing w:after="60"/>
      </w:pPr>
      <w:r>
        <w:rPr>
          <w:rFonts w:ascii="Times New Roman" w:eastAsia="宋体" w:hAnsi="Times New Roman"/>
          <w:color w:val="000000"/>
          <w:sz w:val="20"/>
          <w:szCs w:val="20"/>
        </w:rPr>
        <w:t>The following table presen</w:t>
      </w:r>
      <w:r>
        <w:rPr>
          <w:rFonts w:ascii="Times New Roman" w:eastAsia="宋体" w:hAnsi="Times New Roman"/>
          <w:color w:val="000000"/>
          <w:sz w:val="20"/>
          <w:szCs w:val="20"/>
        </w:rPr>
        <w:t>ts components of lease costs included in the Condensed Consolidated Statements of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27"/>
        <w:gridCol w:w="36"/>
        <w:gridCol w:w="121"/>
        <w:gridCol w:w="1195"/>
        <w:gridCol w:w="37"/>
        <w:gridCol w:w="36"/>
        <w:gridCol w:w="36"/>
        <w:gridCol w:w="36"/>
        <w:gridCol w:w="121"/>
        <w:gridCol w:w="1195"/>
        <w:gridCol w:w="37"/>
        <w:gridCol w:w="36"/>
        <w:gridCol w:w="36"/>
        <w:gridCol w:w="36"/>
        <w:gridCol w:w="121"/>
        <w:gridCol w:w="1195"/>
        <w:gridCol w:w="37"/>
        <w:gridCol w:w="36"/>
        <w:gridCol w:w="36"/>
        <w:gridCol w:w="36"/>
        <w:gridCol w:w="121"/>
        <w:gridCol w:w="1195"/>
        <w:gridCol w:w="37"/>
      </w:tblGrid>
      <w:tr w:rsidR="00AE727E" w14:paraId="07DCEBD4" w14:textId="77777777">
        <w:trPr>
          <w:jc w:val="center"/>
        </w:trPr>
        <w:tc>
          <w:tcPr>
            <w:tcW w:w="50" w:type="pct"/>
            <w:shd w:val="clear" w:color="auto" w:fill="auto"/>
            <w:vAlign w:val="bottom"/>
          </w:tcPr>
          <w:p w14:paraId="07DCEBBC" w14:textId="77777777" w:rsidR="00AE727E" w:rsidRDefault="00AE727E">
            <w:pPr>
              <w:rPr>
                <w:rFonts w:ascii="宋体"/>
              </w:rPr>
            </w:pPr>
          </w:p>
        </w:tc>
        <w:tc>
          <w:tcPr>
            <w:tcW w:w="1582" w:type="pct"/>
            <w:shd w:val="clear" w:color="auto" w:fill="auto"/>
            <w:vAlign w:val="bottom"/>
          </w:tcPr>
          <w:p w14:paraId="07DCEBBD" w14:textId="77777777" w:rsidR="00AE727E" w:rsidRDefault="00AE727E">
            <w:pPr>
              <w:rPr>
                <w:rFonts w:ascii="宋体"/>
              </w:rPr>
            </w:pPr>
          </w:p>
        </w:tc>
        <w:tc>
          <w:tcPr>
            <w:tcW w:w="5" w:type="pct"/>
            <w:shd w:val="clear" w:color="auto" w:fill="auto"/>
            <w:vAlign w:val="bottom"/>
          </w:tcPr>
          <w:p w14:paraId="07DCEBBE" w14:textId="77777777" w:rsidR="00AE727E" w:rsidRDefault="00AE727E">
            <w:pPr>
              <w:rPr>
                <w:rFonts w:ascii="宋体"/>
              </w:rPr>
            </w:pPr>
          </w:p>
        </w:tc>
        <w:tc>
          <w:tcPr>
            <w:tcW w:w="50" w:type="pct"/>
            <w:shd w:val="clear" w:color="auto" w:fill="auto"/>
            <w:vAlign w:val="bottom"/>
          </w:tcPr>
          <w:p w14:paraId="07DCEBBF" w14:textId="77777777" w:rsidR="00AE727E" w:rsidRDefault="00AE727E">
            <w:pPr>
              <w:rPr>
                <w:rFonts w:ascii="宋体"/>
              </w:rPr>
            </w:pPr>
          </w:p>
        </w:tc>
        <w:tc>
          <w:tcPr>
            <w:tcW w:w="763" w:type="pct"/>
            <w:shd w:val="clear" w:color="auto" w:fill="auto"/>
            <w:vAlign w:val="bottom"/>
          </w:tcPr>
          <w:p w14:paraId="07DCEBC0" w14:textId="77777777" w:rsidR="00AE727E" w:rsidRDefault="00AE727E">
            <w:pPr>
              <w:rPr>
                <w:rFonts w:ascii="宋体"/>
              </w:rPr>
            </w:pPr>
          </w:p>
        </w:tc>
        <w:tc>
          <w:tcPr>
            <w:tcW w:w="5" w:type="pct"/>
            <w:shd w:val="clear" w:color="auto" w:fill="auto"/>
            <w:vAlign w:val="bottom"/>
          </w:tcPr>
          <w:p w14:paraId="07DCEBC1" w14:textId="77777777" w:rsidR="00AE727E" w:rsidRDefault="00AE727E">
            <w:pPr>
              <w:rPr>
                <w:rFonts w:ascii="宋体"/>
              </w:rPr>
            </w:pPr>
          </w:p>
        </w:tc>
        <w:tc>
          <w:tcPr>
            <w:tcW w:w="5" w:type="pct"/>
            <w:shd w:val="clear" w:color="auto" w:fill="auto"/>
            <w:vAlign w:val="bottom"/>
          </w:tcPr>
          <w:p w14:paraId="07DCEBC2" w14:textId="77777777" w:rsidR="00AE727E" w:rsidRDefault="00AE727E">
            <w:pPr>
              <w:rPr>
                <w:rFonts w:ascii="宋体"/>
              </w:rPr>
            </w:pPr>
          </w:p>
        </w:tc>
        <w:tc>
          <w:tcPr>
            <w:tcW w:w="19" w:type="pct"/>
            <w:shd w:val="clear" w:color="auto" w:fill="auto"/>
            <w:vAlign w:val="bottom"/>
          </w:tcPr>
          <w:p w14:paraId="07DCEBC3" w14:textId="77777777" w:rsidR="00AE727E" w:rsidRDefault="00AE727E">
            <w:pPr>
              <w:rPr>
                <w:rFonts w:ascii="宋体"/>
              </w:rPr>
            </w:pPr>
          </w:p>
        </w:tc>
        <w:tc>
          <w:tcPr>
            <w:tcW w:w="5" w:type="pct"/>
            <w:shd w:val="clear" w:color="auto" w:fill="auto"/>
            <w:vAlign w:val="bottom"/>
          </w:tcPr>
          <w:p w14:paraId="07DCEBC4" w14:textId="77777777" w:rsidR="00AE727E" w:rsidRDefault="00AE727E">
            <w:pPr>
              <w:rPr>
                <w:rFonts w:ascii="宋体"/>
              </w:rPr>
            </w:pPr>
          </w:p>
        </w:tc>
        <w:tc>
          <w:tcPr>
            <w:tcW w:w="50" w:type="pct"/>
            <w:shd w:val="clear" w:color="auto" w:fill="auto"/>
            <w:vAlign w:val="bottom"/>
          </w:tcPr>
          <w:p w14:paraId="07DCEBC5" w14:textId="77777777" w:rsidR="00AE727E" w:rsidRDefault="00AE727E">
            <w:pPr>
              <w:rPr>
                <w:rFonts w:ascii="宋体"/>
              </w:rPr>
            </w:pPr>
          </w:p>
        </w:tc>
        <w:tc>
          <w:tcPr>
            <w:tcW w:w="763" w:type="pct"/>
            <w:shd w:val="clear" w:color="auto" w:fill="auto"/>
            <w:vAlign w:val="bottom"/>
          </w:tcPr>
          <w:p w14:paraId="07DCEBC6" w14:textId="77777777" w:rsidR="00AE727E" w:rsidRDefault="00AE727E">
            <w:pPr>
              <w:rPr>
                <w:rFonts w:ascii="宋体"/>
              </w:rPr>
            </w:pPr>
          </w:p>
        </w:tc>
        <w:tc>
          <w:tcPr>
            <w:tcW w:w="5" w:type="pct"/>
            <w:shd w:val="clear" w:color="auto" w:fill="auto"/>
            <w:vAlign w:val="bottom"/>
          </w:tcPr>
          <w:p w14:paraId="07DCEBC7" w14:textId="77777777" w:rsidR="00AE727E" w:rsidRDefault="00AE727E">
            <w:pPr>
              <w:rPr>
                <w:rFonts w:ascii="宋体"/>
              </w:rPr>
            </w:pPr>
          </w:p>
        </w:tc>
        <w:tc>
          <w:tcPr>
            <w:tcW w:w="5" w:type="pct"/>
            <w:shd w:val="clear" w:color="auto" w:fill="auto"/>
            <w:vAlign w:val="bottom"/>
          </w:tcPr>
          <w:p w14:paraId="07DCEBC8" w14:textId="77777777" w:rsidR="00AE727E" w:rsidRDefault="00AE727E">
            <w:pPr>
              <w:rPr>
                <w:rFonts w:ascii="宋体"/>
              </w:rPr>
            </w:pPr>
          </w:p>
        </w:tc>
        <w:tc>
          <w:tcPr>
            <w:tcW w:w="19" w:type="pct"/>
            <w:shd w:val="clear" w:color="auto" w:fill="auto"/>
            <w:vAlign w:val="bottom"/>
          </w:tcPr>
          <w:p w14:paraId="07DCEBC9" w14:textId="77777777" w:rsidR="00AE727E" w:rsidRDefault="00AE727E">
            <w:pPr>
              <w:rPr>
                <w:rFonts w:ascii="宋体"/>
              </w:rPr>
            </w:pPr>
          </w:p>
        </w:tc>
        <w:tc>
          <w:tcPr>
            <w:tcW w:w="5" w:type="pct"/>
            <w:shd w:val="clear" w:color="auto" w:fill="auto"/>
            <w:vAlign w:val="bottom"/>
          </w:tcPr>
          <w:p w14:paraId="07DCEBCA" w14:textId="77777777" w:rsidR="00AE727E" w:rsidRDefault="00AE727E">
            <w:pPr>
              <w:rPr>
                <w:rFonts w:ascii="宋体"/>
              </w:rPr>
            </w:pPr>
          </w:p>
        </w:tc>
        <w:tc>
          <w:tcPr>
            <w:tcW w:w="50" w:type="pct"/>
            <w:shd w:val="clear" w:color="auto" w:fill="auto"/>
            <w:vAlign w:val="bottom"/>
          </w:tcPr>
          <w:p w14:paraId="07DCEBCB" w14:textId="77777777" w:rsidR="00AE727E" w:rsidRDefault="00AE727E">
            <w:pPr>
              <w:rPr>
                <w:rFonts w:ascii="宋体"/>
              </w:rPr>
            </w:pPr>
          </w:p>
        </w:tc>
        <w:tc>
          <w:tcPr>
            <w:tcW w:w="763" w:type="pct"/>
            <w:shd w:val="clear" w:color="auto" w:fill="auto"/>
            <w:vAlign w:val="bottom"/>
          </w:tcPr>
          <w:p w14:paraId="07DCEBCC" w14:textId="77777777" w:rsidR="00AE727E" w:rsidRDefault="00AE727E">
            <w:pPr>
              <w:rPr>
                <w:rFonts w:ascii="宋体"/>
              </w:rPr>
            </w:pPr>
          </w:p>
        </w:tc>
        <w:tc>
          <w:tcPr>
            <w:tcW w:w="5" w:type="pct"/>
            <w:shd w:val="clear" w:color="auto" w:fill="auto"/>
            <w:vAlign w:val="bottom"/>
          </w:tcPr>
          <w:p w14:paraId="07DCEBCD" w14:textId="77777777" w:rsidR="00AE727E" w:rsidRDefault="00AE727E">
            <w:pPr>
              <w:rPr>
                <w:rFonts w:ascii="宋体"/>
              </w:rPr>
            </w:pPr>
          </w:p>
        </w:tc>
        <w:tc>
          <w:tcPr>
            <w:tcW w:w="5" w:type="pct"/>
            <w:shd w:val="clear" w:color="auto" w:fill="auto"/>
            <w:vAlign w:val="bottom"/>
          </w:tcPr>
          <w:p w14:paraId="07DCEBCE" w14:textId="77777777" w:rsidR="00AE727E" w:rsidRDefault="00AE727E">
            <w:pPr>
              <w:rPr>
                <w:rFonts w:ascii="宋体"/>
              </w:rPr>
            </w:pPr>
          </w:p>
        </w:tc>
        <w:tc>
          <w:tcPr>
            <w:tcW w:w="19" w:type="pct"/>
            <w:shd w:val="clear" w:color="auto" w:fill="auto"/>
            <w:vAlign w:val="bottom"/>
          </w:tcPr>
          <w:p w14:paraId="07DCEBCF" w14:textId="77777777" w:rsidR="00AE727E" w:rsidRDefault="00AE727E">
            <w:pPr>
              <w:rPr>
                <w:rFonts w:ascii="宋体"/>
              </w:rPr>
            </w:pPr>
          </w:p>
        </w:tc>
        <w:tc>
          <w:tcPr>
            <w:tcW w:w="5" w:type="pct"/>
            <w:shd w:val="clear" w:color="auto" w:fill="auto"/>
            <w:vAlign w:val="bottom"/>
          </w:tcPr>
          <w:p w14:paraId="07DCEBD0" w14:textId="77777777" w:rsidR="00AE727E" w:rsidRDefault="00AE727E">
            <w:pPr>
              <w:rPr>
                <w:rFonts w:ascii="宋体"/>
              </w:rPr>
            </w:pPr>
          </w:p>
        </w:tc>
        <w:tc>
          <w:tcPr>
            <w:tcW w:w="50" w:type="pct"/>
            <w:shd w:val="clear" w:color="auto" w:fill="auto"/>
            <w:vAlign w:val="bottom"/>
          </w:tcPr>
          <w:p w14:paraId="07DCEBD1" w14:textId="77777777" w:rsidR="00AE727E" w:rsidRDefault="00AE727E">
            <w:pPr>
              <w:rPr>
                <w:rFonts w:ascii="宋体"/>
              </w:rPr>
            </w:pPr>
          </w:p>
        </w:tc>
        <w:tc>
          <w:tcPr>
            <w:tcW w:w="763" w:type="pct"/>
            <w:shd w:val="clear" w:color="auto" w:fill="auto"/>
            <w:vAlign w:val="bottom"/>
          </w:tcPr>
          <w:p w14:paraId="07DCEBD2" w14:textId="77777777" w:rsidR="00AE727E" w:rsidRDefault="00AE727E">
            <w:pPr>
              <w:rPr>
                <w:rFonts w:ascii="宋体"/>
              </w:rPr>
            </w:pPr>
          </w:p>
        </w:tc>
        <w:tc>
          <w:tcPr>
            <w:tcW w:w="5" w:type="pct"/>
            <w:shd w:val="clear" w:color="auto" w:fill="auto"/>
            <w:vAlign w:val="bottom"/>
          </w:tcPr>
          <w:p w14:paraId="07DCEBD3" w14:textId="77777777" w:rsidR="00AE727E" w:rsidRDefault="00AE727E">
            <w:pPr>
              <w:rPr>
                <w:rFonts w:ascii="宋体"/>
              </w:rPr>
            </w:pPr>
          </w:p>
        </w:tc>
      </w:tr>
      <w:tr w:rsidR="00AE727E" w14:paraId="07DCEBD9" w14:textId="77777777">
        <w:trPr>
          <w:jc w:val="center"/>
        </w:trPr>
        <w:tc>
          <w:tcPr>
            <w:tcW w:w="0" w:type="auto"/>
            <w:gridSpan w:val="3"/>
            <w:shd w:val="clear" w:color="auto" w:fill="auto"/>
            <w:tcMar>
              <w:top w:w="0" w:type="dxa"/>
              <w:left w:w="20" w:type="dxa"/>
              <w:bottom w:w="0" w:type="dxa"/>
              <w:right w:w="20" w:type="dxa"/>
            </w:tcMar>
            <w:vAlign w:val="bottom"/>
          </w:tcPr>
          <w:p w14:paraId="07DCEBD5"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BD6"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EBD7"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BD8"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EBE2" w14:textId="77777777">
        <w:trPr>
          <w:jc w:val="center"/>
        </w:trPr>
        <w:tc>
          <w:tcPr>
            <w:tcW w:w="0" w:type="auto"/>
            <w:gridSpan w:val="3"/>
            <w:shd w:val="clear" w:color="auto" w:fill="auto"/>
            <w:tcMar>
              <w:top w:w="0" w:type="dxa"/>
              <w:left w:w="20" w:type="dxa"/>
              <w:bottom w:w="0" w:type="dxa"/>
              <w:right w:w="20" w:type="dxa"/>
            </w:tcMar>
            <w:vAlign w:val="bottom"/>
          </w:tcPr>
          <w:p w14:paraId="07DCEBD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BDB"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BD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BDD"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EBD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BDF"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BE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BE1"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EBE5" w14:textId="77777777">
        <w:trPr>
          <w:jc w:val="center"/>
        </w:trPr>
        <w:tc>
          <w:tcPr>
            <w:tcW w:w="0" w:type="auto"/>
            <w:gridSpan w:val="3"/>
            <w:shd w:val="clear" w:color="auto" w:fill="auto"/>
            <w:tcMar>
              <w:top w:w="0" w:type="dxa"/>
              <w:left w:w="20" w:type="dxa"/>
              <w:bottom w:w="0" w:type="dxa"/>
              <w:right w:w="20" w:type="dxa"/>
            </w:tcMar>
            <w:vAlign w:val="bottom"/>
          </w:tcPr>
          <w:p w14:paraId="07DCEBE3"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CEBE4"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BF6" w14:textId="77777777">
        <w:trPr>
          <w:jc w:val="center"/>
        </w:trPr>
        <w:tc>
          <w:tcPr>
            <w:tcW w:w="0" w:type="auto"/>
            <w:gridSpan w:val="3"/>
            <w:shd w:val="clear" w:color="auto" w:fill="CCEEFF"/>
            <w:tcMar>
              <w:top w:w="40" w:type="dxa"/>
              <w:left w:w="20" w:type="dxa"/>
              <w:bottom w:w="40" w:type="dxa"/>
              <w:right w:w="20" w:type="dxa"/>
            </w:tcMar>
            <w:vAlign w:val="center"/>
          </w:tcPr>
          <w:p w14:paraId="07DCEBE6" w14:textId="77777777" w:rsidR="00AE727E" w:rsidRDefault="008433E0">
            <w:pPr>
              <w:textAlignment w:val="center"/>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center"/>
          </w:tcPr>
          <w:p w14:paraId="07DCEBE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E8" w14:textId="77777777" w:rsidR="00AE727E" w:rsidRDefault="008433E0">
            <w:pPr>
              <w:jc w:val="right"/>
              <w:textAlignment w:val="center"/>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center"/>
          </w:tcPr>
          <w:p w14:paraId="07DCEBE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E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BE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EC" w14:textId="77777777" w:rsidR="00AE727E" w:rsidRDefault="008433E0">
            <w:pPr>
              <w:jc w:val="right"/>
              <w:textAlignment w:val="center"/>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center"/>
          </w:tcPr>
          <w:p w14:paraId="07DCEBE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EE"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BE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F0" w14:textId="77777777" w:rsidR="00AE727E" w:rsidRDefault="008433E0">
            <w:pPr>
              <w:jc w:val="right"/>
              <w:textAlignment w:val="center"/>
            </w:pPr>
            <w:r>
              <w:rPr>
                <w:rFonts w:ascii="Times New Roman" w:eastAsia="宋体" w:hAnsi="Times New Roman"/>
                <w:color w:val="000000"/>
                <w:sz w:val="20"/>
                <w:szCs w:val="20"/>
              </w:rPr>
              <w:t>404 </w:t>
            </w:r>
          </w:p>
        </w:tc>
        <w:tc>
          <w:tcPr>
            <w:tcW w:w="0" w:type="auto"/>
            <w:shd w:val="clear" w:color="auto" w:fill="CCEEFF"/>
            <w:tcMar>
              <w:top w:w="40" w:type="dxa"/>
              <w:left w:w="0" w:type="dxa"/>
              <w:bottom w:w="40" w:type="dxa"/>
              <w:right w:w="20" w:type="dxa"/>
            </w:tcMar>
            <w:vAlign w:val="center"/>
          </w:tcPr>
          <w:p w14:paraId="07DCEBF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BF2"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BF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BF4" w14:textId="77777777" w:rsidR="00AE727E" w:rsidRDefault="008433E0">
            <w:pPr>
              <w:jc w:val="right"/>
              <w:textAlignment w:val="center"/>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center"/>
          </w:tcPr>
          <w:p w14:paraId="07DCEBF5" w14:textId="77777777" w:rsidR="00AE727E" w:rsidRDefault="00AE727E">
            <w:pPr>
              <w:jc w:val="right"/>
              <w:rPr>
                <w:rFonts w:ascii="宋体"/>
              </w:rPr>
            </w:pPr>
          </w:p>
        </w:tc>
      </w:tr>
      <w:tr w:rsidR="00AE727E" w14:paraId="07DCEC03" w14:textId="77777777">
        <w:trPr>
          <w:jc w:val="center"/>
        </w:trPr>
        <w:tc>
          <w:tcPr>
            <w:tcW w:w="0" w:type="auto"/>
            <w:gridSpan w:val="3"/>
            <w:shd w:val="clear" w:color="auto" w:fill="FFFFFF"/>
            <w:tcMar>
              <w:top w:w="40" w:type="dxa"/>
              <w:left w:w="20" w:type="dxa"/>
              <w:bottom w:w="40" w:type="dxa"/>
              <w:right w:w="20" w:type="dxa"/>
            </w:tcMar>
            <w:vAlign w:val="center"/>
          </w:tcPr>
          <w:p w14:paraId="07DCEBF7" w14:textId="77777777" w:rsidR="00AE727E" w:rsidRDefault="008433E0">
            <w:pPr>
              <w:textAlignment w:val="center"/>
            </w:pPr>
            <w:r>
              <w:rPr>
                <w:rFonts w:ascii="Times New Roman" w:eastAsia="宋体" w:hAnsi="Times New Roman"/>
                <w:color w:val="000000"/>
                <w:sz w:val="20"/>
                <w:szCs w:val="20"/>
              </w:rPr>
              <w:t>Variable costs</w:t>
            </w:r>
          </w:p>
        </w:tc>
        <w:tc>
          <w:tcPr>
            <w:tcW w:w="0" w:type="auto"/>
            <w:gridSpan w:val="2"/>
            <w:shd w:val="clear" w:color="auto" w:fill="FFFFFF"/>
            <w:tcMar>
              <w:top w:w="40" w:type="dxa"/>
              <w:left w:w="20" w:type="dxa"/>
              <w:bottom w:w="40" w:type="dxa"/>
              <w:right w:w="0" w:type="dxa"/>
            </w:tcMar>
            <w:vAlign w:val="center"/>
          </w:tcPr>
          <w:p w14:paraId="07DCEBF8" w14:textId="77777777" w:rsidR="00AE727E" w:rsidRDefault="008433E0">
            <w:pPr>
              <w:jc w:val="right"/>
              <w:textAlignment w:val="center"/>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center"/>
          </w:tcPr>
          <w:p w14:paraId="07DCEBF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F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BFB" w14:textId="77777777" w:rsidR="00AE727E" w:rsidRDefault="008433E0">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07DCEB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B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BFE" w14:textId="77777777" w:rsidR="00AE727E" w:rsidRDefault="008433E0">
            <w:pPr>
              <w:jc w:val="right"/>
              <w:textAlignment w:val="center"/>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center"/>
          </w:tcPr>
          <w:p w14:paraId="07DCEB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C0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C01" w14:textId="77777777" w:rsidR="00AE727E" w:rsidRDefault="008433E0">
            <w:pPr>
              <w:jc w:val="right"/>
              <w:textAlignment w:val="center"/>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center"/>
          </w:tcPr>
          <w:p w14:paraId="07DCEC02" w14:textId="77777777" w:rsidR="00AE727E" w:rsidRDefault="00AE727E">
            <w:pPr>
              <w:jc w:val="right"/>
              <w:rPr>
                <w:rFonts w:ascii="宋体"/>
              </w:rPr>
            </w:pPr>
          </w:p>
        </w:tc>
      </w:tr>
      <w:tr w:rsidR="00AE727E" w14:paraId="07DCEC14" w14:textId="77777777">
        <w:trPr>
          <w:jc w:val="center"/>
        </w:trPr>
        <w:tc>
          <w:tcPr>
            <w:tcW w:w="0" w:type="auto"/>
            <w:gridSpan w:val="3"/>
            <w:shd w:val="clear" w:color="auto" w:fill="CCEEFF"/>
            <w:tcMar>
              <w:top w:w="40" w:type="dxa"/>
              <w:left w:w="155" w:type="dxa"/>
              <w:bottom w:w="40" w:type="dxa"/>
              <w:right w:w="20" w:type="dxa"/>
            </w:tcMar>
            <w:vAlign w:val="center"/>
          </w:tcPr>
          <w:p w14:paraId="07DCEC04" w14:textId="77777777" w:rsidR="00AE727E" w:rsidRDefault="008433E0">
            <w:pPr>
              <w:textAlignment w:val="center"/>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C0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C06" w14:textId="77777777" w:rsidR="00AE727E" w:rsidRDefault="008433E0">
            <w:pPr>
              <w:jc w:val="right"/>
              <w:textAlignment w:val="center"/>
            </w:pPr>
            <w:r>
              <w:rPr>
                <w:rFonts w:ascii="Times New Roman" w:eastAsia="宋体" w:hAnsi="Times New Roman"/>
                <w:color w:val="000000"/>
                <w:sz w:val="20"/>
                <w:szCs w:val="20"/>
              </w:rPr>
              <w:t>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C0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C08"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C0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C0A" w14:textId="77777777" w:rsidR="00AE727E" w:rsidRDefault="008433E0">
            <w:pPr>
              <w:jc w:val="right"/>
              <w:textAlignment w:val="center"/>
            </w:pPr>
            <w:r>
              <w:rPr>
                <w:rFonts w:ascii="Times New Roman" w:eastAsia="宋体" w:hAnsi="Times New Roman"/>
                <w:color w:val="000000"/>
                <w:sz w:val="20"/>
                <w:szCs w:val="20"/>
              </w:rPr>
              <w:t>166 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C0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C0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C0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C0E" w14:textId="77777777" w:rsidR="00AE727E" w:rsidRDefault="008433E0">
            <w:pPr>
              <w:jc w:val="right"/>
              <w:textAlignment w:val="center"/>
            </w:pPr>
            <w:r>
              <w:rPr>
                <w:rFonts w:ascii="Times New Roman" w:eastAsia="宋体" w:hAnsi="Times New Roman"/>
                <w:color w:val="000000"/>
                <w:sz w:val="20"/>
                <w:szCs w:val="20"/>
              </w:rPr>
              <w:t>501 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C0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C1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EC1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EC12" w14:textId="77777777" w:rsidR="00AE727E" w:rsidRDefault="008433E0">
            <w:pPr>
              <w:jc w:val="right"/>
              <w:textAlignment w:val="center"/>
            </w:pPr>
            <w:r>
              <w:rPr>
                <w:rFonts w:ascii="Times New Roman" w:eastAsia="宋体" w:hAnsi="Times New Roman"/>
                <w:color w:val="000000"/>
                <w:sz w:val="20"/>
                <w:szCs w:val="20"/>
              </w:rPr>
              <w:t>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EC13" w14:textId="77777777" w:rsidR="00AE727E" w:rsidRDefault="00AE727E">
            <w:pPr>
              <w:jc w:val="right"/>
              <w:rPr>
                <w:rFonts w:ascii="宋体"/>
              </w:rPr>
            </w:pPr>
          </w:p>
        </w:tc>
      </w:tr>
    </w:tbl>
    <w:p w14:paraId="07DCEC15" w14:textId="77777777" w:rsidR="00AE727E" w:rsidRDefault="00AE727E"/>
    <w:p w14:paraId="07DCEC16" w14:textId="77777777" w:rsidR="00AE727E" w:rsidRDefault="008433E0">
      <w:r>
        <w:rPr>
          <w:rFonts w:ascii="Times New Roman" w:eastAsia="宋体" w:hAnsi="Times New Roman"/>
          <w:color w:val="000000"/>
          <w:sz w:val="20"/>
          <w:szCs w:val="20"/>
        </w:rPr>
        <w:t>During both the nine months ended October 29, 2021 and October 30, 2020, sublease inc</w:t>
      </w:r>
      <w:r>
        <w:rPr>
          <w:rFonts w:ascii="Times New Roman" w:eastAsia="宋体" w:hAnsi="Times New Roman"/>
          <w:color w:val="000000"/>
          <w:sz w:val="20"/>
          <w:szCs w:val="20"/>
        </w:rPr>
        <w:t xml:space="preserve">ome, finance lease costs, and short-term lease costs were immaterial. </w:t>
      </w:r>
    </w:p>
    <w:p w14:paraId="07DCEC17" w14:textId="77777777" w:rsidR="00AE727E" w:rsidRDefault="00AE727E"/>
    <w:p w14:paraId="07DCEC18" w14:textId="77777777" w:rsidR="00AE727E" w:rsidRDefault="008433E0">
      <w:pPr>
        <w:spacing w:after="60"/>
      </w:pPr>
      <w:r>
        <w:rPr>
          <w:rFonts w:ascii="Times New Roman" w:eastAsia="宋体" w:hAnsi="Times New Roman"/>
          <w:color w:val="000000"/>
          <w:sz w:val="20"/>
          <w:szCs w:val="20"/>
        </w:rPr>
        <w:t>The following table presents supplemental information related to operating leases included in the Condensed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98"/>
        <w:gridCol w:w="38"/>
        <w:gridCol w:w="41"/>
        <w:gridCol w:w="2176"/>
        <w:gridCol w:w="36"/>
        <w:gridCol w:w="121"/>
        <w:gridCol w:w="1182"/>
        <w:gridCol w:w="187"/>
        <w:gridCol w:w="36"/>
        <w:gridCol w:w="36"/>
        <w:gridCol w:w="36"/>
        <w:gridCol w:w="121"/>
        <w:gridCol w:w="1183"/>
        <w:gridCol w:w="187"/>
        <w:gridCol w:w="36"/>
        <w:gridCol w:w="36"/>
        <w:gridCol w:w="36"/>
        <w:gridCol w:w="36"/>
        <w:gridCol w:w="36"/>
        <w:gridCol w:w="36"/>
      </w:tblGrid>
      <w:tr w:rsidR="00AE727E" w14:paraId="07DCEC2A" w14:textId="77777777">
        <w:tc>
          <w:tcPr>
            <w:tcW w:w="50" w:type="pct"/>
            <w:shd w:val="clear" w:color="auto" w:fill="auto"/>
            <w:vAlign w:val="bottom"/>
          </w:tcPr>
          <w:p w14:paraId="07DCEC19" w14:textId="77777777" w:rsidR="00AE727E" w:rsidRDefault="00AE727E">
            <w:pPr>
              <w:rPr>
                <w:rFonts w:ascii="宋体"/>
              </w:rPr>
            </w:pPr>
          </w:p>
        </w:tc>
        <w:tc>
          <w:tcPr>
            <w:tcW w:w="1750" w:type="pct"/>
            <w:shd w:val="clear" w:color="auto" w:fill="auto"/>
            <w:vAlign w:val="bottom"/>
          </w:tcPr>
          <w:p w14:paraId="07DCEC1A" w14:textId="77777777" w:rsidR="00AE727E" w:rsidRDefault="00AE727E">
            <w:pPr>
              <w:rPr>
                <w:rFonts w:ascii="宋体"/>
              </w:rPr>
            </w:pPr>
          </w:p>
        </w:tc>
        <w:tc>
          <w:tcPr>
            <w:tcW w:w="5" w:type="pct"/>
            <w:shd w:val="clear" w:color="auto" w:fill="auto"/>
            <w:vAlign w:val="bottom"/>
          </w:tcPr>
          <w:p w14:paraId="07DCEC1B" w14:textId="77777777" w:rsidR="00AE727E" w:rsidRDefault="00AE727E">
            <w:pPr>
              <w:rPr>
                <w:rFonts w:ascii="宋体"/>
              </w:rPr>
            </w:pPr>
          </w:p>
        </w:tc>
        <w:tc>
          <w:tcPr>
            <w:tcW w:w="50" w:type="pct"/>
            <w:shd w:val="clear" w:color="auto" w:fill="auto"/>
            <w:vAlign w:val="bottom"/>
          </w:tcPr>
          <w:p w14:paraId="07DCEC1C" w14:textId="77777777" w:rsidR="00AE727E" w:rsidRDefault="00AE727E">
            <w:pPr>
              <w:rPr>
                <w:rFonts w:ascii="宋体"/>
              </w:rPr>
            </w:pPr>
          </w:p>
        </w:tc>
        <w:tc>
          <w:tcPr>
            <w:tcW w:w="1428" w:type="pct"/>
            <w:shd w:val="clear" w:color="auto" w:fill="auto"/>
            <w:vAlign w:val="bottom"/>
          </w:tcPr>
          <w:p w14:paraId="07DCEC1D" w14:textId="77777777" w:rsidR="00AE727E" w:rsidRDefault="00AE727E">
            <w:pPr>
              <w:rPr>
                <w:rFonts w:ascii="宋体"/>
              </w:rPr>
            </w:pPr>
          </w:p>
        </w:tc>
        <w:tc>
          <w:tcPr>
            <w:tcW w:w="5" w:type="pct"/>
            <w:shd w:val="clear" w:color="auto" w:fill="auto"/>
            <w:vAlign w:val="bottom"/>
          </w:tcPr>
          <w:p w14:paraId="07DCEC1E" w14:textId="77777777" w:rsidR="00AE727E" w:rsidRDefault="00AE727E">
            <w:pPr>
              <w:rPr>
                <w:rFonts w:ascii="宋体"/>
              </w:rPr>
            </w:pPr>
          </w:p>
        </w:tc>
        <w:tc>
          <w:tcPr>
            <w:tcW w:w="50" w:type="pct"/>
            <w:shd w:val="clear" w:color="auto" w:fill="auto"/>
            <w:vAlign w:val="bottom"/>
          </w:tcPr>
          <w:p w14:paraId="07DCEC1F" w14:textId="77777777" w:rsidR="00AE727E" w:rsidRDefault="00AE727E">
            <w:pPr>
              <w:rPr>
                <w:rFonts w:ascii="宋体"/>
              </w:rPr>
            </w:pPr>
          </w:p>
        </w:tc>
        <w:tc>
          <w:tcPr>
            <w:tcW w:w="785" w:type="pct"/>
            <w:shd w:val="clear" w:color="auto" w:fill="auto"/>
            <w:vAlign w:val="bottom"/>
          </w:tcPr>
          <w:p w14:paraId="07DCEC20" w14:textId="77777777" w:rsidR="00AE727E" w:rsidRDefault="00AE727E">
            <w:pPr>
              <w:rPr>
                <w:rFonts w:ascii="宋体"/>
              </w:rPr>
            </w:pPr>
          </w:p>
        </w:tc>
        <w:tc>
          <w:tcPr>
            <w:tcW w:w="5" w:type="pct"/>
            <w:shd w:val="clear" w:color="auto" w:fill="auto"/>
            <w:vAlign w:val="bottom"/>
          </w:tcPr>
          <w:p w14:paraId="07DCEC21" w14:textId="77777777" w:rsidR="00AE727E" w:rsidRDefault="00AE727E">
            <w:pPr>
              <w:rPr>
                <w:rFonts w:ascii="宋体"/>
              </w:rPr>
            </w:pPr>
          </w:p>
        </w:tc>
        <w:tc>
          <w:tcPr>
            <w:tcW w:w="5" w:type="pct"/>
            <w:shd w:val="clear" w:color="auto" w:fill="auto"/>
            <w:vAlign w:val="bottom"/>
          </w:tcPr>
          <w:p w14:paraId="07DCEC22" w14:textId="77777777" w:rsidR="00AE727E" w:rsidRDefault="00AE727E">
            <w:pPr>
              <w:rPr>
                <w:rFonts w:ascii="宋体"/>
              </w:rPr>
            </w:pPr>
          </w:p>
        </w:tc>
        <w:tc>
          <w:tcPr>
            <w:tcW w:w="19" w:type="pct"/>
            <w:shd w:val="clear" w:color="auto" w:fill="auto"/>
            <w:vAlign w:val="bottom"/>
          </w:tcPr>
          <w:p w14:paraId="07DCEC23" w14:textId="77777777" w:rsidR="00AE727E" w:rsidRDefault="00AE727E">
            <w:pPr>
              <w:rPr>
                <w:rFonts w:ascii="宋体"/>
              </w:rPr>
            </w:pPr>
          </w:p>
        </w:tc>
        <w:tc>
          <w:tcPr>
            <w:tcW w:w="5" w:type="pct"/>
            <w:shd w:val="clear" w:color="auto" w:fill="auto"/>
            <w:vAlign w:val="bottom"/>
          </w:tcPr>
          <w:p w14:paraId="07DCEC24" w14:textId="77777777" w:rsidR="00AE727E" w:rsidRDefault="00AE727E">
            <w:pPr>
              <w:rPr>
                <w:rFonts w:ascii="宋体"/>
              </w:rPr>
            </w:pPr>
          </w:p>
        </w:tc>
        <w:tc>
          <w:tcPr>
            <w:tcW w:w="50" w:type="pct"/>
            <w:shd w:val="clear" w:color="auto" w:fill="auto"/>
            <w:vAlign w:val="bottom"/>
          </w:tcPr>
          <w:p w14:paraId="07DCEC25" w14:textId="77777777" w:rsidR="00AE727E" w:rsidRDefault="00AE727E">
            <w:pPr>
              <w:rPr>
                <w:rFonts w:ascii="宋体"/>
              </w:rPr>
            </w:pPr>
          </w:p>
        </w:tc>
        <w:tc>
          <w:tcPr>
            <w:tcW w:w="785" w:type="pct"/>
            <w:shd w:val="clear" w:color="auto" w:fill="auto"/>
            <w:vAlign w:val="bottom"/>
          </w:tcPr>
          <w:p w14:paraId="07DCEC26" w14:textId="77777777" w:rsidR="00AE727E" w:rsidRDefault="00AE727E">
            <w:pPr>
              <w:rPr>
                <w:rFonts w:ascii="宋体"/>
              </w:rPr>
            </w:pPr>
          </w:p>
        </w:tc>
        <w:tc>
          <w:tcPr>
            <w:tcW w:w="5" w:type="pct"/>
            <w:shd w:val="clear" w:color="auto" w:fill="auto"/>
            <w:vAlign w:val="bottom"/>
          </w:tcPr>
          <w:p w14:paraId="07DCEC27" w14:textId="77777777" w:rsidR="00AE727E" w:rsidRDefault="00AE727E">
            <w:pPr>
              <w:rPr>
                <w:rFonts w:ascii="宋体"/>
              </w:rPr>
            </w:pPr>
          </w:p>
        </w:tc>
        <w:tc>
          <w:tcPr>
            <w:tcW w:w="0" w:type="auto"/>
            <w:gridSpan w:val="3"/>
            <w:shd w:val="clear" w:color="auto" w:fill="auto"/>
            <w:vAlign w:val="bottom"/>
          </w:tcPr>
          <w:p w14:paraId="07DCEC28" w14:textId="77777777" w:rsidR="00AE727E" w:rsidRDefault="00AE727E">
            <w:pPr>
              <w:rPr>
                <w:rFonts w:ascii="宋体"/>
                <w:vanish/>
              </w:rPr>
            </w:pPr>
          </w:p>
        </w:tc>
        <w:tc>
          <w:tcPr>
            <w:tcW w:w="0" w:type="auto"/>
            <w:gridSpan w:val="3"/>
            <w:shd w:val="clear" w:color="auto" w:fill="auto"/>
            <w:vAlign w:val="bottom"/>
          </w:tcPr>
          <w:p w14:paraId="07DCEC29" w14:textId="77777777" w:rsidR="00AE727E" w:rsidRDefault="00AE727E">
            <w:pPr>
              <w:rPr>
                <w:rFonts w:ascii="宋体"/>
                <w:vanish/>
              </w:rPr>
            </w:pPr>
          </w:p>
        </w:tc>
      </w:tr>
      <w:tr w:rsidR="00AE727E" w14:paraId="07DCEC32" w14:textId="77777777">
        <w:tc>
          <w:tcPr>
            <w:tcW w:w="0" w:type="auto"/>
            <w:gridSpan w:val="3"/>
            <w:shd w:val="clear" w:color="auto" w:fill="auto"/>
            <w:tcMar>
              <w:top w:w="0" w:type="dxa"/>
              <w:left w:w="20" w:type="dxa"/>
              <w:bottom w:w="0" w:type="dxa"/>
              <w:right w:w="20" w:type="dxa"/>
            </w:tcMar>
            <w:vAlign w:val="bottom"/>
          </w:tcPr>
          <w:p w14:paraId="07DCEC2B"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C2C" w14:textId="77777777" w:rsidR="00AE727E" w:rsidRDefault="008433E0">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07DCEC2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C2E"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C2F" w14:textId="77777777" w:rsidR="00AE727E" w:rsidRDefault="008433E0">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vAlign w:val="bottom"/>
          </w:tcPr>
          <w:p w14:paraId="07DCEC30" w14:textId="77777777" w:rsidR="00AE727E" w:rsidRDefault="00AE727E">
            <w:pPr>
              <w:rPr>
                <w:rFonts w:ascii="宋体"/>
                <w:vanish/>
              </w:rPr>
            </w:pPr>
          </w:p>
        </w:tc>
        <w:tc>
          <w:tcPr>
            <w:tcW w:w="0" w:type="auto"/>
            <w:gridSpan w:val="3"/>
            <w:shd w:val="clear" w:color="auto" w:fill="auto"/>
            <w:vAlign w:val="bottom"/>
          </w:tcPr>
          <w:p w14:paraId="07DCEC31" w14:textId="77777777" w:rsidR="00AE727E" w:rsidRDefault="00AE727E">
            <w:pPr>
              <w:rPr>
                <w:rFonts w:ascii="宋体"/>
                <w:vanish/>
              </w:rPr>
            </w:pPr>
          </w:p>
        </w:tc>
      </w:tr>
      <w:tr w:rsidR="00AE727E" w14:paraId="07DCEC3C" w14:textId="77777777">
        <w:tc>
          <w:tcPr>
            <w:tcW w:w="0" w:type="auto"/>
            <w:gridSpan w:val="3"/>
            <w:shd w:val="clear" w:color="auto" w:fill="auto"/>
            <w:tcMar>
              <w:top w:w="0" w:type="dxa"/>
              <w:left w:w="20" w:type="dxa"/>
              <w:bottom w:w="0" w:type="dxa"/>
              <w:right w:w="20" w:type="dxa"/>
            </w:tcMar>
            <w:vAlign w:val="bottom"/>
          </w:tcPr>
          <w:p w14:paraId="07DCEC33"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C34"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EC35" w14:textId="77777777" w:rsidR="00AE727E" w:rsidRDefault="008433E0">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vAlign w:val="bottom"/>
          </w:tcPr>
          <w:p w14:paraId="07DCEC36" w14:textId="77777777" w:rsidR="00AE727E" w:rsidRDefault="00AE727E">
            <w:pPr>
              <w:rPr>
                <w:rFonts w:ascii="宋体"/>
              </w:rPr>
            </w:pPr>
          </w:p>
        </w:tc>
        <w:tc>
          <w:tcPr>
            <w:tcW w:w="0" w:type="auto"/>
            <w:shd w:val="clear" w:color="auto" w:fill="auto"/>
            <w:vAlign w:val="bottom"/>
          </w:tcPr>
          <w:p w14:paraId="07DCEC37" w14:textId="77777777" w:rsidR="00AE727E" w:rsidRDefault="00AE727E">
            <w:pPr>
              <w:rPr>
                <w:rFonts w:ascii="宋体"/>
              </w:rPr>
            </w:pPr>
          </w:p>
        </w:tc>
        <w:tc>
          <w:tcPr>
            <w:tcW w:w="0" w:type="auto"/>
            <w:shd w:val="clear" w:color="auto" w:fill="auto"/>
            <w:vAlign w:val="bottom"/>
          </w:tcPr>
          <w:p w14:paraId="07DCEC38" w14:textId="77777777" w:rsidR="00AE727E" w:rsidRDefault="00AE727E">
            <w:pPr>
              <w:rPr>
                <w:rFonts w:ascii="宋体"/>
              </w:rPr>
            </w:pPr>
          </w:p>
        </w:tc>
        <w:tc>
          <w:tcPr>
            <w:tcW w:w="0" w:type="auto"/>
            <w:shd w:val="clear" w:color="auto" w:fill="auto"/>
            <w:vAlign w:val="bottom"/>
          </w:tcPr>
          <w:p w14:paraId="07DCEC39" w14:textId="77777777" w:rsidR="00AE727E" w:rsidRDefault="00AE727E">
            <w:pPr>
              <w:rPr>
                <w:rFonts w:ascii="宋体"/>
              </w:rPr>
            </w:pPr>
          </w:p>
        </w:tc>
        <w:tc>
          <w:tcPr>
            <w:tcW w:w="0" w:type="auto"/>
            <w:shd w:val="clear" w:color="auto" w:fill="auto"/>
            <w:vAlign w:val="bottom"/>
          </w:tcPr>
          <w:p w14:paraId="07DCEC3A" w14:textId="77777777" w:rsidR="00AE727E" w:rsidRDefault="00AE727E">
            <w:pPr>
              <w:rPr>
                <w:rFonts w:ascii="宋体"/>
              </w:rPr>
            </w:pPr>
          </w:p>
        </w:tc>
        <w:tc>
          <w:tcPr>
            <w:tcW w:w="0" w:type="auto"/>
            <w:shd w:val="clear" w:color="auto" w:fill="auto"/>
            <w:vAlign w:val="bottom"/>
          </w:tcPr>
          <w:p w14:paraId="07DCEC3B" w14:textId="77777777" w:rsidR="00AE727E" w:rsidRDefault="00AE727E">
            <w:pPr>
              <w:rPr>
                <w:rFonts w:ascii="宋体"/>
              </w:rPr>
            </w:pPr>
          </w:p>
        </w:tc>
      </w:tr>
      <w:tr w:rsidR="00AE727E" w14:paraId="07DCEC46" w14:textId="77777777">
        <w:tc>
          <w:tcPr>
            <w:tcW w:w="0" w:type="auto"/>
            <w:gridSpan w:val="3"/>
            <w:shd w:val="clear" w:color="auto" w:fill="CCEEFF"/>
            <w:tcMar>
              <w:top w:w="40" w:type="dxa"/>
              <w:left w:w="20" w:type="dxa"/>
              <w:bottom w:w="40" w:type="dxa"/>
              <w:right w:w="20" w:type="dxa"/>
            </w:tcMar>
            <w:vAlign w:val="bottom"/>
          </w:tcPr>
          <w:p w14:paraId="07DCEC3D" w14:textId="77777777" w:rsidR="00AE727E" w:rsidRDefault="008433E0">
            <w:pPr>
              <w:textAlignment w:val="bottom"/>
            </w:pPr>
            <w:r>
              <w:rPr>
                <w:rFonts w:ascii="Times New Roman" w:eastAsia="宋体" w:hAnsi="Times New Roman"/>
                <w:color w:val="000000"/>
                <w:sz w:val="20"/>
                <w:szCs w:val="20"/>
              </w:rPr>
              <w:t>Operating lease right of use assets</w:t>
            </w:r>
          </w:p>
        </w:tc>
        <w:tc>
          <w:tcPr>
            <w:tcW w:w="0" w:type="auto"/>
            <w:gridSpan w:val="3"/>
            <w:shd w:val="clear" w:color="auto" w:fill="CCEEFF"/>
            <w:tcMar>
              <w:top w:w="40" w:type="dxa"/>
              <w:left w:w="20" w:type="dxa"/>
              <w:bottom w:w="40" w:type="dxa"/>
              <w:right w:w="20" w:type="dxa"/>
            </w:tcMar>
            <w:vAlign w:val="bottom"/>
          </w:tcPr>
          <w:p w14:paraId="07DCEC3E" w14:textId="77777777" w:rsidR="00AE727E" w:rsidRDefault="008433E0">
            <w:pPr>
              <w:textAlignment w:val="bottom"/>
            </w:pPr>
            <w:r>
              <w:rPr>
                <w:rFonts w:ascii="Times New Roman" w:eastAsia="宋体" w:hAnsi="Times New Roman"/>
                <w:color w:val="000000"/>
                <w:sz w:val="20"/>
                <w:szCs w:val="20"/>
              </w:rPr>
              <w:t>Other non-current assets</w:t>
            </w:r>
          </w:p>
        </w:tc>
        <w:tc>
          <w:tcPr>
            <w:tcW w:w="0" w:type="auto"/>
            <w:shd w:val="clear" w:color="auto" w:fill="CCEEFF"/>
            <w:tcMar>
              <w:top w:w="40" w:type="dxa"/>
              <w:left w:w="20" w:type="dxa"/>
              <w:bottom w:w="40" w:type="dxa"/>
              <w:right w:w="0" w:type="dxa"/>
            </w:tcMar>
            <w:vAlign w:val="bottom"/>
          </w:tcPr>
          <w:p w14:paraId="07DCEC3F" w14:textId="77777777" w:rsidR="00AE727E" w:rsidRDefault="008433E0">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DCEC40" w14:textId="77777777" w:rsidR="00AE727E" w:rsidRDefault="008433E0">
            <w:pPr>
              <w:jc w:val="right"/>
              <w:textAlignment w:val="bottom"/>
            </w:pPr>
            <w:r>
              <w:rPr>
                <w:rFonts w:ascii="Times New Roman" w:eastAsia="宋体" w:hAnsi="Times New Roman"/>
                <w:color w:val="000000"/>
                <w:sz w:val="20"/>
                <w:szCs w:val="20"/>
              </w:rPr>
              <w:t>1,953</w:t>
            </w:r>
          </w:p>
        </w:tc>
        <w:tc>
          <w:tcPr>
            <w:tcW w:w="0" w:type="auto"/>
            <w:gridSpan w:val="3"/>
            <w:shd w:val="clear" w:color="auto" w:fill="CCEEFF"/>
            <w:tcMar>
              <w:top w:w="0" w:type="dxa"/>
              <w:left w:w="20" w:type="dxa"/>
              <w:bottom w:w="0" w:type="dxa"/>
              <w:right w:w="20" w:type="dxa"/>
            </w:tcMar>
            <w:vAlign w:val="bottom"/>
          </w:tcPr>
          <w:p w14:paraId="07DCEC41"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C42" w14:textId="77777777" w:rsidR="00AE727E" w:rsidRDefault="008433E0">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DCEC43" w14:textId="77777777" w:rsidR="00AE727E" w:rsidRDefault="008433E0">
            <w:pPr>
              <w:jc w:val="right"/>
              <w:textAlignment w:val="bottom"/>
            </w:pPr>
            <w:r>
              <w:rPr>
                <w:rFonts w:ascii="Times New Roman" w:eastAsia="宋体" w:hAnsi="Times New Roman"/>
                <w:color w:val="000000"/>
                <w:sz w:val="20"/>
                <w:szCs w:val="20"/>
              </w:rPr>
              <w:t>2,117</w:t>
            </w:r>
          </w:p>
        </w:tc>
        <w:tc>
          <w:tcPr>
            <w:tcW w:w="0" w:type="auto"/>
            <w:gridSpan w:val="3"/>
            <w:shd w:val="clear" w:color="auto" w:fill="auto"/>
            <w:vAlign w:val="bottom"/>
          </w:tcPr>
          <w:p w14:paraId="07DCEC44" w14:textId="77777777" w:rsidR="00AE727E" w:rsidRDefault="00AE727E">
            <w:pPr>
              <w:rPr>
                <w:rFonts w:ascii="宋体"/>
                <w:vanish/>
              </w:rPr>
            </w:pPr>
          </w:p>
        </w:tc>
        <w:tc>
          <w:tcPr>
            <w:tcW w:w="0" w:type="auto"/>
            <w:gridSpan w:val="3"/>
            <w:shd w:val="clear" w:color="auto" w:fill="auto"/>
            <w:vAlign w:val="bottom"/>
          </w:tcPr>
          <w:p w14:paraId="07DCEC45" w14:textId="77777777" w:rsidR="00AE727E" w:rsidRDefault="00AE727E">
            <w:pPr>
              <w:rPr>
                <w:rFonts w:ascii="宋体"/>
                <w:vanish/>
              </w:rPr>
            </w:pPr>
          </w:p>
        </w:tc>
      </w:tr>
      <w:tr w:rsidR="00AE727E" w14:paraId="07DCEC4E" w14:textId="77777777">
        <w:trPr>
          <w:trHeight w:val="300"/>
        </w:trPr>
        <w:tc>
          <w:tcPr>
            <w:tcW w:w="0" w:type="auto"/>
            <w:gridSpan w:val="3"/>
            <w:shd w:val="clear" w:color="auto" w:fill="FFFFFF"/>
            <w:tcMar>
              <w:top w:w="0" w:type="dxa"/>
              <w:left w:w="20" w:type="dxa"/>
              <w:bottom w:w="0" w:type="dxa"/>
              <w:right w:w="20" w:type="dxa"/>
            </w:tcMar>
            <w:vAlign w:val="bottom"/>
          </w:tcPr>
          <w:p w14:paraId="07DCEC4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4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4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4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4B" w14:textId="77777777" w:rsidR="00AE727E" w:rsidRDefault="00AE727E">
            <w:pPr>
              <w:rPr>
                <w:rFonts w:ascii="宋体"/>
              </w:rPr>
            </w:pPr>
          </w:p>
        </w:tc>
        <w:tc>
          <w:tcPr>
            <w:tcW w:w="0" w:type="auto"/>
            <w:gridSpan w:val="3"/>
            <w:shd w:val="clear" w:color="auto" w:fill="auto"/>
            <w:vAlign w:val="bottom"/>
          </w:tcPr>
          <w:p w14:paraId="07DCEC4C" w14:textId="77777777" w:rsidR="00AE727E" w:rsidRDefault="00AE727E">
            <w:pPr>
              <w:rPr>
                <w:rFonts w:ascii="宋体"/>
                <w:vanish/>
              </w:rPr>
            </w:pPr>
          </w:p>
        </w:tc>
        <w:tc>
          <w:tcPr>
            <w:tcW w:w="0" w:type="auto"/>
            <w:gridSpan w:val="3"/>
            <w:shd w:val="clear" w:color="auto" w:fill="auto"/>
            <w:vAlign w:val="bottom"/>
          </w:tcPr>
          <w:p w14:paraId="07DCEC4D" w14:textId="77777777" w:rsidR="00AE727E" w:rsidRDefault="00AE727E">
            <w:pPr>
              <w:rPr>
                <w:rFonts w:ascii="宋体"/>
                <w:vanish/>
              </w:rPr>
            </w:pPr>
          </w:p>
        </w:tc>
      </w:tr>
      <w:tr w:rsidR="00AE727E" w14:paraId="07DCEC58" w14:textId="77777777">
        <w:tc>
          <w:tcPr>
            <w:tcW w:w="0" w:type="auto"/>
            <w:gridSpan w:val="3"/>
            <w:shd w:val="clear" w:color="auto" w:fill="CCEEFF"/>
            <w:tcMar>
              <w:top w:w="40" w:type="dxa"/>
              <w:left w:w="20" w:type="dxa"/>
              <w:bottom w:w="40" w:type="dxa"/>
              <w:right w:w="20" w:type="dxa"/>
            </w:tcMar>
            <w:vAlign w:val="bottom"/>
          </w:tcPr>
          <w:p w14:paraId="07DCEC4F" w14:textId="77777777" w:rsidR="00AE727E" w:rsidRDefault="008433E0">
            <w:pPr>
              <w:textAlignment w:val="bottom"/>
            </w:pPr>
            <w:r>
              <w:rPr>
                <w:rFonts w:ascii="Times New Roman" w:eastAsia="宋体" w:hAnsi="Times New Roman"/>
                <w:color w:val="000000"/>
                <w:sz w:val="20"/>
                <w:szCs w:val="20"/>
              </w:rPr>
              <w:t xml:space="preserve">Current operating lease </w:t>
            </w:r>
            <w:r>
              <w:rPr>
                <w:rFonts w:ascii="Times New Roman" w:eastAsia="宋体" w:hAnsi="Times New Roman"/>
                <w:color w:val="000000"/>
                <w:sz w:val="20"/>
                <w:szCs w:val="20"/>
              </w:rPr>
              <w:t>liabilities</w:t>
            </w:r>
          </w:p>
        </w:tc>
        <w:tc>
          <w:tcPr>
            <w:tcW w:w="0" w:type="auto"/>
            <w:gridSpan w:val="3"/>
            <w:shd w:val="clear" w:color="auto" w:fill="CCEEFF"/>
            <w:tcMar>
              <w:top w:w="40" w:type="dxa"/>
              <w:left w:w="20" w:type="dxa"/>
              <w:bottom w:w="40" w:type="dxa"/>
              <w:right w:w="20" w:type="dxa"/>
            </w:tcMar>
            <w:vAlign w:val="bottom"/>
          </w:tcPr>
          <w:p w14:paraId="07DCEC50" w14:textId="77777777" w:rsidR="00AE727E" w:rsidRDefault="008433E0">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right w:w="0" w:type="dxa"/>
            </w:tcMar>
            <w:vAlign w:val="bottom"/>
          </w:tcPr>
          <w:p w14:paraId="07DCEC51" w14:textId="77777777" w:rsidR="00AE727E" w:rsidRDefault="008433E0">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DCEC52" w14:textId="77777777" w:rsidR="00AE727E" w:rsidRDefault="008433E0">
            <w:pPr>
              <w:jc w:val="right"/>
              <w:textAlignment w:val="bottom"/>
            </w:pPr>
            <w:r>
              <w:rPr>
                <w:rFonts w:ascii="Times New Roman" w:eastAsia="宋体" w:hAnsi="Times New Roman"/>
                <w:color w:val="000000"/>
                <w:sz w:val="20"/>
                <w:szCs w:val="20"/>
              </w:rPr>
              <w:t>439</w:t>
            </w:r>
          </w:p>
        </w:tc>
        <w:tc>
          <w:tcPr>
            <w:tcW w:w="0" w:type="auto"/>
            <w:gridSpan w:val="3"/>
            <w:shd w:val="clear" w:color="auto" w:fill="CCEEFF"/>
            <w:tcMar>
              <w:top w:w="0" w:type="dxa"/>
              <w:left w:w="20" w:type="dxa"/>
              <w:bottom w:w="0" w:type="dxa"/>
              <w:right w:w="20" w:type="dxa"/>
            </w:tcMar>
            <w:vAlign w:val="bottom"/>
          </w:tcPr>
          <w:p w14:paraId="07DCEC53"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C54" w14:textId="77777777" w:rsidR="00AE727E" w:rsidRDefault="008433E0">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DCEC55" w14:textId="77777777" w:rsidR="00AE727E" w:rsidRDefault="008433E0">
            <w:pPr>
              <w:jc w:val="right"/>
              <w:textAlignment w:val="bottom"/>
            </w:pPr>
            <w:r>
              <w:rPr>
                <w:rFonts w:ascii="Times New Roman" w:eastAsia="宋体" w:hAnsi="Times New Roman"/>
                <w:color w:val="000000"/>
                <w:sz w:val="20"/>
                <w:szCs w:val="20"/>
              </w:rPr>
              <w:t>436</w:t>
            </w:r>
          </w:p>
        </w:tc>
        <w:tc>
          <w:tcPr>
            <w:tcW w:w="0" w:type="auto"/>
            <w:gridSpan w:val="3"/>
            <w:shd w:val="clear" w:color="auto" w:fill="auto"/>
            <w:vAlign w:val="bottom"/>
          </w:tcPr>
          <w:p w14:paraId="07DCEC56" w14:textId="77777777" w:rsidR="00AE727E" w:rsidRDefault="00AE727E">
            <w:pPr>
              <w:rPr>
                <w:rFonts w:ascii="宋体"/>
                <w:vanish/>
              </w:rPr>
            </w:pPr>
          </w:p>
        </w:tc>
        <w:tc>
          <w:tcPr>
            <w:tcW w:w="0" w:type="auto"/>
            <w:gridSpan w:val="3"/>
            <w:shd w:val="clear" w:color="auto" w:fill="auto"/>
            <w:vAlign w:val="bottom"/>
          </w:tcPr>
          <w:p w14:paraId="07DCEC57" w14:textId="77777777" w:rsidR="00AE727E" w:rsidRDefault="00AE727E">
            <w:pPr>
              <w:rPr>
                <w:rFonts w:ascii="宋体"/>
                <w:vanish/>
              </w:rPr>
            </w:pPr>
          </w:p>
        </w:tc>
      </w:tr>
      <w:tr w:rsidR="00AE727E" w14:paraId="07DCEC60" w14:textId="77777777">
        <w:tc>
          <w:tcPr>
            <w:tcW w:w="0" w:type="auto"/>
            <w:gridSpan w:val="3"/>
            <w:shd w:val="clear" w:color="auto" w:fill="FFFFFF"/>
            <w:tcMar>
              <w:top w:w="40" w:type="dxa"/>
              <w:left w:w="20" w:type="dxa"/>
              <w:bottom w:w="40" w:type="dxa"/>
              <w:right w:w="20" w:type="dxa"/>
            </w:tcMar>
            <w:vAlign w:val="bottom"/>
          </w:tcPr>
          <w:p w14:paraId="07DCEC59" w14:textId="77777777" w:rsidR="00AE727E" w:rsidRDefault="008433E0">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07DCEC5A" w14:textId="77777777" w:rsidR="00AE727E" w:rsidRDefault="008433E0">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40" w:type="dxa"/>
              <w:left w:w="20" w:type="dxa"/>
              <w:bottom w:w="40" w:type="dxa"/>
              <w:right w:w="140" w:type="dxa"/>
            </w:tcMar>
            <w:vAlign w:val="bottom"/>
          </w:tcPr>
          <w:p w14:paraId="07DCEC5B" w14:textId="77777777" w:rsidR="00AE727E" w:rsidRDefault="008433E0">
            <w:pPr>
              <w:jc w:val="right"/>
              <w:textAlignment w:val="bottom"/>
            </w:pPr>
            <w:r>
              <w:rPr>
                <w:rFonts w:ascii="Times New Roman" w:eastAsia="宋体" w:hAnsi="Times New Roman"/>
                <w:color w:val="000000"/>
                <w:sz w:val="20"/>
                <w:szCs w:val="20"/>
              </w:rPr>
              <w:t>1,657</w:t>
            </w:r>
          </w:p>
        </w:tc>
        <w:tc>
          <w:tcPr>
            <w:tcW w:w="0" w:type="auto"/>
            <w:gridSpan w:val="3"/>
            <w:shd w:val="clear" w:color="auto" w:fill="FFFFFF"/>
            <w:tcMar>
              <w:top w:w="0" w:type="dxa"/>
              <w:left w:w="20" w:type="dxa"/>
              <w:bottom w:w="0" w:type="dxa"/>
              <w:right w:w="20" w:type="dxa"/>
            </w:tcMar>
            <w:vAlign w:val="bottom"/>
          </w:tcPr>
          <w:p w14:paraId="07DCEC5C" w14:textId="77777777" w:rsidR="00AE727E" w:rsidRDefault="00AE727E">
            <w:pPr>
              <w:rPr>
                <w:rFonts w:ascii="宋体"/>
              </w:rPr>
            </w:pPr>
          </w:p>
        </w:tc>
        <w:tc>
          <w:tcPr>
            <w:tcW w:w="0" w:type="auto"/>
            <w:gridSpan w:val="3"/>
            <w:shd w:val="clear" w:color="auto" w:fill="FFFFFF"/>
            <w:tcMar>
              <w:top w:w="40" w:type="dxa"/>
              <w:left w:w="20" w:type="dxa"/>
              <w:bottom w:w="40" w:type="dxa"/>
              <w:right w:w="140" w:type="dxa"/>
            </w:tcMar>
            <w:vAlign w:val="bottom"/>
          </w:tcPr>
          <w:p w14:paraId="07DCEC5D" w14:textId="77777777" w:rsidR="00AE727E" w:rsidRDefault="008433E0">
            <w:pPr>
              <w:jc w:val="right"/>
              <w:textAlignment w:val="bottom"/>
            </w:pPr>
            <w:r>
              <w:rPr>
                <w:rFonts w:ascii="Times New Roman" w:eastAsia="宋体" w:hAnsi="Times New Roman"/>
                <w:color w:val="000000"/>
                <w:sz w:val="20"/>
                <w:szCs w:val="20"/>
              </w:rPr>
              <w:t>1,787</w:t>
            </w:r>
          </w:p>
        </w:tc>
        <w:tc>
          <w:tcPr>
            <w:tcW w:w="0" w:type="auto"/>
            <w:gridSpan w:val="3"/>
            <w:shd w:val="clear" w:color="auto" w:fill="auto"/>
            <w:vAlign w:val="bottom"/>
          </w:tcPr>
          <w:p w14:paraId="07DCEC5E" w14:textId="77777777" w:rsidR="00AE727E" w:rsidRDefault="00AE727E">
            <w:pPr>
              <w:rPr>
                <w:rFonts w:ascii="宋体"/>
                <w:vanish/>
              </w:rPr>
            </w:pPr>
          </w:p>
        </w:tc>
        <w:tc>
          <w:tcPr>
            <w:tcW w:w="0" w:type="auto"/>
            <w:gridSpan w:val="3"/>
            <w:shd w:val="clear" w:color="auto" w:fill="auto"/>
            <w:vAlign w:val="bottom"/>
          </w:tcPr>
          <w:p w14:paraId="07DCEC5F" w14:textId="77777777" w:rsidR="00AE727E" w:rsidRDefault="00AE727E">
            <w:pPr>
              <w:rPr>
                <w:rFonts w:ascii="宋体"/>
                <w:vanish/>
              </w:rPr>
            </w:pPr>
          </w:p>
        </w:tc>
      </w:tr>
      <w:tr w:rsidR="00AE727E" w14:paraId="07DCEC6A" w14:textId="77777777">
        <w:tc>
          <w:tcPr>
            <w:tcW w:w="0" w:type="auto"/>
            <w:gridSpan w:val="3"/>
            <w:shd w:val="clear" w:color="auto" w:fill="CCEEFF"/>
            <w:tcMar>
              <w:top w:w="40" w:type="dxa"/>
              <w:left w:w="155" w:type="dxa"/>
              <w:bottom w:w="40" w:type="dxa"/>
              <w:right w:w="20" w:type="dxa"/>
            </w:tcMar>
            <w:vAlign w:val="bottom"/>
          </w:tcPr>
          <w:p w14:paraId="07DCEC61" w14:textId="77777777" w:rsidR="00AE727E" w:rsidRDefault="008433E0">
            <w:pPr>
              <w:textAlignment w:val="bottom"/>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bottom"/>
          </w:tcPr>
          <w:p w14:paraId="07DCEC6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EC63" w14:textId="77777777" w:rsidR="00AE727E" w:rsidRDefault="008433E0">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DCEC64" w14:textId="77777777" w:rsidR="00AE727E" w:rsidRDefault="008433E0">
            <w:pPr>
              <w:jc w:val="right"/>
              <w:textAlignment w:val="bottom"/>
            </w:pPr>
            <w:r>
              <w:rPr>
                <w:rFonts w:ascii="Times New Roman" w:eastAsia="宋体" w:hAnsi="Times New Roman"/>
                <w:color w:val="000000"/>
                <w:sz w:val="20"/>
                <w:szCs w:val="20"/>
              </w:rPr>
              <w:t>2,096</w:t>
            </w:r>
          </w:p>
        </w:tc>
        <w:tc>
          <w:tcPr>
            <w:tcW w:w="0" w:type="auto"/>
            <w:gridSpan w:val="3"/>
            <w:shd w:val="clear" w:color="auto" w:fill="CCEEFF"/>
            <w:tcMar>
              <w:top w:w="0" w:type="dxa"/>
              <w:left w:w="20" w:type="dxa"/>
              <w:bottom w:w="0" w:type="dxa"/>
              <w:right w:w="20" w:type="dxa"/>
            </w:tcMar>
            <w:vAlign w:val="bottom"/>
          </w:tcPr>
          <w:p w14:paraId="07DCEC6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EC66" w14:textId="77777777" w:rsidR="00AE727E" w:rsidRDefault="008433E0">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DCEC67" w14:textId="77777777" w:rsidR="00AE727E" w:rsidRDefault="008433E0">
            <w:pPr>
              <w:jc w:val="right"/>
              <w:textAlignment w:val="bottom"/>
            </w:pPr>
            <w:r>
              <w:rPr>
                <w:rFonts w:ascii="Times New Roman" w:eastAsia="宋体" w:hAnsi="Times New Roman"/>
                <w:color w:val="000000"/>
                <w:sz w:val="20"/>
                <w:szCs w:val="20"/>
              </w:rPr>
              <w:t>2,223</w:t>
            </w:r>
          </w:p>
        </w:tc>
        <w:tc>
          <w:tcPr>
            <w:tcW w:w="0" w:type="auto"/>
            <w:gridSpan w:val="3"/>
            <w:shd w:val="clear" w:color="auto" w:fill="auto"/>
            <w:vAlign w:val="bottom"/>
          </w:tcPr>
          <w:p w14:paraId="07DCEC68" w14:textId="77777777" w:rsidR="00AE727E" w:rsidRDefault="00AE727E">
            <w:pPr>
              <w:rPr>
                <w:rFonts w:ascii="宋体"/>
                <w:vanish/>
              </w:rPr>
            </w:pPr>
          </w:p>
        </w:tc>
        <w:tc>
          <w:tcPr>
            <w:tcW w:w="0" w:type="auto"/>
            <w:gridSpan w:val="3"/>
            <w:shd w:val="clear" w:color="auto" w:fill="auto"/>
            <w:vAlign w:val="bottom"/>
          </w:tcPr>
          <w:p w14:paraId="07DCEC69" w14:textId="77777777" w:rsidR="00AE727E" w:rsidRDefault="00AE727E">
            <w:pPr>
              <w:rPr>
                <w:rFonts w:ascii="宋体"/>
                <w:vanish/>
              </w:rPr>
            </w:pPr>
          </w:p>
        </w:tc>
      </w:tr>
      <w:tr w:rsidR="00AE727E" w14:paraId="07DCEC72" w14:textId="77777777">
        <w:trPr>
          <w:trHeight w:val="300"/>
        </w:trPr>
        <w:tc>
          <w:tcPr>
            <w:tcW w:w="0" w:type="auto"/>
            <w:gridSpan w:val="3"/>
            <w:shd w:val="clear" w:color="auto" w:fill="FFFFFF"/>
            <w:tcMar>
              <w:top w:w="0" w:type="dxa"/>
              <w:left w:w="20" w:type="dxa"/>
              <w:bottom w:w="0" w:type="dxa"/>
              <w:right w:w="20" w:type="dxa"/>
            </w:tcMar>
            <w:vAlign w:val="bottom"/>
          </w:tcPr>
          <w:p w14:paraId="07DCEC6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6C"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EC6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C6E"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EC6F" w14:textId="77777777" w:rsidR="00AE727E" w:rsidRDefault="00AE727E">
            <w:pPr>
              <w:rPr>
                <w:rFonts w:ascii="宋体"/>
              </w:rPr>
            </w:pPr>
          </w:p>
        </w:tc>
        <w:tc>
          <w:tcPr>
            <w:tcW w:w="0" w:type="auto"/>
            <w:gridSpan w:val="3"/>
            <w:shd w:val="clear" w:color="auto" w:fill="auto"/>
            <w:vAlign w:val="bottom"/>
          </w:tcPr>
          <w:p w14:paraId="07DCEC70" w14:textId="77777777" w:rsidR="00AE727E" w:rsidRDefault="00AE727E">
            <w:pPr>
              <w:rPr>
                <w:rFonts w:ascii="宋体"/>
                <w:vanish/>
              </w:rPr>
            </w:pPr>
          </w:p>
        </w:tc>
        <w:tc>
          <w:tcPr>
            <w:tcW w:w="0" w:type="auto"/>
            <w:gridSpan w:val="3"/>
            <w:shd w:val="clear" w:color="auto" w:fill="auto"/>
            <w:vAlign w:val="bottom"/>
          </w:tcPr>
          <w:p w14:paraId="07DCEC71" w14:textId="77777777" w:rsidR="00AE727E" w:rsidRDefault="00AE727E">
            <w:pPr>
              <w:rPr>
                <w:rFonts w:ascii="宋体"/>
                <w:vanish/>
              </w:rPr>
            </w:pPr>
          </w:p>
        </w:tc>
      </w:tr>
      <w:tr w:rsidR="00AE727E" w14:paraId="07DCEC7A" w14:textId="77777777">
        <w:tc>
          <w:tcPr>
            <w:tcW w:w="0" w:type="auto"/>
            <w:gridSpan w:val="3"/>
            <w:shd w:val="clear" w:color="auto" w:fill="CCEEFF"/>
            <w:tcMar>
              <w:top w:w="40" w:type="dxa"/>
              <w:left w:w="20" w:type="dxa"/>
              <w:bottom w:w="40" w:type="dxa"/>
              <w:right w:w="20" w:type="dxa"/>
            </w:tcMar>
            <w:vAlign w:val="bottom"/>
          </w:tcPr>
          <w:p w14:paraId="07DCEC73" w14:textId="77777777" w:rsidR="00AE727E" w:rsidRDefault="008433E0">
            <w:pPr>
              <w:textAlignment w:val="bottom"/>
            </w:pPr>
            <w:r>
              <w:rPr>
                <w:rFonts w:ascii="Times New Roman" w:eastAsia="宋体" w:hAnsi="Times New Roman"/>
                <w:color w:val="000000"/>
                <w:sz w:val="20"/>
                <w:szCs w:val="20"/>
              </w:rPr>
              <w:t xml:space="preserve">Weighted-average remaining lease term </w:t>
            </w:r>
            <w:r>
              <w:rPr>
                <w:rFonts w:ascii="Times New Roman" w:eastAsia="宋体" w:hAnsi="Times New Roman"/>
                <w:color w:val="000000"/>
                <w:sz w:val="20"/>
                <w:szCs w:val="20"/>
              </w:rPr>
              <w:t>(in years)</w:t>
            </w:r>
          </w:p>
        </w:tc>
        <w:tc>
          <w:tcPr>
            <w:tcW w:w="0" w:type="auto"/>
            <w:gridSpan w:val="3"/>
            <w:shd w:val="clear" w:color="auto" w:fill="CCEEFF"/>
            <w:tcMar>
              <w:top w:w="0" w:type="dxa"/>
              <w:left w:w="20" w:type="dxa"/>
              <w:bottom w:w="0" w:type="dxa"/>
              <w:right w:w="20" w:type="dxa"/>
            </w:tcMar>
            <w:vAlign w:val="bottom"/>
          </w:tcPr>
          <w:p w14:paraId="07DCEC74"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EC75" w14:textId="77777777" w:rsidR="00AE727E" w:rsidRDefault="008433E0">
            <w:pPr>
              <w:jc w:val="right"/>
              <w:textAlignment w:val="bottom"/>
            </w:pPr>
            <w:r>
              <w:rPr>
                <w:rFonts w:ascii="Times New Roman" w:eastAsia="宋体" w:hAnsi="Times New Roman"/>
                <w:color w:val="000000"/>
                <w:sz w:val="20"/>
                <w:szCs w:val="20"/>
              </w:rPr>
              <w:t>8.75</w:t>
            </w:r>
          </w:p>
        </w:tc>
        <w:tc>
          <w:tcPr>
            <w:tcW w:w="0" w:type="auto"/>
            <w:gridSpan w:val="3"/>
            <w:shd w:val="clear" w:color="auto" w:fill="CCEEFF"/>
            <w:tcMar>
              <w:top w:w="0" w:type="dxa"/>
              <w:left w:w="20" w:type="dxa"/>
              <w:bottom w:w="0" w:type="dxa"/>
              <w:right w:w="20" w:type="dxa"/>
            </w:tcMar>
            <w:vAlign w:val="bottom"/>
          </w:tcPr>
          <w:p w14:paraId="07DCEC76"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EC77" w14:textId="77777777" w:rsidR="00AE727E" w:rsidRDefault="008433E0">
            <w:pPr>
              <w:jc w:val="right"/>
              <w:textAlignment w:val="bottom"/>
            </w:pPr>
            <w:r>
              <w:rPr>
                <w:rFonts w:ascii="Times New Roman" w:eastAsia="宋体" w:hAnsi="Times New Roman"/>
                <w:color w:val="000000"/>
                <w:sz w:val="20"/>
                <w:szCs w:val="20"/>
              </w:rPr>
              <w:t>8.85</w:t>
            </w:r>
          </w:p>
        </w:tc>
        <w:tc>
          <w:tcPr>
            <w:tcW w:w="0" w:type="auto"/>
            <w:gridSpan w:val="3"/>
            <w:shd w:val="clear" w:color="auto" w:fill="auto"/>
            <w:vAlign w:val="bottom"/>
          </w:tcPr>
          <w:p w14:paraId="07DCEC78" w14:textId="77777777" w:rsidR="00AE727E" w:rsidRDefault="00AE727E">
            <w:pPr>
              <w:rPr>
                <w:rFonts w:ascii="宋体"/>
                <w:vanish/>
              </w:rPr>
            </w:pPr>
          </w:p>
        </w:tc>
        <w:tc>
          <w:tcPr>
            <w:tcW w:w="0" w:type="auto"/>
            <w:gridSpan w:val="3"/>
            <w:shd w:val="clear" w:color="auto" w:fill="auto"/>
            <w:vAlign w:val="bottom"/>
          </w:tcPr>
          <w:p w14:paraId="07DCEC79" w14:textId="77777777" w:rsidR="00AE727E" w:rsidRDefault="00AE727E">
            <w:pPr>
              <w:rPr>
                <w:rFonts w:ascii="宋体"/>
                <w:vanish/>
              </w:rPr>
            </w:pPr>
          </w:p>
        </w:tc>
      </w:tr>
      <w:tr w:rsidR="00AE727E" w14:paraId="07DCEC84" w14:textId="77777777">
        <w:tc>
          <w:tcPr>
            <w:tcW w:w="0" w:type="auto"/>
            <w:gridSpan w:val="3"/>
            <w:shd w:val="clear" w:color="auto" w:fill="FFFFFF"/>
            <w:tcMar>
              <w:top w:w="40" w:type="dxa"/>
              <w:left w:w="20" w:type="dxa"/>
              <w:bottom w:w="40" w:type="dxa"/>
              <w:right w:w="20" w:type="dxa"/>
            </w:tcMar>
            <w:vAlign w:val="bottom"/>
          </w:tcPr>
          <w:p w14:paraId="07DCEC7B" w14:textId="77777777" w:rsidR="00AE727E" w:rsidRDefault="008433E0">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07DCEC7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C7D" w14:textId="77777777" w:rsidR="00AE727E" w:rsidRDefault="008433E0">
            <w:pPr>
              <w:jc w:val="right"/>
              <w:textAlignment w:val="bottom"/>
            </w:pPr>
            <w:r>
              <w:rPr>
                <w:rFonts w:ascii="Times New Roman" w:eastAsia="宋体" w:hAnsi="Times New Roman"/>
                <w:color w:val="000000"/>
                <w:sz w:val="20"/>
                <w:szCs w:val="20"/>
              </w:rPr>
              <w:t>3.18 </w:t>
            </w:r>
          </w:p>
        </w:tc>
        <w:tc>
          <w:tcPr>
            <w:tcW w:w="0" w:type="auto"/>
            <w:shd w:val="clear" w:color="auto" w:fill="FFFFFF"/>
            <w:tcMar>
              <w:top w:w="40" w:type="dxa"/>
              <w:left w:w="0" w:type="dxa"/>
              <w:bottom w:w="40" w:type="dxa"/>
              <w:right w:w="20" w:type="dxa"/>
            </w:tcMar>
            <w:vAlign w:val="bottom"/>
          </w:tcPr>
          <w:p w14:paraId="07DCEC7E"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CEC7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C80" w14:textId="77777777" w:rsidR="00AE727E" w:rsidRDefault="008433E0">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07DCEC8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07DCEC82" w14:textId="77777777" w:rsidR="00AE727E" w:rsidRDefault="00AE727E">
            <w:pPr>
              <w:rPr>
                <w:rFonts w:ascii="宋体"/>
                <w:vanish/>
              </w:rPr>
            </w:pPr>
          </w:p>
        </w:tc>
        <w:tc>
          <w:tcPr>
            <w:tcW w:w="0" w:type="auto"/>
            <w:gridSpan w:val="3"/>
            <w:shd w:val="clear" w:color="auto" w:fill="auto"/>
            <w:vAlign w:val="bottom"/>
          </w:tcPr>
          <w:p w14:paraId="07DCEC83" w14:textId="77777777" w:rsidR="00AE727E" w:rsidRDefault="00AE727E">
            <w:pPr>
              <w:rPr>
                <w:rFonts w:ascii="宋体"/>
                <w:vanish/>
              </w:rPr>
            </w:pPr>
          </w:p>
        </w:tc>
      </w:tr>
    </w:tbl>
    <w:p w14:paraId="07DCEC85" w14:textId="77777777" w:rsidR="00AE727E" w:rsidRDefault="00AE727E"/>
    <w:p w14:paraId="07DCEC86" w14:textId="77777777" w:rsidR="00AE727E" w:rsidRDefault="00AE727E">
      <w:pPr>
        <w:jc w:val="center"/>
      </w:pPr>
    </w:p>
    <w:p w14:paraId="07DCEC87" w14:textId="77777777" w:rsidR="00AE727E" w:rsidRDefault="008433E0">
      <w:pPr>
        <w:jc w:val="center"/>
      </w:pPr>
      <w:r>
        <w:rPr>
          <w:rFonts w:ascii="Times New Roman" w:eastAsia="宋体" w:hAnsi="Times New Roman"/>
          <w:color w:val="000000"/>
          <w:sz w:val="20"/>
          <w:szCs w:val="20"/>
        </w:rPr>
        <w:t>26</w:t>
      </w:r>
    </w:p>
    <w:p w14:paraId="07DCEC88" w14:textId="77777777" w:rsidR="00AE727E" w:rsidRDefault="00AE727E">
      <w:pPr>
        <w:jc w:val="center"/>
      </w:pPr>
    </w:p>
    <w:p w14:paraId="07DCEC89" w14:textId="77777777" w:rsidR="00AE727E" w:rsidRDefault="008433E0">
      <w:r>
        <w:pict w14:anchorId="07DD18EA">
          <v:rect id="_x0000_i1050" style="width:415.3pt;height:1.5pt" o:hralign="center" o:hrstd="t" o:hr="t" fillcolor="#a0a0a0" stroked="f"/>
        </w:pict>
      </w:r>
    </w:p>
    <w:p w14:paraId="07DCEC8A" w14:textId="77777777" w:rsidR="00AE727E" w:rsidRDefault="008433E0">
      <w:hyperlink r:id="rId151" w:anchor="i1c8279be622a460ea19600488436f115_10" w:history="1">
        <w:r>
          <w:rPr>
            <w:rStyle w:val="a5"/>
            <w:rFonts w:ascii="Times New Roman" w:eastAsia="宋体" w:hAnsi="Times New Roman"/>
            <w:sz w:val="20"/>
            <w:szCs w:val="20"/>
          </w:rPr>
          <w:t>Table of Contents</w:t>
        </w:r>
      </w:hyperlink>
    </w:p>
    <w:p w14:paraId="07DCEC8B"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C8C"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EC8D"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C8E" w14:textId="77777777" w:rsidR="00AE727E" w:rsidRDefault="00AE727E">
      <w:pPr>
        <w:jc w:val="center"/>
      </w:pPr>
    </w:p>
    <w:p w14:paraId="07DCEC8F" w14:textId="77777777" w:rsidR="00AE727E" w:rsidRDefault="008433E0">
      <w:pPr>
        <w:spacing w:after="60"/>
      </w:pPr>
      <w:r>
        <w:rPr>
          <w:rFonts w:ascii="Times New Roman" w:eastAsia="宋体" w:hAnsi="Times New Roman"/>
          <w:color w:val="000000"/>
          <w:sz w:val="20"/>
          <w:szCs w:val="20"/>
        </w:rPr>
        <w:t>The following table presents supplemental cash flow information related to leases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4"/>
        <w:gridCol w:w="37"/>
        <w:gridCol w:w="36"/>
        <w:gridCol w:w="36"/>
        <w:gridCol w:w="36"/>
        <w:gridCol w:w="121"/>
        <w:gridCol w:w="1474"/>
        <w:gridCol w:w="37"/>
      </w:tblGrid>
      <w:tr w:rsidR="00AE727E" w14:paraId="07DCEC9C" w14:textId="77777777">
        <w:trPr>
          <w:jc w:val="center"/>
        </w:trPr>
        <w:tc>
          <w:tcPr>
            <w:tcW w:w="50" w:type="pct"/>
            <w:shd w:val="clear" w:color="auto" w:fill="auto"/>
            <w:vAlign w:val="bottom"/>
          </w:tcPr>
          <w:p w14:paraId="07DCEC90" w14:textId="77777777" w:rsidR="00AE727E" w:rsidRDefault="00AE727E">
            <w:pPr>
              <w:rPr>
                <w:rFonts w:ascii="宋体"/>
              </w:rPr>
            </w:pPr>
          </w:p>
        </w:tc>
        <w:tc>
          <w:tcPr>
            <w:tcW w:w="2971" w:type="pct"/>
            <w:shd w:val="clear" w:color="auto" w:fill="auto"/>
            <w:vAlign w:val="bottom"/>
          </w:tcPr>
          <w:p w14:paraId="07DCEC91" w14:textId="77777777" w:rsidR="00AE727E" w:rsidRDefault="00AE727E">
            <w:pPr>
              <w:rPr>
                <w:rFonts w:ascii="宋体"/>
              </w:rPr>
            </w:pPr>
          </w:p>
        </w:tc>
        <w:tc>
          <w:tcPr>
            <w:tcW w:w="5" w:type="pct"/>
            <w:shd w:val="clear" w:color="auto" w:fill="auto"/>
            <w:vAlign w:val="bottom"/>
          </w:tcPr>
          <w:p w14:paraId="07DCEC92" w14:textId="77777777" w:rsidR="00AE727E" w:rsidRDefault="00AE727E">
            <w:pPr>
              <w:rPr>
                <w:rFonts w:ascii="宋体"/>
              </w:rPr>
            </w:pPr>
          </w:p>
        </w:tc>
        <w:tc>
          <w:tcPr>
            <w:tcW w:w="50" w:type="pct"/>
            <w:shd w:val="clear" w:color="auto" w:fill="auto"/>
            <w:vAlign w:val="bottom"/>
          </w:tcPr>
          <w:p w14:paraId="07DCEC93" w14:textId="77777777" w:rsidR="00AE727E" w:rsidRDefault="00AE727E">
            <w:pPr>
              <w:rPr>
                <w:rFonts w:ascii="宋体"/>
              </w:rPr>
            </w:pPr>
          </w:p>
        </w:tc>
        <w:tc>
          <w:tcPr>
            <w:tcW w:w="917" w:type="pct"/>
            <w:shd w:val="clear" w:color="auto" w:fill="auto"/>
            <w:vAlign w:val="bottom"/>
          </w:tcPr>
          <w:p w14:paraId="07DCEC94" w14:textId="77777777" w:rsidR="00AE727E" w:rsidRDefault="00AE727E">
            <w:pPr>
              <w:rPr>
                <w:rFonts w:ascii="宋体"/>
              </w:rPr>
            </w:pPr>
          </w:p>
        </w:tc>
        <w:tc>
          <w:tcPr>
            <w:tcW w:w="5" w:type="pct"/>
            <w:shd w:val="clear" w:color="auto" w:fill="auto"/>
            <w:vAlign w:val="bottom"/>
          </w:tcPr>
          <w:p w14:paraId="07DCEC95" w14:textId="77777777" w:rsidR="00AE727E" w:rsidRDefault="00AE727E">
            <w:pPr>
              <w:rPr>
                <w:rFonts w:ascii="宋体"/>
              </w:rPr>
            </w:pPr>
          </w:p>
        </w:tc>
        <w:tc>
          <w:tcPr>
            <w:tcW w:w="5" w:type="pct"/>
            <w:shd w:val="clear" w:color="auto" w:fill="auto"/>
            <w:vAlign w:val="bottom"/>
          </w:tcPr>
          <w:p w14:paraId="07DCEC96" w14:textId="77777777" w:rsidR="00AE727E" w:rsidRDefault="00AE727E">
            <w:pPr>
              <w:rPr>
                <w:rFonts w:ascii="宋体"/>
              </w:rPr>
            </w:pPr>
          </w:p>
        </w:tc>
        <w:tc>
          <w:tcPr>
            <w:tcW w:w="19" w:type="pct"/>
            <w:shd w:val="clear" w:color="auto" w:fill="auto"/>
            <w:vAlign w:val="bottom"/>
          </w:tcPr>
          <w:p w14:paraId="07DCEC97" w14:textId="77777777" w:rsidR="00AE727E" w:rsidRDefault="00AE727E">
            <w:pPr>
              <w:rPr>
                <w:rFonts w:ascii="宋体"/>
              </w:rPr>
            </w:pPr>
          </w:p>
        </w:tc>
        <w:tc>
          <w:tcPr>
            <w:tcW w:w="5" w:type="pct"/>
            <w:shd w:val="clear" w:color="auto" w:fill="auto"/>
            <w:vAlign w:val="bottom"/>
          </w:tcPr>
          <w:p w14:paraId="07DCEC98" w14:textId="77777777" w:rsidR="00AE727E" w:rsidRDefault="00AE727E">
            <w:pPr>
              <w:rPr>
                <w:rFonts w:ascii="宋体"/>
              </w:rPr>
            </w:pPr>
          </w:p>
        </w:tc>
        <w:tc>
          <w:tcPr>
            <w:tcW w:w="50" w:type="pct"/>
            <w:shd w:val="clear" w:color="auto" w:fill="auto"/>
            <w:vAlign w:val="bottom"/>
          </w:tcPr>
          <w:p w14:paraId="07DCEC99" w14:textId="77777777" w:rsidR="00AE727E" w:rsidRDefault="00AE727E">
            <w:pPr>
              <w:rPr>
                <w:rFonts w:ascii="宋体"/>
              </w:rPr>
            </w:pPr>
          </w:p>
        </w:tc>
        <w:tc>
          <w:tcPr>
            <w:tcW w:w="917" w:type="pct"/>
            <w:shd w:val="clear" w:color="auto" w:fill="auto"/>
            <w:vAlign w:val="bottom"/>
          </w:tcPr>
          <w:p w14:paraId="07DCEC9A" w14:textId="77777777" w:rsidR="00AE727E" w:rsidRDefault="00AE727E">
            <w:pPr>
              <w:rPr>
                <w:rFonts w:ascii="宋体"/>
              </w:rPr>
            </w:pPr>
          </w:p>
        </w:tc>
        <w:tc>
          <w:tcPr>
            <w:tcW w:w="5" w:type="pct"/>
            <w:shd w:val="clear" w:color="auto" w:fill="auto"/>
            <w:vAlign w:val="bottom"/>
          </w:tcPr>
          <w:p w14:paraId="07DCEC9B" w14:textId="77777777" w:rsidR="00AE727E" w:rsidRDefault="00AE727E">
            <w:pPr>
              <w:rPr>
                <w:rFonts w:ascii="宋体"/>
              </w:rPr>
            </w:pPr>
          </w:p>
        </w:tc>
      </w:tr>
      <w:tr w:rsidR="00AE727E" w14:paraId="07DCEC9F" w14:textId="77777777">
        <w:trPr>
          <w:jc w:val="center"/>
        </w:trPr>
        <w:tc>
          <w:tcPr>
            <w:tcW w:w="0" w:type="auto"/>
            <w:gridSpan w:val="3"/>
            <w:shd w:val="clear" w:color="auto" w:fill="auto"/>
            <w:tcMar>
              <w:top w:w="0" w:type="dxa"/>
              <w:left w:w="20" w:type="dxa"/>
              <w:bottom w:w="0" w:type="dxa"/>
              <w:right w:w="20" w:type="dxa"/>
            </w:tcMar>
            <w:vAlign w:val="bottom"/>
          </w:tcPr>
          <w:p w14:paraId="07DCEC9D"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EC9E"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ECA4" w14:textId="77777777">
        <w:trPr>
          <w:jc w:val="center"/>
        </w:trPr>
        <w:tc>
          <w:tcPr>
            <w:tcW w:w="0" w:type="auto"/>
            <w:gridSpan w:val="3"/>
            <w:shd w:val="clear" w:color="auto" w:fill="auto"/>
            <w:tcMar>
              <w:top w:w="0" w:type="dxa"/>
              <w:left w:w="20" w:type="dxa"/>
              <w:bottom w:w="0" w:type="dxa"/>
              <w:right w:w="20" w:type="dxa"/>
            </w:tcMar>
            <w:vAlign w:val="bottom"/>
          </w:tcPr>
          <w:p w14:paraId="07DCECA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CA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CA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CA3"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ECA7" w14:textId="77777777">
        <w:trPr>
          <w:jc w:val="center"/>
        </w:trPr>
        <w:tc>
          <w:tcPr>
            <w:tcW w:w="0" w:type="auto"/>
            <w:gridSpan w:val="3"/>
            <w:shd w:val="clear" w:color="auto" w:fill="auto"/>
            <w:tcMar>
              <w:top w:w="0" w:type="dxa"/>
              <w:left w:w="20" w:type="dxa"/>
              <w:bottom w:w="0" w:type="dxa"/>
              <w:right w:w="20" w:type="dxa"/>
            </w:tcMar>
            <w:vAlign w:val="bottom"/>
          </w:tcPr>
          <w:p w14:paraId="07DCECA5"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ECA6"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CB0" w14:textId="77777777">
        <w:trPr>
          <w:jc w:val="center"/>
        </w:trPr>
        <w:tc>
          <w:tcPr>
            <w:tcW w:w="0" w:type="auto"/>
            <w:gridSpan w:val="3"/>
            <w:shd w:val="clear" w:color="auto" w:fill="CCEEFF"/>
            <w:tcMar>
              <w:top w:w="40" w:type="dxa"/>
              <w:left w:w="20" w:type="dxa"/>
              <w:bottom w:w="40" w:type="dxa"/>
              <w:right w:w="20" w:type="dxa"/>
            </w:tcMar>
            <w:vAlign w:val="bottom"/>
          </w:tcPr>
          <w:p w14:paraId="07DCECA8" w14:textId="77777777" w:rsidR="00AE727E" w:rsidRDefault="008433E0">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w:t>
            </w:r>
          </w:p>
        </w:tc>
        <w:tc>
          <w:tcPr>
            <w:tcW w:w="0" w:type="auto"/>
            <w:shd w:val="clear" w:color="auto" w:fill="CCEEFF"/>
            <w:tcMar>
              <w:top w:w="40" w:type="dxa"/>
              <w:left w:w="20" w:type="dxa"/>
              <w:bottom w:w="40" w:type="dxa"/>
              <w:right w:w="0" w:type="dxa"/>
            </w:tcMar>
            <w:vAlign w:val="bottom"/>
          </w:tcPr>
          <w:p w14:paraId="07DCECA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CAA" w14:textId="77777777" w:rsidR="00AE727E" w:rsidRDefault="008433E0">
            <w:pPr>
              <w:jc w:val="right"/>
              <w:textAlignment w:val="bottom"/>
            </w:pPr>
            <w:r>
              <w:rPr>
                <w:rFonts w:ascii="Times New Roman" w:eastAsia="宋体" w:hAnsi="Times New Roman"/>
                <w:color w:val="000000"/>
                <w:sz w:val="20"/>
                <w:szCs w:val="20"/>
              </w:rPr>
              <w:t>379 </w:t>
            </w:r>
          </w:p>
        </w:tc>
        <w:tc>
          <w:tcPr>
            <w:tcW w:w="0" w:type="auto"/>
            <w:shd w:val="clear" w:color="auto" w:fill="CCEEFF"/>
            <w:tcMar>
              <w:top w:w="40" w:type="dxa"/>
              <w:left w:w="0" w:type="dxa"/>
              <w:bottom w:w="40" w:type="dxa"/>
              <w:right w:w="20" w:type="dxa"/>
            </w:tcMar>
            <w:vAlign w:val="bottom"/>
          </w:tcPr>
          <w:p w14:paraId="07DCECA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CAC"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CA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CAE" w14:textId="77777777" w:rsidR="00AE727E" w:rsidRDefault="008433E0">
            <w:pPr>
              <w:jc w:val="right"/>
              <w:textAlignment w:val="bottom"/>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bottom"/>
          </w:tcPr>
          <w:p w14:paraId="07DCECAF" w14:textId="77777777" w:rsidR="00AE727E" w:rsidRDefault="00AE727E">
            <w:pPr>
              <w:jc w:val="right"/>
              <w:rPr>
                <w:rFonts w:ascii="宋体"/>
              </w:rPr>
            </w:pPr>
          </w:p>
        </w:tc>
      </w:tr>
      <w:tr w:rsidR="00AE727E" w14:paraId="07DCECB9" w14:textId="77777777">
        <w:trPr>
          <w:jc w:val="center"/>
        </w:trPr>
        <w:tc>
          <w:tcPr>
            <w:tcW w:w="0" w:type="auto"/>
            <w:gridSpan w:val="3"/>
            <w:shd w:val="clear" w:color="auto" w:fill="FFFFFF"/>
            <w:tcMar>
              <w:top w:w="40" w:type="dxa"/>
              <w:left w:w="35" w:type="dxa"/>
              <w:bottom w:w="40" w:type="dxa"/>
              <w:right w:w="20" w:type="dxa"/>
            </w:tcMar>
            <w:vAlign w:val="bottom"/>
          </w:tcPr>
          <w:p w14:paraId="07DCECB1" w14:textId="77777777" w:rsidR="00AE727E" w:rsidRDefault="008433E0">
            <w:pPr>
              <w:textAlignment w:val="bottom"/>
            </w:pPr>
            <w:r>
              <w:rPr>
                <w:rFonts w:ascii="Times New Roman" w:eastAsia="宋体" w:hAnsi="Times New Roman"/>
                <w:color w:val="000000"/>
                <w:sz w:val="20"/>
                <w:szCs w:val="20"/>
              </w:rPr>
              <w:t>Right-of-Use assets obtained in exchange for new operating lease liabilities</w:t>
            </w:r>
          </w:p>
        </w:tc>
        <w:tc>
          <w:tcPr>
            <w:tcW w:w="0" w:type="auto"/>
            <w:shd w:val="clear" w:color="auto" w:fill="FFFFFF"/>
            <w:tcMar>
              <w:top w:w="40" w:type="dxa"/>
              <w:left w:w="20" w:type="dxa"/>
              <w:bottom w:w="40" w:type="dxa"/>
              <w:right w:w="0" w:type="dxa"/>
            </w:tcMar>
            <w:vAlign w:val="bottom"/>
          </w:tcPr>
          <w:p w14:paraId="07DCECB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CB3" w14:textId="77777777" w:rsidR="00AE727E" w:rsidRDefault="008433E0">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07DCECB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CB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ECB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ECB7" w14:textId="77777777" w:rsidR="00AE727E" w:rsidRDefault="008433E0">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07DCECB8" w14:textId="77777777" w:rsidR="00AE727E" w:rsidRDefault="00AE727E">
            <w:pPr>
              <w:jc w:val="right"/>
              <w:rPr>
                <w:rFonts w:ascii="宋体"/>
              </w:rPr>
            </w:pPr>
          </w:p>
        </w:tc>
      </w:tr>
    </w:tbl>
    <w:p w14:paraId="07DCECBA" w14:textId="77777777" w:rsidR="00AE727E" w:rsidRDefault="00AE727E"/>
    <w:p w14:paraId="07DCECBB" w14:textId="77777777" w:rsidR="00AE727E" w:rsidRDefault="008433E0">
      <w:pPr>
        <w:spacing w:after="60"/>
      </w:pPr>
      <w:r>
        <w:rPr>
          <w:rFonts w:ascii="Times New Roman" w:eastAsia="宋体" w:hAnsi="Times New Roman"/>
          <w:color w:val="000000"/>
          <w:sz w:val="20"/>
          <w:szCs w:val="20"/>
        </w:rPr>
        <w:t>The following table presents the future maturities of the Company’s operating lease liabilities under non-cancelable leases and reconciles the undiscounted cash flows for these leases to the lease liability recognized on the Condensed Consolidated Statemen</w:t>
      </w:r>
      <w:r>
        <w:rPr>
          <w:rFonts w:ascii="Times New Roman" w:eastAsia="宋体" w:hAnsi="Times New Roman"/>
          <w:color w:val="000000"/>
          <w:sz w:val="20"/>
          <w:szCs w:val="20"/>
        </w:rPr>
        <w:t xml:space="preserve">ts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7"/>
        <w:gridCol w:w="36"/>
        <w:gridCol w:w="36"/>
        <w:gridCol w:w="36"/>
        <w:gridCol w:w="36"/>
        <w:gridCol w:w="36"/>
        <w:gridCol w:w="36"/>
        <w:gridCol w:w="36"/>
      </w:tblGrid>
      <w:tr w:rsidR="00AE727E" w14:paraId="07DCECC4" w14:textId="77777777">
        <w:trPr>
          <w:jc w:val="center"/>
        </w:trPr>
        <w:tc>
          <w:tcPr>
            <w:tcW w:w="50" w:type="pct"/>
            <w:shd w:val="clear" w:color="auto" w:fill="auto"/>
            <w:vAlign w:val="bottom"/>
          </w:tcPr>
          <w:p w14:paraId="07DCECBC" w14:textId="77777777" w:rsidR="00AE727E" w:rsidRDefault="00AE727E">
            <w:pPr>
              <w:rPr>
                <w:rFonts w:ascii="宋体"/>
              </w:rPr>
            </w:pPr>
          </w:p>
        </w:tc>
        <w:tc>
          <w:tcPr>
            <w:tcW w:w="3972" w:type="pct"/>
            <w:shd w:val="clear" w:color="auto" w:fill="auto"/>
            <w:vAlign w:val="bottom"/>
          </w:tcPr>
          <w:p w14:paraId="07DCECBD" w14:textId="77777777" w:rsidR="00AE727E" w:rsidRDefault="00AE727E">
            <w:pPr>
              <w:rPr>
                <w:rFonts w:ascii="宋体"/>
              </w:rPr>
            </w:pPr>
          </w:p>
        </w:tc>
        <w:tc>
          <w:tcPr>
            <w:tcW w:w="5" w:type="pct"/>
            <w:shd w:val="clear" w:color="auto" w:fill="auto"/>
            <w:vAlign w:val="bottom"/>
          </w:tcPr>
          <w:p w14:paraId="07DCECBE" w14:textId="77777777" w:rsidR="00AE727E" w:rsidRDefault="00AE727E">
            <w:pPr>
              <w:rPr>
                <w:rFonts w:ascii="宋体"/>
              </w:rPr>
            </w:pPr>
          </w:p>
        </w:tc>
        <w:tc>
          <w:tcPr>
            <w:tcW w:w="50" w:type="pct"/>
            <w:shd w:val="clear" w:color="auto" w:fill="auto"/>
            <w:vAlign w:val="bottom"/>
          </w:tcPr>
          <w:p w14:paraId="07DCECBF" w14:textId="77777777" w:rsidR="00AE727E" w:rsidRDefault="00AE727E">
            <w:pPr>
              <w:rPr>
                <w:rFonts w:ascii="宋体"/>
              </w:rPr>
            </w:pPr>
          </w:p>
        </w:tc>
        <w:tc>
          <w:tcPr>
            <w:tcW w:w="917" w:type="pct"/>
            <w:shd w:val="clear" w:color="auto" w:fill="auto"/>
            <w:vAlign w:val="bottom"/>
          </w:tcPr>
          <w:p w14:paraId="07DCECC0" w14:textId="77777777" w:rsidR="00AE727E" w:rsidRDefault="00AE727E">
            <w:pPr>
              <w:rPr>
                <w:rFonts w:ascii="宋体"/>
              </w:rPr>
            </w:pPr>
          </w:p>
        </w:tc>
        <w:tc>
          <w:tcPr>
            <w:tcW w:w="5" w:type="pct"/>
            <w:shd w:val="clear" w:color="auto" w:fill="auto"/>
            <w:vAlign w:val="bottom"/>
          </w:tcPr>
          <w:p w14:paraId="07DCECC1" w14:textId="77777777" w:rsidR="00AE727E" w:rsidRDefault="00AE727E">
            <w:pPr>
              <w:rPr>
                <w:rFonts w:ascii="宋体"/>
              </w:rPr>
            </w:pPr>
          </w:p>
        </w:tc>
        <w:tc>
          <w:tcPr>
            <w:tcW w:w="0" w:type="auto"/>
            <w:gridSpan w:val="3"/>
            <w:shd w:val="clear" w:color="auto" w:fill="auto"/>
            <w:vAlign w:val="bottom"/>
          </w:tcPr>
          <w:p w14:paraId="07DCECC2" w14:textId="77777777" w:rsidR="00AE727E" w:rsidRDefault="00AE727E">
            <w:pPr>
              <w:rPr>
                <w:rFonts w:ascii="宋体"/>
                <w:vanish/>
              </w:rPr>
            </w:pPr>
          </w:p>
        </w:tc>
        <w:tc>
          <w:tcPr>
            <w:tcW w:w="0" w:type="auto"/>
            <w:gridSpan w:val="3"/>
            <w:shd w:val="clear" w:color="auto" w:fill="auto"/>
            <w:vAlign w:val="bottom"/>
          </w:tcPr>
          <w:p w14:paraId="07DCECC3" w14:textId="77777777" w:rsidR="00AE727E" w:rsidRDefault="00AE727E">
            <w:pPr>
              <w:rPr>
                <w:rFonts w:ascii="宋体"/>
                <w:vanish/>
              </w:rPr>
            </w:pPr>
          </w:p>
        </w:tc>
      </w:tr>
      <w:tr w:rsidR="00AE727E" w14:paraId="07DCECC9" w14:textId="77777777">
        <w:trPr>
          <w:jc w:val="center"/>
        </w:trPr>
        <w:tc>
          <w:tcPr>
            <w:tcW w:w="0" w:type="auto"/>
            <w:gridSpan w:val="3"/>
            <w:shd w:val="clear" w:color="auto" w:fill="auto"/>
            <w:tcMar>
              <w:top w:w="0" w:type="dxa"/>
              <w:left w:w="20" w:type="dxa"/>
              <w:bottom w:w="0" w:type="dxa"/>
              <w:right w:w="20" w:type="dxa"/>
            </w:tcMar>
            <w:vAlign w:val="bottom"/>
          </w:tcPr>
          <w:p w14:paraId="07DCECC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CC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DCECC7" w14:textId="77777777" w:rsidR="00AE727E" w:rsidRDefault="00AE727E">
            <w:pPr>
              <w:rPr>
                <w:rFonts w:ascii="宋体"/>
                <w:vanish/>
              </w:rPr>
            </w:pPr>
          </w:p>
        </w:tc>
        <w:tc>
          <w:tcPr>
            <w:tcW w:w="0" w:type="auto"/>
            <w:gridSpan w:val="3"/>
            <w:shd w:val="clear" w:color="auto" w:fill="auto"/>
            <w:vAlign w:val="bottom"/>
          </w:tcPr>
          <w:p w14:paraId="07DCECC8" w14:textId="77777777" w:rsidR="00AE727E" w:rsidRDefault="00AE727E">
            <w:pPr>
              <w:rPr>
                <w:rFonts w:ascii="宋体"/>
                <w:vanish/>
              </w:rPr>
            </w:pPr>
          </w:p>
        </w:tc>
      </w:tr>
      <w:tr w:rsidR="00AE727E" w14:paraId="07DCECD2" w14:textId="77777777">
        <w:trPr>
          <w:jc w:val="center"/>
        </w:trPr>
        <w:tc>
          <w:tcPr>
            <w:tcW w:w="0" w:type="auto"/>
            <w:gridSpan w:val="3"/>
            <w:shd w:val="clear" w:color="auto" w:fill="auto"/>
            <w:tcMar>
              <w:top w:w="0" w:type="dxa"/>
              <w:left w:w="20" w:type="dxa"/>
              <w:bottom w:w="0" w:type="dxa"/>
              <w:right w:w="20" w:type="dxa"/>
            </w:tcMar>
            <w:vAlign w:val="bottom"/>
          </w:tcPr>
          <w:p w14:paraId="07DCECC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DCECCB" w14:textId="77777777" w:rsidR="00AE727E" w:rsidRDefault="008433E0">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07DCECCC" w14:textId="77777777" w:rsidR="00AE727E" w:rsidRDefault="00AE727E">
            <w:pPr>
              <w:rPr>
                <w:rFonts w:ascii="宋体"/>
              </w:rPr>
            </w:pPr>
          </w:p>
        </w:tc>
        <w:tc>
          <w:tcPr>
            <w:tcW w:w="0" w:type="auto"/>
            <w:shd w:val="clear" w:color="auto" w:fill="auto"/>
            <w:vAlign w:val="bottom"/>
          </w:tcPr>
          <w:p w14:paraId="07DCECCD" w14:textId="77777777" w:rsidR="00AE727E" w:rsidRDefault="00AE727E">
            <w:pPr>
              <w:rPr>
                <w:rFonts w:ascii="宋体"/>
              </w:rPr>
            </w:pPr>
          </w:p>
        </w:tc>
        <w:tc>
          <w:tcPr>
            <w:tcW w:w="0" w:type="auto"/>
            <w:shd w:val="clear" w:color="auto" w:fill="auto"/>
            <w:vAlign w:val="bottom"/>
          </w:tcPr>
          <w:p w14:paraId="07DCECCE" w14:textId="77777777" w:rsidR="00AE727E" w:rsidRDefault="00AE727E">
            <w:pPr>
              <w:rPr>
                <w:rFonts w:ascii="宋体"/>
              </w:rPr>
            </w:pPr>
          </w:p>
        </w:tc>
        <w:tc>
          <w:tcPr>
            <w:tcW w:w="0" w:type="auto"/>
            <w:shd w:val="clear" w:color="auto" w:fill="auto"/>
            <w:vAlign w:val="bottom"/>
          </w:tcPr>
          <w:p w14:paraId="07DCECCF" w14:textId="77777777" w:rsidR="00AE727E" w:rsidRDefault="00AE727E">
            <w:pPr>
              <w:rPr>
                <w:rFonts w:ascii="宋体"/>
              </w:rPr>
            </w:pPr>
          </w:p>
        </w:tc>
        <w:tc>
          <w:tcPr>
            <w:tcW w:w="0" w:type="auto"/>
            <w:shd w:val="clear" w:color="auto" w:fill="auto"/>
            <w:vAlign w:val="bottom"/>
          </w:tcPr>
          <w:p w14:paraId="07DCECD0" w14:textId="77777777" w:rsidR="00AE727E" w:rsidRDefault="00AE727E">
            <w:pPr>
              <w:rPr>
                <w:rFonts w:ascii="宋体"/>
              </w:rPr>
            </w:pPr>
          </w:p>
        </w:tc>
        <w:tc>
          <w:tcPr>
            <w:tcW w:w="0" w:type="auto"/>
            <w:shd w:val="clear" w:color="auto" w:fill="auto"/>
            <w:vAlign w:val="bottom"/>
          </w:tcPr>
          <w:p w14:paraId="07DCECD1" w14:textId="77777777" w:rsidR="00AE727E" w:rsidRDefault="00AE727E">
            <w:pPr>
              <w:rPr>
                <w:rFonts w:ascii="宋体"/>
              </w:rPr>
            </w:pPr>
          </w:p>
        </w:tc>
      </w:tr>
      <w:tr w:rsidR="00AE727E" w14:paraId="07DCECD9" w14:textId="77777777">
        <w:trPr>
          <w:jc w:val="center"/>
        </w:trPr>
        <w:tc>
          <w:tcPr>
            <w:tcW w:w="0" w:type="auto"/>
            <w:gridSpan w:val="3"/>
            <w:shd w:val="clear" w:color="auto" w:fill="CCEEFF"/>
            <w:tcMar>
              <w:top w:w="40" w:type="dxa"/>
              <w:left w:w="20" w:type="dxa"/>
              <w:bottom w:w="40" w:type="dxa"/>
              <w:right w:w="20" w:type="dxa"/>
            </w:tcMar>
            <w:vAlign w:val="center"/>
          </w:tcPr>
          <w:p w14:paraId="07DCECD3" w14:textId="77777777" w:rsidR="00AE727E" w:rsidRDefault="008433E0">
            <w:pPr>
              <w:textAlignment w:val="center"/>
            </w:pPr>
            <w:r>
              <w:rPr>
                <w:rFonts w:ascii="Times New Roman" w:eastAsia="宋体" w:hAnsi="Times New Roman"/>
                <w:color w:val="000000"/>
                <w:sz w:val="20"/>
                <w:szCs w:val="20"/>
              </w:rPr>
              <w:t>Fiscal 2022 (remaining three months)</w:t>
            </w:r>
          </w:p>
        </w:tc>
        <w:tc>
          <w:tcPr>
            <w:tcW w:w="0" w:type="auto"/>
            <w:shd w:val="clear" w:color="auto" w:fill="CCEEFF"/>
            <w:tcMar>
              <w:top w:w="40" w:type="dxa"/>
              <w:left w:w="20" w:type="dxa"/>
              <w:bottom w:w="40" w:type="dxa"/>
              <w:right w:w="0" w:type="dxa"/>
            </w:tcMar>
            <w:vAlign w:val="center"/>
          </w:tcPr>
          <w:p w14:paraId="07DCECD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CD5" w14:textId="77777777" w:rsidR="00AE727E" w:rsidRDefault="008433E0">
            <w:pPr>
              <w:jc w:val="right"/>
              <w:textAlignment w:val="center"/>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center"/>
          </w:tcPr>
          <w:p w14:paraId="07DCECD6" w14:textId="77777777" w:rsidR="00AE727E" w:rsidRDefault="00AE727E">
            <w:pPr>
              <w:jc w:val="right"/>
              <w:rPr>
                <w:rFonts w:ascii="宋体"/>
              </w:rPr>
            </w:pPr>
          </w:p>
        </w:tc>
        <w:tc>
          <w:tcPr>
            <w:tcW w:w="0" w:type="auto"/>
            <w:gridSpan w:val="3"/>
            <w:shd w:val="clear" w:color="auto" w:fill="auto"/>
            <w:vAlign w:val="bottom"/>
          </w:tcPr>
          <w:p w14:paraId="07DCECD7" w14:textId="77777777" w:rsidR="00AE727E" w:rsidRDefault="00AE727E">
            <w:pPr>
              <w:rPr>
                <w:rFonts w:ascii="宋体"/>
                <w:vanish/>
              </w:rPr>
            </w:pPr>
          </w:p>
        </w:tc>
        <w:tc>
          <w:tcPr>
            <w:tcW w:w="0" w:type="auto"/>
            <w:gridSpan w:val="3"/>
            <w:shd w:val="clear" w:color="auto" w:fill="auto"/>
            <w:vAlign w:val="bottom"/>
          </w:tcPr>
          <w:p w14:paraId="07DCECD8" w14:textId="77777777" w:rsidR="00AE727E" w:rsidRDefault="00AE727E">
            <w:pPr>
              <w:rPr>
                <w:rFonts w:ascii="宋体"/>
                <w:vanish/>
              </w:rPr>
            </w:pPr>
          </w:p>
        </w:tc>
      </w:tr>
      <w:tr w:rsidR="00AE727E" w14:paraId="07DCECDF" w14:textId="77777777">
        <w:trPr>
          <w:jc w:val="center"/>
        </w:trPr>
        <w:tc>
          <w:tcPr>
            <w:tcW w:w="0" w:type="auto"/>
            <w:gridSpan w:val="3"/>
            <w:shd w:val="clear" w:color="auto" w:fill="FFFFFF"/>
            <w:tcMar>
              <w:top w:w="40" w:type="dxa"/>
              <w:left w:w="20" w:type="dxa"/>
              <w:bottom w:w="40" w:type="dxa"/>
              <w:right w:w="20" w:type="dxa"/>
            </w:tcMar>
            <w:vAlign w:val="center"/>
          </w:tcPr>
          <w:p w14:paraId="07DCECDA" w14:textId="77777777" w:rsidR="00AE727E" w:rsidRDefault="008433E0">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07DCECDB" w14:textId="77777777" w:rsidR="00AE727E" w:rsidRDefault="008433E0">
            <w:pPr>
              <w:jc w:val="right"/>
              <w:textAlignment w:val="center"/>
            </w:pPr>
            <w:r>
              <w:rPr>
                <w:rFonts w:ascii="Times New Roman" w:eastAsia="宋体" w:hAnsi="Times New Roman"/>
                <w:color w:val="000000"/>
                <w:sz w:val="20"/>
                <w:szCs w:val="20"/>
              </w:rPr>
              <w:t>475 </w:t>
            </w:r>
          </w:p>
        </w:tc>
        <w:tc>
          <w:tcPr>
            <w:tcW w:w="0" w:type="auto"/>
            <w:shd w:val="clear" w:color="auto" w:fill="FFFFFF"/>
            <w:tcMar>
              <w:top w:w="40" w:type="dxa"/>
              <w:left w:w="0" w:type="dxa"/>
              <w:bottom w:w="40" w:type="dxa"/>
              <w:right w:w="20" w:type="dxa"/>
            </w:tcMar>
            <w:vAlign w:val="center"/>
          </w:tcPr>
          <w:p w14:paraId="07DCECDC" w14:textId="77777777" w:rsidR="00AE727E" w:rsidRDefault="00AE727E">
            <w:pPr>
              <w:jc w:val="right"/>
              <w:rPr>
                <w:rFonts w:ascii="宋体"/>
              </w:rPr>
            </w:pPr>
          </w:p>
        </w:tc>
        <w:tc>
          <w:tcPr>
            <w:tcW w:w="0" w:type="auto"/>
            <w:gridSpan w:val="3"/>
            <w:shd w:val="clear" w:color="auto" w:fill="auto"/>
            <w:vAlign w:val="bottom"/>
          </w:tcPr>
          <w:p w14:paraId="07DCECDD" w14:textId="77777777" w:rsidR="00AE727E" w:rsidRDefault="00AE727E">
            <w:pPr>
              <w:rPr>
                <w:rFonts w:ascii="宋体"/>
                <w:vanish/>
              </w:rPr>
            </w:pPr>
          </w:p>
        </w:tc>
        <w:tc>
          <w:tcPr>
            <w:tcW w:w="0" w:type="auto"/>
            <w:gridSpan w:val="3"/>
            <w:shd w:val="clear" w:color="auto" w:fill="auto"/>
            <w:vAlign w:val="bottom"/>
          </w:tcPr>
          <w:p w14:paraId="07DCECDE" w14:textId="77777777" w:rsidR="00AE727E" w:rsidRDefault="00AE727E">
            <w:pPr>
              <w:rPr>
                <w:rFonts w:ascii="宋体"/>
                <w:vanish/>
              </w:rPr>
            </w:pPr>
          </w:p>
        </w:tc>
      </w:tr>
      <w:tr w:rsidR="00AE727E" w14:paraId="07DCECE5" w14:textId="77777777">
        <w:trPr>
          <w:jc w:val="center"/>
        </w:trPr>
        <w:tc>
          <w:tcPr>
            <w:tcW w:w="0" w:type="auto"/>
            <w:gridSpan w:val="3"/>
            <w:shd w:val="clear" w:color="auto" w:fill="CCEEFF"/>
            <w:tcMar>
              <w:top w:w="40" w:type="dxa"/>
              <w:left w:w="20" w:type="dxa"/>
              <w:bottom w:w="40" w:type="dxa"/>
              <w:right w:w="20" w:type="dxa"/>
            </w:tcMar>
            <w:vAlign w:val="center"/>
          </w:tcPr>
          <w:p w14:paraId="07DCECE0" w14:textId="77777777" w:rsidR="00AE727E" w:rsidRDefault="008433E0">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07DCECE1" w14:textId="77777777" w:rsidR="00AE727E" w:rsidRDefault="008433E0">
            <w:pPr>
              <w:jc w:val="right"/>
              <w:textAlignment w:val="center"/>
            </w:pPr>
            <w:r>
              <w:rPr>
                <w:rFonts w:ascii="Times New Roman" w:eastAsia="宋体" w:hAnsi="Times New Roman"/>
                <w:color w:val="000000"/>
                <w:sz w:val="20"/>
                <w:szCs w:val="20"/>
              </w:rPr>
              <w:t>374 </w:t>
            </w:r>
          </w:p>
        </w:tc>
        <w:tc>
          <w:tcPr>
            <w:tcW w:w="0" w:type="auto"/>
            <w:shd w:val="clear" w:color="auto" w:fill="CCEEFF"/>
            <w:tcMar>
              <w:top w:w="40" w:type="dxa"/>
              <w:left w:w="0" w:type="dxa"/>
              <w:bottom w:w="40" w:type="dxa"/>
              <w:right w:w="20" w:type="dxa"/>
            </w:tcMar>
            <w:vAlign w:val="center"/>
          </w:tcPr>
          <w:p w14:paraId="07DCECE2" w14:textId="77777777" w:rsidR="00AE727E" w:rsidRDefault="00AE727E">
            <w:pPr>
              <w:jc w:val="right"/>
              <w:rPr>
                <w:rFonts w:ascii="宋体"/>
              </w:rPr>
            </w:pPr>
          </w:p>
        </w:tc>
        <w:tc>
          <w:tcPr>
            <w:tcW w:w="0" w:type="auto"/>
            <w:gridSpan w:val="3"/>
            <w:shd w:val="clear" w:color="auto" w:fill="auto"/>
            <w:vAlign w:val="bottom"/>
          </w:tcPr>
          <w:p w14:paraId="07DCECE3" w14:textId="77777777" w:rsidR="00AE727E" w:rsidRDefault="00AE727E">
            <w:pPr>
              <w:rPr>
                <w:rFonts w:ascii="宋体"/>
                <w:vanish/>
              </w:rPr>
            </w:pPr>
          </w:p>
        </w:tc>
        <w:tc>
          <w:tcPr>
            <w:tcW w:w="0" w:type="auto"/>
            <w:gridSpan w:val="3"/>
            <w:shd w:val="clear" w:color="auto" w:fill="auto"/>
            <w:vAlign w:val="bottom"/>
          </w:tcPr>
          <w:p w14:paraId="07DCECE4" w14:textId="77777777" w:rsidR="00AE727E" w:rsidRDefault="00AE727E">
            <w:pPr>
              <w:rPr>
                <w:rFonts w:ascii="宋体"/>
                <w:vanish/>
              </w:rPr>
            </w:pPr>
          </w:p>
        </w:tc>
      </w:tr>
      <w:tr w:rsidR="00AE727E" w14:paraId="07DCECEB" w14:textId="77777777">
        <w:trPr>
          <w:jc w:val="center"/>
        </w:trPr>
        <w:tc>
          <w:tcPr>
            <w:tcW w:w="0" w:type="auto"/>
            <w:gridSpan w:val="3"/>
            <w:shd w:val="clear" w:color="auto" w:fill="FFFFFF"/>
            <w:tcMar>
              <w:top w:w="40" w:type="dxa"/>
              <w:left w:w="20" w:type="dxa"/>
              <w:bottom w:w="40" w:type="dxa"/>
              <w:right w:w="20" w:type="dxa"/>
            </w:tcMar>
            <w:vAlign w:val="center"/>
          </w:tcPr>
          <w:p w14:paraId="07DCECE6" w14:textId="77777777" w:rsidR="00AE727E" w:rsidRDefault="008433E0">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07DCECE7" w14:textId="77777777" w:rsidR="00AE727E" w:rsidRDefault="008433E0">
            <w:pPr>
              <w:jc w:val="right"/>
              <w:textAlignment w:val="center"/>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center"/>
          </w:tcPr>
          <w:p w14:paraId="07DCECE8" w14:textId="77777777" w:rsidR="00AE727E" w:rsidRDefault="00AE727E">
            <w:pPr>
              <w:jc w:val="right"/>
              <w:rPr>
                <w:rFonts w:ascii="宋体"/>
              </w:rPr>
            </w:pPr>
          </w:p>
        </w:tc>
        <w:tc>
          <w:tcPr>
            <w:tcW w:w="0" w:type="auto"/>
            <w:gridSpan w:val="3"/>
            <w:shd w:val="clear" w:color="auto" w:fill="auto"/>
            <w:vAlign w:val="bottom"/>
          </w:tcPr>
          <w:p w14:paraId="07DCECE9" w14:textId="77777777" w:rsidR="00AE727E" w:rsidRDefault="00AE727E">
            <w:pPr>
              <w:rPr>
                <w:rFonts w:ascii="宋体"/>
                <w:vanish/>
              </w:rPr>
            </w:pPr>
          </w:p>
        </w:tc>
        <w:tc>
          <w:tcPr>
            <w:tcW w:w="0" w:type="auto"/>
            <w:gridSpan w:val="3"/>
            <w:shd w:val="clear" w:color="auto" w:fill="auto"/>
            <w:vAlign w:val="bottom"/>
          </w:tcPr>
          <w:p w14:paraId="07DCECEA" w14:textId="77777777" w:rsidR="00AE727E" w:rsidRDefault="00AE727E">
            <w:pPr>
              <w:rPr>
                <w:rFonts w:ascii="宋体"/>
                <w:vanish/>
              </w:rPr>
            </w:pPr>
          </w:p>
        </w:tc>
      </w:tr>
      <w:tr w:rsidR="00AE727E" w14:paraId="07DCECF1" w14:textId="77777777">
        <w:trPr>
          <w:jc w:val="center"/>
        </w:trPr>
        <w:tc>
          <w:tcPr>
            <w:tcW w:w="0" w:type="auto"/>
            <w:gridSpan w:val="3"/>
            <w:shd w:val="clear" w:color="auto" w:fill="CCEEFF"/>
            <w:tcMar>
              <w:top w:w="40" w:type="dxa"/>
              <w:left w:w="20" w:type="dxa"/>
              <w:bottom w:w="40" w:type="dxa"/>
              <w:right w:w="20" w:type="dxa"/>
            </w:tcMar>
            <w:vAlign w:val="center"/>
          </w:tcPr>
          <w:p w14:paraId="07DCECEC" w14:textId="77777777" w:rsidR="00AE727E" w:rsidRDefault="008433E0">
            <w:pPr>
              <w:textAlignment w:val="center"/>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center"/>
          </w:tcPr>
          <w:p w14:paraId="07DCECED" w14:textId="77777777" w:rsidR="00AE727E" w:rsidRDefault="008433E0">
            <w:pPr>
              <w:jc w:val="right"/>
              <w:textAlignment w:val="center"/>
            </w:pPr>
            <w:r>
              <w:rPr>
                <w:rFonts w:ascii="Times New Roman" w:eastAsia="宋体" w:hAnsi="Times New Roman"/>
                <w:color w:val="000000"/>
                <w:sz w:val="20"/>
                <w:szCs w:val="20"/>
              </w:rPr>
              <w:t>228 </w:t>
            </w:r>
          </w:p>
        </w:tc>
        <w:tc>
          <w:tcPr>
            <w:tcW w:w="0" w:type="auto"/>
            <w:shd w:val="clear" w:color="auto" w:fill="CCEEFF"/>
            <w:tcMar>
              <w:top w:w="40" w:type="dxa"/>
              <w:left w:w="0" w:type="dxa"/>
              <w:bottom w:w="40" w:type="dxa"/>
              <w:right w:w="20" w:type="dxa"/>
            </w:tcMar>
            <w:vAlign w:val="center"/>
          </w:tcPr>
          <w:p w14:paraId="07DCECEE" w14:textId="77777777" w:rsidR="00AE727E" w:rsidRDefault="00AE727E">
            <w:pPr>
              <w:jc w:val="right"/>
              <w:rPr>
                <w:rFonts w:ascii="宋体"/>
              </w:rPr>
            </w:pPr>
          </w:p>
        </w:tc>
        <w:tc>
          <w:tcPr>
            <w:tcW w:w="0" w:type="auto"/>
            <w:gridSpan w:val="3"/>
            <w:shd w:val="clear" w:color="auto" w:fill="auto"/>
            <w:vAlign w:val="bottom"/>
          </w:tcPr>
          <w:p w14:paraId="07DCECEF" w14:textId="77777777" w:rsidR="00AE727E" w:rsidRDefault="00AE727E">
            <w:pPr>
              <w:rPr>
                <w:rFonts w:ascii="宋体"/>
                <w:vanish/>
              </w:rPr>
            </w:pPr>
          </w:p>
        </w:tc>
        <w:tc>
          <w:tcPr>
            <w:tcW w:w="0" w:type="auto"/>
            <w:gridSpan w:val="3"/>
            <w:shd w:val="clear" w:color="auto" w:fill="auto"/>
            <w:vAlign w:val="bottom"/>
          </w:tcPr>
          <w:p w14:paraId="07DCECF0" w14:textId="77777777" w:rsidR="00AE727E" w:rsidRDefault="00AE727E">
            <w:pPr>
              <w:rPr>
                <w:rFonts w:ascii="宋体"/>
                <w:vanish/>
              </w:rPr>
            </w:pPr>
          </w:p>
        </w:tc>
      </w:tr>
      <w:tr w:rsidR="00AE727E" w14:paraId="07DCECF7" w14:textId="77777777">
        <w:trPr>
          <w:jc w:val="center"/>
        </w:trPr>
        <w:tc>
          <w:tcPr>
            <w:tcW w:w="0" w:type="auto"/>
            <w:gridSpan w:val="3"/>
            <w:shd w:val="clear" w:color="auto" w:fill="FFFFFF"/>
            <w:tcMar>
              <w:top w:w="40" w:type="dxa"/>
              <w:left w:w="20" w:type="dxa"/>
              <w:bottom w:w="40" w:type="dxa"/>
              <w:right w:w="20" w:type="dxa"/>
            </w:tcMar>
            <w:vAlign w:val="center"/>
          </w:tcPr>
          <w:p w14:paraId="07DCECF2" w14:textId="77777777" w:rsidR="00AE727E" w:rsidRDefault="008433E0">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07DCECF3" w14:textId="77777777" w:rsidR="00AE727E" w:rsidRDefault="008433E0">
            <w:pPr>
              <w:jc w:val="right"/>
              <w:textAlignment w:val="center"/>
            </w:pPr>
            <w:r>
              <w:rPr>
                <w:rFonts w:ascii="Times New Roman" w:eastAsia="宋体" w:hAnsi="Times New Roman"/>
                <w:color w:val="000000"/>
                <w:sz w:val="20"/>
                <w:szCs w:val="20"/>
              </w:rPr>
              <w:t>995 </w:t>
            </w:r>
          </w:p>
        </w:tc>
        <w:tc>
          <w:tcPr>
            <w:tcW w:w="0" w:type="auto"/>
            <w:shd w:val="clear" w:color="auto" w:fill="FFFFFF"/>
            <w:tcMar>
              <w:top w:w="40" w:type="dxa"/>
              <w:left w:w="0" w:type="dxa"/>
              <w:bottom w:w="40" w:type="dxa"/>
              <w:right w:w="20" w:type="dxa"/>
            </w:tcMar>
            <w:vAlign w:val="center"/>
          </w:tcPr>
          <w:p w14:paraId="07DCECF4" w14:textId="77777777" w:rsidR="00AE727E" w:rsidRDefault="00AE727E">
            <w:pPr>
              <w:jc w:val="right"/>
              <w:rPr>
                <w:rFonts w:ascii="宋体"/>
              </w:rPr>
            </w:pPr>
          </w:p>
        </w:tc>
        <w:tc>
          <w:tcPr>
            <w:tcW w:w="0" w:type="auto"/>
            <w:gridSpan w:val="3"/>
            <w:shd w:val="clear" w:color="auto" w:fill="auto"/>
            <w:vAlign w:val="bottom"/>
          </w:tcPr>
          <w:p w14:paraId="07DCECF5" w14:textId="77777777" w:rsidR="00AE727E" w:rsidRDefault="00AE727E">
            <w:pPr>
              <w:rPr>
                <w:rFonts w:ascii="宋体"/>
                <w:vanish/>
              </w:rPr>
            </w:pPr>
          </w:p>
        </w:tc>
        <w:tc>
          <w:tcPr>
            <w:tcW w:w="0" w:type="auto"/>
            <w:gridSpan w:val="3"/>
            <w:shd w:val="clear" w:color="auto" w:fill="auto"/>
            <w:vAlign w:val="bottom"/>
          </w:tcPr>
          <w:p w14:paraId="07DCECF6" w14:textId="77777777" w:rsidR="00AE727E" w:rsidRDefault="00AE727E">
            <w:pPr>
              <w:rPr>
                <w:rFonts w:ascii="宋体"/>
                <w:vanish/>
              </w:rPr>
            </w:pPr>
          </w:p>
        </w:tc>
      </w:tr>
      <w:tr w:rsidR="00AE727E" w14:paraId="07DCECFD" w14:textId="77777777">
        <w:trPr>
          <w:jc w:val="center"/>
        </w:trPr>
        <w:tc>
          <w:tcPr>
            <w:tcW w:w="0" w:type="auto"/>
            <w:gridSpan w:val="3"/>
            <w:shd w:val="clear" w:color="auto" w:fill="CCEEFF"/>
            <w:tcMar>
              <w:top w:w="40" w:type="dxa"/>
              <w:left w:w="155" w:type="dxa"/>
              <w:bottom w:w="40" w:type="dxa"/>
              <w:right w:w="20" w:type="dxa"/>
            </w:tcMar>
            <w:vAlign w:val="center"/>
          </w:tcPr>
          <w:p w14:paraId="07DCECF8" w14:textId="77777777" w:rsidR="00AE727E" w:rsidRDefault="008433E0">
            <w:pPr>
              <w:textAlignment w:val="center"/>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ECF9" w14:textId="77777777" w:rsidR="00AE727E" w:rsidRDefault="008433E0">
            <w:pPr>
              <w:jc w:val="right"/>
              <w:textAlignment w:val="center"/>
            </w:pPr>
            <w:r>
              <w:rPr>
                <w:rFonts w:ascii="Times New Roman" w:eastAsia="宋体" w:hAnsi="Times New Roman"/>
                <w:color w:val="000000"/>
                <w:sz w:val="20"/>
                <w:szCs w:val="20"/>
              </w:rPr>
              <w:t>2,459 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CFA" w14:textId="77777777" w:rsidR="00AE727E" w:rsidRDefault="00AE727E">
            <w:pPr>
              <w:jc w:val="right"/>
              <w:rPr>
                <w:rFonts w:ascii="宋体"/>
              </w:rPr>
            </w:pPr>
          </w:p>
        </w:tc>
        <w:tc>
          <w:tcPr>
            <w:tcW w:w="0" w:type="auto"/>
            <w:gridSpan w:val="3"/>
            <w:shd w:val="clear" w:color="auto" w:fill="auto"/>
            <w:vAlign w:val="bottom"/>
          </w:tcPr>
          <w:p w14:paraId="07DCECFB" w14:textId="77777777" w:rsidR="00AE727E" w:rsidRDefault="00AE727E">
            <w:pPr>
              <w:rPr>
                <w:rFonts w:ascii="宋体"/>
                <w:vanish/>
              </w:rPr>
            </w:pPr>
          </w:p>
        </w:tc>
        <w:tc>
          <w:tcPr>
            <w:tcW w:w="0" w:type="auto"/>
            <w:gridSpan w:val="3"/>
            <w:shd w:val="clear" w:color="auto" w:fill="auto"/>
            <w:vAlign w:val="bottom"/>
          </w:tcPr>
          <w:p w14:paraId="07DCECFC" w14:textId="77777777" w:rsidR="00AE727E" w:rsidRDefault="00AE727E">
            <w:pPr>
              <w:rPr>
                <w:rFonts w:ascii="宋体"/>
                <w:vanish/>
              </w:rPr>
            </w:pPr>
          </w:p>
        </w:tc>
      </w:tr>
      <w:tr w:rsidR="00AE727E" w14:paraId="07DCED03" w14:textId="77777777">
        <w:trPr>
          <w:jc w:val="center"/>
        </w:trPr>
        <w:tc>
          <w:tcPr>
            <w:tcW w:w="0" w:type="auto"/>
            <w:gridSpan w:val="3"/>
            <w:shd w:val="clear" w:color="auto" w:fill="FFFFFF"/>
            <w:tcMar>
              <w:top w:w="40" w:type="dxa"/>
              <w:left w:w="245" w:type="dxa"/>
              <w:bottom w:w="40" w:type="dxa"/>
              <w:right w:w="20" w:type="dxa"/>
            </w:tcMar>
            <w:vAlign w:val="center"/>
          </w:tcPr>
          <w:p w14:paraId="07DCECFE" w14:textId="77777777" w:rsidR="00AE727E" w:rsidRDefault="008433E0">
            <w:pPr>
              <w:textAlignment w:val="center"/>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center"/>
          </w:tcPr>
          <w:p w14:paraId="07DCECFF" w14:textId="77777777" w:rsidR="00AE727E" w:rsidRDefault="008433E0">
            <w:pPr>
              <w:jc w:val="right"/>
              <w:textAlignment w:val="center"/>
            </w:pPr>
            <w:r>
              <w:rPr>
                <w:rFonts w:ascii="Times New Roman" w:eastAsia="宋体" w:hAnsi="Times New Roman"/>
                <w:color w:val="000000"/>
                <w:sz w:val="20"/>
                <w:szCs w:val="20"/>
              </w:rPr>
              <w:t>(363)</w:t>
            </w:r>
          </w:p>
        </w:tc>
        <w:tc>
          <w:tcPr>
            <w:tcW w:w="0" w:type="auto"/>
            <w:shd w:val="clear" w:color="auto" w:fill="FFFFFF"/>
            <w:tcMar>
              <w:top w:w="40" w:type="dxa"/>
              <w:left w:w="0" w:type="dxa"/>
              <w:bottom w:w="40" w:type="dxa"/>
              <w:right w:w="20" w:type="dxa"/>
            </w:tcMar>
            <w:vAlign w:val="center"/>
          </w:tcPr>
          <w:p w14:paraId="07DCED00" w14:textId="77777777" w:rsidR="00AE727E" w:rsidRDefault="00AE727E">
            <w:pPr>
              <w:jc w:val="right"/>
              <w:rPr>
                <w:rFonts w:ascii="宋体"/>
              </w:rPr>
            </w:pPr>
          </w:p>
        </w:tc>
        <w:tc>
          <w:tcPr>
            <w:tcW w:w="0" w:type="auto"/>
            <w:gridSpan w:val="3"/>
            <w:shd w:val="clear" w:color="auto" w:fill="auto"/>
            <w:vAlign w:val="bottom"/>
          </w:tcPr>
          <w:p w14:paraId="07DCED01" w14:textId="77777777" w:rsidR="00AE727E" w:rsidRDefault="00AE727E">
            <w:pPr>
              <w:rPr>
                <w:rFonts w:ascii="宋体"/>
                <w:vanish/>
              </w:rPr>
            </w:pPr>
          </w:p>
        </w:tc>
        <w:tc>
          <w:tcPr>
            <w:tcW w:w="0" w:type="auto"/>
            <w:gridSpan w:val="3"/>
            <w:shd w:val="clear" w:color="auto" w:fill="auto"/>
            <w:vAlign w:val="bottom"/>
          </w:tcPr>
          <w:p w14:paraId="07DCED02" w14:textId="77777777" w:rsidR="00AE727E" w:rsidRDefault="00AE727E">
            <w:pPr>
              <w:rPr>
                <w:rFonts w:ascii="宋体"/>
                <w:vanish/>
              </w:rPr>
            </w:pPr>
          </w:p>
        </w:tc>
      </w:tr>
      <w:tr w:rsidR="00AE727E" w14:paraId="07DCED0A" w14:textId="77777777">
        <w:trPr>
          <w:jc w:val="center"/>
        </w:trPr>
        <w:tc>
          <w:tcPr>
            <w:tcW w:w="0" w:type="auto"/>
            <w:gridSpan w:val="3"/>
            <w:shd w:val="clear" w:color="auto" w:fill="CCEEFF"/>
            <w:tcMar>
              <w:top w:w="40" w:type="dxa"/>
              <w:left w:w="515" w:type="dxa"/>
              <w:bottom w:w="40" w:type="dxa"/>
              <w:right w:w="20" w:type="dxa"/>
            </w:tcMar>
            <w:vAlign w:val="center"/>
          </w:tcPr>
          <w:p w14:paraId="07DCED04" w14:textId="77777777" w:rsidR="00AE727E" w:rsidRDefault="008433E0">
            <w:pPr>
              <w:textAlignment w:val="center"/>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center"/>
          </w:tcPr>
          <w:p w14:paraId="07DCED0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ED06" w14:textId="77777777" w:rsidR="00AE727E" w:rsidRDefault="008433E0">
            <w:pPr>
              <w:jc w:val="right"/>
              <w:textAlignment w:val="center"/>
            </w:pPr>
            <w:r>
              <w:rPr>
                <w:rFonts w:ascii="Times New Roman" w:eastAsia="宋体" w:hAnsi="Times New Roman"/>
                <w:color w:val="000000"/>
                <w:sz w:val="20"/>
                <w:szCs w:val="20"/>
              </w:rPr>
              <w:t>2,096 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ED07" w14:textId="77777777" w:rsidR="00AE727E" w:rsidRDefault="00AE727E">
            <w:pPr>
              <w:jc w:val="right"/>
              <w:rPr>
                <w:rFonts w:ascii="宋体"/>
              </w:rPr>
            </w:pPr>
          </w:p>
        </w:tc>
        <w:tc>
          <w:tcPr>
            <w:tcW w:w="0" w:type="auto"/>
            <w:gridSpan w:val="3"/>
            <w:shd w:val="clear" w:color="auto" w:fill="auto"/>
            <w:vAlign w:val="bottom"/>
          </w:tcPr>
          <w:p w14:paraId="07DCED08" w14:textId="77777777" w:rsidR="00AE727E" w:rsidRDefault="00AE727E">
            <w:pPr>
              <w:rPr>
                <w:rFonts w:ascii="宋体"/>
                <w:vanish/>
              </w:rPr>
            </w:pPr>
          </w:p>
        </w:tc>
        <w:tc>
          <w:tcPr>
            <w:tcW w:w="0" w:type="auto"/>
            <w:gridSpan w:val="3"/>
            <w:shd w:val="clear" w:color="auto" w:fill="auto"/>
            <w:vAlign w:val="bottom"/>
          </w:tcPr>
          <w:p w14:paraId="07DCED09" w14:textId="77777777" w:rsidR="00AE727E" w:rsidRDefault="00AE727E">
            <w:pPr>
              <w:rPr>
                <w:rFonts w:ascii="宋体"/>
                <w:vanish/>
              </w:rPr>
            </w:pPr>
          </w:p>
        </w:tc>
      </w:tr>
      <w:tr w:rsidR="00AE727E" w14:paraId="07DCED11" w14:textId="77777777">
        <w:trPr>
          <w:jc w:val="center"/>
        </w:trPr>
        <w:tc>
          <w:tcPr>
            <w:tcW w:w="0" w:type="auto"/>
            <w:gridSpan w:val="3"/>
            <w:shd w:val="clear" w:color="auto" w:fill="FFFFFF"/>
            <w:tcMar>
              <w:top w:w="40" w:type="dxa"/>
              <w:left w:w="605" w:type="dxa"/>
              <w:bottom w:w="40" w:type="dxa"/>
              <w:right w:w="20" w:type="dxa"/>
            </w:tcMar>
            <w:vAlign w:val="center"/>
          </w:tcPr>
          <w:p w14:paraId="07DCED0B" w14:textId="77777777" w:rsidR="00AE727E" w:rsidRDefault="008433E0">
            <w:pPr>
              <w:textAlignment w:val="center"/>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center"/>
          </w:tcPr>
          <w:p w14:paraId="07DCED0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07DCED0D" w14:textId="77777777" w:rsidR="00AE727E" w:rsidRDefault="008433E0">
            <w:pPr>
              <w:jc w:val="right"/>
              <w:textAlignment w:val="center"/>
            </w:pPr>
            <w:r>
              <w:rPr>
                <w:rFonts w:ascii="Times New Roman" w:eastAsia="宋体" w:hAnsi="Times New Roman"/>
                <w:color w:val="000000"/>
                <w:sz w:val="20"/>
                <w:szCs w:val="20"/>
              </w:rPr>
              <w:t>439 </w:t>
            </w:r>
          </w:p>
        </w:tc>
        <w:tc>
          <w:tcPr>
            <w:tcW w:w="0" w:type="auto"/>
            <w:tcBorders>
              <w:top w:val="double" w:sz="6" w:space="0" w:color="000000"/>
            </w:tcBorders>
            <w:shd w:val="clear" w:color="auto" w:fill="FFFFFF"/>
            <w:tcMar>
              <w:top w:w="40" w:type="dxa"/>
              <w:left w:w="0" w:type="dxa"/>
              <w:bottom w:w="40" w:type="dxa"/>
              <w:right w:w="20" w:type="dxa"/>
            </w:tcMar>
            <w:vAlign w:val="center"/>
          </w:tcPr>
          <w:p w14:paraId="07DCED0E" w14:textId="77777777" w:rsidR="00AE727E" w:rsidRDefault="00AE727E">
            <w:pPr>
              <w:jc w:val="right"/>
              <w:rPr>
                <w:rFonts w:ascii="宋体"/>
              </w:rPr>
            </w:pPr>
          </w:p>
        </w:tc>
        <w:tc>
          <w:tcPr>
            <w:tcW w:w="0" w:type="auto"/>
            <w:gridSpan w:val="3"/>
            <w:shd w:val="clear" w:color="auto" w:fill="auto"/>
            <w:vAlign w:val="bottom"/>
          </w:tcPr>
          <w:p w14:paraId="07DCED0F" w14:textId="77777777" w:rsidR="00AE727E" w:rsidRDefault="00AE727E">
            <w:pPr>
              <w:rPr>
                <w:rFonts w:ascii="宋体"/>
                <w:vanish/>
              </w:rPr>
            </w:pPr>
          </w:p>
        </w:tc>
        <w:tc>
          <w:tcPr>
            <w:tcW w:w="0" w:type="auto"/>
            <w:gridSpan w:val="3"/>
            <w:shd w:val="clear" w:color="auto" w:fill="auto"/>
            <w:vAlign w:val="bottom"/>
          </w:tcPr>
          <w:p w14:paraId="07DCED10" w14:textId="77777777" w:rsidR="00AE727E" w:rsidRDefault="00AE727E">
            <w:pPr>
              <w:rPr>
                <w:rFonts w:ascii="宋体"/>
                <w:vanish/>
              </w:rPr>
            </w:pPr>
          </w:p>
        </w:tc>
      </w:tr>
      <w:tr w:rsidR="00AE727E" w14:paraId="07DCED18" w14:textId="77777777">
        <w:trPr>
          <w:jc w:val="center"/>
        </w:trPr>
        <w:tc>
          <w:tcPr>
            <w:tcW w:w="0" w:type="auto"/>
            <w:gridSpan w:val="3"/>
            <w:shd w:val="clear" w:color="auto" w:fill="CCEEFF"/>
            <w:tcMar>
              <w:top w:w="40" w:type="dxa"/>
              <w:left w:w="605" w:type="dxa"/>
              <w:bottom w:w="40" w:type="dxa"/>
              <w:right w:w="20" w:type="dxa"/>
            </w:tcMar>
            <w:vAlign w:val="center"/>
          </w:tcPr>
          <w:p w14:paraId="07DCED12" w14:textId="77777777" w:rsidR="00AE727E" w:rsidRDefault="008433E0">
            <w:pPr>
              <w:textAlignment w:val="center"/>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center"/>
          </w:tcPr>
          <w:p w14:paraId="07DCED1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D14" w14:textId="77777777" w:rsidR="00AE727E" w:rsidRDefault="008433E0">
            <w:pPr>
              <w:jc w:val="right"/>
              <w:textAlignment w:val="center"/>
            </w:pPr>
            <w:r>
              <w:rPr>
                <w:rFonts w:ascii="Times New Roman" w:eastAsia="宋体" w:hAnsi="Times New Roman"/>
                <w:color w:val="000000"/>
                <w:sz w:val="20"/>
                <w:szCs w:val="20"/>
              </w:rPr>
              <w:t>1,657 </w:t>
            </w:r>
          </w:p>
        </w:tc>
        <w:tc>
          <w:tcPr>
            <w:tcW w:w="0" w:type="auto"/>
            <w:shd w:val="clear" w:color="auto" w:fill="CCEEFF"/>
            <w:tcMar>
              <w:top w:w="40" w:type="dxa"/>
              <w:left w:w="0" w:type="dxa"/>
              <w:bottom w:w="40" w:type="dxa"/>
              <w:right w:w="20" w:type="dxa"/>
            </w:tcMar>
            <w:vAlign w:val="center"/>
          </w:tcPr>
          <w:p w14:paraId="07DCED15" w14:textId="77777777" w:rsidR="00AE727E" w:rsidRDefault="00AE727E">
            <w:pPr>
              <w:jc w:val="right"/>
              <w:rPr>
                <w:rFonts w:ascii="宋体"/>
              </w:rPr>
            </w:pPr>
          </w:p>
        </w:tc>
        <w:tc>
          <w:tcPr>
            <w:tcW w:w="0" w:type="auto"/>
            <w:gridSpan w:val="3"/>
            <w:shd w:val="clear" w:color="auto" w:fill="auto"/>
            <w:vAlign w:val="bottom"/>
          </w:tcPr>
          <w:p w14:paraId="07DCED16" w14:textId="77777777" w:rsidR="00AE727E" w:rsidRDefault="00AE727E">
            <w:pPr>
              <w:rPr>
                <w:rFonts w:ascii="宋体"/>
                <w:vanish/>
              </w:rPr>
            </w:pPr>
          </w:p>
        </w:tc>
        <w:tc>
          <w:tcPr>
            <w:tcW w:w="0" w:type="auto"/>
            <w:gridSpan w:val="3"/>
            <w:shd w:val="clear" w:color="auto" w:fill="auto"/>
            <w:vAlign w:val="bottom"/>
          </w:tcPr>
          <w:p w14:paraId="07DCED17" w14:textId="77777777" w:rsidR="00AE727E" w:rsidRDefault="00AE727E">
            <w:pPr>
              <w:rPr>
                <w:rFonts w:ascii="宋体"/>
                <w:vanish/>
              </w:rPr>
            </w:pPr>
          </w:p>
        </w:tc>
      </w:tr>
    </w:tbl>
    <w:p w14:paraId="07DCED19" w14:textId="77777777" w:rsidR="00AE727E" w:rsidRDefault="00AE727E"/>
    <w:p w14:paraId="07DCED1A" w14:textId="77777777" w:rsidR="00AE727E" w:rsidRDefault="008433E0">
      <w:r>
        <w:rPr>
          <w:rFonts w:ascii="Times New Roman" w:eastAsia="宋体" w:hAnsi="Times New Roman"/>
          <w:color w:val="000000"/>
          <w:sz w:val="20"/>
          <w:szCs w:val="20"/>
        </w:rPr>
        <w:t xml:space="preserve">Future lease commitments after Fiscal 2026 include the ground lease on VMware, Inc.’s Palo Alto, California headquarters facilities, which expires in Fiscal 2047. </w:t>
      </w:r>
    </w:p>
    <w:p w14:paraId="07DCED1B" w14:textId="77777777" w:rsidR="00AE727E" w:rsidRDefault="00AE727E"/>
    <w:p w14:paraId="07DCED1C" w14:textId="77777777" w:rsidR="00AE727E" w:rsidRDefault="008433E0">
      <w:r>
        <w:rPr>
          <w:rFonts w:ascii="Times New Roman" w:eastAsia="宋体" w:hAnsi="Times New Roman"/>
          <w:color w:val="000000"/>
          <w:sz w:val="20"/>
          <w:szCs w:val="20"/>
        </w:rPr>
        <w:t>As of October 29, 2021, the Company has additional operating leases that have not yet comme</w:t>
      </w:r>
      <w:r>
        <w:rPr>
          <w:rFonts w:ascii="Times New Roman" w:eastAsia="宋体" w:hAnsi="Times New Roman"/>
          <w:color w:val="000000"/>
          <w:sz w:val="20"/>
          <w:szCs w:val="20"/>
        </w:rPr>
        <w:t>nced representing $64 million of undiscounted lease liabilities. These operating leases will commence in the remaining three months of Fiscal 2022 or Fiscal 2023 with lease terms of one year to 10 years.</w:t>
      </w:r>
    </w:p>
    <w:p w14:paraId="07DCED1D" w14:textId="77777777" w:rsidR="00AE727E" w:rsidRDefault="00AE727E"/>
    <w:p w14:paraId="07DCED1E" w14:textId="77777777" w:rsidR="00AE727E" w:rsidRDefault="00AE727E">
      <w:pPr>
        <w:jc w:val="center"/>
      </w:pPr>
    </w:p>
    <w:p w14:paraId="07DCED1F" w14:textId="77777777" w:rsidR="00AE727E" w:rsidRDefault="008433E0">
      <w:pPr>
        <w:jc w:val="center"/>
      </w:pPr>
      <w:r>
        <w:rPr>
          <w:rFonts w:ascii="Times New Roman" w:eastAsia="宋体" w:hAnsi="Times New Roman"/>
          <w:color w:val="000000"/>
          <w:sz w:val="20"/>
          <w:szCs w:val="20"/>
        </w:rPr>
        <w:t>27</w:t>
      </w:r>
    </w:p>
    <w:p w14:paraId="07DCED20" w14:textId="77777777" w:rsidR="00AE727E" w:rsidRDefault="00AE727E">
      <w:pPr>
        <w:jc w:val="center"/>
      </w:pPr>
    </w:p>
    <w:p w14:paraId="07DCED21" w14:textId="77777777" w:rsidR="00AE727E" w:rsidRDefault="008433E0">
      <w:r>
        <w:pict w14:anchorId="07DD18EB">
          <v:rect id="_x0000_i1051" style="width:415.3pt;height:1.5pt" o:hralign="center" o:hrstd="t" o:hr="t" fillcolor="#a0a0a0" stroked="f"/>
        </w:pict>
      </w:r>
    </w:p>
    <w:p w14:paraId="07DCED22" w14:textId="77777777" w:rsidR="00AE727E" w:rsidRDefault="008433E0">
      <w:hyperlink r:id="rId152" w:anchor="i1c8279be622a460ea19600488436f115_10" w:history="1">
        <w:r>
          <w:rPr>
            <w:rStyle w:val="a5"/>
            <w:rFonts w:ascii="Times New Roman" w:eastAsia="宋体" w:hAnsi="Times New Roman"/>
            <w:sz w:val="20"/>
            <w:szCs w:val="20"/>
          </w:rPr>
          <w:t>Table of Contents</w:t>
        </w:r>
      </w:hyperlink>
    </w:p>
    <w:p w14:paraId="07DCED23"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D24"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D25"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D26" w14:textId="77777777" w:rsidR="00AE727E" w:rsidRDefault="00AE727E">
      <w:pPr>
        <w:jc w:val="center"/>
      </w:pPr>
    </w:p>
    <w:p w14:paraId="07DCED27" w14:textId="77777777" w:rsidR="00AE727E" w:rsidRDefault="008433E0">
      <w:pPr>
        <w:spacing w:after="120"/>
      </w:pPr>
      <w:r>
        <w:rPr>
          <w:rFonts w:ascii="Times New Roman" w:eastAsia="宋体" w:hAnsi="Times New Roman"/>
          <w:b/>
          <w:bCs/>
          <w:color w:val="000000"/>
          <w:sz w:val="20"/>
          <w:szCs w:val="20"/>
        </w:rPr>
        <w:t xml:space="preserve">NOTE 5 — DEBT </w:t>
      </w:r>
    </w:p>
    <w:p w14:paraId="07DCED28" w14:textId="77777777" w:rsidR="00AE727E" w:rsidRDefault="008433E0">
      <w:pPr>
        <w:spacing w:after="60"/>
      </w:pPr>
      <w:r>
        <w:rPr>
          <w:rFonts w:ascii="Times New Roman" w:eastAsia="宋体" w:hAnsi="Times New Roman"/>
          <w:color w:val="000000"/>
          <w:sz w:val="20"/>
          <w:szCs w:val="20"/>
        </w:rPr>
        <w:t>The following table presents the Company’s outstanding debt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5"/>
        <w:gridCol w:w="36"/>
        <w:gridCol w:w="36"/>
        <w:gridCol w:w="36"/>
        <w:gridCol w:w="36"/>
        <w:gridCol w:w="120"/>
        <w:gridCol w:w="1475"/>
        <w:gridCol w:w="36"/>
      </w:tblGrid>
      <w:tr w:rsidR="00AE727E" w14:paraId="07DCED35" w14:textId="77777777">
        <w:tc>
          <w:tcPr>
            <w:tcW w:w="50" w:type="pct"/>
            <w:shd w:val="clear" w:color="auto" w:fill="auto"/>
            <w:vAlign w:val="bottom"/>
          </w:tcPr>
          <w:p w14:paraId="07DCED29" w14:textId="77777777" w:rsidR="00AE727E" w:rsidRDefault="00AE727E">
            <w:pPr>
              <w:rPr>
                <w:rFonts w:ascii="宋体"/>
              </w:rPr>
            </w:pPr>
          </w:p>
        </w:tc>
        <w:tc>
          <w:tcPr>
            <w:tcW w:w="2971" w:type="pct"/>
            <w:shd w:val="clear" w:color="auto" w:fill="auto"/>
            <w:vAlign w:val="bottom"/>
          </w:tcPr>
          <w:p w14:paraId="07DCED2A" w14:textId="77777777" w:rsidR="00AE727E" w:rsidRDefault="00AE727E">
            <w:pPr>
              <w:rPr>
                <w:rFonts w:ascii="宋体"/>
              </w:rPr>
            </w:pPr>
          </w:p>
        </w:tc>
        <w:tc>
          <w:tcPr>
            <w:tcW w:w="5" w:type="pct"/>
            <w:shd w:val="clear" w:color="auto" w:fill="auto"/>
            <w:vAlign w:val="bottom"/>
          </w:tcPr>
          <w:p w14:paraId="07DCED2B" w14:textId="77777777" w:rsidR="00AE727E" w:rsidRDefault="00AE727E">
            <w:pPr>
              <w:rPr>
                <w:rFonts w:ascii="宋体"/>
              </w:rPr>
            </w:pPr>
          </w:p>
        </w:tc>
        <w:tc>
          <w:tcPr>
            <w:tcW w:w="50" w:type="pct"/>
            <w:shd w:val="clear" w:color="auto" w:fill="auto"/>
            <w:vAlign w:val="bottom"/>
          </w:tcPr>
          <w:p w14:paraId="07DCED2C" w14:textId="77777777" w:rsidR="00AE727E" w:rsidRDefault="00AE727E">
            <w:pPr>
              <w:rPr>
                <w:rFonts w:ascii="宋体"/>
              </w:rPr>
            </w:pPr>
          </w:p>
        </w:tc>
        <w:tc>
          <w:tcPr>
            <w:tcW w:w="917" w:type="pct"/>
            <w:shd w:val="clear" w:color="auto" w:fill="auto"/>
            <w:vAlign w:val="bottom"/>
          </w:tcPr>
          <w:p w14:paraId="07DCED2D" w14:textId="77777777" w:rsidR="00AE727E" w:rsidRDefault="00AE727E">
            <w:pPr>
              <w:rPr>
                <w:rFonts w:ascii="宋体"/>
              </w:rPr>
            </w:pPr>
          </w:p>
        </w:tc>
        <w:tc>
          <w:tcPr>
            <w:tcW w:w="5" w:type="pct"/>
            <w:shd w:val="clear" w:color="auto" w:fill="auto"/>
            <w:vAlign w:val="bottom"/>
          </w:tcPr>
          <w:p w14:paraId="07DCED2E" w14:textId="77777777" w:rsidR="00AE727E" w:rsidRDefault="00AE727E">
            <w:pPr>
              <w:rPr>
                <w:rFonts w:ascii="宋体"/>
              </w:rPr>
            </w:pPr>
          </w:p>
        </w:tc>
        <w:tc>
          <w:tcPr>
            <w:tcW w:w="5" w:type="pct"/>
            <w:shd w:val="clear" w:color="auto" w:fill="auto"/>
            <w:vAlign w:val="bottom"/>
          </w:tcPr>
          <w:p w14:paraId="07DCED2F" w14:textId="77777777" w:rsidR="00AE727E" w:rsidRDefault="00AE727E">
            <w:pPr>
              <w:rPr>
                <w:rFonts w:ascii="宋体"/>
              </w:rPr>
            </w:pPr>
          </w:p>
        </w:tc>
        <w:tc>
          <w:tcPr>
            <w:tcW w:w="19" w:type="pct"/>
            <w:shd w:val="clear" w:color="auto" w:fill="auto"/>
            <w:vAlign w:val="bottom"/>
          </w:tcPr>
          <w:p w14:paraId="07DCED30" w14:textId="77777777" w:rsidR="00AE727E" w:rsidRDefault="00AE727E">
            <w:pPr>
              <w:rPr>
                <w:rFonts w:ascii="宋体"/>
              </w:rPr>
            </w:pPr>
          </w:p>
        </w:tc>
        <w:tc>
          <w:tcPr>
            <w:tcW w:w="5" w:type="pct"/>
            <w:shd w:val="clear" w:color="auto" w:fill="auto"/>
            <w:vAlign w:val="bottom"/>
          </w:tcPr>
          <w:p w14:paraId="07DCED31" w14:textId="77777777" w:rsidR="00AE727E" w:rsidRDefault="00AE727E">
            <w:pPr>
              <w:rPr>
                <w:rFonts w:ascii="宋体"/>
              </w:rPr>
            </w:pPr>
          </w:p>
        </w:tc>
        <w:tc>
          <w:tcPr>
            <w:tcW w:w="50" w:type="pct"/>
            <w:shd w:val="clear" w:color="auto" w:fill="auto"/>
            <w:vAlign w:val="bottom"/>
          </w:tcPr>
          <w:p w14:paraId="07DCED32" w14:textId="77777777" w:rsidR="00AE727E" w:rsidRDefault="00AE727E">
            <w:pPr>
              <w:rPr>
                <w:rFonts w:ascii="宋体"/>
              </w:rPr>
            </w:pPr>
          </w:p>
        </w:tc>
        <w:tc>
          <w:tcPr>
            <w:tcW w:w="917" w:type="pct"/>
            <w:shd w:val="clear" w:color="auto" w:fill="auto"/>
            <w:vAlign w:val="bottom"/>
          </w:tcPr>
          <w:p w14:paraId="07DCED33" w14:textId="77777777" w:rsidR="00AE727E" w:rsidRDefault="00AE727E">
            <w:pPr>
              <w:rPr>
                <w:rFonts w:ascii="宋体"/>
              </w:rPr>
            </w:pPr>
          </w:p>
        </w:tc>
        <w:tc>
          <w:tcPr>
            <w:tcW w:w="5" w:type="pct"/>
            <w:shd w:val="clear" w:color="auto" w:fill="auto"/>
            <w:vAlign w:val="bottom"/>
          </w:tcPr>
          <w:p w14:paraId="07DCED34" w14:textId="77777777" w:rsidR="00AE727E" w:rsidRDefault="00AE727E">
            <w:pPr>
              <w:rPr>
                <w:rFonts w:ascii="宋体"/>
              </w:rPr>
            </w:pPr>
          </w:p>
        </w:tc>
      </w:tr>
      <w:tr w:rsidR="00AE727E" w14:paraId="07DCED3A" w14:textId="77777777">
        <w:tc>
          <w:tcPr>
            <w:tcW w:w="0" w:type="auto"/>
            <w:gridSpan w:val="3"/>
            <w:shd w:val="clear" w:color="auto" w:fill="auto"/>
            <w:tcMar>
              <w:top w:w="40" w:type="dxa"/>
              <w:left w:w="20" w:type="dxa"/>
              <w:bottom w:w="40" w:type="dxa"/>
              <w:right w:w="20" w:type="dxa"/>
            </w:tcMar>
            <w:vAlign w:val="bottom"/>
          </w:tcPr>
          <w:p w14:paraId="07DCED36"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DCED3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D38"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D39"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D3D" w14:textId="77777777">
        <w:tc>
          <w:tcPr>
            <w:tcW w:w="0" w:type="auto"/>
            <w:gridSpan w:val="3"/>
            <w:shd w:val="clear" w:color="auto" w:fill="auto"/>
            <w:tcMar>
              <w:top w:w="0" w:type="dxa"/>
              <w:left w:w="20" w:type="dxa"/>
              <w:bottom w:w="0" w:type="dxa"/>
              <w:right w:w="20" w:type="dxa"/>
            </w:tcMar>
            <w:vAlign w:val="bottom"/>
          </w:tcPr>
          <w:p w14:paraId="07DCED3B"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ED3C"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D42" w14:textId="77777777">
        <w:tc>
          <w:tcPr>
            <w:tcW w:w="0" w:type="auto"/>
            <w:gridSpan w:val="3"/>
            <w:shd w:val="clear" w:color="auto" w:fill="CCEEFF"/>
            <w:tcMar>
              <w:top w:w="40" w:type="dxa"/>
              <w:left w:w="20" w:type="dxa"/>
              <w:bottom w:w="40" w:type="dxa"/>
              <w:right w:w="20" w:type="dxa"/>
            </w:tcMar>
            <w:vAlign w:val="bottom"/>
          </w:tcPr>
          <w:p w14:paraId="07DCED3E" w14:textId="77777777" w:rsidR="00AE727E" w:rsidRDefault="008433E0">
            <w:pPr>
              <w:textAlignment w:val="bottom"/>
            </w:pPr>
            <w:r>
              <w:rPr>
                <w:rFonts w:ascii="Times New Roman" w:eastAsia="宋体" w:hAnsi="Times New Roman"/>
                <w:b/>
                <w:bCs/>
                <w:color w:val="000000"/>
                <w:sz w:val="20"/>
                <w:szCs w:val="20"/>
              </w:rPr>
              <w:t xml:space="preserve">Secured Debt </w:t>
            </w:r>
          </w:p>
        </w:tc>
        <w:tc>
          <w:tcPr>
            <w:tcW w:w="0" w:type="auto"/>
            <w:gridSpan w:val="3"/>
            <w:shd w:val="clear" w:color="auto" w:fill="CCEEFF"/>
            <w:tcMar>
              <w:top w:w="0" w:type="dxa"/>
              <w:left w:w="20" w:type="dxa"/>
              <w:bottom w:w="0" w:type="dxa"/>
              <w:right w:w="20" w:type="dxa"/>
            </w:tcMar>
            <w:vAlign w:val="bottom"/>
          </w:tcPr>
          <w:p w14:paraId="07DCED3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4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41" w14:textId="77777777" w:rsidR="00AE727E" w:rsidRDefault="00AE727E">
            <w:pPr>
              <w:rPr>
                <w:rFonts w:ascii="宋体"/>
              </w:rPr>
            </w:pPr>
          </w:p>
        </w:tc>
      </w:tr>
      <w:tr w:rsidR="00AE727E" w14:paraId="07DCED47" w14:textId="77777777">
        <w:tc>
          <w:tcPr>
            <w:tcW w:w="0" w:type="auto"/>
            <w:gridSpan w:val="3"/>
            <w:shd w:val="clear" w:color="auto" w:fill="FFFFFF"/>
            <w:tcMar>
              <w:top w:w="40" w:type="dxa"/>
              <w:left w:w="155" w:type="dxa"/>
              <w:bottom w:w="40" w:type="dxa"/>
              <w:right w:w="20" w:type="dxa"/>
            </w:tcMar>
            <w:vAlign w:val="bottom"/>
          </w:tcPr>
          <w:p w14:paraId="07DCED43" w14:textId="77777777" w:rsidR="00AE727E" w:rsidRDefault="008433E0">
            <w:pPr>
              <w:textAlignment w:val="bottom"/>
            </w:pPr>
            <w:r>
              <w:rPr>
                <w:rFonts w:ascii="Times New Roman" w:eastAsia="宋体" w:hAnsi="Times New Roman"/>
                <w:color w:val="000000"/>
                <w:sz w:val="20"/>
                <w:szCs w:val="20"/>
              </w:rPr>
              <w:t>Senior Secured Credit Facilities:</w:t>
            </w:r>
          </w:p>
        </w:tc>
        <w:tc>
          <w:tcPr>
            <w:tcW w:w="0" w:type="auto"/>
            <w:gridSpan w:val="3"/>
            <w:shd w:val="clear" w:color="auto" w:fill="FFFFFF"/>
            <w:tcMar>
              <w:top w:w="0" w:type="dxa"/>
              <w:left w:w="20" w:type="dxa"/>
              <w:bottom w:w="0" w:type="dxa"/>
              <w:right w:w="20" w:type="dxa"/>
            </w:tcMar>
            <w:vAlign w:val="bottom"/>
          </w:tcPr>
          <w:p w14:paraId="07DCED4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4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46" w14:textId="77777777" w:rsidR="00AE727E" w:rsidRDefault="00AE727E">
            <w:pPr>
              <w:rPr>
                <w:rFonts w:ascii="宋体"/>
              </w:rPr>
            </w:pPr>
          </w:p>
        </w:tc>
      </w:tr>
      <w:tr w:rsidR="00AE727E" w14:paraId="07DCED50" w14:textId="77777777">
        <w:tc>
          <w:tcPr>
            <w:tcW w:w="0" w:type="auto"/>
            <w:gridSpan w:val="3"/>
            <w:shd w:val="clear" w:color="auto" w:fill="CCEEFF"/>
            <w:tcMar>
              <w:top w:w="40" w:type="dxa"/>
              <w:left w:w="20" w:type="dxa"/>
              <w:bottom w:w="40" w:type="dxa"/>
              <w:right w:w="20" w:type="dxa"/>
            </w:tcMar>
            <w:vAlign w:val="bottom"/>
          </w:tcPr>
          <w:p w14:paraId="07DCED48" w14:textId="77777777" w:rsidR="00AE727E" w:rsidRDefault="008433E0">
            <w:pPr>
              <w:textAlignment w:val="bottom"/>
            </w:pPr>
            <w:r>
              <w:rPr>
                <w:rFonts w:ascii="Times New Roman" w:eastAsia="宋体" w:hAnsi="Times New Roman"/>
                <w:color w:val="000000"/>
                <w:sz w:val="20"/>
                <w:szCs w:val="20"/>
              </w:rPr>
              <w:t xml:space="preserve">2.00% </w:t>
            </w:r>
            <w:r>
              <w:rPr>
                <w:rFonts w:ascii="Times New Roman" w:eastAsia="宋体" w:hAnsi="Times New Roman"/>
                <w:color w:val="000000"/>
                <w:sz w:val="20"/>
                <w:szCs w:val="20"/>
              </w:rPr>
              <w:t>Term Loan B-2 Facility due September 2025 (a)</w:t>
            </w:r>
          </w:p>
        </w:tc>
        <w:tc>
          <w:tcPr>
            <w:tcW w:w="0" w:type="auto"/>
            <w:shd w:val="clear" w:color="auto" w:fill="CCEEFF"/>
            <w:tcMar>
              <w:top w:w="40" w:type="dxa"/>
              <w:left w:w="20" w:type="dxa"/>
              <w:bottom w:w="40" w:type="dxa"/>
              <w:right w:w="0" w:type="dxa"/>
            </w:tcMar>
            <w:vAlign w:val="bottom"/>
          </w:tcPr>
          <w:p w14:paraId="07DCED4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D4A" w14:textId="77777777" w:rsidR="00AE727E" w:rsidRDefault="008433E0">
            <w:pPr>
              <w:jc w:val="right"/>
              <w:textAlignment w:val="bottom"/>
            </w:pPr>
            <w:r>
              <w:rPr>
                <w:rFonts w:ascii="Times New Roman" w:eastAsia="宋体" w:hAnsi="Times New Roman"/>
                <w:color w:val="000000"/>
                <w:sz w:val="20"/>
                <w:szCs w:val="20"/>
              </w:rPr>
              <w:t>3,120 </w:t>
            </w:r>
          </w:p>
        </w:tc>
        <w:tc>
          <w:tcPr>
            <w:tcW w:w="0" w:type="auto"/>
            <w:shd w:val="clear" w:color="auto" w:fill="CCEEFF"/>
            <w:tcMar>
              <w:top w:w="40" w:type="dxa"/>
              <w:left w:w="0" w:type="dxa"/>
              <w:bottom w:w="40" w:type="dxa"/>
              <w:right w:w="20" w:type="dxa"/>
            </w:tcMar>
            <w:vAlign w:val="bottom"/>
          </w:tcPr>
          <w:p w14:paraId="07DCED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4C"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D4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D4E" w14:textId="77777777" w:rsidR="00AE727E" w:rsidRDefault="008433E0">
            <w:pPr>
              <w:jc w:val="right"/>
              <w:textAlignment w:val="bottom"/>
            </w:pPr>
            <w:r>
              <w:rPr>
                <w:rFonts w:ascii="Times New Roman" w:eastAsia="宋体" w:hAnsi="Times New Roman"/>
                <w:color w:val="000000"/>
                <w:sz w:val="20"/>
                <w:szCs w:val="20"/>
              </w:rPr>
              <w:t>3,143 </w:t>
            </w:r>
          </w:p>
        </w:tc>
        <w:tc>
          <w:tcPr>
            <w:tcW w:w="0" w:type="auto"/>
            <w:shd w:val="clear" w:color="auto" w:fill="CCEEFF"/>
            <w:tcMar>
              <w:top w:w="40" w:type="dxa"/>
              <w:left w:w="0" w:type="dxa"/>
              <w:bottom w:w="40" w:type="dxa"/>
              <w:right w:w="20" w:type="dxa"/>
            </w:tcMar>
            <w:vAlign w:val="bottom"/>
          </w:tcPr>
          <w:p w14:paraId="07DCED4F" w14:textId="77777777" w:rsidR="00AE727E" w:rsidRDefault="00AE727E">
            <w:pPr>
              <w:jc w:val="right"/>
              <w:rPr>
                <w:rFonts w:ascii="宋体"/>
              </w:rPr>
            </w:pPr>
          </w:p>
        </w:tc>
      </w:tr>
      <w:tr w:rsidR="00AE727E" w14:paraId="07DCED57" w14:textId="77777777">
        <w:tc>
          <w:tcPr>
            <w:tcW w:w="0" w:type="auto"/>
            <w:gridSpan w:val="3"/>
            <w:shd w:val="clear" w:color="auto" w:fill="FFFFFF"/>
            <w:tcMar>
              <w:top w:w="40" w:type="dxa"/>
              <w:left w:w="20" w:type="dxa"/>
              <w:bottom w:w="40" w:type="dxa"/>
              <w:right w:w="20" w:type="dxa"/>
            </w:tcMar>
            <w:vAlign w:val="bottom"/>
          </w:tcPr>
          <w:p w14:paraId="07DCED51" w14:textId="77777777" w:rsidR="00AE727E" w:rsidRDefault="008433E0">
            <w:pPr>
              <w:textAlignment w:val="bottom"/>
            </w:pPr>
            <w:r>
              <w:rPr>
                <w:rFonts w:ascii="Times New Roman" w:eastAsia="宋体" w:hAnsi="Times New Roman"/>
                <w:color w:val="000000"/>
                <w:sz w:val="20"/>
                <w:szCs w:val="20"/>
              </w:rPr>
              <w:t>1.84% Term Loan A-6 Facility due March 2024 (a)</w:t>
            </w:r>
          </w:p>
        </w:tc>
        <w:tc>
          <w:tcPr>
            <w:tcW w:w="0" w:type="auto"/>
            <w:gridSpan w:val="2"/>
            <w:shd w:val="clear" w:color="auto" w:fill="FFFFFF"/>
            <w:tcMar>
              <w:top w:w="40" w:type="dxa"/>
              <w:left w:w="20" w:type="dxa"/>
              <w:bottom w:w="40" w:type="dxa"/>
              <w:right w:w="0" w:type="dxa"/>
            </w:tcMar>
            <w:vAlign w:val="bottom"/>
          </w:tcPr>
          <w:p w14:paraId="07DCED52" w14:textId="77777777" w:rsidR="00AE727E" w:rsidRDefault="008433E0">
            <w:pPr>
              <w:jc w:val="right"/>
              <w:textAlignment w:val="bottom"/>
            </w:pPr>
            <w:r>
              <w:rPr>
                <w:rFonts w:ascii="Times New Roman" w:eastAsia="宋体" w:hAnsi="Times New Roman"/>
                <w:color w:val="000000"/>
                <w:sz w:val="20"/>
                <w:szCs w:val="20"/>
              </w:rPr>
              <w:t>3,134 </w:t>
            </w:r>
          </w:p>
        </w:tc>
        <w:tc>
          <w:tcPr>
            <w:tcW w:w="0" w:type="auto"/>
            <w:shd w:val="clear" w:color="auto" w:fill="FFFFFF"/>
            <w:tcMar>
              <w:top w:w="40" w:type="dxa"/>
              <w:left w:w="0" w:type="dxa"/>
              <w:bottom w:w="40" w:type="dxa"/>
              <w:right w:w="20" w:type="dxa"/>
            </w:tcMar>
            <w:vAlign w:val="bottom"/>
          </w:tcPr>
          <w:p w14:paraId="07DCED5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5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55" w14:textId="77777777" w:rsidR="00AE727E" w:rsidRDefault="008433E0">
            <w:pPr>
              <w:jc w:val="right"/>
              <w:textAlignment w:val="bottom"/>
            </w:pPr>
            <w:r>
              <w:rPr>
                <w:rFonts w:ascii="Times New Roman" w:eastAsia="宋体" w:hAnsi="Times New Roman"/>
                <w:color w:val="000000"/>
                <w:sz w:val="20"/>
                <w:szCs w:val="20"/>
              </w:rPr>
              <w:t>3,134 </w:t>
            </w:r>
          </w:p>
        </w:tc>
        <w:tc>
          <w:tcPr>
            <w:tcW w:w="0" w:type="auto"/>
            <w:shd w:val="clear" w:color="auto" w:fill="FFFFFF"/>
            <w:tcMar>
              <w:top w:w="40" w:type="dxa"/>
              <w:left w:w="0" w:type="dxa"/>
              <w:bottom w:w="40" w:type="dxa"/>
              <w:right w:w="20" w:type="dxa"/>
            </w:tcMar>
            <w:vAlign w:val="bottom"/>
          </w:tcPr>
          <w:p w14:paraId="07DCED56" w14:textId="77777777" w:rsidR="00AE727E" w:rsidRDefault="00AE727E">
            <w:pPr>
              <w:jc w:val="right"/>
              <w:rPr>
                <w:rFonts w:ascii="宋体"/>
              </w:rPr>
            </w:pPr>
          </w:p>
        </w:tc>
      </w:tr>
      <w:tr w:rsidR="00AE727E" w14:paraId="07DCED5C" w14:textId="77777777">
        <w:tc>
          <w:tcPr>
            <w:tcW w:w="0" w:type="auto"/>
            <w:gridSpan w:val="3"/>
            <w:shd w:val="clear" w:color="auto" w:fill="CCEEFF"/>
            <w:tcMar>
              <w:top w:w="40" w:type="dxa"/>
              <w:left w:w="155" w:type="dxa"/>
              <w:bottom w:w="40" w:type="dxa"/>
              <w:right w:w="20" w:type="dxa"/>
            </w:tcMar>
            <w:vAlign w:val="bottom"/>
          </w:tcPr>
          <w:p w14:paraId="07DCED58" w14:textId="77777777" w:rsidR="00AE727E" w:rsidRDefault="008433E0">
            <w:pPr>
              <w:textAlignment w:val="bottom"/>
            </w:pPr>
            <w:r>
              <w:rPr>
                <w:rFonts w:ascii="Times New Roman" w:eastAsia="宋体" w:hAnsi="Times New Roman"/>
                <w:color w:val="000000"/>
                <w:sz w:val="20"/>
                <w:szCs w:val="20"/>
              </w:rPr>
              <w:t>First Lien Notes:</w:t>
            </w:r>
          </w:p>
        </w:tc>
        <w:tc>
          <w:tcPr>
            <w:tcW w:w="0" w:type="auto"/>
            <w:gridSpan w:val="3"/>
            <w:shd w:val="clear" w:color="auto" w:fill="CCEEFF"/>
            <w:tcMar>
              <w:top w:w="0" w:type="dxa"/>
              <w:left w:w="20" w:type="dxa"/>
              <w:bottom w:w="0" w:type="dxa"/>
              <w:right w:w="20" w:type="dxa"/>
            </w:tcMar>
            <w:vAlign w:val="bottom"/>
          </w:tcPr>
          <w:p w14:paraId="07DCED5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5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5B" w14:textId="77777777" w:rsidR="00AE727E" w:rsidRDefault="00AE727E">
            <w:pPr>
              <w:rPr>
                <w:rFonts w:ascii="宋体"/>
              </w:rPr>
            </w:pPr>
          </w:p>
        </w:tc>
      </w:tr>
      <w:tr w:rsidR="00AE727E" w14:paraId="07DCED63" w14:textId="77777777">
        <w:tc>
          <w:tcPr>
            <w:tcW w:w="0" w:type="auto"/>
            <w:gridSpan w:val="3"/>
            <w:shd w:val="clear" w:color="auto" w:fill="FFFFFF"/>
            <w:tcMar>
              <w:top w:w="40" w:type="dxa"/>
              <w:left w:w="20" w:type="dxa"/>
              <w:bottom w:w="40" w:type="dxa"/>
              <w:right w:w="20" w:type="dxa"/>
            </w:tcMar>
            <w:vAlign w:val="bottom"/>
          </w:tcPr>
          <w:p w14:paraId="07DCED5D" w14:textId="77777777" w:rsidR="00AE727E" w:rsidRDefault="008433E0">
            <w:pPr>
              <w:textAlignment w:val="bottom"/>
            </w:pPr>
            <w:r>
              <w:rPr>
                <w:rFonts w:ascii="Times New Roman" w:eastAsia="宋体" w:hAnsi="Times New Roman"/>
                <w:color w:val="000000"/>
                <w:sz w:val="20"/>
                <w:szCs w:val="20"/>
              </w:rPr>
              <w:t>5.45% due June 2023 (a)</w:t>
            </w:r>
          </w:p>
        </w:tc>
        <w:tc>
          <w:tcPr>
            <w:tcW w:w="0" w:type="auto"/>
            <w:gridSpan w:val="2"/>
            <w:shd w:val="clear" w:color="auto" w:fill="FFFFFF"/>
            <w:tcMar>
              <w:top w:w="40" w:type="dxa"/>
              <w:left w:w="20" w:type="dxa"/>
              <w:bottom w:w="40" w:type="dxa"/>
              <w:right w:w="0" w:type="dxa"/>
            </w:tcMar>
            <w:vAlign w:val="bottom"/>
          </w:tcPr>
          <w:p w14:paraId="07DCED5E" w14:textId="77777777" w:rsidR="00AE727E" w:rsidRDefault="008433E0">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07DCED5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6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61" w14:textId="77777777" w:rsidR="00AE727E" w:rsidRDefault="008433E0">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07DCED62" w14:textId="77777777" w:rsidR="00AE727E" w:rsidRDefault="00AE727E">
            <w:pPr>
              <w:jc w:val="right"/>
              <w:rPr>
                <w:rFonts w:ascii="宋体"/>
              </w:rPr>
            </w:pPr>
          </w:p>
        </w:tc>
      </w:tr>
      <w:tr w:rsidR="00AE727E" w14:paraId="07DCED6A" w14:textId="77777777">
        <w:tc>
          <w:tcPr>
            <w:tcW w:w="0" w:type="auto"/>
            <w:gridSpan w:val="3"/>
            <w:shd w:val="clear" w:color="auto" w:fill="CCEEFF"/>
            <w:tcMar>
              <w:top w:w="40" w:type="dxa"/>
              <w:left w:w="20" w:type="dxa"/>
              <w:bottom w:w="40" w:type="dxa"/>
              <w:right w:w="20" w:type="dxa"/>
            </w:tcMar>
            <w:vAlign w:val="bottom"/>
          </w:tcPr>
          <w:p w14:paraId="07DCED64" w14:textId="77777777" w:rsidR="00AE727E" w:rsidRDefault="008433E0">
            <w:pPr>
              <w:textAlignment w:val="bottom"/>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bottom"/>
          </w:tcPr>
          <w:p w14:paraId="07DCED65"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DCED6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6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68"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DCED69" w14:textId="77777777" w:rsidR="00AE727E" w:rsidRDefault="00AE727E">
            <w:pPr>
              <w:jc w:val="right"/>
              <w:rPr>
                <w:rFonts w:ascii="宋体"/>
              </w:rPr>
            </w:pPr>
          </w:p>
        </w:tc>
      </w:tr>
      <w:tr w:rsidR="00AE727E" w14:paraId="07DCED71" w14:textId="77777777">
        <w:tc>
          <w:tcPr>
            <w:tcW w:w="0" w:type="auto"/>
            <w:gridSpan w:val="3"/>
            <w:shd w:val="clear" w:color="auto" w:fill="FFFFFF"/>
            <w:tcMar>
              <w:top w:w="40" w:type="dxa"/>
              <w:left w:w="20" w:type="dxa"/>
              <w:bottom w:w="40" w:type="dxa"/>
              <w:right w:w="20" w:type="dxa"/>
            </w:tcMar>
            <w:vAlign w:val="bottom"/>
          </w:tcPr>
          <w:p w14:paraId="07DCED6B" w14:textId="77777777" w:rsidR="00AE727E" w:rsidRDefault="008433E0">
            <w:pPr>
              <w:textAlignment w:val="bottom"/>
            </w:pPr>
            <w:r>
              <w:rPr>
                <w:rFonts w:ascii="Times New Roman" w:eastAsia="宋体" w:hAnsi="Times New Roman"/>
                <w:color w:val="000000"/>
                <w:sz w:val="20"/>
                <w:szCs w:val="20"/>
              </w:rPr>
              <w:t xml:space="preserve">5.85% due July </w:t>
            </w: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7DCED6C"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DCED6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6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6F"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DCED70" w14:textId="77777777" w:rsidR="00AE727E" w:rsidRDefault="00AE727E">
            <w:pPr>
              <w:jc w:val="right"/>
              <w:rPr>
                <w:rFonts w:ascii="宋体"/>
              </w:rPr>
            </w:pPr>
          </w:p>
        </w:tc>
      </w:tr>
      <w:tr w:rsidR="00AE727E" w14:paraId="07DCED78" w14:textId="77777777">
        <w:tc>
          <w:tcPr>
            <w:tcW w:w="0" w:type="auto"/>
            <w:gridSpan w:val="3"/>
            <w:shd w:val="clear" w:color="auto" w:fill="CCEEFF"/>
            <w:tcMar>
              <w:top w:w="40" w:type="dxa"/>
              <w:left w:w="20" w:type="dxa"/>
              <w:bottom w:w="40" w:type="dxa"/>
              <w:right w:w="20" w:type="dxa"/>
            </w:tcMar>
            <w:vAlign w:val="bottom"/>
          </w:tcPr>
          <w:p w14:paraId="07DCED72" w14:textId="77777777" w:rsidR="00AE727E" w:rsidRDefault="008433E0">
            <w:pPr>
              <w:textAlignment w:val="bottom"/>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bottom"/>
          </w:tcPr>
          <w:p w14:paraId="07DCED73" w14:textId="77777777" w:rsidR="00AE727E" w:rsidRDefault="008433E0">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07DCED7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7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76" w14:textId="77777777" w:rsidR="00AE727E" w:rsidRDefault="008433E0">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07DCED77" w14:textId="77777777" w:rsidR="00AE727E" w:rsidRDefault="00AE727E">
            <w:pPr>
              <w:jc w:val="right"/>
              <w:rPr>
                <w:rFonts w:ascii="宋体"/>
              </w:rPr>
            </w:pPr>
          </w:p>
        </w:tc>
      </w:tr>
      <w:tr w:rsidR="00AE727E" w14:paraId="07DCED7F" w14:textId="77777777">
        <w:tc>
          <w:tcPr>
            <w:tcW w:w="0" w:type="auto"/>
            <w:gridSpan w:val="3"/>
            <w:shd w:val="clear" w:color="auto" w:fill="FFFFFF"/>
            <w:tcMar>
              <w:top w:w="40" w:type="dxa"/>
              <w:left w:w="20" w:type="dxa"/>
              <w:bottom w:w="40" w:type="dxa"/>
              <w:right w:w="20" w:type="dxa"/>
            </w:tcMar>
            <w:vAlign w:val="bottom"/>
          </w:tcPr>
          <w:p w14:paraId="07DCED79" w14:textId="77777777" w:rsidR="00AE727E" w:rsidRDefault="008433E0">
            <w:pPr>
              <w:textAlignment w:val="bottom"/>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bottom"/>
          </w:tcPr>
          <w:p w14:paraId="07DCED7A" w14:textId="77777777" w:rsidR="00AE727E" w:rsidRDefault="008433E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CED7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7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7D" w14:textId="77777777" w:rsidR="00AE727E" w:rsidRDefault="008433E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CED7E" w14:textId="77777777" w:rsidR="00AE727E" w:rsidRDefault="00AE727E">
            <w:pPr>
              <w:jc w:val="right"/>
              <w:rPr>
                <w:rFonts w:ascii="宋体"/>
              </w:rPr>
            </w:pPr>
          </w:p>
        </w:tc>
      </w:tr>
      <w:tr w:rsidR="00AE727E" w14:paraId="07DCED86" w14:textId="77777777">
        <w:tc>
          <w:tcPr>
            <w:tcW w:w="0" w:type="auto"/>
            <w:gridSpan w:val="3"/>
            <w:shd w:val="clear" w:color="auto" w:fill="CCEEFF"/>
            <w:tcMar>
              <w:top w:w="40" w:type="dxa"/>
              <w:left w:w="20" w:type="dxa"/>
              <w:bottom w:w="40" w:type="dxa"/>
              <w:right w:w="20" w:type="dxa"/>
            </w:tcMar>
            <w:vAlign w:val="bottom"/>
          </w:tcPr>
          <w:p w14:paraId="07DCED80" w14:textId="77777777" w:rsidR="00AE727E" w:rsidRDefault="008433E0">
            <w:pPr>
              <w:textAlignment w:val="bottom"/>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bottom"/>
          </w:tcPr>
          <w:p w14:paraId="07DCED81" w14:textId="77777777" w:rsidR="00AE727E" w:rsidRDefault="008433E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DCED8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8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84" w14:textId="77777777" w:rsidR="00AE727E" w:rsidRDefault="008433E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DCED85" w14:textId="77777777" w:rsidR="00AE727E" w:rsidRDefault="00AE727E">
            <w:pPr>
              <w:jc w:val="right"/>
              <w:rPr>
                <w:rFonts w:ascii="宋体"/>
              </w:rPr>
            </w:pPr>
          </w:p>
        </w:tc>
      </w:tr>
      <w:tr w:rsidR="00AE727E" w14:paraId="07DCED8D" w14:textId="77777777">
        <w:tc>
          <w:tcPr>
            <w:tcW w:w="0" w:type="auto"/>
            <w:gridSpan w:val="3"/>
            <w:shd w:val="clear" w:color="auto" w:fill="FFFFFF"/>
            <w:tcMar>
              <w:top w:w="40" w:type="dxa"/>
              <w:left w:w="20" w:type="dxa"/>
              <w:bottom w:w="40" w:type="dxa"/>
              <w:right w:w="20" w:type="dxa"/>
            </w:tcMar>
            <w:vAlign w:val="bottom"/>
          </w:tcPr>
          <w:p w14:paraId="07DCED87" w14:textId="77777777" w:rsidR="00AE727E" w:rsidRDefault="008433E0">
            <w:pPr>
              <w:textAlignment w:val="bottom"/>
            </w:pPr>
            <w:r>
              <w:rPr>
                <w:rFonts w:ascii="Times New Roman" w:eastAsia="宋体" w:hAnsi="Times New Roman"/>
                <w:color w:val="000000"/>
                <w:sz w:val="20"/>
                <w:szCs w:val="20"/>
              </w:rPr>
              <w:t>5.30% due October 2029</w:t>
            </w:r>
          </w:p>
        </w:tc>
        <w:tc>
          <w:tcPr>
            <w:tcW w:w="0" w:type="auto"/>
            <w:gridSpan w:val="2"/>
            <w:shd w:val="clear" w:color="auto" w:fill="FFFFFF"/>
            <w:tcMar>
              <w:top w:w="40" w:type="dxa"/>
              <w:left w:w="20" w:type="dxa"/>
              <w:bottom w:w="40" w:type="dxa"/>
              <w:right w:w="0" w:type="dxa"/>
            </w:tcMar>
            <w:vAlign w:val="bottom"/>
          </w:tcPr>
          <w:p w14:paraId="07DCED88" w14:textId="77777777" w:rsidR="00AE727E" w:rsidRDefault="008433E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CED8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8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8B" w14:textId="77777777" w:rsidR="00AE727E" w:rsidRDefault="008433E0">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CED8C" w14:textId="77777777" w:rsidR="00AE727E" w:rsidRDefault="00AE727E">
            <w:pPr>
              <w:jc w:val="right"/>
              <w:rPr>
                <w:rFonts w:ascii="宋体"/>
              </w:rPr>
            </w:pPr>
          </w:p>
        </w:tc>
      </w:tr>
      <w:tr w:rsidR="00AE727E" w14:paraId="07DCED94" w14:textId="77777777">
        <w:tc>
          <w:tcPr>
            <w:tcW w:w="0" w:type="auto"/>
            <w:gridSpan w:val="3"/>
            <w:shd w:val="clear" w:color="auto" w:fill="CCEEFF"/>
            <w:tcMar>
              <w:top w:w="40" w:type="dxa"/>
              <w:left w:w="20" w:type="dxa"/>
              <w:bottom w:w="40" w:type="dxa"/>
              <w:right w:w="20" w:type="dxa"/>
            </w:tcMar>
            <w:vAlign w:val="bottom"/>
          </w:tcPr>
          <w:p w14:paraId="07DCED8E" w14:textId="77777777" w:rsidR="00AE727E" w:rsidRDefault="008433E0">
            <w:pPr>
              <w:textAlignment w:val="bottom"/>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bottom"/>
          </w:tcPr>
          <w:p w14:paraId="07DCED8F"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DCED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9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92"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DCED93" w14:textId="77777777" w:rsidR="00AE727E" w:rsidRDefault="00AE727E">
            <w:pPr>
              <w:jc w:val="right"/>
              <w:rPr>
                <w:rFonts w:ascii="宋体"/>
              </w:rPr>
            </w:pPr>
          </w:p>
        </w:tc>
      </w:tr>
      <w:tr w:rsidR="00AE727E" w14:paraId="07DCED9B" w14:textId="77777777">
        <w:tc>
          <w:tcPr>
            <w:tcW w:w="0" w:type="auto"/>
            <w:gridSpan w:val="3"/>
            <w:shd w:val="clear" w:color="auto" w:fill="FFFFFF"/>
            <w:tcMar>
              <w:top w:w="40" w:type="dxa"/>
              <w:left w:w="20" w:type="dxa"/>
              <w:bottom w:w="40" w:type="dxa"/>
              <w:right w:w="20" w:type="dxa"/>
            </w:tcMar>
            <w:vAlign w:val="bottom"/>
          </w:tcPr>
          <w:p w14:paraId="07DCED95" w14:textId="77777777" w:rsidR="00AE727E" w:rsidRDefault="008433E0">
            <w:pPr>
              <w:textAlignment w:val="bottom"/>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bottom"/>
          </w:tcPr>
          <w:p w14:paraId="07DCED96"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D9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9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99"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D9A" w14:textId="77777777" w:rsidR="00AE727E" w:rsidRDefault="00AE727E">
            <w:pPr>
              <w:jc w:val="right"/>
              <w:rPr>
                <w:rFonts w:ascii="宋体"/>
              </w:rPr>
            </w:pPr>
          </w:p>
        </w:tc>
      </w:tr>
      <w:tr w:rsidR="00AE727E" w14:paraId="07DCEDA2" w14:textId="77777777">
        <w:tc>
          <w:tcPr>
            <w:tcW w:w="0" w:type="auto"/>
            <w:gridSpan w:val="3"/>
            <w:shd w:val="clear" w:color="auto" w:fill="CCEEFF"/>
            <w:tcMar>
              <w:top w:w="40" w:type="dxa"/>
              <w:left w:w="20" w:type="dxa"/>
              <w:bottom w:w="40" w:type="dxa"/>
              <w:right w:w="20" w:type="dxa"/>
            </w:tcMar>
            <w:vAlign w:val="bottom"/>
          </w:tcPr>
          <w:p w14:paraId="07DCED9C" w14:textId="77777777" w:rsidR="00AE727E" w:rsidRDefault="008433E0">
            <w:pPr>
              <w:textAlignment w:val="bottom"/>
            </w:pPr>
            <w:r>
              <w:rPr>
                <w:rFonts w:ascii="Times New Roman" w:eastAsia="宋体" w:hAnsi="Times New Roman"/>
                <w:color w:val="000000"/>
                <w:sz w:val="20"/>
                <w:szCs w:val="20"/>
              </w:rPr>
              <w:t>8.35% due July 2046</w:t>
            </w:r>
          </w:p>
        </w:tc>
        <w:tc>
          <w:tcPr>
            <w:tcW w:w="0" w:type="auto"/>
            <w:gridSpan w:val="2"/>
            <w:shd w:val="clear" w:color="auto" w:fill="CCEEFF"/>
            <w:tcMar>
              <w:top w:w="40" w:type="dxa"/>
              <w:left w:w="20" w:type="dxa"/>
              <w:bottom w:w="40" w:type="dxa"/>
              <w:right w:w="0" w:type="dxa"/>
            </w:tcMar>
            <w:vAlign w:val="bottom"/>
          </w:tcPr>
          <w:p w14:paraId="07DCED9D" w14:textId="77777777" w:rsidR="00AE727E" w:rsidRDefault="008433E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07DCED9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9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A0" w14:textId="77777777" w:rsidR="00AE727E" w:rsidRDefault="008433E0">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07DCEDA1" w14:textId="77777777" w:rsidR="00AE727E" w:rsidRDefault="00AE727E">
            <w:pPr>
              <w:jc w:val="right"/>
              <w:rPr>
                <w:rFonts w:ascii="宋体"/>
              </w:rPr>
            </w:pPr>
          </w:p>
        </w:tc>
      </w:tr>
      <w:tr w:rsidR="00AE727E" w14:paraId="07DCEDA7" w14:textId="77777777">
        <w:tc>
          <w:tcPr>
            <w:tcW w:w="0" w:type="auto"/>
            <w:gridSpan w:val="3"/>
            <w:shd w:val="clear" w:color="auto" w:fill="FFFFFF"/>
            <w:tcMar>
              <w:top w:w="40" w:type="dxa"/>
              <w:left w:w="20" w:type="dxa"/>
              <w:bottom w:w="40" w:type="dxa"/>
              <w:right w:w="20" w:type="dxa"/>
            </w:tcMar>
            <w:vAlign w:val="bottom"/>
          </w:tcPr>
          <w:p w14:paraId="07DCEDA3" w14:textId="77777777" w:rsidR="00AE727E" w:rsidRDefault="008433E0">
            <w:pPr>
              <w:textAlignment w:val="bottom"/>
            </w:pPr>
            <w:r>
              <w:rPr>
                <w:rFonts w:ascii="Times New Roman" w:eastAsia="宋体" w:hAnsi="Times New Roman"/>
                <w:b/>
                <w:bCs/>
                <w:color w:val="000000"/>
                <w:sz w:val="20"/>
                <w:szCs w:val="20"/>
              </w:rPr>
              <w:t>Unsecured Debt</w:t>
            </w:r>
          </w:p>
        </w:tc>
        <w:tc>
          <w:tcPr>
            <w:tcW w:w="0" w:type="auto"/>
            <w:gridSpan w:val="3"/>
            <w:shd w:val="clear" w:color="auto" w:fill="FFFFFF"/>
            <w:tcMar>
              <w:top w:w="0" w:type="dxa"/>
              <w:left w:w="20" w:type="dxa"/>
              <w:bottom w:w="0" w:type="dxa"/>
              <w:right w:w="20" w:type="dxa"/>
            </w:tcMar>
            <w:vAlign w:val="bottom"/>
          </w:tcPr>
          <w:p w14:paraId="07DCEDA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A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A6" w14:textId="77777777" w:rsidR="00AE727E" w:rsidRDefault="00AE727E">
            <w:pPr>
              <w:rPr>
                <w:rFonts w:ascii="宋体"/>
              </w:rPr>
            </w:pPr>
          </w:p>
        </w:tc>
      </w:tr>
      <w:tr w:rsidR="00AE727E" w14:paraId="07DCEDAC" w14:textId="77777777">
        <w:tc>
          <w:tcPr>
            <w:tcW w:w="0" w:type="auto"/>
            <w:gridSpan w:val="3"/>
            <w:shd w:val="clear" w:color="auto" w:fill="CCEEFF"/>
            <w:tcMar>
              <w:top w:w="40" w:type="dxa"/>
              <w:left w:w="155" w:type="dxa"/>
              <w:bottom w:w="40" w:type="dxa"/>
              <w:right w:w="20" w:type="dxa"/>
            </w:tcMar>
            <w:vAlign w:val="bottom"/>
          </w:tcPr>
          <w:p w14:paraId="07DCEDA8" w14:textId="77777777" w:rsidR="00AE727E" w:rsidRDefault="008433E0">
            <w:pPr>
              <w:textAlignment w:val="bottom"/>
            </w:pPr>
            <w:r>
              <w:rPr>
                <w:rFonts w:ascii="Times New Roman" w:eastAsia="宋体" w:hAnsi="Times New Roman"/>
                <w:color w:val="000000"/>
                <w:sz w:val="20"/>
                <w:szCs w:val="20"/>
              </w:rPr>
              <w:t>Unsecured Notes and Debentures:</w:t>
            </w:r>
          </w:p>
        </w:tc>
        <w:tc>
          <w:tcPr>
            <w:tcW w:w="0" w:type="auto"/>
            <w:gridSpan w:val="3"/>
            <w:shd w:val="clear" w:color="auto" w:fill="CCEEFF"/>
            <w:tcMar>
              <w:top w:w="0" w:type="dxa"/>
              <w:left w:w="20" w:type="dxa"/>
              <w:bottom w:w="0" w:type="dxa"/>
              <w:right w:w="20" w:type="dxa"/>
            </w:tcMar>
            <w:vAlign w:val="bottom"/>
          </w:tcPr>
          <w:p w14:paraId="07DCEDA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A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AB" w14:textId="77777777" w:rsidR="00AE727E" w:rsidRDefault="00AE727E">
            <w:pPr>
              <w:rPr>
                <w:rFonts w:ascii="宋体"/>
              </w:rPr>
            </w:pPr>
          </w:p>
        </w:tc>
      </w:tr>
      <w:tr w:rsidR="00AE727E" w14:paraId="07DCEDB3" w14:textId="77777777">
        <w:tc>
          <w:tcPr>
            <w:tcW w:w="0" w:type="auto"/>
            <w:gridSpan w:val="3"/>
            <w:shd w:val="clear" w:color="auto" w:fill="FFFFFF"/>
            <w:tcMar>
              <w:top w:w="40" w:type="dxa"/>
              <w:left w:w="20" w:type="dxa"/>
              <w:bottom w:w="40" w:type="dxa"/>
              <w:right w:w="20" w:type="dxa"/>
            </w:tcMar>
            <w:vAlign w:val="bottom"/>
          </w:tcPr>
          <w:p w14:paraId="07DCEDAD" w14:textId="77777777" w:rsidR="00AE727E" w:rsidRDefault="008433E0">
            <w:pPr>
              <w:textAlignment w:val="bottom"/>
            </w:pPr>
            <w:r>
              <w:rPr>
                <w:rFonts w:ascii="Times New Roman" w:eastAsia="宋体" w:hAnsi="Times New Roman"/>
                <w:color w:val="000000"/>
                <w:sz w:val="20"/>
                <w:szCs w:val="20"/>
              </w:rPr>
              <w:t>4.625% due April 2021</w:t>
            </w:r>
          </w:p>
        </w:tc>
        <w:tc>
          <w:tcPr>
            <w:tcW w:w="0" w:type="auto"/>
            <w:gridSpan w:val="2"/>
            <w:shd w:val="clear" w:color="auto" w:fill="FFFFFF"/>
            <w:tcMar>
              <w:top w:w="40" w:type="dxa"/>
              <w:left w:w="20" w:type="dxa"/>
              <w:bottom w:w="40" w:type="dxa"/>
              <w:right w:w="0" w:type="dxa"/>
            </w:tcMar>
            <w:vAlign w:val="bottom"/>
          </w:tcPr>
          <w:p w14:paraId="07DCEDAE"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DA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B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B1" w14:textId="77777777" w:rsidR="00AE727E" w:rsidRDefault="008433E0">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07DCEDB2" w14:textId="77777777" w:rsidR="00AE727E" w:rsidRDefault="00AE727E">
            <w:pPr>
              <w:jc w:val="right"/>
              <w:rPr>
                <w:rFonts w:ascii="宋体"/>
              </w:rPr>
            </w:pPr>
          </w:p>
        </w:tc>
      </w:tr>
      <w:tr w:rsidR="00AE727E" w14:paraId="07DCEDBA" w14:textId="77777777">
        <w:tc>
          <w:tcPr>
            <w:tcW w:w="0" w:type="auto"/>
            <w:gridSpan w:val="3"/>
            <w:shd w:val="clear" w:color="auto" w:fill="CCEEFF"/>
            <w:tcMar>
              <w:top w:w="40" w:type="dxa"/>
              <w:left w:w="20" w:type="dxa"/>
              <w:bottom w:w="40" w:type="dxa"/>
              <w:right w:w="20" w:type="dxa"/>
            </w:tcMar>
            <w:vAlign w:val="bottom"/>
          </w:tcPr>
          <w:p w14:paraId="07DCEDB4" w14:textId="77777777" w:rsidR="00AE727E" w:rsidRDefault="008433E0">
            <w:pPr>
              <w:textAlignment w:val="bottom"/>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bottom"/>
          </w:tcPr>
          <w:p w14:paraId="07DCEDB5" w14:textId="77777777" w:rsidR="00AE727E" w:rsidRDefault="008433E0">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07DCEDB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B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B8" w14:textId="77777777" w:rsidR="00AE727E" w:rsidRDefault="008433E0">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07DCEDB9" w14:textId="77777777" w:rsidR="00AE727E" w:rsidRDefault="00AE727E">
            <w:pPr>
              <w:jc w:val="right"/>
              <w:rPr>
                <w:rFonts w:ascii="宋体"/>
              </w:rPr>
            </w:pPr>
          </w:p>
        </w:tc>
      </w:tr>
      <w:tr w:rsidR="00AE727E" w14:paraId="07DCEDC1" w14:textId="77777777">
        <w:tc>
          <w:tcPr>
            <w:tcW w:w="0" w:type="auto"/>
            <w:gridSpan w:val="3"/>
            <w:shd w:val="clear" w:color="auto" w:fill="FFFFFF"/>
            <w:tcMar>
              <w:top w:w="40" w:type="dxa"/>
              <w:left w:w="20" w:type="dxa"/>
              <w:bottom w:w="40" w:type="dxa"/>
              <w:right w:w="20" w:type="dxa"/>
            </w:tcMar>
            <w:vAlign w:val="bottom"/>
          </w:tcPr>
          <w:p w14:paraId="07DCEDBB" w14:textId="77777777" w:rsidR="00AE727E" w:rsidRDefault="008433E0">
            <w:pPr>
              <w:textAlignment w:val="bottom"/>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bottom"/>
          </w:tcPr>
          <w:p w14:paraId="07DCEDBC" w14:textId="77777777" w:rsidR="00AE727E" w:rsidRDefault="008433E0">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07DCEDB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B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BF" w14:textId="77777777" w:rsidR="00AE727E" w:rsidRDefault="008433E0">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07DCEDC0" w14:textId="77777777" w:rsidR="00AE727E" w:rsidRDefault="00AE727E">
            <w:pPr>
              <w:jc w:val="right"/>
              <w:rPr>
                <w:rFonts w:ascii="宋体"/>
              </w:rPr>
            </w:pPr>
          </w:p>
        </w:tc>
      </w:tr>
      <w:tr w:rsidR="00AE727E" w14:paraId="07DCEDC8" w14:textId="77777777">
        <w:tc>
          <w:tcPr>
            <w:tcW w:w="0" w:type="auto"/>
            <w:gridSpan w:val="3"/>
            <w:shd w:val="clear" w:color="auto" w:fill="CCEEFF"/>
            <w:tcMar>
              <w:top w:w="40" w:type="dxa"/>
              <w:left w:w="20" w:type="dxa"/>
              <w:bottom w:w="40" w:type="dxa"/>
              <w:right w:w="20" w:type="dxa"/>
            </w:tcMar>
            <w:vAlign w:val="bottom"/>
          </w:tcPr>
          <w:p w14:paraId="07DCEDC2" w14:textId="77777777" w:rsidR="00AE727E" w:rsidRDefault="008433E0">
            <w:pPr>
              <w:textAlignment w:val="bottom"/>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bottom"/>
          </w:tcPr>
          <w:p w14:paraId="07DCEDC3" w14:textId="77777777" w:rsidR="00AE727E" w:rsidRDefault="008433E0">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07DCEDC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C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C6" w14:textId="77777777" w:rsidR="00AE727E" w:rsidRDefault="008433E0">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07DCEDC7" w14:textId="77777777" w:rsidR="00AE727E" w:rsidRDefault="00AE727E">
            <w:pPr>
              <w:jc w:val="right"/>
              <w:rPr>
                <w:rFonts w:ascii="宋体"/>
              </w:rPr>
            </w:pPr>
          </w:p>
        </w:tc>
      </w:tr>
      <w:tr w:rsidR="00AE727E" w14:paraId="07DCEDCD" w14:textId="77777777">
        <w:tc>
          <w:tcPr>
            <w:tcW w:w="0" w:type="auto"/>
            <w:gridSpan w:val="3"/>
            <w:shd w:val="clear" w:color="auto" w:fill="FFFFFF"/>
            <w:tcMar>
              <w:top w:w="40" w:type="dxa"/>
              <w:left w:w="155" w:type="dxa"/>
              <w:bottom w:w="40" w:type="dxa"/>
              <w:right w:w="20" w:type="dxa"/>
            </w:tcMar>
            <w:vAlign w:val="bottom"/>
          </w:tcPr>
          <w:p w14:paraId="07DCEDC9" w14:textId="77777777" w:rsidR="00AE727E" w:rsidRDefault="008433E0">
            <w:pPr>
              <w:textAlignment w:val="bottom"/>
            </w:pPr>
            <w:r>
              <w:rPr>
                <w:rFonts w:ascii="Times New Roman" w:eastAsia="宋体" w:hAnsi="Times New Roman"/>
                <w:color w:val="000000"/>
                <w:sz w:val="20"/>
                <w:szCs w:val="20"/>
              </w:rPr>
              <w:t>Senior Notes:</w:t>
            </w:r>
          </w:p>
        </w:tc>
        <w:tc>
          <w:tcPr>
            <w:tcW w:w="0" w:type="auto"/>
            <w:gridSpan w:val="3"/>
            <w:shd w:val="clear" w:color="auto" w:fill="FFFFFF"/>
            <w:tcMar>
              <w:top w:w="0" w:type="dxa"/>
              <w:left w:w="20" w:type="dxa"/>
              <w:bottom w:w="0" w:type="dxa"/>
              <w:right w:w="20" w:type="dxa"/>
            </w:tcMar>
            <w:vAlign w:val="bottom"/>
          </w:tcPr>
          <w:p w14:paraId="07DCEDC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C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EDCC" w14:textId="77777777" w:rsidR="00AE727E" w:rsidRDefault="00AE727E">
            <w:pPr>
              <w:rPr>
                <w:rFonts w:ascii="宋体"/>
              </w:rPr>
            </w:pPr>
          </w:p>
        </w:tc>
      </w:tr>
      <w:tr w:rsidR="00AE727E" w14:paraId="07DCEDD4" w14:textId="77777777">
        <w:tc>
          <w:tcPr>
            <w:tcW w:w="0" w:type="auto"/>
            <w:gridSpan w:val="3"/>
            <w:shd w:val="clear" w:color="auto" w:fill="CCEEFF"/>
            <w:tcMar>
              <w:top w:w="40" w:type="dxa"/>
              <w:left w:w="20" w:type="dxa"/>
              <w:bottom w:w="40" w:type="dxa"/>
              <w:right w:w="20" w:type="dxa"/>
            </w:tcMar>
            <w:vAlign w:val="bottom"/>
          </w:tcPr>
          <w:p w14:paraId="07DCEDCE" w14:textId="77777777" w:rsidR="00AE727E" w:rsidRDefault="008433E0">
            <w:pPr>
              <w:textAlignment w:val="bottom"/>
            </w:pPr>
            <w:r>
              <w:rPr>
                <w:rFonts w:ascii="Times New Roman" w:eastAsia="宋体" w:hAnsi="Times New Roman"/>
                <w:color w:val="000000"/>
                <w:sz w:val="20"/>
                <w:szCs w:val="20"/>
              </w:rPr>
              <w:t>5.875% due June 2021</w:t>
            </w:r>
          </w:p>
        </w:tc>
        <w:tc>
          <w:tcPr>
            <w:tcW w:w="0" w:type="auto"/>
            <w:gridSpan w:val="2"/>
            <w:shd w:val="clear" w:color="auto" w:fill="CCEEFF"/>
            <w:tcMar>
              <w:top w:w="40" w:type="dxa"/>
              <w:left w:w="20" w:type="dxa"/>
              <w:bottom w:w="40" w:type="dxa"/>
              <w:right w:w="0" w:type="dxa"/>
            </w:tcMar>
            <w:vAlign w:val="bottom"/>
          </w:tcPr>
          <w:p w14:paraId="07DCEDC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DD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D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D2" w14:textId="77777777" w:rsidR="00AE727E" w:rsidRDefault="008433E0">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bottom"/>
          </w:tcPr>
          <w:p w14:paraId="07DCEDD3" w14:textId="77777777" w:rsidR="00AE727E" w:rsidRDefault="00AE727E">
            <w:pPr>
              <w:jc w:val="right"/>
              <w:rPr>
                <w:rFonts w:ascii="宋体"/>
              </w:rPr>
            </w:pPr>
          </w:p>
        </w:tc>
      </w:tr>
      <w:tr w:rsidR="00AE727E" w14:paraId="07DCEDDB" w14:textId="77777777">
        <w:tc>
          <w:tcPr>
            <w:tcW w:w="0" w:type="auto"/>
            <w:gridSpan w:val="3"/>
            <w:shd w:val="clear" w:color="auto" w:fill="FFFFFF"/>
            <w:tcMar>
              <w:top w:w="40" w:type="dxa"/>
              <w:left w:w="20" w:type="dxa"/>
              <w:bottom w:w="40" w:type="dxa"/>
              <w:right w:w="20" w:type="dxa"/>
            </w:tcMar>
            <w:vAlign w:val="bottom"/>
          </w:tcPr>
          <w:p w14:paraId="07DCEDD5" w14:textId="77777777" w:rsidR="00AE727E" w:rsidRDefault="008433E0">
            <w:pPr>
              <w:textAlignment w:val="bottom"/>
            </w:pPr>
            <w:r>
              <w:rPr>
                <w:rFonts w:ascii="Times New Roman" w:eastAsia="宋体" w:hAnsi="Times New Roman"/>
                <w:color w:val="000000"/>
                <w:sz w:val="20"/>
                <w:szCs w:val="20"/>
              </w:rPr>
              <w:t>7.125% due June 2024 (a)</w:t>
            </w:r>
          </w:p>
        </w:tc>
        <w:tc>
          <w:tcPr>
            <w:tcW w:w="0" w:type="auto"/>
            <w:gridSpan w:val="2"/>
            <w:shd w:val="clear" w:color="auto" w:fill="FFFFFF"/>
            <w:tcMar>
              <w:top w:w="40" w:type="dxa"/>
              <w:left w:w="20" w:type="dxa"/>
              <w:bottom w:w="40" w:type="dxa"/>
              <w:right w:w="0" w:type="dxa"/>
            </w:tcMar>
            <w:vAlign w:val="bottom"/>
          </w:tcPr>
          <w:p w14:paraId="07DCEDD6" w14:textId="77777777" w:rsidR="00AE727E" w:rsidRDefault="008433E0">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07DCEDD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D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D9" w14:textId="77777777" w:rsidR="00AE727E" w:rsidRDefault="008433E0">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07DCEDDA" w14:textId="77777777" w:rsidR="00AE727E" w:rsidRDefault="00AE727E">
            <w:pPr>
              <w:jc w:val="right"/>
              <w:rPr>
                <w:rFonts w:ascii="宋体"/>
              </w:rPr>
            </w:pPr>
          </w:p>
        </w:tc>
      </w:tr>
      <w:tr w:rsidR="00AE727E" w14:paraId="07DCEDE0" w14:textId="77777777">
        <w:tc>
          <w:tcPr>
            <w:tcW w:w="0" w:type="auto"/>
            <w:gridSpan w:val="3"/>
            <w:shd w:val="clear" w:color="auto" w:fill="CCEEFF"/>
            <w:tcMar>
              <w:top w:w="40" w:type="dxa"/>
              <w:left w:w="155" w:type="dxa"/>
              <w:bottom w:w="40" w:type="dxa"/>
              <w:right w:w="20" w:type="dxa"/>
            </w:tcMar>
            <w:vAlign w:val="bottom"/>
          </w:tcPr>
          <w:p w14:paraId="07DCEDDC" w14:textId="77777777" w:rsidR="00AE727E" w:rsidRDefault="008433E0">
            <w:pPr>
              <w:textAlignment w:val="bottom"/>
            </w:pPr>
            <w:r>
              <w:rPr>
                <w:rFonts w:ascii="Times New Roman" w:eastAsia="宋体" w:hAnsi="Times New Roman"/>
                <w:color w:val="000000"/>
                <w:sz w:val="20"/>
                <w:szCs w:val="20"/>
              </w:rPr>
              <w:t>EMC Notes:</w:t>
            </w:r>
          </w:p>
        </w:tc>
        <w:tc>
          <w:tcPr>
            <w:tcW w:w="0" w:type="auto"/>
            <w:gridSpan w:val="3"/>
            <w:shd w:val="clear" w:color="auto" w:fill="CCEEFF"/>
            <w:tcMar>
              <w:top w:w="0" w:type="dxa"/>
              <w:left w:w="20" w:type="dxa"/>
              <w:bottom w:w="0" w:type="dxa"/>
              <w:right w:w="20" w:type="dxa"/>
            </w:tcMar>
            <w:vAlign w:val="bottom"/>
          </w:tcPr>
          <w:p w14:paraId="07DCEDD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D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DF" w14:textId="77777777" w:rsidR="00AE727E" w:rsidRDefault="00AE727E">
            <w:pPr>
              <w:rPr>
                <w:rFonts w:ascii="宋体"/>
              </w:rPr>
            </w:pPr>
          </w:p>
        </w:tc>
      </w:tr>
      <w:tr w:rsidR="00AE727E" w14:paraId="07DCEDE7" w14:textId="77777777">
        <w:tc>
          <w:tcPr>
            <w:tcW w:w="0" w:type="auto"/>
            <w:gridSpan w:val="3"/>
            <w:shd w:val="clear" w:color="auto" w:fill="FFFFFF"/>
            <w:tcMar>
              <w:top w:w="40" w:type="dxa"/>
              <w:left w:w="20" w:type="dxa"/>
              <w:bottom w:w="40" w:type="dxa"/>
              <w:right w:w="20" w:type="dxa"/>
            </w:tcMar>
            <w:vAlign w:val="bottom"/>
          </w:tcPr>
          <w:p w14:paraId="07DCEDE1" w14:textId="77777777" w:rsidR="00AE727E" w:rsidRDefault="008433E0">
            <w:pPr>
              <w:textAlignment w:val="bottom"/>
            </w:pPr>
            <w:r>
              <w:rPr>
                <w:rFonts w:ascii="Times New Roman" w:eastAsia="宋体" w:hAnsi="Times New Roman"/>
                <w:color w:val="000000"/>
                <w:sz w:val="20"/>
                <w:szCs w:val="20"/>
              </w:rPr>
              <w:t>3.375% due June 2023</w:t>
            </w:r>
          </w:p>
        </w:tc>
        <w:tc>
          <w:tcPr>
            <w:tcW w:w="0" w:type="auto"/>
            <w:gridSpan w:val="2"/>
            <w:shd w:val="clear" w:color="auto" w:fill="FFFFFF"/>
            <w:tcMar>
              <w:top w:w="40" w:type="dxa"/>
              <w:left w:w="20" w:type="dxa"/>
              <w:bottom w:w="40" w:type="dxa"/>
              <w:right w:w="0" w:type="dxa"/>
            </w:tcMar>
            <w:vAlign w:val="bottom"/>
          </w:tcPr>
          <w:p w14:paraId="07DCEDE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DE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E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E5"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DCEDE6" w14:textId="77777777" w:rsidR="00AE727E" w:rsidRDefault="00AE727E">
            <w:pPr>
              <w:jc w:val="right"/>
              <w:rPr>
                <w:rFonts w:ascii="宋体"/>
              </w:rPr>
            </w:pPr>
          </w:p>
        </w:tc>
      </w:tr>
      <w:tr w:rsidR="00AE727E" w14:paraId="07DCEDEC" w14:textId="77777777">
        <w:trPr>
          <w:hidden/>
        </w:trPr>
        <w:tc>
          <w:tcPr>
            <w:tcW w:w="0" w:type="auto"/>
            <w:gridSpan w:val="3"/>
            <w:shd w:val="clear" w:color="auto" w:fill="auto"/>
            <w:vAlign w:val="bottom"/>
          </w:tcPr>
          <w:p w14:paraId="07DCEDE8" w14:textId="77777777" w:rsidR="00AE727E" w:rsidRDefault="00AE727E">
            <w:pPr>
              <w:rPr>
                <w:rFonts w:ascii="宋体"/>
                <w:vanish/>
              </w:rPr>
            </w:pPr>
          </w:p>
        </w:tc>
        <w:tc>
          <w:tcPr>
            <w:tcW w:w="0" w:type="auto"/>
            <w:gridSpan w:val="3"/>
            <w:shd w:val="clear" w:color="auto" w:fill="auto"/>
            <w:vAlign w:val="bottom"/>
          </w:tcPr>
          <w:p w14:paraId="07DCEDE9" w14:textId="77777777" w:rsidR="00AE727E" w:rsidRDefault="00AE727E">
            <w:pPr>
              <w:rPr>
                <w:rFonts w:ascii="宋体"/>
                <w:vanish/>
              </w:rPr>
            </w:pPr>
          </w:p>
        </w:tc>
        <w:tc>
          <w:tcPr>
            <w:tcW w:w="0" w:type="auto"/>
            <w:gridSpan w:val="3"/>
            <w:shd w:val="clear" w:color="auto" w:fill="auto"/>
            <w:vAlign w:val="bottom"/>
          </w:tcPr>
          <w:p w14:paraId="07DCEDEA" w14:textId="77777777" w:rsidR="00AE727E" w:rsidRDefault="00AE727E">
            <w:pPr>
              <w:rPr>
                <w:rFonts w:ascii="宋体"/>
                <w:vanish/>
              </w:rPr>
            </w:pPr>
          </w:p>
        </w:tc>
        <w:tc>
          <w:tcPr>
            <w:tcW w:w="0" w:type="auto"/>
            <w:gridSpan w:val="3"/>
            <w:shd w:val="clear" w:color="auto" w:fill="auto"/>
            <w:vAlign w:val="bottom"/>
          </w:tcPr>
          <w:p w14:paraId="07DCEDEB" w14:textId="77777777" w:rsidR="00AE727E" w:rsidRDefault="00AE727E">
            <w:pPr>
              <w:rPr>
                <w:rFonts w:ascii="宋体"/>
                <w:vanish/>
              </w:rPr>
            </w:pPr>
          </w:p>
        </w:tc>
      </w:tr>
      <w:tr w:rsidR="00AE727E" w14:paraId="07DCEDF1" w14:textId="77777777">
        <w:tc>
          <w:tcPr>
            <w:tcW w:w="0" w:type="auto"/>
            <w:gridSpan w:val="3"/>
            <w:shd w:val="clear" w:color="auto" w:fill="CCEEFF"/>
            <w:tcMar>
              <w:top w:w="40" w:type="dxa"/>
              <w:left w:w="155" w:type="dxa"/>
              <w:bottom w:w="40" w:type="dxa"/>
              <w:right w:w="20" w:type="dxa"/>
            </w:tcMar>
            <w:vAlign w:val="bottom"/>
          </w:tcPr>
          <w:p w14:paraId="07DCEDED" w14:textId="77777777" w:rsidR="00AE727E" w:rsidRDefault="008433E0">
            <w:pPr>
              <w:textAlignment w:val="bottom"/>
            </w:pPr>
            <w:r>
              <w:rPr>
                <w:rFonts w:ascii="Times New Roman" w:eastAsia="宋体" w:hAnsi="Times New Roman"/>
                <w:color w:val="000000"/>
                <w:sz w:val="20"/>
                <w:szCs w:val="20"/>
              </w:rPr>
              <w:t>VMware Notes:</w:t>
            </w:r>
          </w:p>
        </w:tc>
        <w:tc>
          <w:tcPr>
            <w:tcW w:w="0" w:type="auto"/>
            <w:gridSpan w:val="3"/>
            <w:shd w:val="clear" w:color="auto" w:fill="CCEEFF"/>
            <w:tcMar>
              <w:top w:w="0" w:type="dxa"/>
              <w:left w:w="20" w:type="dxa"/>
              <w:bottom w:w="0" w:type="dxa"/>
              <w:right w:w="20" w:type="dxa"/>
            </w:tcMar>
            <w:vAlign w:val="bottom"/>
          </w:tcPr>
          <w:p w14:paraId="07DCEDE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E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DF0" w14:textId="77777777" w:rsidR="00AE727E" w:rsidRDefault="00AE727E">
            <w:pPr>
              <w:rPr>
                <w:rFonts w:ascii="宋体"/>
              </w:rPr>
            </w:pPr>
          </w:p>
        </w:tc>
      </w:tr>
      <w:tr w:rsidR="00AE727E" w14:paraId="07DCEDF8" w14:textId="77777777">
        <w:tc>
          <w:tcPr>
            <w:tcW w:w="0" w:type="auto"/>
            <w:gridSpan w:val="3"/>
            <w:shd w:val="clear" w:color="auto" w:fill="FFFFFF"/>
            <w:tcMar>
              <w:top w:w="40" w:type="dxa"/>
              <w:left w:w="20" w:type="dxa"/>
              <w:bottom w:w="40" w:type="dxa"/>
              <w:right w:w="20" w:type="dxa"/>
            </w:tcMar>
            <w:vAlign w:val="bottom"/>
          </w:tcPr>
          <w:p w14:paraId="07DCEDF2" w14:textId="77777777" w:rsidR="00AE727E" w:rsidRDefault="008433E0">
            <w:pPr>
              <w:textAlignment w:val="bottom"/>
            </w:pPr>
            <w:r>
              <w:rPr>
                <w:rFonts w:ascii="Times New Roman" w:eastAsia="宋体" w:hAnsi="Times New Roman"/>
                <w:color w:val="000000"/>
                <w:sz w:val="20"/>
                <w:szCs w:val="20"/>
              </w:rPr>
              <w:t>2.95% due August 2022</w:t>
            </w:r>
          </w:p>
        </w:tc>
        <w:tc>
          <w:tcPr>
            <w:tcW w:w="0" w:type="auto"/>
            <w:gridSpan w:val="2"/>
            <w:shd w:val="clear" w:color="auto" w:fill="FFFFFF"/>
            <w:tcMar>
              <w:top w:w="40" w:type="dxa"/>
              <w:left w:w="20" w:type="dxa"/>
              <w:bottom w:w="40" w:type="dxa"/>
              <w:right w:w="0" w:type="dxa"/>
            </w:tcMar>
            <w:vAlign w:val="bottom"/>
          </w:tcPr>
          <w:p w14:paraId="07DCEDF3"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D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DF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DF6"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DF7" w14:textId="77777777" w:rsidR="00AE727E" w:rsidRDefault="00AE727E">
            <w:pPr>
              <w:jc w:val="right"/>
              <w:rPr>
                <w:rFonts w:ascii="宋体"/>
              </w:rPr>
            </w:pPr>
          </w:p>
        </w:tc>
      </w:tr>
      <w:tr w:rsidR="00AE727E" w14:paraId="07DCEDFF" w14:textId="77777777">
        <w:tc>
          <w:tcPr>
            <w:tcW w:w="0" w:type="auto"/>
            <w:gridSpan w:val="3"/>
            <w:shd w:val="clear" w:color="auto" w:fill="CCEEFF"/>
            <w:tcMar>
              <w:top w:w="40" w:type="dxa"/>
              <w:left w:w="20" w:type="dxa"/>
              <w:bottom w:w="40" w:type="dxa"/>
              <w:right w:w="20" w:type="dxa"/>
            </w:tcMar>
            <w:vAlign w:val="bottom"/>
          </w:tcPr>
          <w:p w14:paraId="07DCEDF9" w14:textId="77777777" w:rsidR="00AE727E" w:rsidRDefault="008433E0">
            <w:pPr>
              <w:textAlignment w:val="bottom"/>
            </w:pPr>
            <w:r>
              <w:rPr>
                <w:rFonts w:ascii="Times New Roman" w:eastAsia="宋体" w:hAnsi="Times New Roman"/>
                <w:color w:val="000000"/>
                <w:sz w:val="20"/>
                <w:szCs w:val="20"/>
              </w:rPr>
              <w:t>0.60% due August 2023</w:t>
            </w:r>
          </w:p>
        </w:tc>
        <w:tc>
          <w:tcPr>
            <w:tcW w:w="0" w:type="auto"/>
            <w:gridSpan w:val="2"/>
            <w:shd w:val="clear" w:color="auto" w:fill="CCEEFF"/>
            <w:tcMar>
              <w:top w:w="40" w:type="dxa"/>
              <w:left w:w="20" w:type="dxa"/>
              <w:bottom w:w="40" w:type="dxa"/>
              <w:right w:w="0" w:type="dxa"/>
            </w:tcMar>
            <w:vAlign w:val="bottom"/>
          </w:tcPr>
          <w:p w14:paraId="07DCEDFA"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DCEDF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DF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DFD"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DFE" w14:textId="77777777" w:rsidR="00AE727E" w:rsidRDefault="00AE727E">
            <w:pPr>
              <w:jc w:val="right"/>
              <w:rPr>
                <w:rFonts w:ascii="宋体"/>
              </w:rPr>
            </w:pPr>
          </w:p>
        </w:tc>
      </w:tr>
      <w:tr w:rsidR="00AE727E" w14:paraId="07DCEE06" w14:textId="77777777">
        <w:tc>
          <w:tcPr>
            <w:tcW w:w="0" w:type="auto"/>
            <w:gridSpan w:val="3"/>
            <w:shd w:val="clear" w:color="auto" w:fill="FFFFFF"/>
            <w:tcMar>
              <w:top w:w="40" w:type="dxa"/>
              <w:left w:w="20" w:type="dxa"/>
              <w:bottom w:w="40" w:type="dxa"/>
              <w:right w:w="20" w:type="dxa"/>
            </w:tcMar>
            <w:vAlign w:val="bottom"/>
          </w:tcPr>
          <w:p w14:paraId="07DCEE00" w14:textId="77777777" w:rsidR="00AE727E" w:rsidRDefault="008433E0">
            <w:pPr>
              <w:textAlignment w:val="bottom"/>
            </w:pPr>
            <w:r>
              <w:rPr>
                <w:rFonts w:ascii="Times New Roman" w:eastAsia="宋体" w:hAnsi="Times New Roman"/>
                <w:color w:val="000000"/>
                <w:sz w:val="20"/>
                <w:szCs w:val="20"/>
              </w:rPr>
              <w:t>1.00% due August 2024</w:t>
            </w:r>
          </w:p>
        </w:tc>
        <w:tc>
          <w:tcPr>
            <w:tcW w:w="0" w:type="auto"/>
            <w:gridSpan w:val="2"/>
            <w:shd w:val="clear" w:color="auto" w:fill="FFFFFF"/>
            <w:tcMar>
              <w:top w:w="40" w:type="dxa"/>
              <w:left w:w="20" w:type="dxa"/>
              <w:bottom w:w="40" w:type="dxa"/>
              <w:right w:w="0" w:type="dxa"/>
            </w:tcMar>
            <w:vAlign w:val="bottom"/>
          </w:tcPr>
          <w:p w14:paraId="07DCEE01" w14:textId="77777777" w:rsidR="00AE727E" w:rsidRDefault="008433E0">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07DCEE0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0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0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E05" w14:textId="77777777" w:rsidR="00AE727E" w:rsidRDefault="00AE727E">
            <w:pPr>
              <w:jc w:val="right"/>
              <w:rPr>
                <w:rFonts w:ascii="宋体"/>
              </w:rPr>
            </w:pPr>
          </w:p>
        </w:tc>
      </w:tr>
      <w:tr w:rsidR="00AE727E" w14:paraId="07DCEE0D" w14:textId="77777777">
        <w:tc>
          <w:tcPr>
            <w:tcW w:w="0" w:type="auto"/>
            <w:gridSpan w:val="3"/>
            <w:shd w:val="clear" w:color="auto" w:fill="CCEEFF"/>
            <w:tcMar>
              <w:top w:w="40" w:type="dxa"/>
              <w:left w:w="20" w:type="dxa"/>
              <w:bottom w:w="40" w:type="dxa"/>
              <w:right w:w="20" w:type="dxa"/>
            </w:tcMar>
            <w:vAlign w:val="bottom"/>
          </w:tcPr>
          <w:p w14:paraId="07DCEE07" w14:textId="77777777" w:rsidR="00AE727E" w:rsidRDefault="008433E0">
            <w:pPr>
              <w:textAlignment w:val="bottom"/>
            </w:pPr>
            <w:r>
              <w:rPr>
                <w:rFonts w:ascii="Times New Roman" w:eastAsia="宋体" w:hAnsi="Times New Roman"/>
                <w:color w:val="000000"/>
                <w:sz w:val="20"/>
                <w:szCs w:val="20"/>
              </w:rPr>
              <w:t>4.50% due May 2025</w:t>
            </w:r>
          </w:p>
        </w:tc>
        <w:tc>
          <w:tcPr>
            <w:tcW w:w="0" w:type="auto"/>
            <w:gridSpan w:val="2"/>
            <w:shd w:val="clear" w:color="auto" w:fill="CCEEFF"/>
            <w:tcMar>
              <w:top w:w="40" w:type="dxa"/>
              <w:left w:w="20" w:type="dxa"/>
              <w:bottom w:w="40" w:type="dxa"/>
              <w:right w:w="0" w:type="dxa"/>
            </w:tcMar>
            <w:vAlign w:val="bottom"/>
          </w:tcPr>
          <w:p w14:paraId="07DCEE08"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DCEE0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0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E0B"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DCEE0C" w14:textId="77777777" w:rsidR="00AE727E" w:rsidRDefault="00AE727E">
            <w:pPr>
              <w:jc w:val="right"/>
              <w:rPr>
                <w:rFonts w:ascii="宋体"/>
              </w:rPr>
            </w:pPr>
          </w:p>
        </w:tc>
      </w:tr>
      <w:tr w:rsidR="00AE727E" w14:paraId="07DCEE14" w14:textId="77777777">
        <w:tc>
          <w:tcPr>
            <w:tcW w:w="0" w:type="auto"/>
            <w:gridSpan w:val="3"/>
            <w:shd w:val="clear" w:color="auto" w:fill="FFFFFF"/>
            <w:tcMar>
              <w:top w:w="40" w:type="dxa"/>
              <w:left w:w="20" w:type="dxa"/>
              <w:bottom w:w="40" w:type="dxa"/>
              <w:right w:w="20" w:type="dxa"/>
            </w:tcMar>
            <w:vAlign w:val="bottom"/>
          </w:tcPr>
          <w:p w14:paraId="07DCEE0E" w14:textId="77777777" w:rsidR="00AE727E" w:rsidRDefault="008433E0">
            <w:pPr>
              <w:textAlignment w:val="bottom"/>
            </w:pPr>
            <w:r>
              <w:rPr>
                <w:rFonts w:ascii="Times New Roman" w:eastAsia="宋体" w:hAnsi="Times New Roman"/>
                <w:color w:val="000000"/>
                <w:sz w:val="20"/>
                <w:szCs w:val="20"/>
              </w:rPr>
              <w:t>1.40% due August 2026</w:t>
            </w:r>
          </w:p>
        </w:tc>
        <w:tc>
          <w:tcPr>
            <w:tcW w:w="0" w:type="auto"/>
            <w:gridSpan w:val="2"/>
            <w:shd w:val="clear" w:color="auto" w:fill="FFFFFF"/>
            <w:tcMar>
              <w:top w:w="40" w:type="dxa"/>
              <w:left w:w="20" w:type="dxa"/>
              <w:bottom w:w="40" w:type="dxa"/>
              <w:right w:w="0" w:type="dxa"/>
            </w:tcMar>
            <w:vAlign w:val="bottom"/>
          </w:tcPr>
          <w:p w14:paraId="07DCEE0F"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E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1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1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E13" w14:textId="77777777" w:rsidR="00AE727E" w:rsidRDefault="00AE727E">
            <w:pPr>
              <w:jc w:val="right"/>
              <w:rPr>
                <w:rFonts w:ascii="宋体"/>
              </w:rPr>
            </w:pPr>
          </w:p>
        </w:tc>
      </w:tr>
      <w:tr w:rsidR="00AE727E" w14:paraId="07DCEE1B" w14:textId="77777777">
        <w:tc>
          <w:tcPr>
            <w:tcW w:w="0" w:type="auto"/>
            <w:gridSpan w:val="3"/>
            <w:shd w:val="clear" w:color="auto" w:fill="CCEEFF"/>
            <w:tcMar>
              <w:top w:w="40" w:type="dxa"/>
              <w:left w:w="20" w:type="dxa"/>
              <w:bottom w:w="40" w:type="dxa"/>
              <w:right w:w="20" w:type="dxa"/>
            </w:tcMar>
            <w:vAlign w:val="bottom"/>
          </w:tcPr>
          <w:p w14:paraId="07DCEE15" w14:textId="77777777" w:rsidR="00AE727E" w:rsidRDefault="008433E0">
            <w:pPr>
              <w:textAlignment w:val="bottom"/>
            </w:pPr>
            <w:r>
              <w:rPr>
                <w:rFonts w:ascii="Times New Roman" w:eastAsia="宋体" w:hAnsi="Times New Roman"/>
                <w:color w:val="000000"/>
                <w:sz w:val="20"/>
                <w:szCs w:val="20"/>
              </w:rPr>
              <w:t>4.65% due May 2027</w:t>
            </w:r>
          </w:p>
        </w:tc>
        <w:tc>
          <w:tcPr>
            <w:tcW w:w="0" w:type="auto"/>
            <w:gridSpan w:val="2"/>
            <w:shd w:val="clear" w:color="auto" w:fill="CCEEFF"/>
            <w:tcMar>
              <w:top w:w="40" w:type="dxa"/>
              <w:left w:w="20" w:type="dxa"/>
              <w:bottom w:w="40" w:type="dxa"/>
              <w:right w:w="0" w:type="dxa"/>
            </w:tcMar>
            <w:vAlign w:val="bottom"/>
          </w:tcPr>
          <w:p w14:paraId="07DCEE16" w14:textId="77777777" w:rsidR="00AE727E" w:rsidRDefault="008433E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DCEE1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1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E19" w14:textId="77777777" w:rsidR="00AE727E" w:rsidRDefault="008433E0">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DCEE1A" w14:textId="77777777" w:rsidR="00AE727E" w:rsidRDefault="00AE727E">
            <w:pPr>
              <w:jc w:val="right"/>
              <w:rPr>
                <w:rFonts w:ascii="宋体"/>
              </w:rPr>
            </w:pPr>
          </w:p>
        </w:tc>
      </w:tr>
      <w:tr w:rsidR="00AE727E" w14:paraId="07DCEE22" w14:textId="77777777">
        <w:tc>
          <w:tcPr>
            <w:tcW w:w="0" w:type="auto"/>
            <w:gridSpan w:val="3"/>
            <w:shd w:val="clear" w:color="auto" w:fill="FFFFFF"/>
            <w:tcMar>
              <w:top w:w="40" w:type="dxa"/>
              <w:left w:w="20" w:type="dxa"/>
              <w:bottom w:w="40" w:type="dxa"/>
              <w:right w:w="20" w:type="dxa"/>
            </w:tcMar>
            <w:vAlign w:val="bottom"/>
          </w:tcPr>
          <w:p w14:paraId="07DCEE1C" w14:textId="77777777" w:rsidR="00AE727E" w:rsidRDefault="008433E0">
            <w:pPr>
              <w:textAlignment w:val="bottom"/>
            </w:pPr>
            <w:r>
              <w:rPr>
                <w:rFonts w:ascii="Times New Roman" w:eastAsia="宋体" w:hAnsi="Times New Roman"/>
                <w:color w:val="000000"/>
                <w:sz w:val="20"/>
                <w:szCs w:val="20"/>
              </w:rPr>
              <w:t>3.90% due August 2027</w:t>
            </w:r>
          </w:p>
        </w:tc>
        <w:tc>
          <w:tcPr>
            <w:tcW w:w="0" w:type="auto"/>
            <w:gridSpan w:val="2"/>
            <w:shd w:val="clear" w:color="auto" w:fill="FFFFFF"/>
            <w:tcMar>
              <w:top w:w="40" w:type="dxa"/>
              <w:left w:w="20" w:type="dxa"/>
              <w:bottom w:w="40" w:type="dxa"/>
              <w:right w:w="0" w:type="dxa"/>
            </w:tcMar>
            <w:vAlign w:val="bottom"/>
          </w:tcPr>
          <w:p w14:paraId="07DCEE1D" w14:textId="77777777" w:rsidR="00AE727E" w:rsidRDefault="008433E0">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07DCEE1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1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20" w14:textId="77777777" w:rsidR="00AE727E" w:rsidRDefault="008433E0">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07DCEE21" w14:textId="77777777" w:rsidR="00AE727E" w:rsidRDefault="00AE727E">
            <w:pPr>
              <w:jc w:val="right"/>
              <w:rPr>
                <w:rFonts w:ascii="宋体"/>
              </w:rPr>
            </w:pPr>
          </w:p>
        </w:tc>
      </w:tr>
      <w:tr w:rsidR="00AE727E" w14:paraId="07DCEE29" w14:textId="77777777">
        <w:tc>
          <w:tcPr>
            <w:tcW w:w="0" w:type="auto"/>
            <w:gridSpan w:val="3"/>
            <w:shd w:val="clear" w:color="auto" w:fill="CCEEFF"/>
            <w:tcMar>
              <w:top w:w="40" w:type="dxa"/>
              <w:left w:w="20" w:type="dxa"/>
              <w:bottom w:w="40" w:type="dxa"/>
              <w:right w:w="20" w:type="dxa"/>
            </w:tcMar>
            <w:vAlign w:val="bottom"/>
          </w:tcPr>
          <w:p w14:paraId="07DCEE23" w14:textId="77777777" w:rsidR="00AE727E" w:rsidRDefault="008433E0">
            <w:pPr>
              <w:textAlignment w:val="bottom"/>
            </w:pPr>
            <w:r>
              <w:rPr>
                <w:rFonts w:ascii="Times New Roman" w:eastAsia="宋体" w:hAnsi="Times New Roman"/>
                <w:color w:val="000000"/>
                <w:sz w:val="20"/>
                <w:szCs w:val="20"/>
              </w:rPr>
              <w:t>1.80% due August 2028</w:t>
            </w:r>
          </w:p>
        </w:tc>
        <w:tc>
          <w:tcPr>
            <w:tcW w:w="0" w:type="auto"/>
            <w:gridSpan w:val="2"/>
            <w:shd w:val="clear" w:color="auto" w:fill="CCEEFF"/>
            <w:tcMar>
              <w:top w:w="40" w:type="dxa"/>
              <w:left w:w="20" w:type="dxa"/>
              <w:bottom w:w="40" w:type="dxa"/>
              <w:right w:w="0" w:type="dxa"/>
            </w:tcMar>
            <w:vAlign w:val="bottom"/>
          </w:tcPr>
          <w:p w14:paraId="07DCEE24"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DCEE2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2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E27"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E28" w14:textId="77777777" w:rsidR="00AE727E" w:rsidRDefault="00AE727E">
            <w:pPr>
              <w:jc w:val="right"/>
              <w:rPr>
                <w:rFonts w:ascii="宋体"/>
              </w:rPr>
            </w:pPr>
          </w:p>
        </w:tc>
      </w:tr>
      <w:tr w:rsidR="00AE727E" w14:paraId="07DCEE30" w14:textId="77777777">
        <w:tc>
          <w:tcPr>
            <w:tcW w:w="0" w:type="auto"/>
            <w:gridSpan w:val="3"/>
            <w:shd w:val="clear" w:color="auto" w:fill="FFFFFF"/>
            <w:tcMar>
              <w:top w:w="40" w:type="dxa"/>
              <w:left w:w="20" w:type="dxa"/>
              <w:bottom w:w="40" w:type="dxa"/>
              <w:right w:w="20" w:type="dxa"/>
            </w:tcMar>
            <w:vAlign w:val="bottom"/>
          </w:tcPr>
          <w:p w14:paraId="07DCEE2A" w14:textId="77777777" w:rsidR="00AE727E" w:rsidRDefault="008433E0">
            <w:pPr>
              <w:textAlignment w:val="bottom"/>
            </w:pPr>
            <w:r>
              <w:rPr>
                <w:rFonts w:ascii="Times New Roman" w:eastAsia="宋体" w:hAnsi="Times New Roman"/>
                <w:color w:val="000000"/>
                <w:sz w:val="20"/>
                <w:szCs w:val="20"/>
              </w:rPr>
              <w:t>4.70% due May 2030</w:t>
            </w:r>
          </w:p>
        </w:tc>
        <w:tc>
          <w:tcPr>
            <w:tcW w:w="0" w:type="auto"/>
            <w:gridSpan w:val="2"/>
            <w:shd w:val="clear" w:color="auto" w:fill="FFFFFF"/>
            <w:tcMar>
              <w:top w:w="40" w:type="dxa"/>
              <w:left w:w="20" w:type="dxa"/>
              <w:bottom w:w="40" w:type="dxa"/>
              <w:right w:w="0" w:type="dxa"/>
            </w:tcMar>
            <w:vAlign w:val="bottom"/>
          </w:tcPr>
          <w:p w14:paraId="07DCEE2B"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07DCEE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2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2E"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07DCEE2F" w14:textId="77777777" w:rsidR="00AE727E" w:rsidRDefault="00AE727E">
            <w:pPr>
              <w:jc w:val="right"/>
              <w:rPr>
                <w:rFonts w:ascii="宋体"/>
              </w:rPr>
            </w:pPr>
          </w:p>
        </w:tc>
      </w:tr>
      <w:tr w:rsidR="00AE727E" w14:paraId="07DCEE37" w14:textId="77777777">
        <w:tc>
          <w:tcPr>
            <w:tcW w:w="0" w:type="auto"/>
            <w:gridSpan w:val="3"/>
            <w:shd w:val="clear" w:color="auto" w:fill="CCEEFF"/>
            <w:tcMar>
              <w:top w:w="40" w:type="dxa"/>
              <w:left w:w="20" w:type="dxa"/>
              <w:bottom w:w="40" w:type="dxa"/>
              <w:right w:w="20" w:type="dxa"/>
            </w:tcMar>
            <w:vAlign w:val="bottom"/>
          </w:tcPr>
          <w:p w14:paraId="07DCEE31" w14:textId="77777777" w:rsidR="00AE727E" w:rsidRDefault="008433E0">
            <w:pPr>
              <w:textAlignment w:val="bottom"/>
            </w:pPr>
            <w:r>
              <w:rPr>
                <w:rFonts w:ascii="Times New Roman" w:eastAsia="宋体" w:hAnsi="Times New Roman"/>
                <w:color w:val="000000"/>
                <w:sz w:val="20"/>
                <w:szCs w:val="20"/>
              </w:rPr>
              <w:t>2.20% due August 2031</w:t>
            </w:r>
          </w:p>
        </w:tc>
        <w:tc>
          <w:tcPr>
            <w:tcW w:w="0" w:type="auto"/>
            <w:gridSpan w:val="2"/>
            <w:shd w:val="clear" w:color="auto" w:fill="CCEEFF"/>
            <w:tcMar>
              <w:top w:w="40" w:type="dxa"/>
              <w:left w:w="20" w:type="dxa"/>
              <w:bottom w:w="40" w:type="dxa"/>
              <w:right w:w="0" w:type="dxa"/>
            </w:tcMar>
            <w:vAlign w:val="bottom"/>
          </w:tcPr>
          <w:p w14:paraId="07DCEE32"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07DCEE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E3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E36" w14:textId="77777777" w:rsidR="00AE727E" w:rsidRDefault="00AE727E">
            <w:pPr>
              <w:jc w:val="right"/>
              <w:rPr>
                <w:rFonts w:ascii="宋体"/>
              </w:rPr>
            </w:pPr>
          </w:p>
        </w:tc>
      </w:tr>
      <w:tr w:rsidR="00AE727E" w14:paraId="07DCEE3E" w14:textId="77777777">
        <w:tc>
          <w:tcPr>
            <w:tcW w:w="0" w:type="auto"/>
            <w:gridSpan w:val="3"/>
            <w:shd w:val="clear" w:color="auto" w:fill="FFFFFF"/>
            <w:tcMar>
              <w:top w:w="40" w:type="dxa"/>
              <w:left w:w="20" w:type="dxa"/>
              <w:bottom w:w="40" w:type="dxa"/>
              <w:right w:w="20" w:type="dxa"/>
            </w:tcMar>
            <w:vAlign w:val="bottom"/>
          </w:tcPr>
          <w:p w14:paraId="07DCEE38" w14:textId="77777777" w:rsidR="00AE727E" w:rsidRDefault="008433E0">
            <w:pPr>
              <w:textAlignment w:val="bottom"/>
            </w:pPr>
            <w:r>
              <w:rPr>
                <w:rFonts w:ascii="Times New Roman" w:eastAsia="宋体" w:hAnsi="Times New Roman"/>
                <w:b/>
                <w:bCs/>
                <w:color w:val="000000"/>
                <w:sz w:val="20"/>
                <w:szCs w:val="20"/>
              </w:rPr>
              <w:t>DFS Debt (Note 3)</w:t>
            </w:r>
          </w:p>
        </w:tc>
        <w:tc>
          <w:tcPr>
            <w:tcW w:w="0" w:type="auto"/>
            <w:gridSpan w:val="2"/>
            <w:shd w:val="clear" w:color="auto" w:fill="FFFFFF"/>
            <w:tcMar>
              <w:top w:w="40" w:type="dxa"/>
              <w:left w:w="20" w:type="dxa"/>
              <w:bottom w:w="40" w:type="dxa"/>
              <w:right w:w="0" w:type="dxa"/>
            </w:tcMar>
            <w:vAlign w:val="bottom"/>
          </w:tcPr>
          <w:p w14:paraId="07DCEE39" w14:textId="77777777" w:rsidR="00AE727E" w:rsidRDefault="008433E0">
            <w:pPr>
              <w:jc w:val="right"/>
              <w:textAlignment w:val="bottom"/>
            </w:pPr>
            <w:r>
              <w:rPr>
                <w:rFonts w:ascii="Times New Roman" w:eastAsia="宋体" w:hAnsi="Times New Roman"/>
                <w:color w:val="000000"/>
                <w:sz w:val="20"/>
                <w:szCs w:val="20"/>
              </w:rPr>
              <w:t>9,977 </w:t>
            </w:r>
          </w:p>
        </w:tc>
        <w:tc>
          <w:tcPr>
            <w:tcW w:w="0" w:type="auto"/>
            <w:shd w:val="clear" w:color="auto" w:fill="FFFFFF"/>
            <w:tcMar>
              <w:top w:w="40" w:type="dxa"/>
              <w:left w:w="0" w:type="dxa"/>
              <w:bottom w:w="40" w:type="dxa"/>
              <w:right w:w="20" w:type="dxa"/>
            </w:tcMar>
            <w:vAlign w:val="bottom"/>
          </w:tcPr>
          <w:p w14:paraId="07DCEE3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3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3C" w14:textId="77777777" w:rsidR="00AE727E" w:rsidRDefault="008433E0">
            <w:pPr>
              <w:jc w:val="right"/>
              <w:textAlignment w:val="bottom"/>
            </w:pPr>
            <w:r>
              <w:rPr>
                <w:rFonts w:ascii="Times New Roman" w:eastAsia="宋体" w:hAnsi="Times New Roman"/>
                <w:color w:val="000000"/>
                <w:sz w:val="20"/>
                <w:szCs w:val="20"/>
              </w:rPr>
              <w:t>9,666 </w:t>
            </w:r>
          </w:p>
        </w:tc>
        <w:tc>
          <w:tcPr>
            <w:tcW w:w="0" w:type="auto"/>
            <w:shd w:val="clear" w:color="auto" w:fill="FFFFFF"/>
            <w:tcMar>
              <w:top w:w="40" w:type="dxa"/>
              <w:left w:w="0" w:type="dxa"/>
              <w:bottom w:w="40" w:type="dxa"/>
              <w:right w:w="20" w:type="dxa"/>
            </w:tcMar>
            <w:vAlign w:val="bottom"/>
          </w:tcPr>
          <w:p w14:paraId="07DCEE3D" w14:textId="77777777" w:rsidR="00AE727E" w:rsidRDefault="00AE727E">
            <w:pPr>
              <w:jc w:val="right"/>
              <w:rPr>
                <w:rFonts w:ascii="宋体"/>
              </w:rPr>
            </w:pPr>
          </w:p>
        </w:tc>
      </w:tr>
      <w:tr w:rsidR="00AE727E" w14:paraId="07DCEE43" w14:textId="77777777">
        <w:tc>
          <w:tcPr>
            <w:tcW w:w="0" w:type="auto"/>
            <w:gridSpan w:val="3"/>
            <w:shd w:val="clear" w:color="auto" w:fill="CCEEFF"/>
            <w:tcMar>
              <w:top w:w="40" w:type="dxa"/>
              <w:left w:w="20" w:type="dxa"/>
              <w:bottom w:w="40" w:type="dxa"/>
              <w:right w:w="20" w:type="dxa"/>
            </w:tcMar>
            <w:vAlign w:val="bottom"/>
          </w:tcPr>
          <w:p w14:paraId="07DCEE3F" w14:textId="77777777" w:rsidR="00AE727E" w:rsidRDefault="008433E0">
            <w:pPr>
              <w:textAlignment w:val="bottom"/>
            </w:pPr>
            <w:r>
              <w:rPr>
                <w:rFonts w:ascii="Times New Roman" w:eastAsia="宋体" w:hAnsi="Times New Roman"/>
                <w:b/>
                <w:bCs/>
                <w:color w:val="000000"/>
                <w:sz w:val="20"/>
                <w:szCs w:val="20"/>
              </w:rPr>
              <w:t>Other</w:t>
            </w:r>
          </w:p>
        </w:tc>
        <w:tc>
          <w:tcPr>
            <w:tcW w:w="0" w:type="auto"/>
            <w:gridSpan w:val="3"/>
            <w:shd w:val="clear" w:color="auto" w:fill="CCEEFF"/>
            <w:tcMar>
              <w:top w:w="0" w:type="dxa"/>
              <w:left w:w="20" w:type="dxa"/>
              <w:bottom w:w="0" w:type="dxa"/>
              <w:right w:w="20" w:type="dxa"/>
            </w:tcMar>
            <w:vAlign w:val="bottom"/>
          </w:tcPr>
          <w:p w14:paraId="07DCEE4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E4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EE42" w14:textId="77777777" w:rsidR="00AE727E" w:rsidRDefault="00AE727E">
            <w:pPr>
              <w:rPr>
                <w:rFonts w:ascii="宋体"/>
              </w:rPr>
            </w:pPr>
          </w:p>
        </w:tc>
      </w:tr>
      <w:tr w:rsidR="00AE727E" w14:paraId="07DCEE4A" w14:textId="77777777">
        <w:tc>
          <w:tcPr>
            <w:tcW w:w="0" w:type="auto"/>
            <w:gridSpan w:val="3"/>
            <w:shd w:val="clear" w:color="auto" w:fill="FFFFFF"/>
            <w:tcMar>
              <w:top w:w="40" w:type="dxa"/>
              <w:left w:w="20" w:type="dxa"/>
              <w:bottom w:w="40" w:type="dxa"/>
              <w:right w:w="20" w:type="dxa"/>
            </w:tcMar>
            <w:vAlign w:val="bottom"/>
          </w:tcPr>
          <w:p w14:paraId="07DCEE44" w14:textId="77777777" w:rsidR="00AE727E" w:rsidRDefault="008433E0">
            <w:pPr>
              <w:textAlignment w:val="bottom"/>
            </w:pPr>
            <w:r>
              <w:rPr>
                <w:rFonts w:ascii="Times New Roman" w:eastAsia="宋体" w:hAnsi="Times New Roman"/>
                <w:color w:val="000000"/>
                <w:sz w:val="20"/>
                <w:szCs w:val="20"/>
              </w:rPr>
              <w:t>2.44% Margin Loan Facility due April 2022</w:t>
            </w:r>
          </w:p>
        </w:tc>
        <w:tc>
          <w:tcPr>
            <w:tcW w:w="0" w:type="auto"/>
            <w:gridSpan w:val="2"/>
            <w:shd w:val="clear" w:color="auto" w:fill="FFFFFF"/>
            <w:tcMar>
              <w:top w:w="40" w:type="dxa"/>
              <w:left w:w="20" w:type="dxa"/>
              <w:bottom w:w="40" w:type="dxa"/>
              <w:right w:w="0" w:type="dxa"/>
            </w:tcMar>
            <w:vAlign w:val="bottom"/>
          </w:tcPr>
          <w:p w14:paraId="07DCEE4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E4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4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E48" w14:textId="77777777" w:rsidR="00AE727E" w:rsidRDefault="008433E0">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07DCEE49" w14:textId="77777777" w:rsidR="00AE727E" w:rsidRDefault="00AE727E">
            <w:pPr>
              <w:jc w:val="right"/>
              <w:rPr>
                <w:rFonts w:ascii="宋体"/>
              </w:rPr>
            </w:pPr>
          </w:p>
        </w:tc>
      </w:tr>
      <w:tr w:rsidR="00AE727E" w14:paraId="07DCEE51" w14:textId="77777777">
        <w:tc>
          <w:tcPr>
            <w:tcW w:w="0" w:type="auto"/>
            <w:gridSpan w:val="3"/>
            <w:shd w:val="clear" w:color="auto" w:fill="CCEEFF"/>
            <w:tcMar>
              <w:top w:w="40" w:type="dxa"/>
              <w:left w:w="245" w:type="dxa"/>
              <w:bottom w:w="40" w:type="dxa"/>
              <w:right w:w="20" w:type="dxa"/>
            </w:tcMar>
            <w:vAlign w:val="bottom"/>
          </w:tcPr>
          <w:p w14:paraId="07DCEE4B"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7DCEE4C" w14:textId="77777777" w:rsidR="00AE727E" w:rsidRDefault="008433E0">
            <w:pPr>
              <w:jc w:val="right"/>
              <w:textAlignment w:val="bottom"/>
            </w:pPr>
            <w:r>
              <w:rPr>
                <w:rFonts w:ascii="Times New Roman" w:eastAsia="宋体" w:hAnsi="Times New Roman"/>
                <w:color w:val="000000"/>
                <w:sz w:val="20"/>
                <w:szCs w:val="20"/>
              </w:rPr>
              <w:t>400 </w:t>
            </w:r>
          </w:p>
        </w:tc>
        <w:tc>
          <w:tcPr>
            <w:tcW w:w="0" w:type="auto"/>
            <w:shd w:val="clear" w:color="auto" w:fill="CCEEFF"/>
            <w:tcMar>
              <w:top w:w="40" w:type="dxa"/>
              <w:left w:w="0" w:type="dxa"/>
              <w:bottom w:w="40" w:type="dxa"/>
              <w:right w:w="20" w:type="dxa"/>
            </w:tcMar>
            <w:vAlign w:val="bottom"/>
          </w:tcPr>
          <w:p w14:paraId="07DCEE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4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E4F" w14:textId="77777777" w:rsidR="00AE727E" w:rsidRDefault="008433E0">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07DCEE50" w14:textId="77777777" w:rsidR="00AE727E" w:rsidRDefault="00AE727E">
            <w:pPr>
              <w:jc w:val="right"/>
              <w:rPr>
                <w:rFonts w:ascii="宋体"/>
              </w:rPr>
            </w:pPr>
          </w:p>
        </w:tc>
      </w:tr>
      <w:tr w:rsidR="00AE727E" w14:paraId="07DCEE5A" w14:textId="77777777">
        <w:tc>
          <w:tcPr>
            <w:tcW w:w="0" w:type="auto"/>
            <w:gridSpan w:val="3"/>
            <w:shd w:val="clear" w:color="auto" w:fill="FFFFFF"/>
            <w:tcMar>
              <w:top w:w="40" w:type="dxa"/>
              <w:left w:w="380" w:type="dxa"/>
              <w:bottom w:w="40" w:type="dxa"/>
              <w:right w:w="20" w:type="dxa"/>
            </w:tcMar>
            <w:vAlign w:val="bottom"/>
          </w:tcPr>
          <w:p w14:paraId="07DCEE52" w14:textId="77777777" w:rsidR="00AE727E" w:rsidRDefault="008433E0">
            <w:pPr>
              <w:textAlignment w:val="bottom"/>
            </w:pPr>
            <w:r>
              <w:rPr>
                <w:rFonts w:ascii="Times New Roman" w:eastAsia="宋体" w:hAnsi="Times New Roman"/>
                <w:b/>
                <w:bCs/>
                <w:color w:val="000000"/>
                <w:sz w:val="20"/>
                <w:szCs w:val="20"/>
              </w:rPr>
              <w:t>Total debt, principal amount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E5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E54" w14:textId="77777777" w:rsidR="00AE727E" w:rsidRDefault="008433E0">
            <w:pPr>
              <w:jc w:val="right"/>
              <w:textAlignment w:val="bottom"/>
            </w:pPr>
            <w:r>
              <w:rPr>
                <w:rFonts w:ascii="Times New Roman" w:eastAsia="宋体" w:hAnsi="Times New Roman"/>
                <w:color w:val="000000"/>
                <w:sz w:val="20"/>
                <w:szCs w:val="20"/>
              </w:rPr>
              <w:t>48,458 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E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5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EE5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EE58" w14:textId="77777777" w:rsidR="00AE727E" w:rsidRDefault="008433E0">
            <w:pPr>
              <w:jc w:val="right"/>
              <w:textAlignment w:val="bottom"/>
            </w:pPr>
            <w:r>
              <w:rPr>
                <w:rFonts w:ascii="Times New Roman" w:eastAsia="宋体" w:hAnsi="Times New Roman"/>
                <w:color w:val="000000"/>
                <w:sz w:val="20"/>
                <w:szCs w:val="20"/>
              </w:rPr>
              <w:t>48,480 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EE59" w14:textId="77777777" w:rsidR="00AE727E" w:rsidRDefault="00AE727E">
            <w:pPr>
              <w:jc w:val="right"/>
              <w:rPr>
                <w:rFonts w:ascii="宋体"/>
              </w:rPr>
            </w:pPr>
          </w:p>
        </w:tc>
      </w:tr>
    </w:tbl>
    <w:p w14:paraId="07DCEE5B" w14:textId="77777777" w:rsidR="00AE727E" w:rsidRDefault="00AE727E">
      <w:pPr>
        <w:jc w:val="center"/>
      </w:pPr>
    </w:p>
    <w:p w14:paraId="07DCEE5C" w14:textId="77777777" w:rsidR="00AE727E" w:rsidRDefault="008433E0">
      <w:pPr>
        <w:jc w:val="center"/>
      </w:pPr>
      <w:r>
        <w:rPr>
          <w:rFonts w:ascii="Times New Roman" w:eastAsia="宋体" w:hAnsi="Times New Roman"/>
          <w:color w:val="000000"/>
          <w:sz w:val="20"/>
          <w:szCs w:val="20"/>
        </w:rPr>
        <w:t>28</w:t>
      </w:r>
    </w:p>
    <w:p w14:paraId="07DCEE5D" w14:textId="77777777" w:rsidR="00AE727E" w:rsidRDefault="00AE727E">
      <w:pPr>
        <w:jc w:val="center"/>
      </w:pPr>
    </w:p>
    <w:p w14:paraId="07DCEE5E" w14:textId="77777777" w:rsidR="00AE727E" w:rsidRDefault="008433E0">
      <w:r>
        <w:pict w14:anchorId="07DD18EC">
          <v:rect id="_x0000_i1052" style="width:415.3pt;height:1.5pt" o:hralign="center" o:hrstd="t" o:hr="t" fillcolor="#a0a0a0" stroked="f"/>
        </w:pict>
      </w:r>
    </w:p>
    <w:p w14:paraId="07DCEE5F" w14:textId="77777777" w:rsidR="00AE727E" w:rsidRDefault="008433E0">
      <w:hyperlink r:id="rId153" w:anchor="i1c8279be622a460ea19600488436f115_10" w:history="1">
        <w:r>
          <w:rPr>
            <w:rStyle w:val="a5"/>
            <w:rFonts w:ascii="Times New Roman" w:eastAsia="宋体" w:hAnsi="Times New Roman"/>
            <w:sz w:val="20"/>
            <w:szCs w:val="20"/>
          </w:rPr>
          <w:t>Table of Contents</w:t>
        </w:r>
      </w:hyperlink>
    </w:p>
    <w:p w14:paraId="07DCEE60"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E61"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EE62"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E63" w14:textId="77777777" w:rsidR="00AE727E" w:rsidRDefault="00AE727E">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AE727E" w14:paraId="07DCEE70" w14:textId="77777777">
        <w:tc>
          <w:tcPr>
            <w:tcW w:w="50" w:type="pct"/>
            <w:shd w:val="clear" w:color="auto" w:fill="auto"/>
            <w:vAlign w:val="bottom"/>
          </w:tcPr>
          <w:p w14:paraId="07DCEE64" w14:textId="77777777" w:rsidR="00AE727E" w:rsidRDefault="00AE727E">
            <w:pPr>
              <w:rPr>
                <w:rFonts w:ascii="宋体"/>
              </w:rPr>
            </w:pPr>
          </w:p>
        </w:tc>
        <w:tc>
          <w:tcPr>
            <w:tcW w:w="2971" w:type="pct"/>
            <w:shd w:val="clear" w:color="auto" w:fill="auto"/>
            <w:vAlign w:val="bottom"/>
          </w:tcPr>
          <w:p w14:paraId="07DCEE65" w14:textId="77777777" w:rsidR="00AE727E" w:rsidRDefault="00AE727E">
            <w:pPr>
              <w:rPr>
                <w:rFonts w:ascii="宋体"/>
              </w:rPr>
            </w:pPr>
          </w:p>
        </w:tc>
        <w:tc>
          <w:tcPr>
            <w:tcW w:w="5" w:type="pct"/>
            <w:shd w:val="clear" w:color="auto" w:fill="auto"/>
            <w:vAlign w:val="bottom"/>
          </w:tcPr>
          <w:p w14:paraId="07DCEE66" w14:textId="77777777" w:rsidR="00AE727E" w:rsidRDefault="00AE727E">
            <w:pPr>
              <w:rPr>
                <w:rFonts w:ascii="宋体"/>
              </w:rPr>
            </w:pPr>
          </w:p>
        </w:tc>
        <w:tc>
          <w:tcPr>
            <w:tcW w:w="50" w:type="pct"/>
            <w:shd w:val="clear" w:color="auto" w:fill="auto"/>
            <w:vAlign w:val="bottom"/>
          </w:tcPr>
          <w:p w14:paraId="07DCEE67" w14:textId="77777777" w:rsidR="00AE727E" w:rsidRDefault="00AE727E">
            <w:pPr>
              <w:rPr>
                <w:rFonts w:ascii="宋体"/>
              </w:rPr>
            </w:pPr>
          </w:p>
        </w:tc>
        <w:tc>
          <w:tcPr>
            <w:tcW w:w="917" w:type="pct"/>
            <w:shd w:val="clear" w:color="auto" w:fill="auto"/>
            <w:vAlign w:val="bottom"/>
          </w:tcPr>
          <w:p w14:paraId="07DCEE68" w14:textId="77777777" w:rsidR="00AE727E" w:rsidRDefault="00AE727E">
            <w:pPr>
              <w:rPr>
                <w:rFonts w:ascii="宋体"/>
              </w:rPr>
            </w:pPr>
          </w:p>
        </w:tc>
        <w:tc>
          <w:tcPr>
            <w:tcW w:w="5" w:type="pct"/>
            <w:shd w:val="clear" w:color="auto" w:fill="auto"/>
            <w:vAlign w:val="bottom"/>
          </w:tcPr>
          <w:p w14:paraId="07DCEE69" w14:textId="77777777" w:rsidR="00AE727E" w:rsidRDefault="00AE727E">
            <w:pPr>
              <w:rPr>
                <w:rFonts w:ascii="宋体"/>
              </w:rPr>
            </w:pPr>
          </w:p>
        </w:tc>
        <w:tc>
          <w:tcPr>
            <w:tcW w:w="5" w:type="pct"/>
            <w:shd w:val="clear" w:color="auto" w:fill="auto"/>
            <w:vAlign w:val="bottom"/>
          </w:tcPr>
          <w:p w14:paraId="07DCEE6A" w14:textId="77777777" w:rsidR="00AE727E" w:rsidRDefault="00AE727E">
            <w:pPr>
              <w:rPr>
                <w:rFonts w:ascii="宋体"/>
              </w:rPr>
            </w:pPr>
          </w:p>
        </w:tc>
        <w:tc>
          <w:tcPr>
            <w:tcW w:w="19" w:type="pct"/>
            <w:shd w:val="clear" w:color="auto" w:fill="auto"/>
            <w:vAlign w:val="bottom"/>
          </w:tcPr>
          <w:p w14:paraId="07DCEE6B" w14:textId="77777777" w:rsidR="00AE727E" w:rsidRDefault="00AE727E">
            <w:pPr>
              <w:rPr>
                <w:rFonts w:ascii="宋体"/>
              </w:rPr>
            </w:pPr>
          </w:p>
        </w:tc>
        <w:tc>
          <w:tcPr>
            <w:tcW w:w="5" w:type="pct"/>
            <w:shd w:val="clear" w:color="auto" w:fill="auto"/>
            <w:vAlign w:val="bottom"/>
          </w:tcPr>
          <w:p w14:paraId="07DCEE6C" w14:textId="77777777" w:rsidR="00AE727E" w:rsidRDefault="00AE727E">
            <w:pPr>
              <w:rPr>
                <w:rFonts w:ascii="宋体"/>
              </w:rPr>
            </w:pPr>
          </w:p>
        </w:tc>
        <w:tc>
          <w:tcPr>
            <w:tcW w:w="50" w:type="pct"/>
            <w:shd w:val="clear" w:color="auto" w:fill="auto"/>
            <w:vAlign w:val="bottom"/>
          </w:tcPr>
          <w:p w14:paraId="07DCEE6D" w14:textId="77777777" w:rsidR="00AE727E" w:rsidRDefault="00AE727E">
            <w:pPr>
              <w:rPr>
                <w:rFonts w:ascii="宋体"/>
              </w:rPr>
            </w:pPr>
          </w:p>
        </w:tc>
        <w:tc>
          <w:tcPr>
            <w:tcW w:w="917" w:type="pct"/>
            <w:shd w:val="clear" w:color="auto" w:fill="auto"/>
            <w:vAlign w:val="bottom"/>
          </w:tcPr>
          <w:p w14:paraId="07DCEE6E" w14:textId="77777777" w:rsidR="00AE727E" w:rsidRDefault="00AE727E">
            <w:pPr>
              <w:rPr>
                <w:rFonts w:ascii="宋体"/>
              </w:rPr>
            </w:pPr>
          </w:p>
        </w:tc>
        <w:tc>
          <w:tcPr>
            <w:tcW w:w="5" w:type="pct"/>
            <w:shd w:val="clear" w:color="auto" w:fill="auto"/>
            <w:vAlign w:val="bottom"/>
          </w:tcPr>
          <w:p w14:paraId="07DCEE6F" w14:textId="77777777" w:rsidR="00AE727E" w:rsidRDefault="00AE727E">
            <w:pPr>
              <w:rPr>
                <w:rFonts w:ascii="宋体"/>
              </w:rPr>
            </w:pPr>
          </w:p>
        </w:tc>
      </w:tr>
      <w:tr w:rsidR="00AE727E" w14:paraId="07DCEE75" w14:textId="77777777">
        <w:tc>
          <w:tcPr>
            <w:tcW w:w="0" w:type="auto"/>
            <w:gridSpan w:val="3"/>
            <w:shd w:val="clear" w:color="auto" w:fill="auto"/>
            <w:tcMar>
              <w:top w:w="0" w:type="dxa"/>
              <w:left w:w="20" w:type="dxa"/>
              <w:bottom w:w="0" w:type="dxa"/>
              <w:right w:w="20" w:type="dxa"/>
            </w:tcMar>
            <w:vAlign w:val="bottom"/>
          </w:tcPr>
          <w:p w14:paraId="07DCEE71"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EE72"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EE73"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EE74"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EE78" w14:textId="77777777">
        <w:tc>
          <w:tcPr>
            <w:tcW w:w="0" w:type="auto"/>
            <w:gridSpan w:val="3"/>
            <w:shd w:val="clear" w:color="auto" w:fill="auto"/>
            <w:tcMar>
              <w:top w:w="0" w:type="dxa"/>
              <w:left w:w="20" w:type="dxa"/>
              <w:bottom w:w="0" w:type="dxa"/>
              <w:right w:w="20" w:type="dxa"/>
            </w:tcMar>
            <w:vAlign w:val="bottom"/>
          </w:tcPr>
          <w:p w14:paraId="07DCEE76"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CEE77"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EE81" w14:textId="77777777">
        <w:tc>
          <w:tcPr>
            <w:tcW w:w="0" w:type="auto"/>
            <w:gridSpan w:val="3"/>
            <w:shd w:val="clear" w:color="auto" w:fill="CCEEFF"/>
            <w:tcMar>
              <w:top w:w="40" w:type="dxa"/>
              <w:left w:w="380" w:type="dxa"/>
              <w:bottom w:w="40" w:type="dxa"/>
              <w:right w:w="20" w:type="dxa"/>
            </w:tcMar>
            <w:vAlign w:val="center"/>
          </w:tcPr>
          <w:p w14:paraId="07DCEE79" w14:textId="77777777" w:rsidR="00AE727E" w:rsidRDefault="008433E0">
            <w:pPr>
              <w:textAlignment w:val="center"/>
            </w:pPr>
            <w:r>
              <w:rPr>
                <w:rFonts w:ascii="Times New Roman" w:eastAsia="宋体" w:hAnsi="Times New Roman"/>
                <w:b/>
                <w:bCs/>
                <w:color w:val="000000"/>
                <w:sz w:val="20"/>
                <w:szCs w:val="20"/>
              </w:rPr>
              <w:t>Total debt, principal amount</w:t>
            </w:r>
          </w:p>
        </w:tc>
        <w:tc>
          <w:tcPr>
            <w:tcW w:w="0" w:type="auto"/>
            <w:shd w:val="clear" w:color="auto" w:fill="CCEEFF"/>
            <w:tcMar>
              <w:top w:w="40" w:type="dxa"/>
              <w:left w:w="20" w:type="dxa"/>
              <w:bottom w:w="40" w:type="dxa"/>
              <w:right w:w="0" w:type="dxa"/>
            </w:tcMar>
            <w:vAlign w:val="center"/>
          </w:tcPr>
          <w:p w14:paraId="07DCEE7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E7B" w14:textId="77777777" w:rsidR="00AE727E" w:rsidRDefault="008433E0">
            <w:pPr>
              <w:jc w:val="right"/>
              <w:textAlignment w:val="center"/>
            </w:pPr>
            <w:r>
              <w:rPr>
                <w:rFonts w:ascii="Times New Roman" w:eastAsia="宋体" w:hAnsi="Times New Roman"/>
                <w:color w:val="000000"/>
                <w:sz w:val="20"/>
                <w:szCs w:val="20"/>
              </w:rPr>
              <w:t>48,458 </w:t>
            </w:r>
          </w:p>
        </w:tc>
        <w:tc>
          <w:tcPr>
            <w:tcW w:w="0" w:type="auto"/>
            <w:shd w:val="clear" w:color="auto" w:fill="CCEEFF"/>
            <w:tcMar>
              <w:top w:w="40" w:type="dxa"/>
              <w:left w:w="0" w:type="dxa"/>
              <w:bottom w:w="40" w:type="dxa"/>
              <w:right w:w="20" w:type="dxa"/>
            </w:tcMar>
            <w:vAlign w:val="center"/>
          </w:tcPr>
          <w:p w14:paraId="07DCEE7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7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EE7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EE7F" w14:textId="77777777" w:rsidR="00AE727E" w:rsidRDefault="008433E0">
            <w:pPr>
              <w:jc w:val="right"/>
              <w:textAlignment w:val="center"/>
            </w:pPr>
            <w:r>
              <w:rPr>
                <w:rFonts w:ascii="Times New Roman" w:eastAsia="宋体" w:hAnsi="Times New Roman"/>
                <w:color w:val="000000"/>
                <w:sz w:val="20"/>
                <w:szCs w:val="20"/>
              </w:rPr>
              <w:t>48,480 </w:t>
            </w:r>
          </w:p>
        </w:tc>
        <w:tc>
          <w:tcPr>
            <w:tcW w:w="0" w:type="auto"/>
            <w:shd w:val="clear" w:color="auto" w:fill="CCEEFF"/>
            <w:tcMar>
              <w:top w:w="40" w:type="dxa"/>
              <w:left w:w="0" w:type="dxa"/>
              <w:bottom w:w="40" w:type="dxa"/>
              <w:right w:w="20" w:type="dxa"/>
            </w:tcMar>
            <w:vAlign w:val="center"/>
          </w:tcPr>
          <w:p w14:paraId="07DCEE80" w14:textId="77777777" w:rsidR="00AE727E" w:rsidRDefault="00AE727E">
            <w:pPr>
              <w:jc w:val="right"/>
              <w:rPr>
                <w:rFonts w:ascii="宋体"/>
              </w:rPr>
            </w:pPr>
          </w:p>
        </w:tc>
      </w:tr>
      <w:tr w:rsidR="00AE727E" w14:paraId="07DCEE88" w14:textId="77777777">
        <w:tc>
          <w:tcPr>
            <w:tcW w:w="0" w:type="auto"/>
            <w:gridSpan w:val="3"/>
            <w:shd w:val="clear" w:color="auto" w:fill="FFFFFF"/>
            <w:tcMar>
              <w:top w:w="40" w:type="dxa"/>
              <w:left w:w="485" w:type="dxa"/>
              <w:bottom w:w="40" w:type="dxa"/>
              <w:right w:w="20" w:type="dxa"/>
            </w:tcMar>
            <w:vAlign w:val="center"/>
          </w:tcPr>
          <w:p w14:paraId="07DCEE82" w14:textId="77777777" w:rsidR="00AE727E" w:rsidRDefault="008433E0">
            <w:pPr>
              <w:textAlignment w:val="center"/>
            </w:pPr>
            <w:r>
              <w:rPr>
                <w:rFonts w:ascii="Times New Roman" w:eastAsia="宋体" w:hAnsi="Times New Roman"/>
                <w:color w:val="000000"/>
                <w:sz w:val="20"/>
                <w:szCs w:val="20"/>
              </w:rPr>
              <w:t>Unamortized discount, net of unamortized premium</w:t>
            </w:r>
          </w:p>
        </w:tc>
        <w:tc>
          <w:tcPr>
            <w:tcW w:w="0" w:type="auto"/>
            <w:gridSpan w:val="2"/>
            <w:shd w:val="clear" w:color="auto" w:fill="FFFFFF"/>
            <w:tcMar>
              <w:top w:w="40" w:type="dxa"/>
              <w:left w:w="20" w:type="dxa"/>
              <w:bottom w:w="40" w:type="dxa"/>
              <w:right w:w="0" w:type="dxa"/>
            </w:tcMar>
            <w:vAlign w:val="center"/>
          </w:tcPr>
          <w:p w14:paraId="07DCEE83" w14:textId="77777777" w:rsidR="00AE727E" w:rsidRDefault="008433E0">
            <w:pPr>
              <w:jc w:val="right"/>
              <w:textAlignment w:val="center"/>
            </w:pPr>
            <w:r>
              <w:rPr>
                <w:rFonts w:ascii="Times New Roman" w:eastAsia="宋体" w:hAnsi="Times New Roman"/>
                <w:color w:val="000000"/>
                <w:sz w:val="20"/>
                <w:szCs w:val="20"/>
              </w:rPr>
              <w:t>(175)</w:t>
            </w:r>
          </w:p>
        </w:tc>
        <w:tc>
          <w:tcPr>
            <w:tcW w:w="0" w:type="auto"/>
            <w:shd w:val="clear" w:color="auto" w:fill="FFFFFF"/>
            <w:tcMar>
              <w:top w:w="40" w:type="dxa"/>
              <w:left w:w="0" w:type="dxa"/>
              <w:bottom w:w="40" w:type="dxa"/>
              <w:right w:w="20" w:type="dxa"/>
            </w:tcMar>
            <w:vAlign w:val="center"/>
          </w:tcPr>
          <w:p w14:paraId="07DCEE8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8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EE86" w14:textId="77777777" w:rsidR="00AE727E" w:rsidRDefault="008433E0">
            <w:pPr>
              <w:jc w:val="right"/>
              <w:textAlignment w:val="center"/>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center"/>
          </w:tcPr>
          <w:p w14:paraId="07DCEE87" w14:textId="77777777" w:rsidR="00AE727E" w:rsidRDefault="00AE727E">
            <w:pPr>
              <w:jc w:val="right"/>
              <w:rPr>
                <w:rFonts w:ascii="宋体"/>
              </w:rPr>
            </w:pPr>
          </w:p>
        </w:tc>
      </w:tr>
      <w:tr w:rsidR="00AE727E" w14:paraId="07DCEE8F" w14:textId="77777777">
        <w:tc>
          <w:tcPr>
            <w:tcW w:w="0" w:type="auto"/>
            <w:gridSpan w:val="3"/>
            <w:shd w:val="clear" w:color="auto" w:fill="CCEEFF"/>
            <w:tcMar>
              <w:top w:w="40" w:type="dxa"/>
              <w:left w:w="485" w:type="dxa"/>
              <w:bottom w:w="40" w:type="dxa"/>
              <w:right w:w="20" w:type="dxa"/>
            </w:tcMar>
            <w:vAlign w:val="center"/>
          </w:tcPr>
          <w:p w14:paraId="07DCEE89" w14:textId="77777777" w:rsidR="00AE727E" w:rsidRDefault="008433E0">
            <w:pPr>
              <w:textAlignment w:val="center"/>
            </w:pPr>
            <w:r>
              <w:rPr>
                <w:rFonts w:ascii="Times New Roman" w:eastAsia="宋体" w:hAnsi="Times New Roman"/>
                <w:color w:val="000000"/>
                <w:sz w:val="20"/>
                <w:szCs w:val="20"/>
              </w:rPr>
              <w:t>Debt issuance costs</w:t>
            </w:r>
          </w:p>
        </w:tc>
        <w:tc>
          <w:tcPr>
            <w:tcW w:w="0" w:type="auto"/>
            <w:gridSpan w:val="2"/>
            <w:shd w:val="clear" w:color="auto" w:fill="CCEEFF"/>
            <w:tcMar>
              <w:top w:w="40" w:type="dxa"/>
              <w:left w:w="20" w:type="dxa"/>
              <w:bottom w:w="40" w:type="dxa"/>
              <w:right w:w="0" w:type="dxa"/>
            </w:tcMar>
            <w:vAlign w:val="center"/>
          </w:tcPr>
          <w:p w14:paraId="07DCEE8A" w14:textId="77777777" w:rsidR="00AE727E" w:rsidRDefault="008433E0">
            <w:pPr>
              <w:jc w:val="right"/>
              <w:textAlignment w:val="center"/>
            </w:pPr>
            <w:r>
              <w:rPr>
                <w:rFonts w:ascii="Times New Roman" w:eastAsia="宋体" w:hAnsi="Times New Roman"/>
                <w:color w:val="000000"/>
                <w:sz w:val="20"/>
                <w:szCs w:val="20"/>
              </w:rPr>
              <w:t>(304)</w:t>
            </w:r>
          </w:p>
        </w:tc>
        <w:tc>
          <w:tcPr>
            <w:tcW w:w="0" w:type="auto"/>
            <w:shd w:val="clear" w:color="auto" w:fill="CCEEFF"/>
            <w:tcMar>
              <w:top w:w="40" w:type="dxa"/>
              <w:left w:w="0" w:type="dxa"/>
              <w:bottom w:w="40" w:type="dxa"/>
              <w:right w:w="20" w:type="dxa"/>
            </w:tcMar>
            <w:vAlign w:val="center"/>
          </w:tcPr>
          <w:p w14:paraId="07DCEE8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8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EE8D" w14:textId="77777777" w:rsidR="00AE727E" w:rsidRDefault="008433E0">
            <w:pPr>
              <w:jc w:val="right"/>
              <w:textAlignment w:val="center"/>
            </w:pPr>
            <w:r>
              <w:rPr>
                <w:rFonts w:ascii="Times New Roman" w:eastAsia="宋体" w:hAnsi="Times New Roman"/>
                <w:color w:val="000000"/>
                <w:sz w:val="20"/>
                <w:szCs w:val="20"/>
              </w:rPr>
              <w:t>(302)</w:t>
            </w:r>
          </w:p>
        </w:tc>
        <w:tc>
          <w:tcPr>
            <w:tcW w:w="0" w:type="auto"/>
            <w:shd w:val="clear" w:color="auto" w:fill="CCEEFF"/>
            <w:tcMar>
              <w:top w:w="40" w:type="dxa"/>
              <w:left w:w="0" w:type="dxa"/>
              <w:bottom w:w="40" w:type="dxa"/>
              <w:right w:w="20" w:type="dxa"/>
            </w:tcMar>
            <w:vAlign w:val="center"/>
          </w:tcPr>
          <w:p w14:paraId="07DCEE8E" w14:textId="77777777" w:rsidR="00AE727E" w:rsidRDefault="00AE727E">
            <w:pPr>
              <w:jc w:val="right"/>
              <w:rPr>
                <w:rFonts w:ascii="宋体"/>
              </w:rPr>
            </w:pPr>
          </w:p>
        </w:tc>
      </w:tr>
      <w:tr w:rsidR="00AE727E" w14:paraId="07DCEE98" w14:textId="77777777">
        <w:tc>
          <w:tcPr>
            <w:tcW w:w="0" w:type="auto"/>
            <w:gridSpan w:val="3"/>
            <w:shd w:val="clear" w:color="auto" w:fill="FFFFFF"/>
            <w:tcMar>
              <w:top w:w="40" w:type="dxa"/>
              <w:left w:w="380" w:type="dxa"/>
              <w:bottom w:w="40" w:type="dxa"/>
              <w:right w:w="20" w:type="dxa"/>
            </w:tcMar>
            <w:vAlign w:val="center"/>
          </w:tcPr>
          <w:p w14:paraId="07DCEE90" w14:textId="77777777" w:rsidR="00AE727E" w:rsidRDefault="008433E0">
            <w:pPr>
              <w:textAlignment w:val="center"/>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debt, carrying value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CEE9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E92" w14:textId="77777777" w:rsidR="00AE727E" w:rsidRDefault="008433E0">
            <w:pPr>
              <w:jc w:val="right"/>
              <w:textAlignment w:val="center"/>
            </w:pPr>
            <w:r>
              <w:rPr>
                <w:rFonts w:ascii="Times New Roman" w:eastAsia="宋体" w:hAnsi="Times New Roman"/>
                <w:color w:val="000000"/>
                <w:sz w:val="20"/>
                <w:szCs w:val="20"/>
              </w:rPr>
              <w:t>47,979 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E9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9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CEE9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CEE96" w14:textId="77777777" w:rsidR="00AE727E" w:rsidRDefault="008433E0">
            <w:pPr>
              <w:jc w:val="right"/>
              <w:textAlignment w:val="center"/>
            </w:pPr>
            <w:r>
              <w:rPr>
                <w:rFonts w:ascii="Times New Roman" w:eastAsia="宋体" w:hAnsi="Times New Roman"/>
                <w:color w:val="000000"/>
                <w:sz w:val="20"/>
                <w:szCs w:val="20"/>
              </w:rPr>
              <w:t>47,984 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EE97" w14:textId="77777777" w:rsidR="00AE727E" w:rsidRDefault="00AE727E">
            <w:pPr>
              <w:jc w:val="right"/>
              <w:rPr>
                <w:rFonts w:ascii="宋体"/>
              </w:rPr>
            </w:pPr>
          </w:p>
        </w:tc>
      </w:tr>
      <w:tr w:rsidR="00AE727E" w14:paraId="07DCEEA1" w14:textId="77777777">
        <w:tc>
          <w:tcPr>
            <w:tcW w:w="0" w:type="auto"/>
            <w:gridSpan w:val="3"/>
            <w:shd w:val="clear" w:color="auto" w:fill="CCEEFF"/>
            <w:tcMar>
              <w:top w:w="40" w:type="dxa"/>
              <w:left w:w="515" w:type="dxa"/>
              <w:bottom w:w="40" w:type="dxa"/>
              <w:right w:w="20" w:type="dxa"/>
            </w:tcMar>
            <w:vAlign w:val="center"/>
          </w:tcPr>
          <w:p w14:paraId="07DCEE99" w14:textId="77777777" w:rsidR="00AE727E" w:rsidRDefault="008433E0">
            <w:pPr>
              <w:textAlignment w:val="center"/>
            </w:pPr>
            <w:r>
              <w:rPr>
                <w:rFonts w:ascii="Times New Roman" w:eastAsia="宋体" w:hAnsi="Times New Roman"/>
                <w:color w:val="000000"/>
                <w:sz w:val="20"/>
                <w:szCs w:val="20"/>
              </w:rPr>
              <w:t>Total short-term debt, carrying value (b)</w:t>
            </w:r>
          </w:p>
        </w:tc>
        <w:tc>
          <w:tcPr>
            <w:tcW w:w="0" w:type="auto"/>
            <w:tcBorders>
              <w:top w:val="double" w:sz="6" w:space="0" w:color="000000"/>
            </w:tcBorders>
            <w:shd w:val="clear" w:color="auto" w:fill="CCEEFF"/>
            <w:tcMar>
              <w:top w:w="40" w:type="dxa"/>
              <w:left w:w="20" w:type="dxa"/>
              <w:bottom w:w="40" w:type="dxa"/>
              <w:right w:w="0" w:type="dxa"/>
            </w:tcMar>
            <w:vAlign w:val="center"/>
          </w:tcPr>
          <w:p w14:paraId="07DCEE9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E9B" w14:textId="77777777" w:rsidR="00AE727E" w:rsidRDefault="008433E0">
            <w:pPr>
              <w:jc w:val="right"/>
              <w:textAlignment w:val="center"/>
            </w:pPr>
            <w:r>
              <w:rPr>
                <w:rFonts w:ascii="Times New Roman" w:eastAsia="宋体" w:hAnsi="Times New Roman"/>
                <w:color w:val="000000"/>
                <w:sz w:val="20"/>
                <w:szCs w:val="20"/>
              </w:rPr>
              <w:t>16,280 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E9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E9D"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07DCEE9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07DCEE9F" w14:textId="77777777" w:rsidR="00AE727E" w:rsidRDefault="008433E0">
            <w:pPr>
              <w:jc w:val="right"/>
              <w:textAlignment w:val="center"/>
            </w:pPr>
            <w:r>
              <w:rPr>
                <w:rFonts w:ascii="Times New Roman" w:eastAsia="宋体" w:hAnsi="Times New Roman"/>
                <w:color w:val="000000"/>
                <w:sz w:val="20"/>
                <w:szCs w:val="20"/>
              </w:rPr>
              <w:t>6,362 </w:t>
            </w:r>
          </w:p>
        </w:tc>
        <w:tc>
          <w:tcPr>
            <w:tcW w:w="0" w:type="auto"/>
            <w:tcBorders>
              <w:top w:val="double" w:sz="6" w:space="0" w:color="000000"/>
            </w:tcBorders>
            <w:shd w:val="clear" w:color="auto" w:fill="CCEEFF"/>
            <w:tcMar>
              <w:top w:w="40" w:type="dxa"/>
              <w:left w:w="0" w:type="dxa"/>
              <w:bottom w:w="40" w:type="dxa"/>
              <w:right w:w="20" w:type="dxa"/>
            </w:tcMar>
            <w:vAlign w:val="center"/>
          </w:tcPr>
          <w:p w14:paraId="07DCEEA0" w14:textId="77777777" w:rsidR="00AE727E" w:rsidRDefault="00AE727E">
            <w:pPr>
              <w:jc w:val="right"/>
              <w:rPr>
                <w:rFonts w:ascii="宋体"/>
              </w:rPr>
            </w:pPr>
          </w:p>
        </w:tc>
      </w:tr>
      <w:tr w:rsidR="00AE727E" w14:paraId="07DCEEAA" w14:textId="77777777">
        <w:tc>
          <w:tcPr>
            <w:tcW w:w="0" w:type="auto"/>
            <w:gridSpan w:val="3"/>
            <w:shd w:val="clear" w:color="auto" w:fill="FFFFFF"/>
            <w:tcMar>
              <w:top w:w="40" w:type="dxa"/>
              <w:left w:w="515" w:type="dxa"/>
              <w:bottom w:w="40" w:type="dxa"/>
              <w:right w:w="20" w:type="dxa"/>
            </w:tcMar>
            <w:vAlign w:val="center"/>
          </w:tcPr>
          <w:p w14:paraId="07DCEEA2" w14:textId="77777777" w:rsidR="00AE727E" w:rsidRDefault="008433E0">
            <w:pPr>
              <w:textAlignment w:val="center"/>
            </w:pPr>
            <w:r>
              <w:rPr>
                <w:rFonts w:ascii="Times New Roman" w:eastAsia="宋体" w:hAnsi="Times New Roman"/>
                <w:color w:val="000000"/>
                <w:sz w:val="20"/>
                <w:szCs w:val="20"/>
              </w:rPr>
              <w:t>Total long-term debt, carrying value</w:t>
            </w:r>
          </w:p>
        </w:tc>
        <w:tc>
          <w:tcPr>
            <w:tcW w:w="0" w:type="auto"/>
            <w:shd w:val="clear" w:color="auto" w:fill="FFFFFF"/>
            <w:tcMar>
              <w:top w:w="40" w:type="dxa"/>
              <w:left w:w="20" w:type="dxa"/>
              <w:bottom w:w="40" w:type="dxa"/>
              <w:right w:w="0" w:type="dxa"/>
            </w:tcMar>
            <w:vAlign w:val="center"/>
          </w:tcPr>
          <w:p w14:paraId="07DCEEA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EA4" w14:textId="77777777" w:rsidR="00AE727E" w:rsidRDefault="008433E0">
            <w:pPr>
              <w:jc w:val="right"/>
              <w:textAlignment w:val="center"/>
            </w:pPr>
            <w:r>
              <w:rPr>
                <w:rFonts w:ascii="Times New Roman" w:eastAsia="宋体" w:hAnsi="Times New Roman"/>
                <w:color w:val="000000"/>
                <w:sz w:val="20"/>
                <w:szCs w:val="20"/>
              </w:rPr>
              <w:t>31,699 </w:t>
            </w:r>
          </w:p>
        </w:tc>
        <w:tc>
          <w:tcPr>
            <w:tcW w:w="0" w:type="auto"/>
            <w:shd w:val="clear" w:color="auto" w:fill="FFFFFF"/>
            <w:tcMar>
              <w:top w:w="40" w:type="dxa"/>
              <w:left w:w="0" w:type="dxa"/>
              <w:bottom w:w="40" w:type="dxa"/>
              <w:right w:w="20" w:type="dxa"/>
            </w:tcMar>
            <w:vAlign w:val="center"/>
          </w:tcPr>
          <w:p w14:paraId="07DCEEA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EA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EEA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EEA8" w14:textId="77777777" w:rsidR="00AE727E" w:rsidRDefault="008433E0">
            <w:pPr>
              <w:jc w:val="right"/>
              <w:textAlignment w:val="center"/>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center"/>
          </w:tcPr>
          <w:p w14:paraId="07DCEEA9" w14:textId="77777777" w:rsidR="00AE727E" w:rsidRDefault="00AE727E">
            <w:pPr>
              <w:jc w:val="right"/>
              <w:rPr>
                <w:rFonts w:ascii="宋体"/>
              </w:rPr>
            </w:pPr>
          </w:p>
        </w:tc>
      </w:tr>
    </w:tbl>
    <w:p w14:paraId="07DCEEAB" w14:textId="77777777" w:rsidR="00AE727E" w:rsidRDefault="008433E0">
      <w:r>
        <w:rPr>
          <w:rFonts w:ascii="Times New Roman" w:eastAsia="宋体" w:hAnsi="Times New Roman"/>
          <w:color w:val="000000"/>
          <w:sz w:val="20"/>
          <w:szCs w:val="20"/>
        </w:rPr>
        <w:t>____________________</w:t>
      </w:r>
    </w:p>
    <w:p w14:paraId="07DCEEAC" w14:textId="77777777" w:rsidR="00AE727E" w:rsidRDefault="008433E0">
      <w:pPr>
        <w:ind w:hanging="360"/>
      </w:pPr>
      <w:r>
        <w:rPr>
          <w:rFonts w:ascii="Times New Roman" w:eastAsia="宋体" w:hAnsi="Times New Roman"/>
          <w:color w:val="000000"/>
          <w:sz w:val="20"/>
          <w:szCs w:val="20"/>
        </w:rPr>
        <w:t xml:space="preserve">(a)    Subsequent to October 29, 2021, the Company used the </w:t>
      </w:r>
      <w:r>
        <w:rPr>
          <w:rFonts w:ascii="Times New Roman" w:eastAsia="宋体" w:hAnsi="Times New Roman"/>
          <w:color w:val="000000"/>
          <w:sz w:val="20"/>
          <w:szCs w:val="20"/>
        </w:rPr>
        <w:t>net proceeds from its $9.3 billion pro rata share of the cash dividend received in connection with the VMware Spin-off, as well as cash on hand, to repay $3.12 billion principal amount of the 2.00% Term Loan B-2 Facility due September 2025, $3.13 billion p</w:t>
      </w:r>
      <w:r>
        <w:rPr>
          <w:rFonts w:ascii="Times New Roman" w:eastAsia="宋体" w:hAnsi="Times New Roman"/>
          <w:color w:val="000000"/>
          <w:sz w:val="20"/>
          <w:szCs w:val="20"/>
        </w:rPr>
        <w:t>rincipal amount of the 1.84% Term Loan A-6 Facility due March 2024, $1.63 billion principal amount of the 7.125% Senior Notes due June 2024, and $1.50 billion principal amount of the 5.45% First Lien Notes due June 2023.</w:t>
      </w:r>
    </w:p>
    <w:p w14:paraId="07DCEEAD" w14:textId="77777777" w:rsidR="00AE727E" w:rsidRDefault="008433E0">
      <w:pPr>
        <w:ind w:hanging="360"/>
      </w:pPr>
      <w:r>
        <w:rPr>
          <w:rFonts w:ascii="Times New Roman" w:eastAsia="宋体" w:hAnsi="Times New Roman"/>
          <w:color w:val="000000"/>
          <w:sz w:val="20"/>
          <w:szCs w:val="20"/>
        </w:rPr>
        <w:t>(b)    Given the probability of the</w:t>
      </w:r>
      <w:r>
        <w:rPr>
          <w:rFonts w:ascii="Times New Roman" w:eastAsia="宋体" w:hAnsi="Times New Roman"/>
          <w:color w:val="000000"/>
          <w:sz w:val="20"/>
          <w:szCs w:val="20"/>
        </w:rPr>
        <w:t xml:space="preserve"> close of the VMware Spin-off and the Company’s intent and ability to repay, the Company classified $9.4 billion principal amount of debt as short-term liabilities on the Condensed Consolidated Statements of Financial Position as of October 29, 2021.</w:t>
      </w:r>
    </w:p>
    <w:p w14:paraId="07DCEEAE" w14:textId="77777777" w:rsidR="00AE727E" w:rsidRDefault="00AE727E">
      <w:pPr>
        <w:ind w:hanging="360"/>
      </w:pPr>
    </w:p>
    <w:p w14:paraId="07DCEEAF" w14:textId="77777777" w:rsidR="00AE727E" w:rsidRDefault="008433E0">
      <w:r>
        <w:rPr>
          <w:rFonts w:ascii="Times New Roman" w:eastAsia="宋体" w:hAnsi="Times New Roman"/>
          <w:color w:val="000000"/>
          <w:sz w:val="20"/>
          <w:szCs w:val="20"/>
        </w:rPr>
        <w:t>During the nine months ended October 29, 2021, the net decrease in the Company’s debt balance was primarily due to:</w:t>
      </w:r>
    </w:p>
    <w:p w14:paraId="07DCEEB0"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repayment of $1.0 billion principal amount of the 3.375% EMC Notes due June 2023;</w:t>
      </w:r>
    </w:p>
    <w:p w14:paraId="07DCEEB1" w14:textId="77777777" w:rsidR="00AE727E" w:rsidRDefault="008433E0">
      <w:pPr>
        <w:ind w:hanging="360"/>
      </w:pPr>
      <w:r>
        <w:rPr>
          <w:rFonts w:ascii="Times New Roman" w:eastAsia="宋体" w:hAnsi="Times New Roman"/>
          <w:color w:val="000000"/>
          <w:sz w:val="20"/>
          <w:szCs w:val="20"/>
        </w:rPr>
        <w:t xml:space="preserve">•repayment of $4.0 billion principal amount of the 2.44% </w:t>
      </w:r>
      <w:r>
        <w:rPr>
          <w:rFonts w:ascii="Times New Roman" w:eastAsia="宋体" w:hAnsi="Times New Roman"/>
          <w:color w:val="000000"/>
          <w:sz w:val="20"/>
          <w:szCs w:val="20"/>
        </w:rPr>
        <w:t>Margin Loan Facility due April 2022;</w:t>
      </w:r>
    </w:p>
    <w:p w14:paraId="07DCEEB2" w14:textId="77777777" w:rsidR="00AE727E" w:rsidRDefault="008433E0">
      <w:pPr>
        <w:ind w:hanging="360"/>
      </w:pPr>
      <w:r>
        <w:rPr>
          <w:rFonts w:ascii="Times New Roman" w:eastAsia="宋体" w:hAnsi="Times New Roman"/>
          <w:color w:val="000000"/>
          <w:sz w:val="20"/>
          <w:szCs w:val="20"/>
        </w:rPr>
        <w:t>•repayment of $1.1 billion principal amount of the 5.875% Senior Notes due June 2021; and</w:t>
      </w:r>
    </w:p>
    <w:p w14:paraId="07DCEEB3" w14:textId="77777777" w:rsidR="00AE727E" w:rsidRDefault="008433E0">
      <w:pPr>
        <w:ind w:hanging="360"/>
      </w:pPr>
      <w:r>
        <w:rPr>
          <w:rFonts w:ascii="Times New Roman" w:eastAsia="宋体" w:hAnsi="Times New Roman"/>
          <w:color w:val="000000"/>
          <w:sz w:val="20"/>
          <w:szCs w:val="20"/>
        </w:rPr>
        <w:t>•repayment of $0.4 billion principal amount of the 4.625% Unsecured Notes due April 2021.</w:t>
      </w:r>
    </w:p>
    <w:p w14:paraId="07DCEEB4" w14:textId="77777777" w:rsidR="00AE727E" w:rsidRDefault="00AE727E"/>
    <w:p w14:paraId="07DCEEB5" w14:textId="77777777" w:rsidR="00AE727E" w:rsidRDefault="008433E0">
      <w:r>
        <w:rPr>
          <w:rFonts w:ascii="Times New Roman" w:eastAsia="宋体" w:hAnsi="Times New Roman"/>
          <w:color w:val="000000"/>
          <w:sz w:val="20"/>
          <w:szCs w:val="20"/>
        </w:rPr>
        <w:t>See Note 18 of the Notes to the Conden</w:t>
      </w:r>
      <w:r>
        <w:rPr>
          <w:rFonts w:ascii="Times New Roman" w:eastAsia="宋体" w:hAnsi="Times New Roman"/>
          <w:color w:val="000000"/>
          <w:sz w:val="20"/>
          <w:szCs w:val="20"/>
        </w:rPr>
        <w:t>sed Consolidated Financial Statements for more information about debt repayments that occurred subsequent to October 29, 2021.</w:t>
      </w:r>
    </w:p>
    <w:p w14:paraId="07DCEEB6" w14:textId="77777777" w:rsidR="00AE727E" w:rsidRDefault="00AE727E"/>
    <w:p w14:paraId="07DCEEB7" w14:textId="77777777" w:rsidR="00AE727E" w:rsidRDefault="008433E0">
      <w:r>
        <w:rPr>
          <w:rFonts w:ascii="Times New Roman" w:eastAsia="宋体" w:hAnsi="Times New Roman"/>
          <w:b/>
          <w:bCs/>
          <w:color w:val="000000"/>
          <w:sz w:val="20"/>
          <w:szCs w:val="20"/>
        </w:rPr>
        <w:t>Secured Debt</w:t>
      </w:r>
    </w:p>
    <w:p w14:paraId="07DCEEB8" w14:textId="77777777" w:rsidR="00AE727E" w:rsidRDefault="00AE727E"/>
    <w:p w14:paraId="07DCEEB9" w14:textId="77777777" w:rsidR="00AE727E" w:rsidRDefault="008433E0">
      <w:r>
        <w:rPr>
          <w:rFonts w:ascii="Times New Roman" w:eastAsia="宋体" w:hAnsi="Times New Roman"/>
          <w:i/>
          <w:iCs/>
          <w:color w:val="000000"/>
          <w:sz w:val="20"/>
          <w:szCs w:val="20"/>
        </w:rPr>
        <w:t>Senior Secured Credit Facilities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The Company has entered into a credit agreement (the “Existing Credit </w:t>
      </w:r>
      <w:r>
        <w:rPr>
          <w:rFonts w:ascii="Times New Roman" w:eastAsia="宋体" w:hAnsi="Times New Roman"/>
          <w:color w:val="000000"/>
          <w:sz w:val="20"/>
          <w:szCs w:val="20"/>
        </w:rPr>
        <w:t>Agreement”) that provides for senior secured credit facilities (the “Senior Secured Credit Facilities”) comprising (a) term loan facilities and (b) a senior secured Revolving Credit Facility, which provides for a borrowing capacity of up to $4.5 billion fo</w:t>
      </w:r>
      <w:r>
        <w:rPr>
          <w:rFonts w:ascii="Times New Roman" w:eastAsia="宋体" w:hAnsi="Times New Roman"/>
          <w:color w:val="000000"/>
          <w:sz w:val="20"/>
          <w:szCs w:val="20"/>
        </w:rPr>
        <w:t>r general corporate purposes, including capacity for up to $0.5 billion of letters of credit and for borrowings of up to $0.4 billion under swing-line loans. The Revolving Credit Facility expires December 20, 2023.</w:t>
      </w:r>
    </w:p>
    <w:p w14:paraId="07DCEEBA" w14:textId="77777777" w:rsidR="00AE727E" w:rsidRDefault="00AE727E"/>
    <w:p w14:paraId="07DCEEBB" w14:textId="77777777" w:rsidR="00AE727E" w:rsidRDefault="008433E0">
      <w:r>
        <w:rPr>
          <w:rFonts w:ascii="Times New Roman" w:eastAsia="宋体" w:hAnsi="Times New Roman"/>
          <w:color w:val="000000"/>
          <w:sz w:val="20"/>
          <w:szCs w:val="20"/>
        </w:rPr>
        <w:t>As of October 29, 2021, available borrow</w:t>
      </w:r>
      <w:r>
        <w:rPr>
          <w:rFonts w:ascii="Times New Roman" w:eastAsia="宋体" w:hAnsi="Times New Roman"/>
          <w:color w:val="000000"/>
          <w:sz w:val="20"/>
          <w:szCs w:val="20"/>
        </w:rPr>
        <w:t>ings under the Revolving Credit Facility totaled $4.5 billion. The Senior Secured Credit Facilities provide that the borrowers have the right at any time, subject to customary conditions, to request incremental term loans or incremental revolving commitmen</w:t>
      </w:r>
      <w:r>
        <w:rPr>
          <w:rFonts w:ascii="Times New Roman" w:eastAsia="宋体" w:hAnsi="Times New Roman"/>
          <w:color w:val="000000"/>
          <w:sz w:val="20"/>
          <w:szCs w:val="20"/>
        </w:rPr>
        <w:t>ts.</w:t>
      </w:r>
    </w:p>
    <w:p w14:paraId="07DCEEBC" w14:textId="77777777" w:rsidR="00AE727E" w:rsidRDefault="00AE727E"/>
    <w:p w14:paraId="07DCEEBD" w14:textId="77777777" w:rsidR="00AE727E" w:rsidRDefault="008433E0">
      <w:r>
        <w:rPr>
          <w:rFonts w:ascii="Times New Roman" w:eastAsia="宋体" w:hAnsi="Times New Roman"/>
          <w:color w:val="000000"/>
          <w:sz w:val="20"/>
          <w:szCs w:val="20"/>
        </w:rPr>
        <w:t>On February 18, 2021, the Company entered into an eighth refinancing amendment to the credit agreement for the Senior Secured Credit Facilities to refinance the existing term B loans (the “Original Term B Loans”) with a new term loan B facility consis</w:t>
      </w:r>
      <w:r>
        <w:rPr>
          <w:rFonts w:ascii="Times New Roman" w:eastAsia="宋体" w:hAnsi="Times New Roman"/>
          <w:color w:val="000000"/>
          <w:sz w:val="20"/>
          <w:szCs w:val="20"/>
        </w:rPr>
        <w:t>ting of an aggregate principal amount of $3.1 billion refinancing term B-2 loans (the “Refinancing Term B-2 Loans”) maturing on September 19, 2025. Proceeds from the Refinancing Term B-2 Loans, together with other funds available to the borrowers, were use</w:t>
      </w:r>
      <w:r>
        <w:rPr>
          <w:rFonts w:ascii="Times New Roman" w:eastAsia="宋体" w:hAnsi="Times New Roman"/>
          <w:color w:val="000000"/>
          <w:sz w:val="20"/>
          <w:szCs w:val="20"/>
        </w:rPr>
        <w:t>d to repay in full the Original Term B Loans and all accrued and unpaid fees in respect thereof.</w:t>
      </w:r>
    </w:p>
    <w:p w14:paraId="07DCEEBE" w14:textId="77777777" w:rsidR="00AE727E" w:rsidRDefault="00AE727E"/>
    <w:p w14:paraId="07DCEEBF" w14:textId="77777777" w:rsidR="00AE727E" w:rsidRDefault="008433E0">
      <w:r>
        <w:rPr>
          <w:rFonts w:ascii="Times New Roman" w:eastAsia="宋体" w:hAnsi="Times New Roman"/>
          <w:color w:val="000000"/>
          <w:sz w:val="20"/>
          <w:szCs w:val="20"/>
        </w:rPr>
        <w:t>Except for a change in the interest rate, the Refinancing Term B-2 Loans have substantially the same terms as the Original Term B Loans under the sixth refina</w:t>
      </w:r>
      <w:r>
        <w:rPr>
          <w:rFonts w:ascii="Times New Roman" w:eastAsia="宋体" w:hAnsi="Times New Roman"/>
          <w:color w:val="000000"/>
          <w:sz w:val="20"/>
          <w:szCs w:val="20"/>
        </w:rPr>
        <w:t>ncing amendment to the Senior Secured Credit Agreement. Amortization payments on the Refinancing Term B-2 Loans are equal to 0.25% of the aggregate principal amount of Refinancing Term B-2 Loans outstanding on the effective date of the eighth refinancing a</w:t>
      </w:r>
      <w:r>
        <w:rPr>
          <w:rFonts w:ascii="Times New Roman" w:eastAsia="宋体" w:hAnsi="Times New Roman"/>
          <w:color w:val="000000"/>
          <w:sz w:val="20"/>
          <w:szCs w:val="20"/>
        </w:rPr>
        <w:t xml:space="preserve">mendment, payable at the end of each fiscal quarter, commencing with the fiscal quarter ended April 30, 2021. </w:t>
      </w:r>
    </w:p>
    <w:p w14:paraId="07DCEEC0" w14:textId="77777777" w:rsidR="00AE727E" w:rsidRDefault="00AE727E"/>
    <w:p w14:paraId="07DCEEC1" w14:textId="77777777" w:rsidR="00AE727E" w:rsidRDefault="008433E0">
      <w:r>
        <w:rPr>
          <w:rFonts w:ascii="Times New Roman" w:eastAsia="宋体" w:hAnsi="Times New Roman"/>
          <w:color w:val="000000"/>
          <w:sz w:val="20"/>
          <w:szCs w:val="20"/>
        </w:rPr>
        <w:t>Borrowings under the Senior Secured Credit Facilities bear interest at a rate per annum equal to an applicable margin, plus, at the borrowers’ o</w:t>
      </w:r>
      <w:r>
        <w:rPr>
          <w:rFonts w:ascii="Times New Roman" w:eastAsia="宋体" w:hAnsi="Times New Roman"/>
          <w:color w:val="000000"/>
          <w:sz w:val="20"/>
          <w:szCs w:val="20"/>
        </w:rPr>
        <w:t xml:space="preserve">ption, either (a) a base rate, or (b) the London Interbank Offered Rate (“LIBOR”). The Term Loan A-6 Facility </w:t>
      </w:r>
    </w:p>
    <w:p w14:paraId="07DCEEC2" w14:textId="77777777" w:rsidR="00AE727E" w:rsidRDefault="00AE727E">
      <w:pPr>
        <w:jc w:val="center"/>
      </w:pPr>
    </w:p>
    <w:p w14:paraId="07DCEEC3" w14:textId="77777777" w:rsidR="00AE727E" w:rsidRDefault="008433E0">
      <w:pPr>
        <w:jc w:val="center"/>
      </w:pPr>
      <w:r>
        <w:rPr>
          <w:rFonts w:ascii="Times New Roman" w:eastAsia="宋体" w:hAnsi="Times New Roman"/>
          <w:color w:val="000000"/>
          <w:sz w:val="20"/>
          <w:szCs w:val="20"/>
        </w:rPr>
        <w:t>29</w:t>
      </w:r>
    </w:p>
    <w:p w14:paraId="07DCEEC4" w14:textId="77777777" w:rsidR="00AE727E" w:rsidRDefault="00AE727E">
      <w:pPr>
        <w:jc w:val="center"/>
      </w:pPr>
    </w:p>
    <w:p w14:paraId="07DCEEC5" w14:textId="77777777" w:rsidR="00AE727E" w:rsidRDefault="008433E0">
      <w:r>
        <w:pict w14:anchorId="07DD18ED">
          <v:rect id="_x0000_i1053" style="width:415.3pt;height:1.5pt" o:hralign="center" o:hrstd="t" o:hr="t" fillcolor="#a0a0a0" stroked="f"/>
        </w:pict>
      </w:r>
    </w:p>
    <w:p w14:paraId="07DCEEC6" w14:textId="77777777" w:rsidR="00AE727E" w:rsidRDefault="008433E0">
      <w:hyperlink r:id="rId154" w:anchor="i1c8279be622a460ea19600488436f115_10" w:history="1">
        <w:r>
          <w:rPr>
            <w:rStyle w:val="a5"/>
            <w:rFonts w:ascii="Times New Roman" w:eastAsia="宋体" w:hAnsi="Times New Roman"/>
            <w:sz w:val="20"/>
            <w:szCs w:val="20"/>
          </w:rPr>
          <w:t>Table of Contents</w:t>
        </w:r>
      </w:hyperlink>
    </w:p>
    <w:p w14:paraId="07DCEEC7"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EC8"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EC9"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ECA" w14:textId="77777777" w:rsidR="00AE727E" w:rsidRDefault="00AE727E">
      <w:pPr>
        <w:jc w:val="center"/>
      </w:pPr>
    </w:p>
    <w:p w14:paraId="07DCEECB" w14:textId="77777777" w:rsidR="00AE727E" w:rsidRDefault="008433E0">
      <w:r>
        <w:rPr>
          <w:rFonts w:ascii="Times New Roman" w:eastAsia="宋体" w:hAnsi="Times New Roman"/>
          <w:color w:val="000000"/>
          <w:sz w:val="20"/>
          <w:szCs w:val="20"/>
        </w:rPr>
        <w:t xml:space="preserve">bears interest at LIBOR plus an applicable margin ranging from 1.25% to 2.00% or a base rate plus an </w:t>
      </w:r>
      <w:r>
        <w:rPr>
          <w:rFonts w:ascii="Times New Roman" w:eastAsia="宋体" w:hAnsi="Times New Roman"/>
          <w:color w:val="000000"/>
          <w:sz w:val="20"/>
          <w:szCs w:val="20"/>
        </w:rPr>
        <w:t>applicable margin ranging from 0.25% to 1.00%. The Refinancing Term B-2 Loans bear interest at LIBOR plus an applicable margin of 1.75% or a base rate plus an applicable margin of 0.75%. Interest is payable, in the case of loans bearing interest based on L</w:t>
      </w:r>
      <w:r>
        <w:rPr>
          <w:rFonts w:ascii="Times New Roman" w:eastAsia="宋体" w:hAnsi="Times New Roman"/>
          <w:color w:val="000000"/>
          <w:sz w:val="20"/>
          <w:szCs w:val="20"/>
        </w:rPr>
        <w:t>IBOR, at the end of each interest period (but at least every three months), in arrears and, in the case of loans bearing interest based on the base rate, quarterly in arrears.</w:t>
      </w:r>
    </w:p>
    <w:p w14:paraId="07DCEECC" w14:textId="77777777" w:rsidR="00AE727E" w:rsidRDefault="00AE727E"/>
    <w:p w14:paraId="07DCEECD" w14:textId="77777777" w:rsidR="00AE727E" w:rsidRDefault="008433E0">
      <w:r>
        <w:rPr>
          <w:rFonts w:ascii="Times New Roman" w:eastAsia="宋体" w:hAnsi="Times New Roman"/>
          <w:color w:val="000000"/>
          <w:sz w:val="20"/>
          <w:szCs w:val="20"/>
        </w:rPr>
        <w:t>The Term Loan A-6 Facility amortizes in equal quarterly installments in aggrega</w:t>
      </w:r>
      <w:r>
        <w:rPr>
          <w:rFonts w:ascii="Times New Roman" w:eastAsia="宋体" w:hAnsi="Times New Roman"/>
          <w:color w:val="000000"/>
          <w:sz w:val="20"/>
          <w:szCs w:val="20"/>
        </w:rPr>
        <w:t>te annual amounts equal to 5% of the original principal amount in each of the first four years after the facility closing date of March 13, 2019, and 80% of the original principal amount in the fifth year after March 13, 2019. The Revolving Credit Facility</w:t>
      </w:r>
      <w:r>
        <w:rPr>
          <w:rFonts w:ascii="Times New Roman" w:eastAsia="宋体" w:hAnsi="Times New Roman"/>
          <w:color w:val="000000"/>
          <w:sz w:val="20"/>
          <w:szCs w:val="20"/>
        </w:rPr>
        <w:t xml:space="preserve"> has no amortization. </w:t>
      </w:r>
    </w:p>
    <w:p w14:paraId="07DCEECE" w14:textId="77777777" w:rsidR="00AE727E" w:rsidRDefault="00AE727E"/>
    <w:p w14:paraId="07DCEECF" w14:textId="77777777" w:rsidR="00AE727E" w:rsidRDefault="008433E0">
      <w:r>
        <w:rPr>
          <w:rFonts w:ascii="Times New Roman" w:eastAsia="宋体" w:hAnsi="Times New Roman"/>
          <w:color w:val="000000"/>
          <w:sz w:val="20"/>
          <w:szCs w:val="20"/>
        </w:rPr>
        <w:t xml:space="preserve">The borrowers may voluntarily repay outstanding loans under the term loan facilities and the Revolving Credit Facility at any time without premium or penalty, other than customary “breakage” costs. </w:t>
      </w:r>
    </w:p>
    <w:p w14:paraId="07DCEED0" w14:textId="77777777" w:rsidR="00AE727E" w:rsidRDefault="00AE727E"/>
    <w:p w14:paraId="07DCEED1" w14:textId="77777777" w:rsidR="00AE727E" w:rsidRDefault="008433E0">
      <w:r>
        <w:rPr>
          <w:rFonts w:ascii="Times New Roman" w:eastAsia="宋体" w:hAnsi="Times New Roman"/>
          <w:color w:val="000000"/>
          <w:sz w:val="20"/>
          <w:szCs w:val="20"/>
        </w:rPr>
        <w:t>All obligations of the borrowers</w:t>
      </w:r>
      <w:r>
        <w:rPr>
          <w:rFonts w:ascii="Times New Roman" w:eastAsia="宋体" w:hAnsi="Times New Roman"/>
          <w:color w:val="000000"/>
          <w:sz w:val="20"/>
          <w:szCs w:val="20"/>
        </w:rPr>
        <w:t xml:space="preserve"> under the Senior Secured Credit Facilities and certain swap agreements, cash management arrangements, and certain letters of credit provided by any lender or agent party to the Senior Secured Credit Facilities or any of its affiliates and certain other pe</w:t>
      </w:r>
      <w:r>
        <w:rPr>
          <w:rFonts w:ascii="Times New Roman" w:eastAsia="宋体" w:hAnsi="Times New Roman"/>
          <w:color w:val="000000"/>
          <w:sz w:val="20"/>
          <w:szCs w:val="20"/>
        </w:rPr>
        <w:t>rsons are secured by (a) a first-priority security interest in certain tangible and intangible assets of the borrowers and the guarantors and (b) a first-priority pledge of 100% of the capital stock of the borrowers, Dell Inc., a wholly-owned subsidiary of</w:t>
      </w:r>
      <w:r>
        <w:rPr>
          <w:rFonts w:ascii="Times New Roman" w:eastAsia="宋体" w:hAnsi="Times New Roman"/>
          <w:color w:val="000000"/>
          <w:sz w:val="20"/>
          <w:szCs w:val="20"/>
        </w:rPr>
        <w:t xml:space="preserve"> the Company (</w:t>
      </w:r>
      <w:r>
        <w:rPr>
          <w:rFonts w:ascii="Times New Roman" w:eastAsia="宋体" w:hAnsi="Times New Roman"/>
          <w:color w:val="000000"/>
          <w:sz w:val="18"/>
          <w:szCs w:val="18"/>
        </w:rPr>
        <w:t>“</w:t>
      </w:r>
      <w:r>
        <w:rPr>
          <w:rFonts w:ascii="Times New Roman" w:eastAsia="宋体" w:hAnsi="Times New Roman"/>
          <w:color w:val="000000"/>
          <w:sz w:val="20"/>
          <w:szCs w:val="20"/>
        </w:rPr>
        <w:t>Dell</w:t>
      </w:r>
      <w:r>
        <w:rPr>
          <w:rFonts w:ascii="Times New Roman" w:eastAsia="宋体" w:hAnsi="Times New Roman"/>
          <w:color w:val="000000"/>
          <w:sz w:val="18"/>
          <w:szCs w:val="18"/>
        </w:rPr>
        <w:t>”</w:t>
      </w:r>
      <w:r>
        <w:rPr>
          <w:rFonts w:ascii="Times New Roman" w:eastAsia="宋体" w:hAnsi="Times New Roman"/>
          <w:color w:val="000000"/>
          <w:sz w:val="20"/>
          <w:szCs w:val="20"/>
        </w:rPr>
        <w:t>), and each wholly-owned material restricted subsidiary of the borrowers and the guarantors, in each case subject to certain thresholds, exceptions, and permitted liens.</w:t>
      </w:r>
    </w:p>
    <w:p w14:paraId="07DCEED2" w14:textId="77777777" w:rsidR="00AE727E" w:rsidRDefault="00AE727E"/>
    <w:p w14:paraId="07DCEED3" w14:textId="77777777" w:rsidR="00AE727E" w:rsidRDefault="008433E0">
      <w:r>
        <w:rPr>
          <w:rFonts w:ascii="Times New Roman" w:eastAsia="宋体" w:hAnsi="Times New Roman"/>
          <w:color w:val="000000"/>
          <w:sz w:val="20"/>
          <w:szCs w:val="20"/>
        </w:rPr>
        <w:t xml:space="preserve">Subsequent to October 29, 2021, the Company repaid the </w:t>
      </w:r>
      <w:r>
        <w:rPr>
          <w:rFonts w:ascii="Times New Roman" w:eastAsia="宋体" w:hAnsi="Times New Roman"/>
          <w:color w:val="000000"/>
          <w:sz w:val="20"/>
          <w:szCs w:val="20"/>
        </w:rPr>
        <w:t>remaining $3.12 billion principal amount of the Term B-2 Loans and the remaining $3.13 billion principal amount of the Term Loan A-6 Facility. On November 1, 2021, the Company entered into a new senior secured Revolving Credit Facility (the “2021 Revolving</w:t>
      </w:r>
      <w:r>
        <w:rPr>
          <w:rFonts w:ascii="Times New Roman" w:eastAsia="宋体" w:hAnsi="Times New Roman"/>
          <w:color w:val="000000"/>
          <w:sz w:val="20"/>
          <w:szCs w:val="20"/>
        </w:rPr>
        <w:t xml:space="preserve"> Credit Facility”) to replace the old senior secured Revolving Credit Facility under the Existing Credit Agreement. Following the full redemption of the outstanding term loan facilities and placement of the Revolving Credit Facility, the Existing Credit Ag</w:t>
      </w:r>
      <w:r>
        <w:rPr>
          <w:rFonts w:ascii="Times New Roman" w:eastAsia="宋体" w:hAnsi="Times New Roman"/>
          <w:color w:val="000000"/>
          <w:sz w:val="20"/>
          <w:szCs w:val="20"/>
        </w:rPr>
        <w:t>reement was terminated. See Note 18 of the Notes to the Condensed Consolidated Financial Statements for more information.</w:t>
      </w:r>
    </w:p>
    <w:p w14:paraId="07DCEED4" w14:textId="77777777" w:rsidR="00AE727E" w:rsidRDefault="00AE727E"/>
    <w:p w14:paraId="07DCEED5" w14:textId="77777777" w:rsidR="00AE727E" w:rsidRDefault="008433E0">
      <w:r>
        <w:rPr>
          <w:rFonts w:ascii="Times New Roman" w:eastAsia="宋体" w:hAnsi="Times New Roman"/>
          <w:i/>
          <w:iCs/>
          <w:color w:val="000000"/>
          <w:sz w:val="20"/>
          <w:szCs w:val="20"/>
        </w:rPr>
        <w:t xml:space="preserve">First Lien Notes </w:t>
      </w:r>
      <w:r>
        <w:rPr>
          <w:rFonts w:ascii="Times New Roman" w:eastAsia="宋体" w:hAnsi="Times New Roman"/>
          <w:color w:val="000000"/>
          <w:sz w:val="20"/>
          <w:szCs w:val="20"/>
        </w:rPr>
        <w:t>— Dell International L.L.C. and EMC Corporation (collectively, the “Issuers”), both of which are wholly-owned subsid</w:t>
      </w:r>
      <w:r>
        <w:rPr>
          <w:rFonts w:ascii="Times New Roman" w:eastAsia="宋体" w:hAnsi="Times New Roman"/>
          <w:color w:val="000000"/>
          <w:sz w:val="20"/>
          <w:szCs w:val="20"/>
        </w:rPr>
        <w:t>iaries of Dell Technologies Inc., completed offerings of multiple series of senior secured notes (collectively, the “First Lien Notes”) pursuant to Rule 144A and Regulation S. Various series of the First Lien Notes were issued on June 1, 2016, March 20, 20</w:t>
      </w:r>
      <w:r>
        <w:rPr>
          <w:rFonts w:ascii="Times New Roman" w:eastAsia="宋体" w:hAnsi="Times New Roman"/>
          <w:color w:val="000000"/>
          <w:sz w:val="20"/>
          <w:szCs w:val="20"/>
        </w:rPr>
        <w:t>19, and April 9, 2020 in aggregate principal amounts of $20.0 billion, $4.5 billion, and $2.25 billion, respectively. Interest on the First Lien Notes is payable semiannually. The First Lien Notes are secured on an equal and ratable basis with the Senior S</w:t>
      </w:r>
      <w:r>
        <w:rPr>
          <w:rFonts w:ascii="Times New Roman" w:eastAsia="宋体" w:hAnsi="Times New Roman"/>
          <w:color w:val="000000"/>
          <w:sz w:val="20"/>
          <w:szCs w:val="20"/>
        </w:rPr>
        <w:t>ecured Credit Facilities by substantially all of the tangible and intangible assets of the issuers and guarantors that secure obligations under the Senior Secured Credit Facilities, including pledges of all capital stock of the issuers, Dell, and certain w</w:t>
      </w:r>
      <w:r>
        <w:rPr>
          <w:rFonts w:ascii="Times New Roman" w:eastAsia="宋体" w:hAnsi="Times New Roman"/>
          <w:color w:val="000000"/>
          <w:sz w:val="20"/>
          <w:szCs w:val="20"/>
        </w:rPr>
        <w:t>holly-owned material subsidiaries of the issuers and the guarantors, subject to certain exceptions.</w:t>
      </w:r>
    </w:p>
    <w:p w14:paraId="07DCEED6" w14:textId="77777777" w:rsidR="00AE727E" w:rsidRDefault="00AE727E"/>
    <w:p w14:paraId="07DCEED7" w14:textId="77777777" w:rsidR="00AE727E" w:rsidRDefault="008433E0">
      <w:r>
        <w:rPr>
          <w:rFonts w:ascii="Times New Roman" w:eastAsia="宋体" w:hAnsi="Times New Roman"/>
          <w:color w:val="000000"/>
          <w:sz w:val="20"/>
          <w:szCs w:val="20"/>
        </w:rPr>
        <w:t>In June 2021, Dell International L.L.C and EMC Corporation completed the previously announced offers to exchange any and all outstanding First Lien Notes f</w:t>
      </w:r>
      <w:r>
        <w:rPr>
          <w:rFonts w:ascii="Times New Roman" w:eastAsia="宋体" w:hAnsi="Times New Roman"/>
          <w:color w:val="000000"/>
          <w:sz w:val="20"/>
          <w:szCs w:val="20"/>
        </w:rPr>
        <w:t xml:space="preserve">or registered first lien notes having terms substantially identical to the terms of the First Lien Notes. The Issuers issued an aggregate $18.4 billion principal amount of registered first lien notes in exchange for the same principal amount of First Lien </w:t>
      </w:r>
      <w:r>
        <w:rPr>
          <w:rFonts w:ascii="Times New Roman" w:eastAsia="宋体" w:hAnsi="Times New Roman"/>
          <w:color w:val="000000"/>
          <w:sz w:val="20"/>
          <w:szCs w:val="20"/>
        </w:rPr>
        <w:t>Notes. The aggregate principal amount of unregistered First Lien Notes remaining outstanding following the settlement of the exchange offers was approximately $0.1 billion. Following the exchange offer, such registered first lien notes, together with the r</w:t>
      </w:r>
      <w:r>
        <w:rPr>
          <w:rFonts w:ascii="Times New Roman" w:eastAsia="宋体" w:hAnsi="Times New Roman"/>
          <w:color w:val="000000"/>
          <w:sz w:val="20"/>
          <w:szCs w:val="20"/>
        </w:rPr>
        <w:t xml:space="preserve">emaining unregistered First Lien Notes, are collectively referred to as “First Lien Notes” in these Notes to the Condensed Consolidated Financial Statements. </w:t>
      </w:r>
    </w:p>
    <w:p w14:paraId="07DCEED8" w14:textId="77777777" w:rsidR="00AE727E" w:rsidRDefault="00AE727E"/>
    <w:p w14:paraId="07DCEED9" w14:textId="77777777" w:rsidR="00AE727E" w:rsidRDefault="008433E0">
      <w:r>
        <w:rPr>
          <w:rFonts w:ascii="Times New Roman" w:eastAsia="宋体" w:hAnsi="Times New Roman"/>
          <w:color w:val="000000"/>
          <w:sz w:val="20"/>
          <w:szCs w:val="20"/>
        </w:rPr>
        <w:t>Subsequent to October 29, 2021, the Company repaid $1.5 billion principal amount of First Lien N</w:t>
      </w:r>
      <w:r>
        <w:rPr>
          <w:rFonts w:ascii="Times New Roman" w:eastAsia="宋体" w:hAnsi="Times New Roman"/>
          <w:color w:val="000000"/>
          <w:sz w:val="20"/>
          <w:szCs w:val="20"/>
        </w:rPr>
        <w:t>otes. Further, in conjunction with the termination of the Existing Credit Agreement, the tangible and intangible assets of the issuers and guarantors that secure obligations under the Senior Secured Credit Facilities were released as collateral and the Fir</w:t>
      </w:r>
      <w:r>
        <w:rPr>
          <w:rFonts w:ascii="Times New Roman" w:eastAsia="宋体" w:hAnsi="Times New Roman"/>
          <w:color w:val="000000"/>
          <w:sz w:val="20"/>
          <w:szCs w:val="20"/>
        </w:rPr>
        <w:t>st Lien Notes became fully unsecured. See Note 18 of the Notes to the Condensed Consolidated Financial Statements for more information about the First Lien Notes principal repayment subsequent to October 29, 2021.</w:t>
      </w:r>
    </w:p>
    <w:p w14:paraId="07DCEEDA" w14:textId="77777777" w:rsidR="00AE727E" w:rsidRDefault="00AE727E"/>
    <w:p w14:paraId="07DCEEDB" w14:textId="77777777" w:rsidR="00AE727E" w:rsidRDefault="008433E0">
      <w:r>
        <w:rPr>
          <w:rFonts w:ascii="Times New Roman" w:eastAsia="宋体" w:hAnsi="Times New Roman"/>
          <w:b/>
          <w:bCs/>
          <w:color w:val="000000"/>
          <w:sz w:val="20"/>
          <w:szCs w:val="20"/>
        </w:rPr>
        <w:t>Unsecured Debt</w:t>
      </w:r>
    </w:p>
    <w:p w14:paraId="07DCEEDC" w14:textId="77777777" w:rsidR="00AE727E" w:rsidRDefault="00AE727E"/>
    <w:p w14:paraId="07DCEEDD" w14:textId="77777777" w:rsidR="00AE727E" w:rsidRDefault="008433E0">
      <w:r>
        <w:rPr>
          <w:rFonts w:ascii="Times New Roman" w:eastAsia="宋体" w:hAnsi="Times New Roman"/>
          <w:i/>
          <w:iCs/>
          <w:color w:val="000000"/>
          <w:sz w:val="20"/>
          <w:szCs w:val="20"/>
        </w:rPr>
        <w:t>Unsecured Notes and Deben</w:t>
      </w:r>
      <w:r>
        <w:rPr>
          <w:rFonts w:ascii="Times New Roman" w:eastAsia="宋体" w:hAnsi="Times New Roman"/>
          <w:i/>
          <w:iCs/>
          <w:color w:val="000000"/>
          <w:sz w:val="20"/>
          <w:szCs w:val="20"/>
        </w:rPr>
        <w:t>tures</w:t>
      </w:r>
      <w:r>
        <w:rPr>
          <w:rFonts w:ascii="Times New Roman" w:eastAsia="宋体" w:hAnsi="Times New Roman"/>
          <w:color w:val="000000"/>
          <w:sz w:val="20"/>
          <w:szCs w:val="20"/>
        </w:rPr>
        <w:t xml:space="preserve"> — The Company has outstanding unsecured notes and debentures (collectively, the “Unsecured Notes and Debentures”) that were issued by Dell prior to the acquisition of Dell by Dell Technologies Inc. in the going-private transaction that closed in Octo</w:t>
      </w:r>
      <w:r>
        <w:rPr>
          <w:rFonts w:ascii="Times New Roman" w:eastAsia="宋体" w:hAnsi="Times New Roman"/>
          <w:color w:val="000000"/>
          <w:sz w:val="20"/>
          <w:szCs w:val="20"/>
        </w:rPr>
        <w:t>ber 2013. Interest on outstanding borrowings is payable semiannually.</w:t>
      </w:r>
    </w:p>
    <w:p w14:paraId="07DCEEDE" w14:textId="77777777" w:rsidR="00AE727E" w:rsidRDefault="00AE727E"/>
    <w:p w14:paraId="07DCEEDF" w14:textId="77777777" w:rsidR="00AE727E" w:rsidRDefault="00AE727E">
      <w:pPr>
        <w:jc w:val="center"/>
      </w:pPr>
    </w:p>
    <w:p w14:paraId="07DCEEE0" w14:textId="77777777" w:rsidR="00AE727E" w:rsidRDefault="008433E0">
      <w:pPr>
        <w:jc w:val="center"/>
      </w:pPr>
      <w:r>
        <w:rPr>
          <w:rFonts w:ascii="Times New Roman" w:eastAsia="宋体" w:hAnsi="Times New Roman"/>
          <w:color w:val="000000"/>
          <w:sz w:val="20"/>
          <w:szCs w:val="20"/>
        </w:rPr>
        <w:t>30</w:t>
      </w:r>
    </w:p>
    <w:p w14:paraId="07DCEEE1" w14:textId="77777777" w:rsidR="00AE727E" w:rsidRDefault="00AE727E">
      <w:pPr>
        <w:jc w:val="center"/>
      </w:pPr>
    </w:p>
    <w:p w14:paraId="07DCEEE2" w14:textId="77777777" w:rsidR="00AE727E" w:rsidRDefault="008433E0">
      <w:r>
        <w:pict w14:anchorId="07DD18EE">
          <v:rect id="_x0000_i1054" style="width:415.3pt;height:1.5pt" o:hralign="center" o:hrstd="t" o:hr="t" fillcolor="#a0a0a0" stroked="f"/>
        </w:pict>
      </w:r>
    </w:p>
    <w:p w14:paraId="07DCEEE3" w14:textId="77777777" w:rsidR="00AE727E" w:rsidRDefault="008433E0">
      <w:hyperlink r:id="rId155" w:anchor="i1c8279be622a460ea19600488436f115_10" w:history="1">
        <w:r>
          <w:rPr>
            <w:rStyle w:val="a5"/>
            <w:rFonts w:ascii="Times New Roman" w:eastAsia="宋体" w:hAnsi="Times New Roman"/>
            <w:sz w:val="20"/>
            <w:szCs w:val="20"/>
          </w:rPr>
          <w:t>Table of Contents</w:t>
        </w:r>
      </w:hyperlink>
    </w:p>
    <w:p w14:paraId="07DCEEE4" w14:textId="77777777" w:rsidR="00AE727E" w:rsidRDefault="008433E0">
      <w:pPr>
        <w:jc w:val="center"/>
      </w:pPr>
      <w:r>
        <w:rPr>
          <w:rFonts w:ascii="Times New Roman" w:eastAsia="宋体" w:hAnsi="Times New Roman"/>
          <w:b/>
          <w:bCs/>
          <w:color w:val="000000"/>
          <w:sz w:val="20"/>
          <w:szCs w:val="20"/>
          <w:shd w:val="clear" w:color="auto" w:fill="FFFFFF"/>
        </w:rPr>
        <w:t>DELL T</w:t>
      </w:r>
      <w:r>
        <w:rPr>
          <w:rFonts w:ascii="Times New Roman" w:eastAsia="宋体" w:hAnsi="Times New Roman"/>
          <w:b/>
          <w:bCs/>
          <w:color w:val="000000"/>
          <w:sz w:val="20"/>
          <w:szCs w:val="20"/>
          <w:shd w:val="clear" w:color="auto" w:fill="FFFFFF"/>
        </w:rPr>
        <w:t>ECHNOLOGIES INC.</w:t>
      </w:r>
    </w:p>
    <w:p w14:paraId="07DCEEE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EE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EE7" w14:textId="77777777" w:rsidR="00AE727E" w:rsidRDefault="00AE727E">
      <w:pPr>
        <w:jc w:val="center"/>
      </w:pPr>
    </w:p>
    <w:p w14:paraId="07DCEEE8" w14:textId="77777777" w:rsidR="00AE727E" w:rsidRDefault="008433E0">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xml:space="preserve">— The senior unsecured notes (collectively, the “Senior Notes”) were issued on June 22, 2016 in an aggregate principal amount of $3.3 </w:t>
      </w:r>
      <w:r>
        <w:rPr>
          <w:rFonts w:ascii="Times New Roman" w:eastAsia="宋体" w:hAnsi="Times New Roman"/>
          <w:color w:val="000000"/>
          <w:sz w:val="20"/>
          <w:szCs w:val="20"/>
        </w:rPr>
        <w:t xml:space="preserve">billion. Interest on outstanding borrowings is payable semiannually. Subsequent to October 29, 2021, the Company repaid the remaining $1.63 billion principal amount of Senior Notes. Following the full redemption of the Senior Note, the indenture governing </w:t>
      </w:r>
      <w:r>
        <w:rPr>
          <w:rFonts w:ascii="Times New Roman" w:eastAsia="宋体" w:hAnsi="Times New Roman"/>
          <w:color w:val="000000"/>
          <w:sz w:val="20"/>
          <w:szCs w:val="20"/>
        </w:rPr>
        <w:t>the Senior Notes was terminated. See Note 18 of the Notes to the Condensed Consolidated Financial Statements for more information about the Senior Notes principal repayment subsequent to October 29, 2021.</w:t>
      </w:r>
    </w:p>
    <w:p w14:paraId="07DCEEE9" w14:textId="77777777" w:rsidR="00AE727E" w:rsidRDefault="00AE727E"/>
    <w:p w14:paraId="07DCEEEA" w14:textId="77777777" w:rsidR="00AE727E" w:rsidRDefault="008433E0">
      <w:r>
        <w:rPr>
          <w:rFonts w:ascii="Times New Roman" w:eastAsia="宋体" w:hAnsi="Times New Roman"/>
          <w:i/>
          <w:iCs/>
          <w:color w:val="000000"/>
          <w:sz w:val="20"/>
          <w:szCs w:val="20"/>
        </w:rPr>
        <w:t>EMC Notes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7, 2016, as result of the</w:t>
      </w:r>
      <w:r>
        <w:rPr>
          <w:rFonts w:ascii="Times New Roman" w:eastAsia="宋体" w:hAnsi="Times New Roman"/>
          <w:color w:val="000000"/>
          <w:sz w:val="20"/>
          <w:szCs w:val="20"/>
        </w:rPr>
        <w:t xml:space="preserve"> merger with EMC, Dell acquired multiple outstanding Notes (collectively, the “EMC Notes”). During the three months ended October 29, 2021, the Company repaid the remaining $1.0 billion principal amount of the EMC Notes.</w:t>
      </w:r>
    </w:p>
    <w:p w14:paraId="07DCEEEB" w14:textId="77777777" w:rsidR="00AE727E" w:rsidRDefault="00AE727E"/>
    <w:p w14:paraId="07DCEEEC" w14:textId="77777777" w:rsidR="00AE727E" w:rsidRDefault="008433E0">
      <w:r>
        <w:rPr>
          <w:rFonts w:ascii="Times New Roman" w:eastAsia="宋体" w:hAnsi="Times New Roman"/>
          <w:i/>
          <w:iCs/>
          <w:color w:val="000000"/>
          <w:sz w:val="20"/>
          <w:szCs w:val="20"/>
        </w:rPr>
        <w:t xml:space="preserve">VMware Notes </w:t>
      </w:r>
      <w:r>
        <w:rPr>
          <w:rFonts w:ascii="Times New Roman" w:eastAsia="宋体" w:hAnsi="Times New Roman"/>
          <w:color w:val="000000"/>
          <w:sz w:val="20"/>
          <w:szCs w:val="20"/>
        </w:rPr>
        <w:t>— VMware, Inc. comple</w:t>
      </w:r>
      <w:r>
        <w:rPr>
          <w:rFonts w:ascii="Times New Roman" w:eastAsia="宋体" w:hAnsi="Times New Roman"/>
          <w:color w:val="000000"/>
          <w:sz w:val="20"/>
          <w:szCs w:val="20"/>
        </w:rPr>
        <w:t>ted public offerings of unsecured senior notes in the aggregate amounts of $4.0 billion, $2.0 billion, and $6.0 billion on August 21, 2017, April 7, 2020, and August 2, 2021, respectively (the “VMware Notes”). None of the net proceeds of such borrowings wi</w:t>
      </w:r>
      <w:r>
        <w:rPr>
          <w:rFonts w:ascii="Times New Roman" w:eastAsia="宋体" w:hAnsi="Times New Roman"/>
          <w:color w:val="000000"/>
          <w:sz w:val="20"/>
          <w:szCs w:val="20"/>
        </w:rPr>
        <w:t>ll be made available to support the operations or satisfy any corporate purposes of Dell Technologies, other than the operations and corporate purposes of VMware, Inc. and VMware, Inc.’s subsidiaries. Interest on outstanding borrowings is payable semiannua</w:t>
      </w:r>
      <w:r>
        <w:rPr>
          <w:rFonts w:ascii="Times New Roman" w:eastAsia="宋体" w:hAnsi="Times New Roman"/>
          <w:color w:val="000000"/>
          <w:sz w:val="20"/>
          <w:szCs w:val="20"/>
        </w:rPr>
        <w:t>lly.</w:t>
      </w:r>
    </w:p>
    <w:p w14:paraId="07DCEEED" w14:textId="77777777" w:rsidR="00AE727E" w:rsidRDefault="00AE727E"/>
    <w:p w14:paraId="07DCEEEE" w14:textId="77777777" w:rsidR="00AE727E" w:rsidRDefault="008433E0">
      <w:r>
        <w:rPr>
          <w:rFonts w:ascii="Times New Roman" w:eastAsia="宋体" w:hAnsi="Times New Roman"/>
          <w:i/>
          <w:iCs/>
          <w:color w:val="000000"/>
          <w:sz w:val="20"/>
          <w:szCs w:val="20"/>
        </w:rPr>
        <w:t xml:space="preserve">VMware Revolving Credit Facility and Term Loan Facilities </w:t>
      </w:r>
      <w:r>
        <w:rPr>
          <w:rFonts w:ascii="Times New Roman" w:eastAsia="宋体" w:hAnsi="Times New Roman"/>
          <w:color w:val="000000"/>
          <w:sz w:val="20"/>
          <w:szCs w:val="20"/>
        </w:rPr>
        <w:t>— On September 12, 2017, VMware, Inc. entered into an unsecured credit agreement, that established a revolving credit facility (the “VMware Revolving Credit Facility”) with a syndicate of lend</w:t>
      </w:r>
      <w:r>
        <w:rPr>
          <w:rFonts w:ascii="Times New Roman" w:eastAsia="宋体" w:hAnsi="Times New Roman"/>
          <w:color w:val="000000"/>
          <w:sz w:val="20"/>
          <w:szCs w:val="20"/>
        </w:rPr>
        <w:t>ers that provided the company with a borrowing capacity of up to $1.0 billion for VMware, Inc. general corporate purposes. On September 2, 2021, VMware, Inc. entered into an unsecured credit agreement establishing a revolving credit facility with a syndica</w:t>
      </w:r>
      <w:r>
        <w:rPr>
          <w:rFonts w:ascii="Times New Roman" w:eastAsia="宋体" w:hAnsi="Times New Roman"/>
          <w:color w:val="000000"/>
          <w:sz w:val="20"/>
          <w:szCs w:val="20"/>
        </w:rPr>
        <w:t>te of lenders that provides VMware, Inc. with a borrowing capacity of up to $1.5 billion for general corporate purposes (the “2021 VMware Revolving Credit Facility”). The 2021 VMware Revolving Credit Facility replaced VMware, Inc.’s existing $1.0 billion r</w:t>
      </w:r>
      <w:r>
        <w:rPr>
          <w:rFonts w:ascii="Times New Roman" w:eastAsia="宋体" w:hAnsi="Times New Roman"/>
          <w:color w:val="000000"/>
          <w:sz w:val="20"/>
          <w:szCs w:val="20"/>
        </w:rPr>
        <w:t>evolving credit facility that was undrawn. Commitments under the 2021 Revolving Credit Facility are available for a period of five years, which may be extended, subject to the satisfaction of certain conditions, by up to two one-year periods. The credit ag</w:t>
      </w:r>
      <w:r>
        <w:rPr>
          <w:rFonts w:ascii="Times New Roman" w:eastAsia="宋体" w:hAnsi="Times New Roman"/>
          <w:color w:val="000000"/>
          <w:sz w:val="20"/>
          <w:szCs w:val="20"/>
        </w:rPr>
        <w:t>reement contains certain representations, warranties and covenants. Commitment fees, interest rates and other terms of borrowing under the 2021 Revolving Credit Facility may vary based on VMware’s external credit ratings. As of October 29, 2021, there were</w:t>
      </w:r>
      <w:r>
        <w:rPr>
          <w:rFonts w:ascii="Times New Roman" w:eastAsia="宋体" w:hAnsi="Times New Roman"/>
          <w:color w:val="000000"/>
          <w:sz w:val="20"/>
          <w:szCs w:val="20"/>
        </w:rPr>
        <w:t xml:space="preserve"> no outstanding borrowings under the 2021 VMware Revolving Credit Facility. </w:t>
      </w:r>
    </w:p>
    <w:p w14:paraId="07DCEEEF" w14:textId="77777777" w:rsidR="00AE727E" w:rsidRDefault="00AE727E"/>
    <w:p w14:paraId="07DCEEF0" w14:textId="77777777" w:rsidR="00AE727E" w:rsidRDefault="008433E0">
      <w:r>
        <w:rPr>
          <w:rFonts w:ascii="Times New Roman" w:eastAsia="宋体" w:hAnsi="Times New Roman"/>
          <w:color w:val="000000"/>
          <w:sz w:val="20"/>
          <w:szCs w:val="20"/>
        </w:rPr>
        <w:t xml:space="preserve">In addition, VMware, Inc. received commitments from financial institutions for a 3-year senior unsecured term loan facility and a 5-year senior unsecured term loan facility that </w:t>
      </w:r>
      <w:r>
        <w:rPr>
          <w:rFonts w:ascii="Times New Roman" w:eastAsia="宋体" w:hAnsi="Times New Roman"/>
          <w:color w:val="000000"/>
          <w:sz w:val="20"/>
          <w:szCs w:val="20"/>
        </w:rPr>
        <w:t xml:space="preserve">would provide VMware, Inc. with a borrowing capacity of up to $4.0 billion (the “VMware Term Loan Facilities”). VMware, Inc. may borrow against the term loan once up to its borrowing capacity of $4.0 billion. Subsequent to October 29, 2021, and in advance </w:t>
      </w:r>
      <w:r>
        <w:rPr>
          <w:rFonts w:ascii="Times New Roman" w:eastAsia="宋体" w:hAnsi="Times New Roman"/>
          <w:color w:val="000000"/>
          <w:sz w:val="20"/>
          <w:szCs w:val="20"/>
        </w:rPr>
        <w:t>of the close of the VMware Spin-off on November 1, 2021, VMware, Inc. borrowed $4.0 billion against the VMware Term Loan Facilities with the proceeds utilized to fund a portion of the special cash dividend paid by VMware, Inc. in connection with the VMware</w:t>
      </w:r>
      <w:r>
        <w:rPr>
          <w:rFonts w:ascii="Times New Roman" w:eastAsia="宋体" w:hAnsi="Times New Roman"/>
          <w:color w:val="000000"/>
          <w:sz w:val="20"/>
          <w:szCs w:val="20"/>
        </w:rPr>
        <w:t xml:space="preserve"> Spin-off transaction. See Note 18 of the Notes to the Condensed Consolidated Financial Statements for more information about the VMware Spin-off transaction.</w:t>
      </w:r>
    </w:p>
    <w:p w14:paraId="07DCEEF1" w14:textId="77777777" w:rsidR="00AE727E" w:rsidRDefault="00AE727E"/>
    <w:p w14:paraId="07DCEEF2" w14:textId="77777777" w:rsidR="00AE727E" w:rsidRDefault="008433E0">
      <w:r>
        <w:rPr>
          <w:rFonts w:ascii="Times New Roman" w:eastAsia="宋体" w:hAnsi="Times New Roman"/>
          <w:color w:val="000000"/>
          <w:sz w:val="20"/>
          <w:szCs w:val="20"/>
        </w:rPr>
        <w:t>None of the net proceeds of the 2021 VMware Revolving Credit Facility or the VMware Term Loan Fa</w:t>
      </w:r>
      <w:r>
        <w:rPr>
          <w:rFonts w:ascii="Times New Roman" w:eastAsia="宋体" w:hAnsi="Times New Roman"/>
          <w:color w:val="000000"/>
          <w:sz w:val="20"/>
          <w:szCs w:val="20"/>
        </w:rPr>
        <w:t>cilities will be made available to support the operations or satisfy any corporate purposes of Dell Technologies, other than the operations and corporate purposes of VMware, Inc. and VMware, Inc.’s subsidiaries.</w:t>
      </w:r>
    </w:p>
    <w:p w14:paraId="07DCEEF3" w14:textId="77777777" w:rsidR="00AE727E" w:rsidRDefault="00AE727E"/>
    <w:p w14:paraId="07DCEEF4" w14:textId="77777777" w:rsidR="00AE727E" w:rsidRDefault="008433E0">
      <w:r>
        <w:rPr>
          <w:rFonts w:ascii="Times New Roman" w:eastAsia="宋体" w:hAnsi="Times New Roman"/>
          <w:b/>
          <w:bCs/>
          <w:color w:val="000000"/>
          <w:sz w:val="20"/>
          <w:szCs w:val="20"/>
        </w:rPr>
        <w:t>DFS Debt</w:t>
      </w:r>
    </w:p>
    <w:p w14:paraId="07DCEEF5" w14:textId="77777777" w:rsidR="00AE727E" w:rsidRDefault="00AE727E"/>
    <w:p w14:paraId="07DCEEF6" w14:textId="77777777" w:rsidR="00AE727E" w:rsidRDefault="008433E0">
      <w:r>
        <w:rPr>
          <w:rFonts w:ascii="Times New Roman" w:eastAsia="宋体" w:hAnsi="Times New Roman"/>
          <w:color w:val="000000"/>
          <w:sz w:val="20"/>
          <w:szCs w:val="20"/>
        </w:rPr>
        <w:t>See Note 3 and Note 6 of the Note</w:t>
      </w:r>
      <w:r>
        <w:rPr>
          <w:rFonts w:ascii="Times New Roman" w:eastAsia="宋体" w:hAnsi="Times New Roman"/>
          <w:color w:val="000000"/>
          <w:sz w:val="20"/>
          <w:szCs w:val="20"/>
        </w:rPr>
        <w:t>s to the Condensed Consolidated Financial Statements, respectively, for discussion of DFS debt and the interest rate swap agreements that hedge a portion of that debt.</w:t>
      </w:r>
    </w:p>
    <w:p w14:paraId="07DCEEF7" w14:textId="77777777" w:rsidR="00AE727E" w:rsidRDefault="00AE727E"/>
    <w:p w14:paraId="07DCEEF8" w14:textId="77777777" w:rsidR="00AE727E" w:rsidRDefault="00AE727E">
      <w:pPr>
        <w:jc w:val="center"/>
      </w:pPr>
    </w:p>
    <w:p w14:paraId="07DCEEF9" w14:textId="77777777" w:rsidR="00AE727E" w:rsidRDefault="008433E0">
      <w:pPr>
        <w:jc w:val="center"/>
      </w:pPr>
      <w:r>
        <w:rPr>
          <w:rFonts w:ascii="Times New Roman" w:eastAsia="宋体" w:hAnsi="Times New Roman"/>
          <w:color w:val="000000"/>
          <w:sz w:val="20"/>
          <w:szCs w:val="20"/>
        </w:rPr>
        <w:t>31</w:t>
      </w:r>
    </w:p>
    <w:p w14:paraId="07DCEEFA" w14:textId="77777777" w:rsidR="00AE727E" w:rsidRDefault="00AE727E">
      <w:pPr>
        <w:jc w:val="center"/>
      </w:pPr>
    </w:p>
    <w:p w14:paraId="07DCEEFB" w14:textId="77777777" w:rsidR="00AE727E" w:rsidRDefault="008433E0">
      <w:r>
        <w:pict w14:anchorId="07DD18EF">
          <v:rect id="_x0000_i1055" style="width:415.3pt;height:1.5pt" o:hralign="center" o:hrstd="t" o:hr="t" fillcolor="#a0a0a0" stroked="f"/>
        </w:pict>
      </w:r>
    </w:p>
    <w:p w14:paraId="07DCEEFC" w14:textId="77777777" w:rsidR="00AE727E" w:rsidRDefault="008433E0">
      <w:hyperlink r:id="rId156" w:anchor="i1c8279be622a460ea19600488436f115_10" w:history="1">
        <w:r>
          <w:rPr>
            <w:rStyle w:val="a5"/>
            <w:rFonts w:ascii="Times New Roman" w:eastAsia="宋体" w:hAnsi="Times New Roman"/>
            <w:sz w:val="20"/>
            <w:szCs w:val="20"/>
          </w:rPr>
          <w:t>Table of Contents</w:t>
        </w:r>
      </w:hyperlink>
    </w:p>
    <w:p w14:paraId="07DCEEFD"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EEFE"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EEFF"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EF00" w14:textId="77777777" w:rsidR="00AE727E" w:rsidRDefault="00AE727E">
      <w:pPr>
        <w:jc w:val="center"/>
      </w:pPr>
    </w:p>
    <w:p w14:paraId="07DCEF01" w14:textId="77777777" w:rsidR="00AE727E" w:rsidRDefault="008433E0">
      <w:r>
        <w:rPr>
          <w:rFonts w:ascii="Times New Roman" w:eastAsia="宋体" w:hAnsi="Times New Roman"/>
          <w:b/>
          <w:bCs/>
          <w:color w:val="000000"/>
          <w:sz w:val="20"/>
          <w:szCs w:val="20"/>
        </w:rPr>
        <w:t>Other</w:t>
      </w:r>
    </w:p>
    <w:p w14:paraId="07DCEF02" w14:textId="77777777" w:rsidR="00AE727E" w:rsidRDefault="00AE727E"/>
    <w:p w14:paraId="07DCEF03" w14:textId="77777777" w:rsidR="00AE727E" w:rsidRDefault="008433E0">
      <w:r>
        <w:rPr>
          <w:rFonts w:ascii="Times New Roman" w:eastAsia="宋体" w:hAnsi="Times New Roman"/>
          <w:i/>
          <w:iCs/>
          <w:color w:val="000000"/>
          <w:sz w:val="20"/>
          <w:szCs w:val="20"/>
        </w:rPr>
        <w:t>Margin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 On April 12, 2017, the </w:t>
      </w:r>
      <w:r>
        <w:rPr>
          <w:rFonts w:ascii="Times New Roman" w:eastAsia="宋体" w:hAnsi="Times New Roman"/>
          <w:color w:val="000000"/>
          <w:sz w:val="20"/>
          <w:szCs w:val="20"/>
        </w:rPr>
        <w:t>Company entered into the Margin Loan Facility in an aggregate principal amount of $2.0 billion. In connection with the Class V transaction described in Note 1 of the Notes to the Condensed Consolidated Financial Statements, on December 20, 2018, the Compan</w:t>
      </w:r>
      <w:r>
        <w:rPr>
          <w:rFonts w:ascii="Times New Roman" w:eastAsia="宋体" w:hAnsi="Times New Roman"/>
          <w:color w:val="000000"/>
          <w:sz w:val="20"/>
          <w:szCs w:val="20"/>
        </w:rPr>
        <w:t>y amended the Margin Loan Facility to increase the aggregate principal amount to $3.4 billion. In connection with obtaining the Term Loan A-6 Facility during the fiscal year ended January 31, 2020, the Company increased the aggregate principal amount of th</w:t>
      </w:r>
      <w:r>
        <w:rPr>
          <w:rFonts w:ascii="Times New Roman" w:eastAsia="宋体" w:hAnsi="Times New Roman"/>
          <w:color w:val="000000"/>
          <w:sz w:val="20"/>
          <w:szCs w:val="20"/>
        </w:rPr>
        <w:t xml:space="preserve">e Margin Loan Facility to $4.0 billion. VMware Holdco LLC, a wholly-owned subsidiary of EMC, was the borrower under the Margin Loan Facility, which was secured by approximately 76 million shares of Class B common stock of VMware, Inc. and approximately 24 </w:t>
      </w:r>
      <w:r>
        <w:rPr>
          <w:rFonts w:ascii="Times New Roman" w:eastAsia="宋体" w:hAnsi="Times New Roman"/>
          <w:color w:val="000000"/>
          <w:sz w:val="20"/>
          <w:szCs w:val="20"/>
        </w:rPr>
        <w:t>million shares of Class A common stock of VMware, Inc.</w:t>
      </w:r>
    </w:p>
    <w:p w14:paraId="07DCEF04" w14:textId="77777777" w:rsidR="00AE727E" w:rsidRDefault="00AE727E"/>
    <w:p w14:paraId="07DCEF05" w14:textId="77777777" w:rsidR="00AE727E" w:rsidRDefault="008433E0">
      <w:r>
        <w:rPr>
          <w:rFonts w:ascii="Times New Roman" w:eastAsia="宋体" w:hAnsi="Times New Roman"/>
          <w:color w:val="000000"/>
          <w:sz w:val="20"/>
          <w:szCs w:val="20"/>
        </w:rPr>
        <w:t>Loans under the Margin Loan Facility bore interest at a rate per annum payable, at the borrower’s option, either at (a) a base rate plus 1.25% per annum or (b) a LIBOR-based rate plus 2.25% per annum.</w:t>
      </w:r>
      <w:r>
        <w:rPr>
          <w:rFonts w:ascii="Times New Roman" w:eastAsia="宋体" w:hAnsi="Times New Roman"/>
          <w:color w:val="000000"/>
          <w:sz w:val="20"/>
          <w:szCs w:val="20"/>
        </w:rPr>
        <w:t xml:space="preserve"> Interest under the Margin Loan Facility was payable quarterly. The Margin Loan Facility was scheduled to mature in April 2022. The borrower had the option to voluntarily repay outstanding loans under the Margin Loan Facility at any time without premium or</w:t>
      </w:r>
      <w:r>
        <w:rPr>
          <w:rFonts w:ascii="Times New Roman" w:eastAsia="宋体" w:hAnsi="Times New Roman"/>
          <w:color w:val="000000"/>
          <w:sz w:val="20"/>
          <w:szCs w:val="20"/>
        </w:rPr>
        <w:t xml:space="preserve"> penalty, other than customary “breakage” costs, subject to certain minimum threshold amounts for prepayment. During the nine months ended October 29, 2021, the Company repaid the $4.0 billion principal amount of the Margin Loan Facility. Upon repayment, t</w:t>
      </w:r>
      <w:r>
        <w:rPr>
          <w:rFonts w:ascii="Times New Roman" w:eastAsia="宋体" w:hAnsi="Times New Roman"/>
          <w:color w:val="000000"/>
          <w:sz w:val="20"/>
          <w:szCs w:val="20"/>
        </w:rPr>
        <w:t>he VMware, Inc. common stock pledged to secure the Margin Loan Facility was released as collateral in accordance with the associated Margin Loan Facility agreement.</w:t>
      </w:r>
    </w:p>
    <w:p w14:paraId="07DCEF06" w14:textId="77777777" w:rsidR="00AE727E" w:rsidRDefault="00AE727E"/>
    <w:p w14:paraId="07DCEF07" w14:textId="77777777" w:rsidR="00AE727E" w:rsidRDefault="008433E0">
      <w:r>
        <w:rPr>
          <w:rFonts w:ascii="Times New Roman" w:eastAsia="宋体" w:hAnsi="Times New Roman"/>
          <w:b/>
          <w:bCs/>
          <w:color w:val="000000"/>
          <w:sz w:val="20"/>
          <w:szCs w:val="20"/>
        </w:rPr>
        <w:t>Aggregate Future Maturities</w:t>
      </w:r>
    </w:p>
    <w:p w14:paraId="07DCEF08" w14:textId="77777777" w:rsidR="00AE727E" w:rsidRDefault="00AE727E"/>
    <w:p w14:paraId="07DCEF09" w14:textId="77777777" w:rsidR="00AE727E" w:rsidRDefault="008433E0">
      <w:pPr>
        <w:spacing w:after="60"/>
      </w:pPr>
      <w:r>
        <w:rPr>
          <w:rFonts w:ascii="Times New Roman" w:eastAsia="宋体" w:hAnsi="Times New Roman"/>
          <w:color w:val="000000"/>
          <w:sz w:val="20"/>
          <w:szCs w:val="20"/>
        </w:rPr>
        <w:t xml:space="preserve">The following table presents the aggregate future maturities </w:t>
      </w:r>
      <w:r>
        <w:rPr>
          <w:rFonts w:ascii="Times New Roman" w:eastAsia="宋体" w:hAnsi="Times New Roman"/>
          <w:color w:val="000000"/>
          <w:sz w:val="20"/>
          <w:szCs w:val="20"/>
        </w:rPr>
        <w:t>of the Company’s debt as of October 29, 2021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49"/>
        <w:gridCol w:w="39"/>
        <w:gridCol w:w="121"/>
        <w:gridCol w:w="882"/>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861"/>
        <w:gridCol w:w="36"/>
        <w:gridCol w:w="36"/>
        <w:gridCol w:w="36"/>
        <w:gridCol w:w="36"/>
        <w:gridCol w:w="120"/>
        <w:gridCol w:w="621"/>
        <w:gridCol w:w="36"/>
      </w:tblGrid>
      <w:tr w:rsidR="00AE727E" w14:paraId="07DCEF34" w14:textId="77777777">
        <w:trPr>
          <w:jc w:val="center"/>
        </w:trPr>
        <w:tc>
          <w:tcPr>
            <w:tcW w:w="50" w:type="pct"/>
            <w:shd w:val="clear" w:color="auto" w:fill="auto"/>
            <w:vAlign w:val="bottom"/>
          </w:tcPr>
          <w:p w14:paraId="07DCEF0A" w14:textId="77777777" w:rsidR="00AE727E" w:rsidRDefault="00AE727E">
            <w:pPr>
              <w:rPr>
                <w:rFonts w:ascii="宋体"/>
              </w:rPr>
            </w:pPr>
          </w:p>
        </w:tc>
        <w:tc>
          <w:tcPr>
            <w:tcW w:w="1436" w:type="pct"/>
            <w:shd w:val="clear" w:color="auto" w:fill="auto"/>
            <w:vAlign w:val="bottom"/>
          </w:tcPr>
          <w:p w14:paraId="07DCEF0B" w14:textId="77777777" w:rsidR="00AE727E" w:rsidRDefault="00AE727E">
            <w:pPr>
              <w:rPr>
                <w:rFonts w:ascii="宋体"/>
              </w:rPr>
            </w:pPr>
          </w:p>
        </w:tc>
        <w:tc>
          <w:tcPr>
            <w:tcW w:w="5" w:type="pct"/>
            <w:shd w:val="clear" w:color="auto" w:fill="auto"/>
            <w:vAlign w:val="bottom"/>
          </w:tcPr>
          <w:p w14:paraId="07DCEF0C" w14:textId="77777777" w:rsidR="00AE727E" w:rsidRDefault="00AE727E">
            <w:pPr>
              <w:rPr>
                <w:rFonts w:ascii="宋体"/>
              </w:rPr>
            </w:pPr>
          </w:p>
        </w:tc>
        <w:tc>
          <w:tcPr>
            <w:tcW w:w="50" w:type="pct"/>
            <w:shd w:val="clear" w:color="auto" w:fill="auto"/>
            <w:vAlign w:val="bottom"/>
          </w:tcPr>
          <w:p w14:paraId="07DCEF0D" w14:textId="77777777" w:rsidR="00AE727E" w:rsidRDefault="00AE727E">
            <w:pPr>
              <w:rPr>
                <w:rFonts w:ascii="宋体"/>
              </w:rPr>
            </w:pPr>
          </w:p>
        </w:tc>
        <w:tc>
          <w:tcPr>
            <w:tcW w:w="471" w:type="pct"/>
            <w:shd w:val="clear" w:color="auto" w:fill="auto"/>
            <w:vAlign w:val="bottom"/>
          </w:tcPr>
          <w:p w14:paraId="07DCEF0E" w14:textId="77777777" w:rsidR="00AE727E" w:rsidRDefault="00AE727E">
            <w:pPr>
              <w:rPr>
                <w:rFonts w:ascii="宋体"/>
              </w:rPr>
            </w:pPr>
          </w:p>
        </w:tc>
        <w:tc>
          <w:tcPr>
            <w:tcW w:w="5" w:type="pct"/>
            <w:shd w:val="clear" w:color="auto" w:fill="auto"/>
            <w:vAlign w:val="bottom"/>
          </w:tcPr>
          <w:p w14:paraId="07DCEF0F" w14:textId="77777777" w:rsidR="00AE727E" w:rsidRDefault="00AE727E">
            <w:pPr>
              <w:rPr>
                <w:rFonts w:ascii="宋体"/>
              </w:rPr>
            </w:pPr>
          </w:p>
        </w:tc>
        <w:tc>
          <w:tcPr>
            <w:tcW w:w="5" w:type="pct"/>
            <w:shd w:val="clear" w:color="auto" w:fill="auto"/>
            <w:vAlign w:val="bottom"/>
          </w:tcPr>
          <w:p w14:paraId="07DCEF10" w14:textId="77777777" w:rsidR="00AE727E" w:rsidRDefault="00AE727E">
            <w:pPr>
              <w:rPr>
                <w:rFonts w:ascii="宋体"/>
              </w:rPr>
            </w:pPr>
          </w:p>
        </w:tc>
        <w:tc>
          <w:tcPr>
            <w:tcW w:w="19" w:type="pct"/>
            <w:shd w:val="clear" w:color="auto" w:fill="auto"/>
            <w:vAlign w:val="bottom"/>
          </w:tcPr>
          <w:p w14:paraId="07DCEF11" w14:textId="77777777" w:rsidR="00AE727E" w:rsidRDefault="00AE727E">
            <w:pPr>
              <w:rPr>
                <w:rFonts w:ascii="宋体"/>
              </w:rPr>
            </w:pPr>
          </w:p>
        </w:tc>
        <w:tc>
          <w:tcPr>
            <w:tcW w:w="5" w:type="pct"/>
            <w:shd w:val="clear" w:color="auto" w:fill="auto"/>
            <w:vAlign w:val="bottom"/>
          </w:tcPr>
          <w:p w14:paraId="07DCEF12" w14:textId="77777777" w:rsidR="00AE727E" w:rsidRDefault="00AE727E">
            <w:pPr>
              <w:rPr>
                <w:rFonts w:ascii="宋体"/>
              </w:rPr>
            </w:pPr>
          </w:p>
        </w:tc>
        <w:tc>
          <w:tcPr>
            <w:tcW w:w="50" w:type="pct"/>
            <w:shd w:val="clear" w:color="auto" w:fill="auto"/>
            <w:vAlign w:val="bottom"/>
          </w:tcPr>
          <w:p w14:paraId="07DCEF13" w14:textId="77777777" w:rsidR="00AE727E" w:rsidRDefault="00AE727E">
            <w:pPr>
              <w:rPr>
                <w:rFonts w:ascii="宋体"/>
              </w:rPr>
            </w:pPr>
          </w:p>
        </w:tc>
        <w:tc>
          <w:tcPr>
            <w:tcW w:w="383" w:type="pct"/>
            <w:shd w:val="clear" w:color="auto" w:fill="auto"/>
            <w:vAlign w:val="bottom"/>
          </w:tcPr>
          <w:p w14:paraId="07DCEF14" w14:textId="77777777" w:rsidR="00AE727E" w:rsidRDefault="00AE727E">
            <w:pPr>
              <w:rPr>
                <w:rFonts w:ascii="宋体"/>
              </w:rPr>
            </w:pPr>
          </w:p>
        </w:tc>
        <w:tc>
          <w:tcPr>
            <w:tcW w:w="5" w:type="pct"/>
            <w:shd w:val="clear" w:color="auto" w:fill="auto"/>
            <w:vAlign w:val="bottom"/>
          </w:tcPr>
          <w:p w14:paraId="07DCEF15" w14:textId="77777777" w:rsidR="00AE727E" w:rsidRDefault="00AE727E">
            <w:pPr>
              <w:rPr>
                <w:rFonts w:ascii="宋体"/>
              </w:rPr>
            </w:pPr>
          </w:p>
        </w:tc>
        <w:tc>
          <w:tcPr>
            <w:tcW w:w="5" w:type="pct"/>
            <w:shd w:val="clear" w:color="auto" w:fill="auto"/>
            <w:vAlign w:val="bottom"/>
          </w:tcPr>
          <w:p w14:paraId="07DCEF16" w14:textId="77777777" w:rsidR="00AE727E" w:rsidRDefault="00AE727E">
            <w:pPr>
              <w:rPr>
                <w:rFonts w:ascii="宋体"/>
              </w:rPr>
            </w:pPr>
          </w:p>
        </w:tc>
        <w:tc>
          <w:tcPr>
            <w:tcW w:w="19" w:type="pct"/>
            <w:shd w:val="clear" w:color="auto" w:fill="auto"/>
            <w:vAlign w:val="bottom"/>
          </w:tcPr>
          <w:p w14:paraId="07DCEF17" w14:textId="77777777" w:rsidR="00AE727E" w:rsidRDefault="00AE727E">
            <w:pPr>
              <w:rPr>
                <w:rFonts w:ascii="宋体"/>
              </w:rPr>
            </w:pPr>
          </w:p>
        </w:tc>
        <w:tc>
          <w:tcPr>
            <w:tcW w:w="5" w:type="pct"/>
            <w:shd w:val="clear" w:color="auto" w:fill="auto"/>
            <w:vAlign w:val="bottom"/>
          </w:tcPr>
          <w:p w14:paraId="07DCEF18" w14:textId="77777777" w:rsidR="00AE727E" w:rsidRDefault="00AE727E">
            <w:pPr>
              <w:rPr>
                <w:rFonts w:ascii="宋体"/>
              </w:rPr>
            </w:pPr>
          </w:p>
        </w:tc>
        <w:tc>
          <w:tcPr>
            <w:tcW w:w="50" w:type="pct"/>
            <w:shd w:val="clear" w:color="auto" w:fill="auto"/>
            <w:vAlign w:val="bottom"/>
          </w:tcPr>
          <w:p w14:paraId="07DCEF19" w14:textId="77777777" w:rsidR="00AE727E" w:rsidRDefault="00AE727E">
            <w:pPr>
              <w:rPr>
                <w:rFonts w:ascii="宋体"/>
              </w:rPr>
            </w:pPr>
          </w:p>
        </w:tc>
        <w:tc>
          <w:tcPr>
            <w:tcW w:w="383" w:type="pct"/>
            <w:shd w:val="clear" w:color="auto" w:fill="auto"/>
            <w:vAlign w:val="bottom"/>
          </w:tcPr>
          <w:p w14:paraId="07DCEF1A" w14:textId="77777777" w:rsidR="00AE727E" w:rsidRDefault="00AE727E">
            <w:pPr>
              <w:rPr>
                <w:rFonts w:ascii="宋体"/>
              </w:rPr>
            </w:pPr>
          </w:p>
        </w:tc>
        <w:tc>
          <w:tcPr>
            <w:tcW w:w="5" w:type="pct"/>
            <w:shd w:val="clear" w:color="auto" w:fill="auto"/>
            <w:vAlign w:val="bottom"/>
          </w:tcPr>
          <w:p w14:paraId="07DCEF1B" w14:textId="77777777" w:rsidR="00AE727E" w:rsidRDefault="00AE727E">
            <w:pPr>
              <w:rPr>
                <w:rFonts w:ascii="宋体"/>
              </w:rPr>
            </w:pPr>
          </w:p>
        </w:tc>
        <w:tc>
          <w:tcPr>
            <w:tcW w:w="5" w:type="pct"/>
            <w:shd w:val="clear" w:color="auto" w:fill="auto"/>
            <w:vAlign w:val="bottom"/>
          </w:tcPr>
          <w:p w14:paraId="07DCEF1C" w14:textId="77777777" w:rsidR="00AE727E" w:rsidRDefault="00AE727E">
            <w:pPr>
              <w:rPr>
                <w:rFonts w:ascii="宋体"/>
              </w:rPr>
            </w:pPr>
          </w:p>
        </w:tc>
        <w:tc>
          <w:tcPr>
            <w:tcW w:w="19" w:type="pct"/>
            <w:shd w:val="clear" w:color="auto" w:fill="auto"/>
            <w:vAlign w:val="bottom"/>
          </w:tcPr>
          <w:p w14:paraId="07DCEF1D" w14:textId="77777777" w:rsidR="00AE727E" w:rsidRDefault="00AE727E">
            <w:pPr>
              <w:rPr>
                <w:rFonts w:ascii="宋体"/>
              </w:rPr>
            </w:pPr>
          </w:p>
        </w:tc>
        <w:tc>
          <w:tcPr>
            <w:tcW w:w="5" w:type="pct"/>
            <w:shd w:val="clear" w:color="auto" w:fill="auto"/>
            <w:vAlign w:val="bottom"/>
          </w:tcPr>
          <w:p w14:paraId="07DCEF1E" w14:textId="77777777" w:rsidR="00AE727E" w:rsidRDefault="00AE727E">
            <w:pPr>
              <w:rPr>
                <w:rFonts w:ascii="宋体"/>
              </w:rPr>
            </w:pPr>
          </w:p>
        </w:tc>
        <w:tc>
          <w:tcPr>
            <w:tcW w:w="50" w:type="pct"/>
            <w:shd w:val="clear" w:color="auto" w:fill="auto"/>
            <w:vAlign w:val="bottom"/>
          </w:tcPr>
          <w:p w14:paraId="07DCEF1F" w14:textId="77777777" w:rsidR="00AE727E" w:rsidRDefault="00AE727E">
            <w:pPr>
              <w:rPr>
                <w:rFonts w:ascii="宋体"/>
              </w:rPr>
            </w:pPr>
          </w:p>
        </w:tc>
        <w:tc>
          <w:tcPr>
            <w:tcW w:w="383" w:type="pct"/>
            <w:shd w:val="clear" w:color="auto" w:fill="auto"/>
            <w:vAlign w:val="bottom"/>
          </w:tcPr>
          <w:p w14:paraId="07DCEF20" w14:textId="77777777" w:rsidR="00AE727E" w:rsidRDefault="00AE727E">
            <w:pPr>
              <w:rPr>
                <w:rFonts w:ascii="宋体"/>
              </w:rPr>
            </w:pPr>
          </w:p>
        </w:tc>
        <w:tc>
          <w:tcPr>
            <w:tcW w:w="5" w:type="pct"/>
            <w:shd w:val="clear" w:color="auto" w:fill="auto"/>
            <w:vAlign w:val="bottom"/>
          </w:tcPr>
          <w:p w14:paraId="07DCEF21" w14:textId="77777777" w:rsidR="00AE727E" w:rsidRDefault="00AE727E">
            <w:pPr>
              <w:rPr>
                <w:rFonts w:ascii="宋体"/>
              </w:rPr>
            </w:pPr>
          </w:p>
        </w:tc>
        <w:tc>
          <w:tcPr>
            <w:tcW w:w="5" w:type="pct"/>
            <w:shd w:val="clear" w:color="auto" w:fill="auto"/>
            <w:vAlign w:val="bottom"/>
          </w:tcPr>
          <w:p w14:paraId="07DCEF22" w14:textId="77777777" w:rsidR="00AE727E" w:rsidRDefault="00AE727E">
            <w:pPr>
              <w:rPr>
                <w:rFonts w:ascii="宋体"/>
              </w:rPr>
            </w:pPr>
          </w:p>
        </w:tc>
        <w:tc>
          <w:tcPr>
            <w:tcW w:w="19" w:type="pct"/>
            <w:shd w:val="clear" w:color="auto" w:fill="auto"/>
            <w:vAlign w:val="bottom"/>
          </w:tcPr>
          <w:p w14:paraId="07DCEF23" w14:textId="77777777" w:rsidR="00AE727E" w:rsidRDefault="00AE727E">
            <w:pPr>
              <w:rPr>
                <w:rFonts w:ascii="宋体"/>
              </w:rPr>
            </w:pPr>
          </w:p>
        </w:tc>
        <w:tc>
          <w:tcPr>
            <w:tcW w:w="5" w:type="pct"/>
            <w:shd w:val="clear" w:color="auto" w:fill="auto"/>
            <w:vAlign w:val="bottom"/>
          </w:tcPr>
          <w:p w14:paraId="07DCEF24" w14:textId="77777777" w:rsidR="00AE727E" w:rsidRDefault="00AE727E">
            <w:pPr>
              <w:rPr>
                <w:rFonts w:ascii="宋体"/>
              </w:rPr>
            </w:pPr>
          </w:p>
        </w:tc>
        <w:tc>
          <w:tcPr>
            <w:tcW w:w="50" w:type="pct"/>
            <w:shd w:val="clear" w:color="auto" w:fill="auto"/>
            <w:vAlign w:val="bottom"/>
          </w:tcPr>
          <w:p w14:paraId="07DCEF25" w14:textId="77777777" w:rsidR="00AE727E" w:rsidRDefault="00AE727E">
            <w:pPr>
              <w:rPr>
                <w:rFonts w:ascii="宋体"/>
              </w:rPr>
            </w:pPr>
          </w:p>
        </w:tc>
        <w:tc>
          <w:tcPr>
            <w:tcW w:w="383" w:type="pct"/>
            <w:shd w:val="clear" w:color="auto" w:fill="auto"/>
            <w:vAlign w:val="bottom"/>
          </w:tcPr>
          <w:p w14:paraId="07DCEF26" w14:textId="77777777" w:rsidR="00AE727E" w:rsidRDefault="00AE727E">
            <w:pPr>
              <w:rPr>
                <w:rFonts w:ascii="宋体"/>
              </w:rPr>
            </w:pPr>
          </w:p>
        </w:tc>
        <w:tc>
          <w:tcPr>
            <w:tcW w:w="5" w:type="pct"/>
            <w:shd w:val="clear" w:color="auto" w:fill="auto"/>
            <w:vAlign w:val="bottom"/>
          </w:tcPr>
          <w:p w14:paraId="07DCEF27" w14:textId="77777777" w:rsidR="00AE727E" w:rsidRDefault="00AE727E">
            <w:pPr>
              <w:rPr>
                <w:rFonts w:ascii="宋体"/>
              </w:rPr>
            </w:pPr>
          </w:p>
        </w:tc>
        <w:tc>
          <w:tcPr>
            <w:tcW w:w="5" w:type="pct"/>
            <w:shd w:val="clear" w:color="auto" w:fill="auto"/>
            <w:vAlign w:val="bottom"/>
          </w:tcPr>
          <w:p w14:paraId="07DCEF28" w14:textId="77777777" w:rsidR="00AE727E" w:rsidRDefault="00AE727E">
            <w:pPr>
              <w:rPr>
                <w:rFonts w:ascii="宋体"/>
              </w:rPr>
            </w:pPr>
          </w:p>
        </w:tc>
        <w:tc>
          <w:tcPr>
            <w:tcW w:w="19" w:type="pct"/>
            <w:shd w:val="clear" w:color="auto" w:fill="auto"/>
            <w:vAlign w:val="bottom"/>
          </w:tcPr>
          <w:p w14:paraId="07DCEF29" w14:textId="77777777" w:rsidR="00AE727E" w:rsidRDefault="00AE727E">
            <w:pPr>
              <w:rPr>
                <w:rFonts w:ascii="宋体"/>
              </w:rPr>
            </w:pPr>
          </w:p>
        </w:tc>
        <w:tc>
          <w:tcPr>
            <w:tcW w:w="5" w:type="pct"/>
            <w:shd w:val="clear" w:color="auto" w:fill="auto"/>
            <w:vAlign w:val="bottom"/>
          </w:tcPr>
          <w:p w14:paraId="07DCEF2A" w14:textId="77777777" w:rsidR="00AE727E" w:rsidRDefault="00AE727E">
            <w:pPr>
              <w:rPr>
                <w:rFonts w:ascii="宋体"/>
              </w:rPr>
            </w:pPr>
          </w:p>
        </w:tc>
        <w:tc>
          <w:tcPr>
            <w:tcW w:w="50" w:type="pct"/>
            <w:shd w:val="clear" w:color="auto" w:fill="auto"/>
            <w:vAlign w:val="bottom"/>
          </w:tcPr>
          <w:p w14:paraId="07DCEF2B" w14:textId="77777777" w:rsidR="00AE727E" w:rsidRDefault="00AE727E">
            <w:pPr>
              <w:rPr>
                <w:rFonts w:ascii="宋体"/>
              </w:rPr>
            </w:pPr>
          </w:p>
        </w:tc>
        <w:tc>
          <w:tcPr>
            <w:tcW w:w="471" w:type="pct"/>
            <w:shd w:val="clear" w:color="auto" w:fill="auto"/>
            <w:vAlign w:val="bottom"/>
          </w:tcPr>
          <w:p w14:paraId="07DCEF2C" w14:textId="77777777" w:rsidR="00AE727E" w:rsidRDefault="00AE727E">
            <w:pPr>
              <w:rPr>
                <w:rFonts w:ascii="宋体"/>
              </w:rPr>
            </w:pPr>
          </w:p>
        </w:tc>
        <w:tc>
          <w:tcPr>
            <w:tcW w:w="5" w:type="pct"/>
            <w:shd w:val="clear" w:color="auto" w:fill="auto"/>
            <w:vAlign w:val="bottom"/>
          </w:tcPr>
          <w:p w14:paraId="07DCEF2D" w14:textId="77777777" w:rsidR="00AE727E" w:rsidRDefault="00AE727E">
            <w:pPr>
              <w:rPr>
                <w:rFonts w:ascii="宋体"/>
              </w:rPr>
            </w:pPr>
          </w:p>
        </w:tc>
        <w:tc>
          <w:tcPr>
            <w:tcW w:w="5" w:type="pct"/>
            <w:shd w:val="clear" w:color="auto" w:fill="auto"/>
            <w:vAlign w:val="bottom"/>
          </w:tcPr>
          <w:p w14:paraId="07DCEF2E" w14:textId="77777777" w:rsidR="00AE727E" w:rsidRDefault="00AE727E">
            <w:pPr>
              <w:rPr>
                <w:rFonts w:ascii="宋体"/>
              </w:rPr>
            </w:pPr>
          </w:p>
        </w:tc>
        <w:tc>
          <w:tcPr>
            <w:tcW w:w="19" w:type="pct"/>
            <w:shd w:val="clear" w:color="auto" w:fill="auto"/>
            <w:vAlign w:val="bottom"/>
          </w:tcPr>
          <w:p w14:paraId="07DCEF2F" w14:textId="77777777" w:rsidR="00AE727E" w:rsidRDefault="00AE727E">
            <w:pPr>
              <w:rPr>
                <w:rFonts w:ascii="宋体"/>
              </w:rPr>
            </w:pPr>
          </w:p>
        </w:tc>
        <w:tc>
          <w:tcPr>
            <w:tcW w:w="5" w:type="pct"/>
            <w:shd w:val="clear" w:color="auto" w:fill="auto"/>
            <w:vAlign w:val="bottom"/>
          </w:tcPr>
          <w:p w14:paraId="07DCEF30" w14:textId="77777777" w:rsidR="00AE727E" w:rsidRDefault="00AE727E">
            <w:pPr>
              <w:rPr>
                <w:rFonts w:ascii="宋体"/>
              </w:rPr>
            </w:pPr>
          </w:p>
        </w:tc>
        <w:tc>
          <w:tcPr>
            <w:tcW w:w="50" w:type="pct"/>
            <w:shd w:val="clear" w:color="auto" w:fill="auto"/>
            <w:vAlign w:val="bottom"/>
          </w:tcPr>
          <w:p w14:paraId="07DCEF31" w14:textId="77777777" w:rsidR="00AE727E" w:rsidRDefault="00AE727E">
            <w:pPr>
              <w:rPr>
                <w:rFonts w:ascii="宋体"/>
              </w:rPr>
            </w:pPr>
          </w:p>
        </w:tc>
        <w:tc>
          <w:tcPr>
            <w:tcW w:w="471" w:type="pct"/>
            <w:shd w:val="clear" w:color="auto" w:fill="auto"/>
            <w:vAlign w:val="bottom"/>
          </w:tcPr>
          <w:p w14:paraId="07DCEF32" w14:textId="77777777" w:rsidR="00AE727E" w:rsidRDefault="00AE727E">
            <w:pPr>
              <w:rPr>
                <w:rFonts w:ascii="宋体"/>
              </w:rPr>
            </w:pPr>
          </w:p>
        </w:tc>
        <w:tc>
          <w:tcPr>
            <w:tcW w:w="5" w:type="pct"/>
            <w:shd w:val="clear" w:color="auto" w:fill="auto"/>
            <w:vAlign w:val="bottom"/>
          </w:tcPr>
          <w:p w14:paraId="07DCEF33" w14:textId="77777777" w:rsidR="00AE727E" w:rsidRDefault="00AE727E">
            <w:pPr>
              <w:rPr>
                <w:rFonts w:ascii="宋体"/>
              </w:rPr>
            </w:pPr>
          </w:p>
        </w:tc>
      </w:tr>
      <w:tr w:rsidR="00AE727E" w14:paraId="07DCEF37" w14:textId="77777777">
        <w:trPr>
          <w:jc w:val="center"/>
        </w:trPr>
        <w:tc>
          <w:tcPr>
            <w:tcW w:w="0" w:type="auto"/>
            <w:gridSpan w:val="3"/>
            <w:shd w:val="clear" w:color="auto" w:fill="auto"/>
            <w:tcMar>
              <w:top w:w="40" w:type="dxa"/>
              <w:left w:w="20" w:type="dxa"/>
              <w:bottom w:w="40" w:type="dxa"/>
              <w:right w:w="20" w:type="dxa"/>
            </w:tcMar>
            <w:vAlign w:val="bottom"/>
          </w:tcPr>
          <w:p w14:paraId="07DCEF35"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07DCEF36" w14:textId="77777777" w:rsidR="00AE727E" w:rsidRDefault="008433E0">
            <w:pPr>
              <w:jc w:val="center"/>
              <w:textAlignment w:val="bottom"/>
            </w:pPr>
            <w:r>
              <w:rPr>
                <w:rFonts w:ascii="Times New Roman" w:eastAsia="宋体" w:hAnsi="Times New Roman"/>
                <w:b/>
                <w:bCs/>
                <w:color w:val="000000"/>
                <w:sz w:val="20"/>
                <w:szCs w:val="20"/>
              </w:rPr>
              <w:t>Maturities by Fiscal Year (a)</w:t>
            </w:r>
          </w:p>
        </w:tc>
      </w:tr>
      <w:tr w:rsidR="00AE727E" w14:paraId="07DCEF46" w14:textId="77777777">
        <w:trPr>
          <w:jc w:val="center"/>
        </w:trPr>
        <w:tc>
          <w:tcPr>
            <w:tcW w:w="0" w:type="auto"/>
            <w:gridSpan w:val="3"/>
            <w:shd w:val="clear" w:color="auto" w:fill="auto"/>
            <w:tcMar>
              <w:top w:w="40" w:type="dxa"/>
              <w:left w:w="20" w:type="dxa"/>
              <w:bottom w:w="40" w:type="dxa"/>
              <w:right w:w="20" w:type="dxa"/>
            </w:tcMar>
            <w:vAlign w:val="bottom"/>
          </w:tcPr>
          <w:p w14:paraId="07DCEF38"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EF39" w14:textId="77777777" w:rsidR="00AE727E" w:rsidRDefault="008433E0">
            <w:pPr>
              <w:jc w:val="center"/>
              <w:textAlignment w:val="bottom"/>
            </w:pPr>
            <w:r>
              <w:rPr>
                <w:rFonts w:ascii="Times New Roman" w:eastAsia="宋体" w:hAnsi="Times New Roman"/>
                <w:b/>
                <w:bCs/>
                <w:color w:val="000000"/>
                <w:sz w:val="20"/>
                <w:szCs w:val="20"/>
              </w:rPr>
              <w:t>2022</w:t>
            </w:r>
            <w:r>
              <w:rPr>
                <w:rFonts w:ascii="Times New Roman" w:eastAsia="宋体" w:hAnsi="Times New Roman"/>
                <w:b/>
                <w:bCs/>
                <w:color w:val="000000"/>
                <w:sz w:val="20"/>
                <w:szCs w:val="20"/>
              </w:rPr>
              <w:br/>
            </w:r>
            <w:r>
              <w:rPr>
                <w:rFonts w:ascii="Times New Roman" w:eastAsia="宋体" w:hAnsi="Times New Roman"/>
                <w:b/>
                <w:bCs/>
                <w:color w:val="000000"/>
                <w:sz w:val="20"/>
                <w:szCs w:val="20"/>
              </w:rPr>
              <w:t>(remaining three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3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3B" w14:textId="77777777" w:rsidR="00AE727E" w:rsidRDefault="008433E0">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3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3D" w14:textId="77777777" w:rsidR="00AE727E" w:rsidRDefault="008433E0">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3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3F" w14:textId="77777777" w:rsidR="00AE727E" w:rsidRDefault="008433E0">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4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41" w14:textId="77777777" w:rsidR="00AE727E" w:rsidRDefault="008433E0">
            <w:pPr>
              <w:jc w:val="center"/>
              <w:textAlignment w:val="bottom"/>
            </w:pPr>
            <w:r>
              <w:rPr>
                <w:rFonts w:ascii="Times New Roman" w:eastAsia="宋体" w:hAnsi="Times New Roman"/>
                <w:b/>
                <w:bCs/>
                <w:color w:val="000000"/>
                <w:sz w:val="20"/>
                <w:szCs w:val="20"/>
              </w:rPr>
              <w:t>2026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4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43" w14:textId="77777777" w:rsidR="00AE727E" w:rsidRDefault="008433E0">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EF4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EF45"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EF49" w14:textId="77777777">
        <w:trPr>
          <w:jc w:val="center"/>
        </w:trPr>
        <w:tc>
          <w:tcPr>
            <w:tcW w:w="0" w:type="auto"/>
            <w:gridSpan w:val="3"/>
            <w:shd w:val="clear" w:color="auto" w:fill="auto"/>
            <w:tcMar>
              <w:top w:w="40" w:type="dxa"/>
              <w:left w:w="20" w:type="dxa"/>
              <w:bottom w:w="40" w:type="dxa"/>
              <w:right w:w="20" w:type="dxa"/>
            </w:tcMar>
            <w:vAlign w:val="bottom"/>
          </w:tcPr>
          <w:p w14:paraId="07DCEF47"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9"/>
            <w:tcBorders>
              <w:top w:val="single" w:sz="8" w:space="0" w:color="000000"/>
            </w:tcBorders>
            <w:shd w:val="clear" w:color="auto" w:fill="auto"/>
            <w:tcMar>
              <w:top w:w="40" w:type="dxa"/>
              <w:left w:w="20" w:type="dxa"/>
              <w:bottom w:w="40" w:type="dxa"/>
              <w:right w:w="20" w:type="dxa"/>
            </w:tcMar>
            <w:vAlign w:val="bottom"/>
          </w:tcPr>
          <w:p w14:paraId="07DCEF48"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EF66" w14:textId="77777777">
        <w:trPr>
          <w:jc w:val="center"/>
        </w:trPr>
        <w:tc>
          <w:tcPr>
            <w:tcW w:w="0" w:type="auto"/>
            <w:gridSpan w:val="3"/>
            <w:shd w:val="clear" w:color="auto" w:fill="CCEEFF"/>
            <w:tcMar>
              <w:top w:w="40" w:type="dxa"/>
              <w:left w:w="20" w:type="dxa"/>
              <w:bottom w:w="40" w:type="dxa"/>
              <w:right w:w="20" w:type="dxa"/>
            </w:tcMar>
            <w:vAlign w:val="bottom"/>
          </w:tcPr>
          <w:p w14:paraId="07DCEF4A" w14:textId="77777777" w:rsidR="00AE727E" w:rsidRDefault="008433E0">
            <w:pPr>
              <w:textAlignment w:val="bottom"/>
            </w:pPr>
            <w:r>
              <w:rPr>
                <w:rFonts w:ascii="Times New Roman" w:eastAsia="宋体" w:hAnsi="Times New Roman"/>
                <w:color w:val="000000"/>
                <w:sz w:val="20"/>
                <w:szCs w:val="20"/>
              </w:rPr>
              <w:t>Senior Secured Credit Facilities and First Lien Notes</w:t>
            </w:r>
          </w:p>
        </w:tc>
        <w:tc>
          <w:tcPr>
            <w:tcW w:w="0" w:type="auto"/>
            <w:shd w:val="clear" w:color="auto" w:fill="CCEEFF"/>
            <w:tcMar>
              <w:top w:w="40" w:type="dxa"/>
              <w:left w:w="20" w:type="dxa"/>
              <w:bottom w:w="40" w:type="dxa"/>
              <w:right w:w="0" w:type="dxa"/>
            </w:tcMar>
            <w:vAlign w:val="bottom"/>
          </w:tcPr>
          <w:p w14:paraId="07DCEF4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4C" w14:textId="77777777" w:rsidR="00AE727E" w:rsidRDefault="008433E0">
            <w:pPr>
              <w:jc w:val="right"/>
              <w:textAlignment w:val="bottom"/>
            </w:pPr>
            <w:r>
              <w:rPr>
                <w:rFonts w:ascii="Times New Roman" w:eastAsia="宋体" w:hAnsi="Times New Roman"/>
                <w:color w:val="000000"/>
                <w:sz w:val="20"/>
                <w:szCs w:val="20"/>
              </w:rPr>
              <w:t>7,754 </w:t>
            </w:r>
          </w:p>
        </w:tc>
        <w:tc>
          <w:tcPr>
            <w:tcW w:w="0" w:type="auto"/>
            <w:shd w:val="clear" w:color="auto" w:fill="CCEEFF"/>
            <w:tcMar>
              <w:top w:w="40" w:type="dxa"/>
              <w:left w:w="0" w:type="dxa"/>
              <w:bottom w:w="40" w:type="dxa"/>
              <w:right w:w="20" w:type="dxa"/>
            </w:tcMar>
            <w:vAlign w:val="bottom"/>
          </w:tcPr>
          <w:p w14:paraId="07DCEF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4E"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4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50"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5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52"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5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54" w14:textId="77777777" w:rsidR="00AE727E" w:rsidRDefault="008433E0">
            <w:pPr>
              <w:jc w:val="right"/>
              <w:textAlignment w:val="bottom"/>
            </w:pPr>
            <w:r>
              <w:rPr>
                <w:rFonts w:ascii="Times New Roman" w:eastAsia="宋体" w:hAnsi="Times New Roman"/>
                <w:color w:val="000000"/>
                <w:sz w:val="20"/>
                <w:szCs w:val="20"/>
              </w:rPr>
              <w:t>2,250 </w:t>
            </w:r>
          </w:p>
        </w:tc>
        <w:tc>
          <w:tcPr>
            <w:tcW w:w="0" w:type="auto"/>
            <w:shd w:val="clear" w:color="auto" w:fill="CCEEFF"/>
            <w:tcMar>
              <w:top w:w="40" w:type="dxa"/>
              <w:left w:w="0" w:type="dxa"/>
              <w:bottom w:w="40" w:type="dxa"/>
              <w:right w:w="20" w:type="dxa"/>
            </w:tcMar>
            <w:vAlign w:val="bottom"/>
          </w:tcPr>
          <w:p w14:paraId="07DCEF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56"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5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58"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DCEF5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5A"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5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5C"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DCEF5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5E"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5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60" w14:textId="77777777" w:rsidR="00AE727E" w:rsidRDefault="008433E0">
            <w:pPr>
              <w:jc w:val="right"/>
              <w:textAlignment w:val="bottom"/>
            </w:pPr>
            <w:r>
              <w:rPr>
                <w:rFonts w:ascii="Times New Roman" w:eastAsia="宋体" w:hAnsi="Times New Roman"/>
                <w:color w:val="000000"/>
                <w:sz w:val="20"/>
                <w:szCs w:val="20"/>
              </w:rPr>
              <w:t>12,750 </w:t>
            </w:r>
          </w:p>
        </w:tc>
        <w:tc>
          <w:tcPr>
            <w:tcW w:w="0" w:type="auto"/>
            <w:shd w:val="clear" w:color="auto" w:fill="CCEEFF"/>
            <w:tcMar>
              <w:top w:w="40" w:type="dxa"/>
              <w:left w:w="0" w:type="dxa"/>
              <w:bottom w:w="40" w:type="dxa"/>
              <w:right w:w="20" w:type="dxa"/>
            </w:tcMar>
            <w:vAlign w:val="bottom"/>
          </w:tcPr>
          <w:p w14:paraId="07DCEF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62"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EF6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EF64" w14:textId="77777777" w:rsidR="00AE727E" w:rsidRDefault="008433E0">
            <w:pPr>
              <w:jc w:val="right"/>
              <w:textAlignment w:val="bottom"/>
            </w:pPr>
            <w:r>
              <w:rPr>
                <w:rFonts w:ascii="Times New Roman" w:eastAsia="宋体" w:hAnsi="Times New Roman"/>
                <w:color w:val="000000"/>
                <w:sz w:val="20"/>
                <w:szCs w:val="20"/>
              </w:rPr>
              <w:t>24,754 </w:t>
            </w:r>
          </w:p>
        </w:tc>
        <w:tc>
          <w:tcPr>
            <w:tcW w:w="0" w:type="auto"/>
            <w:shd w:val="clear" w:color="auto" w:fill="CCEEFF"/>
            <w:tcMar>
              <w:top w:w="40" w:type="dxa"/>
              <w:left w:w="0" w:type="dxa"/>
              <w:bottom w:w="40" w:type="dxa"/>
              <w:right w:w="20" w:type="dxa"/>
            </w:tcMar>
            <w:vAlign w:val="bottom"/>
          </w:tcPr>
          <w:p w14:paraId="07DCEF65" w14:textId="77777777" w:rsidR="00AE727E" w:rsidRDefault="00AE727E">
            <w:pPr>
              <w:jc w:val="right"/>
              <w:rPr>
                <w:rFonts w:ascii="宋体"/>
              </w:rPr>
            </w:pPr>
          </w:p>
        </w:tc>
      </w:tr>
      <w:tr w:rsidR="00AE727E" w14:paraId="07DCEF7C" w14:textId="77777777">
        <w:trPr>
          <w:jc w:val="center"/>
        </w:trPr>
        <w:tc>
          <w:tcPr>
            <w:tcW w:w="0" w:type="auto"/>
            <w:gridSpan w:val="3"/>
            <w:shd w:val="clear" w:color="auto" w:fill="FFFFFF"/>
            <w:tcMar>
              <w:top w:w="40" w:type="dxa"/>
              <w:left w:w="20" w:type="dxa"/>
              <w:bottom w:w="40" w:type="dxa"/>
              <w:right w:w="20" w:type="dxa"/>
            </w:tcMar>
            <w:vAlign w:val="bottom"/>
          </w:tcPr>
          <w:p w14:paraId="07DCEF67" w14:textId="77777777" w:rsidR="00AE727E" w:rsidRDefault="008433E0">
            <w:pPr>
              <w:textAlignment w:val="bottom"/>
            </w:pPr>
            <w:r>
              <w:rPr>
                <w:rFonts w:ascii="Times New Roman" w:eastAsia="宋体" w:hAnsi="Times New Roman"/>
                <w:color w:val="000000"/>
                <w:sz w:val="20"/>
                <w:szCs w:val="20"/>
              </w:rPr>
              <w:t>Unsecured Notes and Debentures</w:t>
            </w:r>
          </w:p>
        </w:tc>
        <w:tc>
          <w:tcPr>
            <w:tcW w:w="0" w:type="auto"/>
            <w:gridSpan w:val="2"/>
            <w:shd w:val="clear" w:color="auto" w:fill="FFFFFF"/>
            <w:tcMar>
              <w:top w:w="40" w:type="dxa"/>
              <w:left w:w="20" w:type="dxa"/>
              <w:bottom w:w="40" w:type="dxa"/>
              <w:right w:w="0" w:type="dxa"/>
            </w:tcMar>
            <w:vAlign w:val="bottom"/>
          </w:tcPr>
          <w:p w14:paraId="07DCEF6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6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6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6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6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6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6E"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6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7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71"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7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7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7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7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7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77" w14:textId="77777777" w:rsidR="00AE727E" w:rsidRDefault="008433E0">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07DCEF7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7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7A" w14:textId="77777777" w:rsidR="00AE727E" w:rsidRDefault="008433E0">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07DCEF7B" w14:textId="77777777" w:rsidR="00AE727E" w:rsidRDefault="00AE727E">
            <w:pPr>
              <w:jc w:val="right"/>
              <w:rPr>
                <w:rFonts w:ascii="宋体"/>
              </w:rPr>
            </w:pPr>
          </w:p>
        </w:tc>
      </w:tr>
      <w:tr w:rsidR="00AE727E" w14:paraId="07DCEF92" w14:textId="77777777">
        <w:trPr>
          <w:jc w:val="center"/>
        </w:trPr>
        <w:tc>
          <w:tcPr>
            <w:tcW w:w="0" w:type="auto"/>
            <w:gridSpan w:val="3"/>
            <w:shd w:val="clear" w:color="auto" w:fill="CCEEFF"/>
            <w:tcMar>
              <w:top w:w="40" w:type="dxa"/>
              <w:left w:w="20" w:type="dxa"/>
              <w:bottom w:w="40" w:type="dxa"/>
              <w:right w:w="20" w:type="dxa"/>
            </w:tcMar>
            <w:vAlign w:val="bottom"/>
          </w:tcPr>
          <w:p w14:paraId="07DCEF7D" w14:textId="77777777" w:rsidR="00AE727E" w:rsidRDefault="008433E0">
            <w:pPr>
              <w:textAlignment w:val="bottom"/>
            </w:pPr>
            <w:r>
              <w:rPr>
                <w:rFonts w:ascii="Times New Roman" w:eastAsia="宋体" w:hAnsi="Times New Roman"/>
                <w:color w:val="000000"/>
                <w:sz w:val="20"/>
                <w:szCs w:val="20"/>
              </w:rPr>
              <w:t>Senior Notes and EMC Notes</w:t>
            </w:r>
          </w:p>
        </w:tc>
        <w:tc>
          <w:tcPr>
            <w:tcW w:w="0" w:type="auto"/>
            <w:gridSpan w:val="2"/>
            <w:shd w:val="clear" w:color="auto" w:fill="CCEEFF"/>
            <w:tcMar>
              <w:top w:w="40" w:type="dxa"/>
              <w:left w:w="20" w:type="dxa"/>
              <w:bottom w:w="40" w:type="dxa"/>
              <w:right w:w="0" w:type="dxa"/>
            </w:tcMar>
            <w:vAlign w:val="bottom"/>
          </w:tcPr>
          <w:p w14:paraId="07DCEF7E" w14:textId="77777777" w:rsidR="00AE727E" w:rsidRDefault="008433E0">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left w:w="0" w:type="dxa"/>
              <w:bottom w:w="40" w:type="dxa"/>
              <w:right w:w="20" w:type="dxa"/>
            </w:tcMar>
            <w:vAlign w:val="bottom"/>
          </w:tcPr>
          <w:p w14:paraId="07DCEF7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81"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8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8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87"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8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8A"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8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8D"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EF8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8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90" w14:textId="77777777" w:rsidR="00AE727E" w:rsidRDefault="008433E0">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left w:w="0" w:type="dxa"/>
              <w:bottom w:w="40" w:type="dxa"/>
              <w:right w:w="20" w:type="dxa"/>
            </w:tcMar>
            <w:vAlign w:val="bottom"/>
          </w:tcPr>
          <w:p w14:paraId="07DCEF91" w14:textId="77777777" w:rsidR="00AE727E" w:rsidRDefault="00AE727E">
            <w:pPr>
              <w:jc w:val="right"/>
              <w:rPr>
                <w:rFonts w:ascii="宋体"/>
              </w:rPr>
            </w:pPr>
          </w:p>
        </w:tc>
      </w:tr>
      <w:tr w:rsidR="00AE727E" w14:paraId="07DCEFA8" w14:textId="77777777">
        <w:trPr>
          <w:jc w:val="center"/>
        </w:trPr>
        <w:tc>
          <w:tcPr>
            <w:tcW w:w="0" w:type="auto"/>
            <w:gridSpan w:val="3"/>
            <w:shd w:val="clear" w:color="auto" w:fill="FFFFFF"/>
            <w:tcMar>
              <w:top w:w="40" w:type="dxa"/>
              <w:left w:w="20" w:type="dxa"/>
              <w:bottom w:w="40" w:type="dxa"/>
              <w:right w:w="20" w:type="dxa"/>
            </w:tcMar>
            <w:vAlign w:val="bottom"/>
          </w:tcPr>
          <w:p w14:paraId="07DCEF93" w14:textId="77777777" w:rsidR="00AE727E" w:rsidRDefault="008433E0">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07DCEF9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EF9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9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97" w14:textId="77777777" w:rsidR="00AE727E" w:rsidRDefault="008433E0">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7DCEF9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9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9A" w14:textId="77777777" w:rsidR="00AE727E" w:rsidRDefault="008433E0">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DCEF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9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9D" w14:textId="77777777" w:rsidR="00AE727E" w:rsidRDefault="008433E0">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07DCEF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9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A0" w14:textId="77777777" w:rsidR="00AE727E" w:rsidRDefault="008433E0">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07DCEFA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A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A3" w14:textId="77777777" w:rsidR="00AE727E" w:rsidRDefault="008433E0">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left w:w="0" w:type="dxa"/>
              <w:bottom w:w="40" w:type="dxa"/>
              <w:right w:w="20" w:type="dxa"/>
            </w:tcMar>
            <w:vAlign w:val="bottom"/>
          </w:tcPr>
          <w:p w14:paraId="07DCEFA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A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A6" w14:textId="77777777" w:rsidR="00AE727E" w:rsidRDefault="008433E0">
            <w:pPr>
              <w:jc w:val="right"/>
              <w:textAlignment w:val="bottom"/>
            </w:pPr>
            <w:r>
              <w:rPr>
                <w:rFonts w:ascii="Times New Roman" w:eastAsia="宋体" w:hAnsi="Times New Roman"/>
                <w:color w:val="000000"/>
                <w:sz w:val="20"/>
                <w:szCs w:val="20"/>
              </w:rPr>
              <w:t>10,750 </w:t>
            </w:r>
          </w:p>
        </w:tc>
        <w:tc>
          <w:tcPr>
            <w:tcW w:w="0" w:type="auto"/>
            <w:shd w:val="clear" w:color="auto" w:fill="FFFFFF"/>
            <w:tcMar>
              <w:top w:w="40" w:type="dxa"/>
              <w:left w:w="0" w:type="dxa"/>
              <w:bottom w:w="40" w:type="dxa"/>
              <w:right w:w="20" w:type="dxa"/>
            </w:tcMar>
            <w:vAlign w:val="bottom"/>
          </w:tcPr>
          <w:p w14:paraId="07DCEFA7" w14:textId="77777777" w:rsidR="00AE727E" w:rsidRDefault="00AE727E">
            <w:pPr>
              <w:jc w:val="right"/>
              <w:rPr>
                <w:rFonts w:ascii="宋体"/>
              </w:rPr>
            </w:pPr>
          </w:p>
        </w:tc>
      </w:tr>
      <w:tr w:rsidR="00AE727E" w14:paraId="07DCEFBE" w14:textId="77777777">
        <w:trPr>
          <w:jc w:val="center"/>
        </w:trPr>
        <w:tc>
          <w:tcPr>
            <w:tcW w:w="0" w:type="auto"/>
            <w:gridSpan w:val="3"/>
            <w:shd w:val="clear" w:color="auto" w:fill="CCEEFF"/>
            <w:tcMar>
              <w:top w:w="40" w:type="dxa"/>
              <w:left w:w="20" w:type="dxa"/>
              <w:bottom w:w="40" w:type="dxa"/>
              <w:right w:w="20" w:type="dxa"/>
            </w:tcMar>
            <w:vAlign w:val="bottom"/>
          </w:tcPr>
          <w:p w14:paraId="07DCEFA9" w14:textId="77777777" w:rsidR="00AE727E" w:rsidRDefault="008433E0">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07DCEFAA" w14:textId="77777777" w:rsidR="00AE727E" w:rsidRDefault="008433E0">
            <w:pPr>
              <w:jc w:val="right"/>
              <w:textAlignment w:val="bottom"/>
            </w:pPr>
            <w:r>
              <w:rPr>
                <w:rFonts w:ascii="Times New Roman" w:eastAsia="宋体" w:hAnsi="Times New Roman"/>
                <w:color w:val="000000"/>
                <w:sz w:val="20"/>
                <w:szCs w:val="20"/>
              </w:rPr>
              <w:t>1</w:t>
            </w:r>
            <w:r>
              <w:rPr>
                <w:rFonts w:ascii="Times New Roman" w:eastAsia="宋体" w:hAnsi="Times New Roman"/>
                <w:color w:val="000000"/>
                <w:sz w:val="20"/>
                <w:szCs w:val="20"/>
              </w:rPr>
              <w:t>,378 </w:t>
            </w:r>
          </w:p>
        </w:tc>
        <w:tc>
          <w:tcPr>
            <w:tcW w:w="0" w:type="auto"/>
            <w:shd w:val="clear" w:color="auto" w:fill="CCEEFF"/>
            <w:tcMar>
              <w:top w:w="40" w:type="dxa"/>
              <w:left w:w="0" w:type="dxa"/>
              <w:bottom w:w="40" w:type="dxa"/>
              <w:right w:w="20" w:type="dxa"/>
            </w:tcMar>
            <w:vAlign w:val="bottom"/>
          </w:tcPr>
          <w:p w14:paraId="07DCEFA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A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AD" w14:textId="77777777" w:rsidR="00AE727E" w:rsidRDefault="008433E0">
            <w:pPr>
              <w:jc w:val="right"/>
              <w:textAlignment w:val="bottom"/>
            </w:pPr>
            <w:r>
              <w:rPr>
                <w:rFonts w:ascii="Times New Roman" w:eastAsia="宋体" w:hAnsi="Times New Roman"/>
                <w:color w:val="000000"/>
                <w:sz w:val="20"/>
                <w:szCs w:val="20"/>
              </w:rPr>
              <w:t>5,019 </w:t>
            </w:r>
          </w:p>
        </w:tc>
        <w:tc>
          <w:tcPr>
            <w:tcW w:w="0" w:type="auto"/>
            <w:shd w:val="clear" w:color="auto" w:fill="CCEEFF"/>
            <w:tcMar>
              <w:top w:w="40" w:type="dxa"/>
              <w:left w:w="0" w:type="dxa"/>
              <w:bottom w:w="40" w:type="dxa"/>
              <w:right w:w="20" w:type="dxa"/>
            </w:tcMar>
            <w:vAlign w:val="bottom"/>
          </w:tcPr>
          <w:p w14:paraId="07DCEFA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A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B0" w14:textId="77777777" w:rsidR="00AE727E" w:rsidRDefault="008433E0">
            <w:pPr>
              <w:jc w:val="right"/>
              <w:textAlignment w:val="bottom"/>
            </w:pPr>
            <w:r>
              <w:rPr>
                <w:rFonts w:ascii="Times New Roman" w:eastAsia="宋体" w:hAnsi="Times New Roman"/>
                <w:color w:val="000000"/>
                <w:sz w:val="20"/>
                <w:szCs w:val="20"/>
              </w:rPr>
              <w:t>1,888 </w:t>
            </w:r>
          </w:p>
        </w:tc>
        <w:tc>
          <w:tcPr>
            <w:tcW w:w="0" w:type="auto"/>
            <w:shd w:val="clear" w:color="auto" w:fill="CCEEFF"/>
            <w:tcMar>
              <w:top w:w="40" w:type="dxa"/>
              <w:left w:w="0" w:type="dxa"/>
              <w:bottom w:w="40" w:type="dxa"/>
              <w:right w:w="20" w:type="dxa"/>
            </w:tcMar>
            <w:vAlign w:val="bottom"/>
          </w:tcPr>
          <w:p w14:paraId="07DCEFB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B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B3" w14:textId="77777777" w:rsidR="00AE727E" w:rsidRDefault="008433E0">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07DCEFB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B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B6" w14:textId="77777777" w:rsidR="00AE727E" w:rsidRDefault="008433E0">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07DCEFB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B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B9" w14:textId="77777777" w:rsidR="00AE727E" w:rsidRDefault="008433E0">
            <w:pPr>
              <w:jc w:val="right"/>
              <w:textAlignment w:val="bottom"/>
            </w:pPr>
            <w:r>
              <w:rPr>
                <w:rFonts w:ascii="Times New Roman" w:eastAsia="宋体" w:hAnsi="Times New Roman"/>
                <w:color w:val="000000"/>
                <w:sz w:val="20"/>
                <w:szCs w:val="20"/>
              </w:rPr>
              <w:t>590 </w:t>
            </w:r>
          </w:p>
        </w:tc>
        <w:tc>
          <w:tcPr>
            <w:tcW w:w="0" w:type="auto"/>
            <w:shd w:val="clear" w:color="auto" w:fill="CCEEFF"/>
            <w:tcMar>
              <w:top w:w="40" w:type="dxa"/>
              <w:left w:w="0" w:type="dxa"/>
              <w:bottom w:w="40" w:type="dxa"/>
              <w:right w:w="20" w:type="dxa"/>
            </w:tcMar>
            <w:vAlign w:val="bottom"/>
          </w:tcPr>
          <w:p w14:paraId="07DCEFB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B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EFBC" w14:textId="77777777" w:rsidR="00AE727E" w:rsidRDefault="008433E0">
            <w:pPr>
              <w:jc w:val="right"/>
              <w:textAlignment w:val="bottom"/>
            </w:pPr>
            <w:r>
              <w:rPr>
                <w:rFonts w:ascii="Times New Roman" w:eastAsia="宋体" w:hAnsi="Times New Roman"/>
                <w:color w:val="000000"/>
                <w:sz w:val="20"/>
                <w:szCs w:val="20"/>
              </w:rPr>
              <w:t>9,977 </w:t>
            </w:r>
          </w:p>
        </w:tc>
        <w:tc>
          <w:tcPr>
            <w:tcW w:w="0" w:type="auto"/>
            <w:shd w:val="clear" w:color="auto" w:fill="CCEEFF"/>
            <w:tcMar>
              <w:top w:w="40" w:type="dxa"/>
              <w:left w:w="0" w:type="dxa"/>
              <w:bottom w:w="40" w:type="dxa"/>
              <w:right w:w="20" w:type="dxa"/>
            </w:tcMar>
            <w:vAlign w:val="bottom"/>
          </w:tcPr>
          <w:p w14:paraId="07DCEFBD" w14:textId="77777777" w:rsidR="00AE727E" w:rsidRDefault="00AE727E">
            <w:pPr>
              <w:jc w:val="right"/>
              <w:rPr>
                <w:rFonts w:ascii="宋体"/>
              </w:rPr>
            </w:pPr>
          </w:p>
        </w:tc>
      </w:tr>
      <w:tr w:rsidR="00AE727E" w14:paraId="07DCEFCD" w14:textId="77777777">
        <w:trPr>
          <w:jc w:val="center"/>
          <w:hidden/>
        </w:trPr>
        <w:tc>
          <w:tcPr>
            <w:tcW w:w="0" w:type="auto"/>
            <w:gridSpan w:val="3"/>
            <w:shd w:val="clear" w:color="auto" w:fill="auto"/>
            <w:vAlign w:val="bottom"/>
          </w:tcPr>
          <w:p w14:paraId="07DCEFBF" w14:textId="77777777" w:rsidR="00AE727E" w:rsidRDefault="00AE727E">
            <w:pPr>
              <w:rPr>
                <w:rFonts w:ascii="宋体"/>
                <w:vanish/>
              </w:rPr>
            </w:pPr>
          </w:p>
        </w:tc>
        <w:tc>
          <w:tcPr>
            <w:tcW w:w="0" w:type="auto"/>
            <w:gridSpan w:val="3"/>
            <w:shd w:val="clear" w:color="auto" w:fill="auto"/>
            <w:vAlign w:val="bottom"/>
          </w:tcPr>
          <w:p w14:paraId="07DCEFC0" w14:textId="77777777" w:rsidR="00AE727E" w:rsidRDefault="00AE727E">
            <w:pPr>
              <w:rPr>
                <w:rFonts w:ascii="宋体"/>
                <w:vanish/>
              </w:rPr>
            </w:pPr>
          </w:p>
        </w:tc>
        <w:tc>
          <w:tcPr>
            <w:tcW w:w="0" w:type="auto"/>
            <w:gridSpan w:val="3"/>
            <w:shd w:val="clear" w:color="auto" w:fill="auto"/>
            <w:vAlign w:val="bottom"/>
          </w:tcPr>
          <w:p w14:paraId="07DCEFC1" w14:textId="77777777" w:rsidR="00AE727E" w:rsidRDefault="00AE727E">
            <w:pPr>
              <w:rPr>
                <w:rFonts w:ascii="宋体"/>
                <w:vanish/>
              </w:rPr>
            </w:pPr>
          </w:p>
        </w:tc>
        <w:tc>
          <w:tcPr>
            <w:tcW w:w="0" w:type="auto"/>
            <w:gridSpan w:val="3"/>
            <w:shd w:val="clear" w:color="auto" w:fill="auto"/>
            <w:vAlign w:val="bottom"/>
          </w:tcPr>
          <w:p w14:paraId="07DCEFC2" w14:textId="77777777" w:rsidR="00AE727E" w:rsidRDefault="00AE727E">
            <w:pPr>
              <w:rPr>
                <w:rFonts w:ascii="宋体"/>
                <w:vanish/>
              </w:rPr>
            </w:pPr>
          </w:p>
        </w:tc>
        <w:tc>
          <w:tcPr>
            <w:tcW w:w="0" w:type="auto"/>
            <w:gridSpan w:val="3"/>
            <w:shd w:val="clear" w:color="auto" w:fill="auto"/>
            <w:vAlign w:val="bottom"/>
          </w:tcPr>
          <w:p w14:paraId="07DCEFC3" w14:textId="77777777" w:rsidR="00AE727E" w:rsidRDefault="00AE727E">
            <w:pPr>
              <w:rPr>
                <w:rFonts w:ascii="宋体"/>
                <w:vanish/>
              </w:rPr>
            </w:pPr>
          </w:p>
        </w:tc>
        <w:tc>
          <w:tcPr>
            <w:tcW w:w="0" w:type="auto"/>
            <w:gridSpan w:val="3"/>
            <w:shd w:val="clear" w:color="auto" w:fill="auto"/>
            <w:vAlign w:val="bottom"/>
          </w:tcPr>
          <w:p w14:paraId="07DCEFC4" w14:textId="77777777" w:rsidR="00AE727E" w:rsidRDefault="00AE727E">
            <w:pPr>
              <w:rPr>
                <w:rFonts w:ascii="宋体"/>
                <w:vanish/>
              </w:rPr>
            </w:pPr>
          </w:p>
        </w:tc>
        <w:tc>
          <w:tcPr>
            <w:tcW w:w="0" w:type="auto"/>
            <w:gridSpan w:val="3"/>
            <w:shd w:val="clear" w:color="auto" w:fill="auto"/>
            <w:vAlign w:val="bottom"/>
          </w:tcPr>
          <w:p w14:paraId="07DCEFC5" w14:textId="77777777" w:rsidR="00AE727E" w:rsidRDefault="00AE727E">
            <w:pPr>
              <w:rPr>
                <w:rFonts w:ascii="宋体"/>
                <w:vanish/>
              </w:rPr>
            </w:pPr>
          </w:p>
        </w:tc>
        <w:tc>
          <w:tcPr>
            <w:tcW w:w="0" w:type="auto"/>
            <w:gridSpan w:val="3"/>
            <w:shd w:val="clear" w:color="auto" w:fill="auto"/>
            <w:vAlign w:val="bottom"/>
          </w:tcPr>
          <w:p w14:paraId="07DCEFC6" w14:textId="77777777" w:rsidR="00AE727E" w:rsidRDefault="00AE727E">
            <w:pPr>
              <w:rPr>
                <w:rFonts w:ascii="宋体"/>
                <w:vanish/>
              </w:rPr>
            </w:pPr>
          </w:p>
        </w:tc>
        <w:tc>
          <w:tcPr>
            <w:tcW w:w="0" w:type="auto"/>
            <w:gridSpan w:val="3"/>
            <w:shd w:val="clear" w:color="auto" w:fill="auto"/>
            <w:vAlign w:val="bottom"/>
          </w:tcPr>
          <w:p w14:paraId="07DCEFC7" w14:textId="77777777" w:rsidR="00AE727E" w:rsidRDefault="00AE727E">
            <w:pPr>
              <w:rPr>
                <w:rFonts w:ascii="宋体"/>
                <w:vanish/>
              </w:rPr>
            </w:pPr>
          </w:p>
        </w:tc>
        <w:tc>
          <w:tcPr>
            <w:tcW w:w="0" w:type="auto"/>
            <w:gridSpan w:val="3"/>
            <w:shd w:val="clear" w:color="auto" w:fill="auto"/>
            <w:vAlign w:val="bottom"/>
          </w:tcPr>
          <w:p w14:paraId="07DCEFC8" w14:textId="77777777" w:rsidR="00AE727E" w:rsidRDefault="00AE727E">
            <w:pPr>
              <w:rPr>
                <w:rFonts w:ascii="宋体"/>
                <w:vanish/>
              </w:rPr>
            </w:pPr>
          </w:p>
        </w:tc>
        <w:tc>
          <w:tcPr>
            <w:tcW w:w="0" w:type="auto"/>
            <w:gridSpan w:val="3"/>
            <w:shd w:val="clear" w:color="auto" w:fill="auto"/>
            <w:vAlign w:val="bottom"/>
          </w:tcPr>
          <w:p w14:paraId="07DCEFC9" w14:textId="77777777" w:rsidR="00AE727E" w:rsidRDefault="00AE727E">
            <w:pPr>
              <w:rPr>
                <w:rFonts w:ascii="宋体"/>
                <w:vanish/>
              </w:rPr>
            </w:pPr>
          </w:p>
        </w:tc>
        <w:tc>
          <w:tcPr>
            <w:tcW w:w="0" w:type="auto"/>
            <w:gridSpan w:val="3"/>
            <w:shd w:val="clear" w:color="auto" w:fill="auto"/>
            <w:vAlign w:val="bottom"/>
          </w:tcPr>
          <w:p w14:paraId="07DCEFCA" w14:textId="77777777" w:rsidR="00AE727E" w:rsidRDefault="00AE727E">
            <w:pPr>
              <w:rPr>
                <w:rFonts w:ascii="宋体"/>
                <w:vanish/>
              </w:rPr>
            </w:pPr>
          </w:p>
        </w:tc>
        <w:tc>
          <w:tcPr>
            <w:tcW w:w="0" w:type="auto"/>
            <w:gridSpan w:val="3"/>
            <w:shd w:val="clear" w:color="auto" w:fill="auto"/>
            <w:vAlign w:val="bottom"/>
          </w:tcPr>
          <w:p w14:paraId="07DCEFCB" w14:textId="77777777" w:rsidR="00AE727E" w:rsidRDefault="00AE727E">
            <w:pPr>
              <w:rPr>
                <w:rFonts w:ascii="宋体"/>
                <w:vanish/>
              </w:rPr>
            </w:pPr>
          </w:p>
        </w:tc>
        <w:tc>
          <w:tcPr>
            <w:tcW w:w="0" w:type="auto"/>
            <w:gridSpan w:val="3"/>
            <w:shd w:val="clear" w:color="auto" w:fill="auto"/>
            <w:vAlign w:val="bottom"/>
          </w:tcPr>
          <w:p w14:paraId="07DCEFCC" w14:textId="77777777" w:rsidR="00AE727E" w:rsidRDefault="00AE727E">
            <w:pPr>
              <w:rPr>
                <w:rFonts w:ascii="宋体"/>
                <w:vanish/>
              </w:rPr>
            </w:pPr>
          </w:p>
        </w:tc>
      </w:tr>
      <w:tr w:rsidR="00AE727E" w14:paraId="07DCEFE3" w14:textId="77777777">
        <w:trPr>
          <w:jc w:val="center"/>
        </w:trPr>
        <w:tc>
          <w:tcPr>
            <w:tcW w:w="0" w:type="auto"/>
            <w:gridSpan w:val="3"/>
            <w:shd w:val="clear" w:color="auto" w:fill="FFFFFF"/>
            <w:tcMar>
              <w:top w:w="40" w:type="dxa"/>
              <w:left w:w="20" w:type="dxa"/>
              <w:bottom w:w="40" w:type="dxa"/>
              <w:right w:w="20" w:type="dxa"/>
            </w:tcMar>
            <w:vAlign w:val="bottom"/>
          </w:tcPr>
          <w:p w14:paraId="07DCEFCE"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CEFCF" w14:textId="77777777" w:rsidR="00AE727E" w:rsidRDefault="008433E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7DCEFD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D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D2" w14:textId="77777777" w:rsidR="00AE727E" w:rsidRDefault="008433E0">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DCEFD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D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D5" w14:textId="77777777" w:rsidR="00AE727E" w:rsidRDefault="008433E0">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07DCEFD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D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D8" w14:textId="77777777" w:rsidR="00AE727E" w:rsidRDefault="008433E0">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bottom"/>
          </w:tcPr>
          <w:p w14:paraId="07DCEFD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D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DB" w14:textId="77777777" w:rsidR="00AE727E" w:rsidRDefault="008433E0">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07DCEFD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D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DE" w14:textId="77777777" w:rsidR="00AE727E" w:rsidRDefault="008433E0">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DCEF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E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E1" w14:textId="77777777" w:rsidR="00AE727E" w:rsidRDefault="008433E0">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07DCEFE2" w14:textId="77777777" w:rsidR="00AE727E" w:rsidRDefault="00AE727E">
            <w:pPr>
              <w:jc w:val="right"/>
              <w:rPr>
                <w:rFonts w:ascii="宋体"/>
              </w:rPr>
            </w:pPr>
          </w:p>
        </w:tc>
      </w:tr>
      <w:tr w:rsidR="00AE727E" w14:paraId="07DCEFF9" w14:textId="77777777">
        <w:trPr>
          <w:jc w:val="center"/>
        </w:trPr>
        <w:tc>
          <w:tcPr>
            <w:tcW w:w="0" w:type="auto"/>
            <w:gridSpan w:val="3"/>
            <w:shd w:val="clear" w:color="auto" w:fill="CCEEFF"/>
            <w:tcMar>
              <w:top w:w="40" w:type="dxa"/>
              <w:left w:w="155" w:type="dxa"/>
              <w:bottom w:w="40" w:type="dxa"/>
              <w:right w:w="20" w:type="dxa"/>
            </w:tcMar>
            <w:vAlign w:val="bottom"/>
          </w:tcPr>
          <w:p w14:paraId="07DCEFE4" w14:textId="77777777" w:rsidR="00AE727E" w:rsidRDefault="008433E0">
            <w:pPr>
              <w:textAlignment w:val="bottom"/>
            </w:pPr>
            <w:r>
              <w:rPr>
                <w:rFonts w:ascii="Times New Roman" w:eastAsia="宋体" w:hAnsi="Times New Roman"/>
                <w:color w:val="000000"/>
                <w:sz w:val="20"/>
                <w:szCs w:val="20"/>
              </w:rPr>
              <w:t>Total maturities,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E5" w14:textId="77777777" w:rsidR="00AE727E" w:rsidRDefault="008433E0">
            <w:pPr>
              <w:jc w:val="right"/>
              <w:textAlignment w:val="bottom"/>
            </w:pPr>
            <w:r>
              <w:rPr>
                <w:rFonts w:ascii="Times New Roman" w:eastAsia="宋体" w:hAnsi="Times New Roman"/>
                <w:color w:val="000000"/>
                <w:sz w:val="20"/>
                <w:szCs w:val="20"/>
              </w:rPr>
              <w:t>10,766 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E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E7"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E8" w14:textId="77777777" w:rsidR="00AE727E" w:rsidRDefault="008433E0">
            <w:pPr>
              <w:jc w:val="right"/>
              <w:textAlignment w:val="bottom"/>
            </w:pPr>
            <w:r>
              <w:rPr>
                <w:rFonts w:ascii="Times New Roman" w:eastAsia="宋体" w:hAnsi="Times New Roman"/>
                <w:color w:val="000000"/>
                <w:sz w:val="20"/>
                <w:szCs w:val="20"/>
              </w:rPr>
              <w:t>6,552 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E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EA"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EB" w14:textId="77777777" w:rsidR="00AE727E" w:rsidRDefault="008433E0">
            <w:pPr>
              <w:jc w:val="right"/>
              <w:textAlignment w:val="bottom"/>
            </w:pPr>
            <w:r>
              <w:rPr>
                <w:rFonts w:ascii="Times New Roman" w:eastAsia="宋体" w:hAnsi="Times New Roman"/>
                <w:color w:val="000000"/>
                <w:sz w:val="20"/>
                <w:szCs w:val="20"/>
              </w:rPr>
              <w:t>5,325 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E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ED"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EE" w14:textId="77777777" w:rsidR="00AE727E" w:rsidRDefault="008433E0">
            <w:pPr>
              <w:jc w:val="right"/>
              <w:textAlignment w:val="bottom"/>
            </w:pPr>
            <w:r>
              <w:rPr>
                <w:rFonts w:ascii="Times New Roman" w:eastAsia="宋体" w:hAnsi="Times New Roman"/>
                <w:color w:val="000000"/>
                <w:sz w:val="20"/>
                <w:szCs w:val="20"/>
              </w:rPr>
              <w:t>3,390 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E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F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F1" w14:textId="77777777" w:rsidR="00AE727E" w:rsidRDefault="008433E0">
            <w:pPr>
              <w:jc w:val="right"/>
              <w:textAlignment w:val="bottom"/>
            </w:pPr>
            <w:r>
              <w:rPr>
                <w:rFonts w:ascii="Times New Roman" w:eastAsia="宋体" w:hAnsi="Times New Roman"/>
                <w:color w:val="000000"/>
                <w:sz w:val="20"/>
                <w:szCs w:val="20"/>
              </w:rPr>
              <w:t>1,859 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F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F3"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F4" w14:textId="77777777" w:rsidR="00AE727E" w:rsidRDefault="008433E0">
            <w:pPr>
              <w:jc w:val="right"/>
              <w:textAlignment w:val="bottom"/>
            </w:pPr>
            <w:r>
              <w:rPr>
                <w:rFonts w:ascii="Times New Roman" w:eastAsia="宋体" w:hAnsi="Times New Roman"/>
                <w:color w:val="000000"/>
                <w:sz w:val="20"/>
                <w:szCs w:val="20"/>
              </w:rPr>
              <w:t>20,566 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F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EFF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EFF7" w14:textId="77777777" w:rsidR="00AE727E" w:rsidRDefault="008433E0">
            <w:pPr>
              <w:jc w:val="right"/>
              <w:textAlignment w:val="bottom"/>
            </w:pPr>
            <w:r>
              <w:rPr>
                <w:rFonts w:ascii="Times New Roman" w:eastAsia="宋体" w:hAnsi="Times New Roman"/>
                <w:color w:val="000000"/>
                <w:sz w:val="20"/>
                <w:szCs w:val="20"/>
              </w:rPr>
              <w:t>48,458 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EFF8" w14:textId="77777777" w:rsidR="00AE727E" w:rsidRDefault="00AE727E">
            <w:pPr>
              <w:jc w:val="right"/>
              <w:rPr>
                <w:rFonts w:ascii="宋体"/>
              </w:rPr>
            </w:pPr>
          </w:p>
        </w:tc>
      </w:tr>
      <w:tr w:rsidR="00AE727E" w14:paraId="07DCF00F" w14:textId="77777777">
        <w:trPr>
          <w:jc w:val="center"/>
        </w:trPr>
        <w:tc>
          <w:tcPr>
            <w:tcW w:w="0" w:type="auto"/>
            <w:gridSpan w:val="3"/>
            <w:shd w:val="clear" w:color="auto" w:fill="FFFFFF"/>
            <w:tcMar>
              <w:top w:w="40" w:type="dxa"/>
              <w:left w:w="260" w:type="dxa"/>
              <w:bottom w:w="40" w:type="dxa"/>
              <w:right w:w="20" w:type="dxa"/>
            </w:tcMar>
            <w:vAlign w:val="bottom"/>
          </w:tcPr>
          <w:p w14:paraId="07DCEFFA" w14:textId="77777777" w:rsidR="00AE727E" w:rsidRDefault="008433E0">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FFFFFF"/>
            <w:tcMar>
              <w:top w:w="40" w:type="dxa"/>
              <w:left w:w="20" w:type="dxa"/>
              <w:bottom w:w="40" w:type="dxa"/>
              <w:right w:w="0" w:type="dxa"/>
            </w:tcMar>
            <w:vAlign w:val="bottom"/>
          </w:tcPr>
          <w:p w14:paraId="07DCEFFB" w14:textId="77777777" w:rsidR="00AE727E" w:rsidRDefault="008433E0">
            <w:pPr>
              <w:jc w:val="right"/>
              <w:textAlignment w:val="bottom"/>
            </w:pPr>
            <w:r>
              <w:rPr>
                <w:rFonts w:ascii="Times New Roman" w:eastAsia="宋体" w:hAnsi="Times New Roman"/>
                <w:color w:val="000000"/>
                <w:sz w:val="20"/>
                <w:szCs w:val="20"/>
              </w:rPr>
              <w:t>(94)</w:t>
            </w:r>
          </w:p>
        </w:tc>
        <w:tc>
          <w:tcPr>
            <w:tcW w:w="0" w:type="auto"/>
            <w:shd w:val="clear" w:color="auto" w:fill="FFFFFF"/>
            <w:tcMar>
              <w:top w:w="40" w:type="dxa"/>
              <w:left w:w="0" w:type="dxa"/>
              <w:bottom w:w="40" w:type="dxa"/>
              <w:right w:w="20" w:type="dxa"/>
            </w:tcMar>
            <w:vAlign w:val="bottom"/>
          </w:tcPr>
          <w:p w14:paraId="07DCEF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EF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EFFE" w14:textId="77777777" w:rsidR="00AE727E" w:rsidRDefault="008433E0">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07DCEF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0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001" w14:textId="77777777" w:rsidR="00AE727E" w:rsidRDefault="008433E0">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07DCF00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0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004" w14:textId="77777777" w:rsidR="00AE727E" w:rsidRDefault="008433E0">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07DCF0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0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007" w14:textId="77777777" w:rsidR="00AE727E" w:rsidRDefault="008433E0">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07DCF00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0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00A" w14:textId="77777777" w:rsidR="00AE727E" w:rsidRDefault="008433E0">
            <w:pPr>
              <w:jc w:val="right"/>
              <w:textAlignment w:val="bottom"/>
            </w:pPr>
            <w:r>
              <w:rPr>
                <w:rFonts w:ascii="Times New Roman" w:eastAsia="宋体" w:hAnsi="Times New Roman"/>
                <w:color w:val="000000"/>
                <w:sz w:val="20"/>
                <w:szCs w:val="20"/>
              </w:rPr>
              <w:t>(332)</w:t>
            </w:r>
          </w:p>
        </w:tc>
        <w:tc>
          <w:tcPr>
            <w:tcW w:w="0" w:type="auto"/>
            <w:shd w:val="clear" w:color="auto" w:fill="FFFFFF"/>
            <w:tcMar>
              <w:top w:w="40" w:type="dxa"/>
              <w:left w:w="0" w:type="dxa"/>
              <w:bottom w:w="40" w:type="dxa"/>
              <w:right w:w="20" w:type="dxa"/>
            </w:tcMar>
            <w:vAlign w:val="bottom"/>
          </w:tcPr>
          <w:p w14:paraId="07DCF00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0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00D" w14:textId="77777777" w:rsidR="00AE727E" w:rsidRDefault="008433E0">
            <w:pPr>
              <w:jc w:val="right"/>
              <w:textAlignment w:val="bottom"/>
            </w:pPr>
            <w:r>
              <w:rPr>
                <w:rFonts w:ascii="Times New Roman" w:eastAsia="宋体" w:hAnsi="Times New Roman"/>
                <w:color w:val="000000"/>
                <w:sz w:val="20"/>
                <w:szCs w:val="20"/>
              </w:rPr>
              <w:t>(479)</w:t>
            </w:r>
          </w:p>
        </w:tc>
        <w:tc>
          <w:tcPr>
            <w:tcW w:w="0" w:type="auto"/>
            <w:shd w:val="clear" w:color="auto" w:fill="FFFFFF"/>
            <w:tcMar>
              <w:top w:w="40" w:type="dxa"/>
              <w:left w:w="0" w:type="dxa"/>
              <w:bottom w:w="40" w:type="dxa"/>
              <w:right w:w="20" w:type="dxa"/>
            </w:tcMar>
            <w:vAlign w:val="bottom"/>
          </w:tcPr>
          <w:p w14:paraId="07DCF00E" w14:textId="77777777" w:rsidR="00AE727E" w:rsidRDefault="00AE727E">
            <w:pPr>
              <w:jc w:val="right"/>
              <w:rPr>
                <w:rFonts w:ascii="宋体"/>
              </w:rPr>
            </w:pPr>
          </w:p>
        </w:tc>
      </w:tr>
      <w:tr w:rsidR="00AE727E" w14:paraId="07DCF02C" w14:textId="77777777">
        <w:trPr>
          <w:jc w:val="center"/>
        </w:trPr>
        <w:tc>
          <w:tcPr>
            <w:tcW w:w="0" w:type="auto"/>
            <w:gridSpan w:val="3"/>
            <w:shd w:val="clear" w:color="auto" w:fill="CCEEFF"/>
            <w:tcMar>
              <w:top w:w="40" w:type="dxa"/>
              <w:left w:w="155" w:type="dxa"/>
              <w:bottom w:w="40" w:type="dxa"/>
              <w:right w:w="20" w:type="dxa"/>
            </w:tcMar>
            <w:vAlign w:val="bottom"/>
          </w:tcPr>
          <w:p w14:paraId="07DCF010" w14:textId="77777777" w:rsidR="00AE727E" w:rsidRDefault="008433E0">
            <w:pPr>
              <w:textAlignment w:val="bottom"/>
            </w:pPr>
            <w:r>
              <w:rPr>
                <w:rFonts w:ascii="Times New Roman" w:eastAsia="宋体" w:hAnsi="Times New Roman"/>
                <w:color w:val="000000"/>
                <w:sz w:val="20"/>
                <w:szCs w:val="20"/>
              </w:rPr>
              <w:t>Total maturities, carrying value amount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1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12" w14:textId="77777777" w:rsidR="00AE727E" w:rsidRDefault="008433E0">
            <w:pPr>
              <w:jc w:val="right"/>
              <w:textAlignment w:val="bottom"/>
            </w:pPr>
            <w:r>
              <w:rPr>
                <w:rFonts w:ascii="Times New Roman" w:eastAsia="宋体" w:hAnsi="Times New Roman"/>
                <w:color w:val="000000"/>
                <w:sz w:val="20"/>
                <w:szCs w:val="20"/>
              </w:rPr>
              <w:t>10,672 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1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1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1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16" w14:textId="77777777" w:rsidR="00AE727E" w:rsidRDefault="008433E0">
            <w:pPr>
              <w:jc w:val="right"/>
              <w:textAlignment w:val="bottom"/>
            </w:pPr>
            <w:r>
              <w:rPr>
                <w:rFonts w:ascii="Times New Roman" w:eastAsia="宋体" w:hAnsi="Times New Roman"/>
                <w:color w:val="000000"/>
                <w:sz w:val="20"/>
                <w:szCs w:val="20"/>
              </w:rPr>
              <w:t>6,545 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1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18"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1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1A" w14:textId="77777777" w:rsidR="00AE727E" w:rsidRDefault="008433E0">
            <w:pPr>
              <w:jc w:val="right"/>
              <w:textAlignment w:val="bottom"/>
            </w:pPr>
            <w:r>
              <w:rPr>
                <w:rFonts w:ascii="Times New Roman" w:eastAsia="宋体" w:hAnsi="Times New Roman"/>
                <w:color w:val="000000"/>
                <w:sz w:val="20"/>
                <w:szCs w:val="20"/>
              </w:rPr>
              <w:t>5,305 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1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1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1E" w14:textId="77777777" w:rsidR="00AE727E" w:rsidRDefault="008433E0">
            <w:pPr>
              <w:jc w:val="right"/>
              <w:textAlignment w:val="bottom"/>
            </w:pPr>
            <w:r>
              <w:rPr>
                <w:rFonts w:ascii="Times New Roman" w:eastAsia="宋体" w:hAnsi="Times New Roman"/>
                <w:color w:val="000000"/>
                <w:sz w:val="20"/>
                <w:szCs w:val="20"/>
              </w:rPr>
              <w:t>3,370 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1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2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2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22" w14:textId="77777777" w:rsidR="00AE727E" w:rsidRDefault="008433E0">
            <w:pPr>
              <w:jc w:val="right"/>
              <w:textAlignment w:val="bottom"/>
            </w:pPr>
            <w:r>
              <w:rPr>
                <w:rFonts w:ascii="Times New Roman" w:eastAsia="宋体" w:hAnsi="Times New Roman"/>
                <w:color w:val="000000"/>
                <w:sz w:val="20"/>
                <w:szCs w:val="20"/>
              </w:rPr>
              <w:t>1,853 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2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2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2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26" w14:textId="77777777" w:rsidR="00AE727E" w:rsidRDefault="008433E0">
            <w:pPr>
              <w:jc w:val="right"/>
              <w:textAlignment w:val="bottom"/>
            </w:pPr>
            <w:r>
              <w:rPr>
                <w:rFonts w:ascii="Times New Roman" w:eastAsia="宋体" w:hAnsi="Times New Roman"/>
                <w:color w:val="000000"/>
                <w:sz w:val="20"/>
                <w:szCs w:val="20"/>
              </w:rPr>
              <w:t>20,234 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28"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02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02A" w14:textId="77777777" w:rsidR="00AE727E" w:rsidRDefault="008433E0">
            <w:pPr>
              <w:jc w:val="right"/>
              <w:textAlignment w:val="bottom"/>
            </w:pPr>
            <w:r>
              <w:rPr>
                <w:rFonts w:ascii="Times New Roman" w:eastAsia="宋体" w:hAnsi="Times New Roman"/>
                <w:color w:val="000000"/>
                <w:sz w:val="20"/>
                <w:szCs w:val="20"/>
              </w:rPr>
              <w:t>47,979 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02B" w14:textId="77777777" w:rsidR="00AE727E" w:rsidRDefault="00AE727E">
            <w:pPr>
              <w:jc w:val="right"/>
              <w:rPr>
                <w:rFonts w:ascii="宋体"/>
              </w:rPr>
            </w:pPr>
          </w:p>
        </w:tc>
      </w:tr>
    </w:tbl>
    <w:p w14:paraId="07DCF02D" w14:textId="77777777" w:rsidR="00AE727E" w:rsidRDefault="008433E0">
      <w:r>
        <w:rPr>
          <w:rFonts w:ascii="Times New Roman" w:eastAsia="宋体" w:hAnsi="Times New Roman"/>
          <w:color w:val="000000"/>
          <w:sz w:val="20"/>
          <w:szCs w:val="20"/>
        </w:rPr>
        <w:t>____________________</w:t>
      </w:r>
    </w:p>
    <w:p w14:paraId="07DCF02E" w14:textId="77777777" w:rsidR="00AE727E" w:rsidRDefault="008433E0">
      <w:r>
        <w:rPr>
          <w:rFonts w:ascii="Times New Roman" w:eastAsia="宋体" w:hAnsi="Times New Roman"/>
          <w:color w:val="000000"/>
          <w:sz w:val="20"/>
          <w:szCs w:val="20"/>
        </w:rPr>
        <w:t>(a)</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Maturities by Fiscal Year reflects $9.4 billion principal amo</w:t>
      </w:r>
      <w:r>
        <w:rPr>
          <w:rFonts w:ascii="Times New Roman" w:eastAsia="宋体" w:hAnsi="Times New Roman"/>
          <w:color w:val="000000"/>
          <w:sz w:val="20"/>
          <w:szCs w:val="20"/>
        </w:rPr>
        <w:t>unt of debt within the remaining three months of Fiscal 2022 to align to the classification of this debt as short-term on the Condensed Consolidated Statements of Financial Position and reflect the Company’s intent to repay during the fourth quarter of Fis</w:t>
      </w:r>
      <w:r>
        <w:rPr>
          <w:rFonts w:ascii="Times New Roman" w:eastAsia="宋体" w:hAnsi="Times New Roman"/>
          <w:color w:val="000000"/>
          <w:sz w:val="20"/>
          <w:szCs w:val="20"/>
        </w:rPr>
        <w:t>cal 2022.</w:t>
      </w:r>
    </w:p>
    <w:p w14:paraId="07DCF02F" w14:textId="77777777" w:rsidR="00AE727E" w:rsidRDefault="00AE727E"/>
    <w:p w14:paraId="07DCF030" w14:textId="77777777" w:rsidR="00AE727E" w:rsidRDefault="00AE727E">
      <w:pPr>
        <w:jc w:val="center"/>
      </w:pPr>
    </w:p>
    <w:p w14:paraId="07DCF031" w14:textId="77777777" w:rsidR="00AE727E" w:rsidRDefault="008433E0">
      <w:pPr>
        <w:jc w:val="center"/>
      </w:pPr>
      <w:r>
        <w:rPr>
          <w:rFonts w:ascii="Times New Roman" w:eastAsia="宋体" w:hAnsi="Times New Roman"/>
          <w:color w:val="000000"/>
          <w:sz w:val="20"/>
          <w:szCs w:val="20"/>
        </w:rPr>
        <w:t>32</w:t>
      </w:r>
    </w:p>
    <w:p w14:paraId="07DCF032" w14:textId="77777777" w:rsidR="00AE727E" w:rsidRDefault="00AE727E">
      <w:pPr>
        <w:jc w:val="center"/>
      </w:pPr>
    </w:p>
    <w:p w14:paraId="07DCF033" w14:textId="77777777" w:rsidR="00AE727E" w:rsidRDefault="008433E0">
      <w:r>
        <w:pict w14:anchorId="07DD18F0">
          <v:rect id="_x0000_i1056" style="width:415.3pt;height:1.5pt" o:hralign="center" o:hrstd="t" o:hr="t" fillcolor="#a0a0a0" stroked="f"/>
        </w:pict>
      </w:r>
    </w:p>
    <w:p w14:paraId="07DCF034" w14:textId="77777777" w:rsidR="00AE727E" w:rsidRDefault="008433E0">
      <w:hyperlink r:id="rId157" w:anchor="i1c8279be622a460ea19600488436f115_10" w:history="1">
        <w:r>
          <w:rPr>
            <w:rStyle w:val="a5"/>
            <w:rFonts w:ascii="Times New Roman" w:eastAsia="宋体" w:hAnsi="Times New Roman"/>
            <w:sz w:val="20"/>
            <w:szCs w:val="20"/>
          </w:rPr>
          <w:t>Table of Contents</w:t>
        </w:r>
      </w:hyperlink>
    </w:p>
    <w:p w14:paraId="07DCF035"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036"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w:t>
      </w:r>
      <w:r>
        <w:rPr>
          <w:rFonts w:ascii="Times New Roman" w:eastAsia="宋体" w:hAnsi="Times New Roman"/>
          <w:b/>
          <w:bCs/>
          <w:color w:val="000000"/>
          <w:sz w:val="20"/>
          <w:szCs w:val="20"/>
          <w:shd w:val="clear" w:color="auto" w:fill="FFFFFF"/>
        </w:rPr>
        <w:t>AL STATEMENTS (Continued)</w:t>
      </w:r>
    </w:p>
    <w:p w14:paraId="07DCF037"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038" w14:textId="77777777" w:rsidR="00AE727E" w:rsidRDefault="00AE727E">
      <w:pPr>
        <w:jc w:val="center"/>
      </w:pPr>
    </w:p>
    <w:p w14:paraId="07DCF039" w14:textId="77777777" w:rsidR="00AE727E" w:rsidRDefault="008433E0">
      <w:r>
        <w:rPr>
          <w:rFonts w:ascii="Times New Roman" w:eastAsia="宋体" w:hAnsi="Times New Roman"/>
          <w:i/>
          <w:iCs/>
          <w:color w:val="000000"/>
          <w:sz w:val="20"/>
          <w:szCs w:val="20"/>
        </w:rPr>
        <w:t>Covenants and Unrestricted Net Assets</w:t>
      </w:r>
      <w:r>
        <w:rPr>
          <w:rFonts w:ascii="Times New Roman" w:eastAsia="宋体" w:hAnsi="Times New Roman"/>
          <w:color w:val="000000"/>
          <w:sz w:val="20"/>
          <w:szCs w:val="20"/>
        </w:rPr>
        <w:t xml:space="preserve"> </w:t>
      </w:r>
      <w:r>
        <w:rPr>
          <w:rFonts w:ascii="Times New Roman" w:eastAsia="宋体" w:hAnsi="Times New Roman"/>
          <w:b/>
          <w:bCs/>
          <w:i/>
          <w:iCs/>
          <w:color w:val="000000"/>
          <w:sz w:val="20"/>
          <w:szCs w:val="20"/>
        </w:rPr>
        <w:t>—</w:t>
      </w:r>
      <w:r>
        <w:rPr>
          <w:rFonts w:ascii="Times New Roman" w:eastAsia="宋体" w:hAnsi="Times New Roman"/>
          <w:color w:val="000000"/>
          <w:sz w:val="20"/>
          <w:szCs w:val="20"/>
        </w:rPr>
        <w:t xml:space="preserve"> The credit agreement for the Senior Secured Credit Facilities contains customary negative covenants that generally limit the ability of Denali Intermediate Inc., a wholly-owned subsidiary of Dell Technologies (“Denali Intermediate”), Dell, and Dell’s and </w:t>
      </w:r>
      <w:r>
        <w:rPr>
          <w:rFonts w:ascii="Times New Roman" w:eastAsia="宋体" w:hAnsi="Times New Roman"/>
          <w:color w:val="000000"/>
          <w:sz w:val="20"/>
          <w:szCs w:val="20"/>
        </w:rPr>
        <w:t xml:space="preserve">Denali Intermediate’s other restricted subsidiaries to incur debt, create liens, make fundamental changes, enter into asset sales, make certain investments, pay dividends or distribute or redeem certain equity interests, prepay or redeem certain debt, and </w:t>
      </w:r>
      <w:r>
        <w:rPr>
          <w:rFonts w:ascii="Times New Roman" w:eastAsia="宋体" w:hAnsi="Times New Roman"/>
          <w:color w:val="000000"/>
          <w:sz w:val="20"/>
          <w:szCs w:val="20"/>
        </w:rPr>
        <w:t>enter into certain transactions with affiliates. The indenture governing the Senior Notes contains customary negative covenants that generally limit the ability of Denali Intermediate, Dell, and Dell’s and Denali Intermediate’s other restricted subsidiarie</w:t>
      </w:r>
      <w:r>
        <w:rPr>
          <w:rFonts w:ascii="Times New Roman" w:eastAsia="宋体" w:hAnsi="Times New Roman"/>
          <w:color w:val="000000"/>
          <w:sz w:val="20"/>
          <w:szCs w:val="20"/>
        </w:rPr>
        <w:t>s to incur additional debt or issue certain preferred shares, pay dividends on or make other distributions in respect of capital stock or make other restricted payments, make certain investments, sell or transfer certain assets, create liens on certain ass</w:t>
      </w:r>
      <w:r>
        <w:rPr>
          <w:rFonts w:ascii="Times New Roman" w:eastAsia="宋体" w:hAnsi="Times New Roman"/>
          <w:color w:val="000000"/>
          <w:sz w:val="20"/>
          <w:szCs w:val="20"/>
        </w:rPr>
        <w:t>ets to secure debt, consolidate, merge, sell, or otherwise dispose of all or substantially all assets, enter into certain transactions with affiliates, and designate subsidiaries as unrestricted subsidiaries. The negative covenants under such credit agreem</w:t>
      </w:r>
      <w:r>
        <w:rPr>
          <w:rFonts w:ascii="Times New Roman" w:eastAsia="宋体" w:hAnsi="Times New Roman"/>
          <w:color w:val="000000"/>
          <w:sz w:val="20"/>
          <w:szCs w:val="20"/>
        </w:rPr>
        <w:t>ents and indenture are subject to certain exceptions, qualifications, and “baskets.” The indentures governing the First Lien Notes, the Unsecured Notes and Debentures, and the EMC Notes variously impose limitations, subject to specified exceptions, on crea</w:t>
      </w:r>
      <w:r>
        <w:rPr>
          <w:rFonts w:ascii="Times New Roman" w:eastAsia="宋体" w:hAnsi="Times New Roman"/>
          <w:color w:val="000000"/>
          <w:sz w:val="20"/>
          <w:szCs w:val="20"/>
        </w:rPr>
        <w:t>ting certain liens, entering into sale and lease-back transactions, and entering into certain asset sales. The foregoing credit agreements and indentures contain customary events of default, including failure to make required payments, failure to comply wi</w:t>
      </w:r>
      <w:r>
        <w:rPr>
          <w:rFonts w:ascii="Times New Roman" w:eastAsia="宋体" w:hAnsi="Times New Roman"/>
          <w:color w:val="000000"/>
          <w:sz w:val="20"/>
          <w:szCs w:val="20"/>
        </w:rPr>
        <w:t>th covenants, and the occurrence of certain events of bankruptcy and insolvency.</w:t>
      </w:r>
    </w:p>
    <w:p w14:paraId="07DCF03A" w14:textId="77777777" w:rsidR="00AE727E" w:rsidRDefault="00AE727E"/>
    <w:p w14:paraId="07DCF03B" w14:textId="77777777" w:rsidR="00AE727E" w:rsidRDefault="008433E0">
      <w:r>
        <w:rPr>
          <w:rFonts w:ascii="Times New Roman" w:eastAsia="宋体" w:hAnsi="Times New Roman"/>
          <w:color w:val="000000"/>
          <w:sz w:val="20"/>
          <w:szCs w:val="20"/>
        </w:rPr>
        <w:t>As of October 29, 2021, the Company had certain consolidated subsidiaries that were designated as unrestricted subsidiaries for all purposes of the applicable credit agreemen</w:t>
      </w:r>
      <w:r>
        <w:rPr>
          <w:rFonts w:ascii="Times New Roman" w:eastAsia="宋体" w:hAnsi="Times New Roman"/>
          <w:color w:val="000000"/>
          <w:sz w:val="20"/>
          <w:szCs w:val="20"/>
        </w:rPr>
        <w:t>ts and the indentures governing the First Lien Notes and the Senior Notes. Substantially all of the net assets of the Company’s consolidated subsidiaries were restricted, with the exception of the Company’s unrestricted subsidiaries, primarily VMware, Inc.</w:t>
      </w:r>
      <w:r>
        <w:rPr>
          <w:rFonts w:ascii="Times New Roman" w:eastAsia="宋体" w:hAnsi="Times New Roman"/>
          <w:color w:val="000000"/>
          <w:sz w:val="20"/>
          <w:szCs w:val="20"/>
        </w:rPr>
        <w:t xml:space="preserve">, Secureworks, and their respective subsidiaries, as of October 29, 2021. </w:t>
      </w:r>
    </w:p>
    <w:p w14:paraId="07DCF03C" w14:textId="77777777" w:rsidR="00AE727E" w:rsidRDefault="00AE727E"/>
    <w:p w14:paraId="07DCF03D" w14:textId="77777777" w:rsidR="00AE727E" w:rsidRDefault="008433E0">
      <w:r>
        <w:rPr>
          <w:rFonts w:ascii="Times New Roman" w:eastAsia="宋体" w:hAnsi="Times New Roman"/>
          <w:color w:val="000000"/>
          <w:sz w:val="20"/>
          <w:szCs w:val="20"/>
        </w:rPr>
        <w:t xml:space="preserve">The Senior Secured Credit Facilities and the Revolving Credit Facility are subject to a first lien leverage ratio covenant that is tested at the end of each fiscal quarter of Dell </w:t>
      </w:r>
      <w:r>
        <w:rPr>
          <w:rFonts w:ascii="Times New Roman" w:eastAsia="宋体" w:hAnsi="Times New Roman"/>
          <w:color w:val="000000"/>
          <w:sz w:val="20"/>
          <w:szCs w:val="20"/>
        </w:rPr>
        <w:t>with respect to Dell’s preceding four fiscal quarters. The Company was in compliance with all financial covenants as of October 29, 2021.</w:t>
      </w:r>
    </w:p>
    <w:p w14:paraId="07DCF03E" w14:textId="77777777" w:rsidR="00AE727E" w:rsidRDefault="00AE727E"/>
    <w:p w14:paraId="07DCF03F" w14:textId="77777777" w:rsidR="00AE727E" w:rsidRDefault="008433E0">
      <w:r>
        <w:rPr>
          <w:rFonts w:ascii="Times New Roman" w:eastAsia="宋体" w:hAnsi="Times New Roman"/>
          <w:color w:val="000000"/>
          <w:sz w:val="20"/>
          <w:szCs w:val="20"/>
        </w:rPr>
        <w:t xml:space="preserve">Subsequent to October 29, 2021 and following the full redemption of the outstanding term loan facilities and </w:t>
      </w:r>
      <w:r>
        <w:rPr>
          <w:rFonts w:ascii="Times New Roman" w:eastAsia="宋体" w:hAnsi="Times New Roman"/>
          <w:color w:val="000000"/>
          <w:sz w:val="20"/>
          <w:szCs w:val="20"/>
        </w:rPr>
        <w:t>Senior Notes, the Existing Credit Agreement and the indenture governing the Senior Notes were terminated. The 2021 Revolving Credit Facility contains customary negative covenants that generally limit the ability of Dell, Dell International L.L.C, and EMC t</w:t>
      </w:r>
      <w:r>
        <w:rPr>
          <w:rFonts w:ascii="Times New Roman" w:eastAsia="宋体" w:hAnsi="Times New Roman"/>
          <w:color w:val="000000"/>
          <w:sz w:val="20"/>
          <w:szCs w:val="20"/>
        </w:rPr>
        <w:t>o create liens and make fundamental changes. The 2021 Revolving Credit Facility is subject to an interest coverage ratio covenant that is tested at the end of each fiscal quarter of Dell with respect to Dell’s preceding four fiscal quarters. See Note 18 of</w:t>
      </w:r>
      <w:r>
        <w:rPr>
          <w:rFonts w:ascii="Times New Roman" w:eastAsia="宋体" w:hAnsi="Times New Roman"/>
          <w:color w:val="000000"/>
          <w:sz w:val="20"/>
          <w:szCs w:val="20"/>
        </w:rPr>
        <w:t xml:space="preserve"> the Notes to the Condensed Consolidated Financial Statements for more information about debt repayments that occurred subsequent to October 29, 2021.</w:t>
      </w:r>
    </w:p>
    <w:p w14:paraId="07DCF040" w14:textId="77777777" w:rsidR="00AE727E" w:rsidRDefault="00AE727E">
      <w:pPr>
        <w:jc w:val="center"/>
      </w:pPr>
    </w:p>
    <w:p w14:paraId="07DCF041" w14:textId="77777777" w:rsidR="00AE727E" w:rsidRDefault="008433E0">
      <w:pPr>
        <w:jc w:val="center"/>
      </w:pPr>
      <w:r>
        <w:rPr>
          <w:rFonts w:ascii="Times New Roman" w:eastAsia="宋体" w:hAnsi="Times New Roman"/>
          <w:color w:val="000000"/>
          <w:sz w:val="20"/>
          <w:szCs w:val="20"/>
        </w:rPr>
        <w:t>33</w:t>
      </w:r>
    </w:p>
    <w:p w14:paraId="07DCF042" w14:textId="77777777" w:rsidR="00AE727E" w:rsidRDefault="00AE727E">
      <w:pPr>
        <w:jc w:val="center"/>
      </w:pPr>
    </w:p>
    <w:p w14:paraId="07DCF043" w14:textId="77777777" w:rsidR="00AE727E" w:rsidRDefault="008433E0">
      <w:r>
        <w:pict w14:anchorId="07DD18F1">
          <v:rect id="_x0000_i1057" style="width:415.3pt;height:1.5pt" o:hralign="center" o:hrstd="t" o:hr="t" fillcolor="#a0a0a0" stroked="f"/>
        </w:pict>
      </w:r>
    </w:p>
    <w:p w14:paraId="07DCF044" w14:textId="77777777" w:rsidR="00AE727E" w:rsidRDefault="008433E0">
      <w:hyperlink r:id="rId158" w:anchor="i1c8279be622a460ea19600488436f115_10" w:history="1">
        <w:r>
          <w:rPr>
            <w:rStyle w:val="a5"/>
            <w:rFonts w:ascii="Times New Roman" w:eastAsia="宋体" w:hAnsi="Times New Roman"/>
            <w:sz w:val="20"/>
            <w:szCs w:val="20"/>
          </w:rPr>
          <w:t>Table of Contents</w:t>
        </w:r>
      </w:hyperlink>
    </w:p>
    <w:p w14:paraId="07DCF045"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046"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047"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048" w14:textId="77777777" w:rsidR="00AE727E" w:rsidRDefault="00AE727E">
      <w:pPr>
        <w:jc w:val="center"/>
      </w:pPr>
    </w:p>
    <w:p w14:paraId="07DCF049" w14:textId="77777777" w:rsidR="00AE727E" w:rsidRDefault="008433E0">
      <w:r>
        <w:rPr>
          <w:rFonts w:ascii="Times New Roman" w:eastAsia="宋体" w:hAnsi="Times New Roman"/>
          <w:b/>
          <w:bCs/>
          <w:color w:val="000000"/>
          <w:sz w:val="20"/>
          <w:szCs w:val="20"/>
        </w:rPr>
        <w:t xml:space="preserve">NOTE 6 — DERIVATIVE INSTRUMENTS AND HEDGING ACTIVITIES </w:t>
      </w:r>
    </w:p>
    <w:p w14:paraId="07DCF04A" w14:textId="77777777" w:rsidR="00AE727E" w:rsidRDefault="00AE727E"/>
    <w:p w14:paraId="07DCF04B" w14:textId="77777777" w:rsidR="00AE727E" w:rsidRDefault="008433E0">
      <w:r>
        <w:rPr>
          <w:rFonts w:ascii="Times New Roman" w:eastAsia="宋体" w:hAnsi="Times New Roman"/>
          <w:color w:val="000000"/>
          <w:sz w:val="20"/>
          <w:szCs w:val="20"/>
        </w:rPr>
        <w:t xml:space="preserve">As part of its risk </w:t>
      </w:r>
      <w:r>
        <w:rPr>
          <w:rFonts w:ascii="Times New Roman" w:eastAsia="宋体" w:hAnsi="Times New Roman"/>
          <w:color w:val="000000"/>
          <w:sz w:val="20"/>
          <w:szCs w:val="20"/>
        </w:rPr>
        <w:t>management strategy, the Company uses derivative instruments, primarily foreign currency forward and option contracts and interest rate swaps, to hedge certain foreign currency and interest rate exposures, respectively.</w:t>
      </w:r>
    </w:p>
    <w:p w14:paraId="07DCF04C" w14:textId="77777777" w:rsidR="00AE727E" w:rsidRDefault="00AE727E"/>
    <w:p w14:paraId="07DCF04D" w14:textId="77777777" w:rsidR="00AE727E" w:rsidRDefault="008433E0">
      <w:r>
        <w:rPr>
          <w:rFonts w:ascii="Times New Roman" w:eastAsia="宋体" w:hAnsi="Times New Roman"/>
          <w:color w:val="000000"/>
          <w:sz w:val="20"/>
          <w:szCs w:val="20"/>
        </w:rPr>
        <w:t>The Company’s objective is to offse</w:t>
      </w:r>
      <w:r>
        <w:rPr>
          <w:rFonts w:ascii="Times New Roman" w:eastAsia="宋体" w:hAnsi="Times New Roman"/>
          <w:color w:val="000000"/>
          <w:sz w:val="20"/>
          <w:szCs w:val="20"/>
        </w:rPr>
        <w:t>t gains and losses resulting from these exposures with gains and losses on the derivative contracts used to hedge the exposures, thereby reducing volatility of earnings and protecting the fair values of assets and liabilities. The earnings effects of the d</w:t>
      </w:r>
      <w:r>
        <w:rPr>
          <w:rFonts w:ascii="Times New Roman" w:eastAsia="宋体" w:hAnsi="Times New Roman"/>
          <w:color w:val="000000"/>
          <w:sz w:val="20"/>
          <w:szCs w:val="20"/>
        </w:rPr>
        <w:t xml:space="preserve">erivative instruments are presented in the same income statement line items as the earnings effects of the hedged items. For derivatives designated as cash flow hedges, the Company assesses hedge effectiveness both at the onset of the hedge and at regular </w:t>
      </w:r>
      <w:r>
        <w:rPr>
          <w:rFonts w:ascii="Times New Roman" w:eastAsia="宋体" w:hAnsi="Times New Roman"/>
          <w:color w:val="000000"/>
          <w:sz w:val="20"/>
          <w:szCs w:val="20"/>
        </w:rPr>
        <w:t>intervals throughout the life of the derivative. The Company does not have any derivatives designated as fair value hedges.</w:t>
      </w:r>
    </w:p>
    <w:p w14:paraId="07DCF04E" w14:textId="77777777" w:rsidR="00AE727E" w:rsidRDefault="00AE727E"/>
    <w:p w14:paraId="07DCF04F" w14:textId="77777777" w:rsidR="00AE727E" w:rsidRDefault="008433E0">
      <w:r>
        <w:rPr>
          <w:rFonts w:ascii="Times New Roman" w:eastAsia="宋体" w:hAnsi="Times New Roman"/>
          <w:b/>
          <w:bCs/>
          <w:color w:val="000000"/>
          <w:sz w:val="20"/>
          <w:szCs w:val="20"/>
        </w:rPr>
        <w:t>Foreign Exchange Risk</w:t>
      </w:r>
    </w:p>
    <w:p w14:paraId="07DCF050" w14:textId="77777777" w:rsidR="00AE727E" w:rsidRDefault="00AE727E"/>
    <w:p w14:paraId="07DCF051" w14:textId="77777777" w:rsidR="00AE727E" w:rsidRDefault="008433E0">
      <w:r>
        <w:rPr>
          <w:rFonts w:ascii="Times New Roman" w:eastAsia="宋体" w:hAnsi="Times New Roman"/>
          <w:color w:val="000000"/>
          <w:sz w:val="20"/>
          <w:szCs w:val="20"/>
        </w:rPr>
        <w:t>The Company uses foreign currency forward and option contracts designated as cash flow hedges to protect aga</w:t>
      </w:r>
      <w:r>
        <w:rPr>
          <w:rFonts w:ascii="Times New Roman" w:eastAsia="宋体" w:hAnsi="Times New Roman"/>
          <w:color w:val="000000"/>
          <w:sz w:val="20"/>
          <w:szCs w:val="20"/>
        </w:rPr>
        <w:t>inst the foreign currency exchange rate risks inherent in its forecasted transactions denominated in currencies other than the U.S. Dollar. Hedge accounting is applied based upon the criteria established by accounting guidance for derivative instruments an</w:t>
      </w:r>
      <w:r>
        <w:rPr>
          <w:rFonts w:ascii="Times New Roman" w:eastAsia="宋体" w:hAnsi="Times New Roman"/>
          <w:color w:val="000000"/>
          <w:sz w:val="20"/>
          <w:szCs w:val="20"/>
        </w:rPr>
        <w:t>d hedging activities. The risk of loss associated with purchased options is limited to premium amounts paid for the option contracts. The risk of loss associated with forward contracts is equal to the exchange rate differential from the time the contract i</w:t>
      </w:r>
      <w:r>
        <w:rPr>
          <w:rFonts w:ascii="Times New Roman" w:eastAsia="宋体" w:hAnsi="Times New Roman"/>
          <w:color w:val="000000"/>
          <w:sz w:val="20"/>
          <w:szCs w:val="20"/>
        </w:rPr>
        <w:t>s entered into until the time it is settled. The majority of these contracts typically expire in twelve months or less.</w:t>
      </w:r>
    </w:p>
    <w:p w14:paraId="07DCF052" w14:textId="77777777" w:rsidR="00AE727E" w:rsidRDefault="00AE727E"/>
    <w:p w14:paraId="07DCF053" w14:textId="77777777" w:rsidR="00AE727E" w:rsidRDefault="008433E0">
      <w:r>
        <w:rPr>
          <w:rFonts w:ascii="Times New Roman" w:eastAsia="宋体" w:hAnsi="Times New Roman"/>
          <w:color w:val="000000"/>
          <w:sz w:val="20"/>
          <w:szCs w:val="20"/>
        </w:rPr>
        <w:t xml:space="preserve">During the three and nine months ended October 29, 2021 and October 30, 2020, the Company did not discontinue any cash flow </w:t>
      </w:r>
      <w:r>
        <w:rPr>
          <w:rFonts w:ascii="Times New Roman" w:eastAsia="宋体" w:hAnsi="Times New Roman"/>
          <w:color w:val="000000"/>
          <w:sz w:val="20"/>
          <w:szCs w:val="20"/>
        </w:rPr>
        <w:t>hedges related to foreign exchange contracts that had a material impact on the Company’s results of operations due to the probability that the forecasted cash flows would not occur.</w:t>
      </w:r>
    </w:p>
    <w:p w14:paraId="07DCF054" w14:textId="77777777" w:rsidR="00AE727E" w:rsidRDefault="00AE727E"/>
    <w:p w14:paraId="07DCF055" w14:textId="77777777" w:rsidR="00AE727E" w:rsidRDefault="008433E0">
      <w:r>
        <w:rPr>
          <w:rFonts w:ascii="Times New Roman" w:eastAsia="宋体" w:hAnsi="Times New Roman"/>
          <w:color w:val="000000"/>
          <w:sz w:val="20"/>
          <w:szCs w:val="20"/>
        </w:rPr>
        <w:t>The Company uses forward contracts to hedge monetary assets and liabiliti</w:t>
      </w:r>
      <w:r>
        <w:rPr>
          <w:rFonts w:ascii="Times New Roman" w:eastAsia="宋体" w:hAnsi="Times New Roman"/>
          <w:color w:val="000000"/>
          <w:sz w:val="20"/>
          <w:szCs w:val="20"/>
        </w:rPr>
        <w:t>es denominated in a foreign currency. These contracts generally expire in three months or less, are considered economic hedges, and are not designated for hedge accounting. The change in the fair value of these instruments represents a natural hedge as the</w:t>
      </w:r>
      <w:r>
        <w:rPr>
          <w:rFonts w:ascii="Times New Roman" w:eastAsia="宋体" w:hAnsi="Times New Roman"/>
          <w:color w:val="000000"/>
          <w:sz w:val="20"/>
          <w:szCs w:val="20"/>
        </w:rPr>
        <w:t>ir gains and losses offset the changes in the underlying fair value of the monetary assets and liabilities due to movements in currency exchange rates.</w:t>
      </w:r>
    </w:p>
    <w:p w14:paraId="07DCF056" w14:textId="77777777" w:rsidR="00AE727E" w:rsidRDefault="00AE727E"/>
    <w:p w14:paraId="07DCF057" w14:textId="77777777" w:rsidR="00AE727E" w:rsidRDefault="008433E0">
      <w:r>
        <w:rPr>
          <w:rFonts w:ascii="Times New Roman" w:eastAsia="宋体" w:hAnsi="Times New Roman"/>
          <w:color w:val="000000"/>
          <w:sz w:val="20"/>
          <w:szCs w:val="20"/>
        </w:rPr>
        <w:t>In connection with expanded offerings of DFS in Europe, forward contracts are used to hedge financing r</w:t>
      </w:r>
      <w:r>
        <w:rPr>
          <w:rFonts w:ascii="Times New Roman" w:eastAsia="宋体" w:hAnsi="Times New Roman"/>
          <w:color w:val="000000"/>
          <w:sz w:val="20"/>
          <w:szCs w:val="20"/>
        </w:rPr>
        <w:t>eceivables denominated in foreign currencies other than Euro. These contracts are not designated for hedge accounting and most expire within three years or less.</w:t>
      </w:r>
    </w:p>
    <w:p w14:paraId="07DCF058" w14:textId="77777777" w:rsidR="00AE727E" w:rsidRDefault="00AE727E"/>
    <w:p w14:paraId="07DCF059" w14:textId="77777777" w:rsidR="00AE727E" w:rsidRDefault="008433E0">
      <w:r>
        <w:rPr>
          <w:rFonts w:ascii="Times New Roman" w:eastAsia="宋体" w:hAnsi="Times New Roman"/>
          <w:b/>
          <w:bCs/>
          <w:color w:val="000000"/>
          <w:sz w:val="20"/>
          <w:szCs w:val="20"/>
        </w:rPr>
        <w:t>Interest Rate Risk</w:t>
      </w:r>
    </w:p>
    <w:p w14:paraId="07DCF05A" w14:textId="77777777" w:rsidR="00AE727E" w:rsidRDefault="00AE727E"/>
    <w:p w14:paraId="07DCF05B" w14:textId="77777777" w:rsidR="00AE727E" w:rsidRDefault="008433E0">
      <w:r>
        <w:rPr>
          <w:rFonts w:ascii="Times New Roman" w:eastAsia="宋体" w:hAnsi="Times New Roman"/>
          <w:color w:val="000000"/>
          <w:sz w:val="20"/>
          <w:szCs w:val="20"/>
        </w:rPr>
        <w:t xml:space="preserve">The Company uses interest rate swaps to hedge the variability in cash </w:t>
      </w:r>
      <w:r>
        <w:rPr>
          <w:rFonts w:ascii="Times New Roman" w:eastAsia="宋体" w:hAnsi="Times New Roman"/>
          <w:color w:val="000000"/>
          <w:sz w:val="20"/>
          <w:szCs w:val="20"/>
        </w:rPr>
        <w:t>flows related to the interest rate payments on structured financing debt. The interest rate swaps economically convert the variable rate on the structured financing debt to a fixed interest rate to match the underlying fixed rate being received on fixed-te</w:t>
      </w:r>
      <w:r>
        <w:rPr>
          <w:rFonts w:ascii="Times New Roman" w:eastAsia="宋体" w:hAnsi="Times New Roman"/>
          <w:color w:val="000000"/>
          <w:sz w:val="20"/>
          <w:szCs w:val="20"/>
        </w:rPr>
        <w:t>rm customer leases and loans. These contracts are not designated for hedge accounting and most expire within four years or less.</w:t>
      </w:r>
    </w:p>
    <w:p w14:paraId="07DCF05C" w14:textId="77777777" w:rsidR="00AE727E" w:rsidRDefault="00AE727E">
      <w:pPr>
        <w:jc w:val="both"/>
      </w:pPr>
    </w:p>
    <w:p w14:paraId="07DCF05D" w14:textId="77777777" w:rsidR="00AE727E" w:rsidRDefault="008433E0">
      <w:r>
        <w:rPr>
          <w:rFonts w:ascii="Times New Roman" w:eastAsia="宋体" w:hAnsi="Times New Roman"/>
          <w:color w:val="000000"/>
          <w:sz w:val="20"/>
          <w:szCs w:val="20"/>
        </w:rPr>
        <w:t>Interest rate swaps are utilized to manage the interest rate risk, at a portfolio level, associated with DFS operations in Eur</w:t>
      </w:r>
      <w:r>
        <w:rPr>
          <w:rFonts w:ascii="Times New Roman" w:eastAsia="宋体" w:hAnsi="Times New Roman"/>
          <w:color w:val="000000"/>
          <w:sz w:val="20"/>
          <w:szCs w:val="20"/>
        </w:rPr>
        <w:t>ope. The interest rate swaps economically convert the fixed rate on financing receivables to a three-month Euribor floating rate basis in order to match the floating rate nature of the banks’ funding pool. These contracts are not designated for hedge accou</w:t>
      </w:r>
      <w:r>
        <w:rPr>
          <w:rFonts w:ascii="Times New Roman" w:eastAsia="宋体" w:hAnsi="Times New Roman"/>
          <w:color w:val="000000"/>
          <w:sz w:val="20"/>
          <w:szCs w:val="20"/>
        </w:rPr>
        <w:t>nting and most expire within five years or less.</w:t>
      </w:r>
    </w:p>
    <w:p w14:paraId="07DCF05E" w14:textId="77777777" w:rsidR="00AE727E" w:rsidRDefault="00AE727E"/>
    <w:p w14:paraId="07DCF05F" w14:textId="77777777" w:rsidR="00AE727E" w:rsidRDefault="008433E0">
      <w:r>
        <w:rPr>
          <w:rFonts w:ascii="Times New Roman" w:eastAsia="宋体" w:hAnsi="Times New Roman"/>
          <w:color w:val="0D0D0D"/>
          <w:sz w:val="20"/>
          <w:szCs w:val="20"/>
        </w:rPr>
        <w:t>The Company utilizes cross currency amortizing swaps to hedge the currency and interest rate risk exposure associated with the European securitization program.  The cross currency swaps combine a Euro-based</w:t>
      </w:r>
      <w:r>
        <w:rPr>
          <w:rFonts w:ascii="Times New Roman" w:eastAsia="宋体" w:hAnsi="Times New Roman"/>
          <w:color w:val="0D0D0D"/>
          <w:sz w:val="20"/>
          <w:szCs w:val="20"/>
        </w:rPr>
        <w:t xml:space="preserve"> interest rate swap with a British Pound or U.S. Dollar foreign exchange forward contract in which the Company pays a fixed British Pound or U.S. Dollar amount and receives a floating amount in Euros linked to the one-month Euribor.  The notional value of </w:t>
      </w:r>
      <w:r>
        <w:rPr>
          <w:rFonts w:ascii="Times New Roman" w:eastAsia="宋体" w:hAnsi="Times New Roman"/>
          <w:color w:val="0D0D0D"/>
          <w:sz w:val="20"/>
          <w:szCs w:val="20"/>
        </w:rPr>
        <w:t xml:space="preserve">the swaps amortizes in line with the expected cash flows and run-off of the securitized assets.  The swaps are not designated for hedge accounting and expire within </w:t>
      </w:r>
      <w:r>
        <w:rPr>
          <w:rFonts w:ascii="Times New Roman" w:eastAsia="宋体" w:hAnsi="Times New Roman"/>
          <w:color w:val="000000"/>
          <w:sz w:val="20"/>
          <w:szCs w:val="20"/>
        </w:rPr>
        <w:t xml:space="preserve">five years </w:t>
      </w:r>
      <w:r>
        <w:rPr>
          <w:rFonts w:ascii="Times New Roman" w:eastAsia="宋体" w:hAnsi="Times New Roman"/>
          <w:color w:val="0D0D0D"/>
          <w:sz w:val="20"/>
          <w:szCs w:val="20"/>
        </w:rPr>
        <w:t>or less.</w:t>
      </w:r>
    </w:p>
    <w:p w14:paraId="07DCF060" w14:textId="77777777" w:rsidR="00AE727E" w:rsidRDefault="00AE727E"/>
    <w:p w14:paraId="07DCF061" w14:textId="77777777" w:rsidR="00AE727E" w:rsidRDefault="00AE727E">
      <w:pPr>
        <w:jc w:val="center"/>
      </w:pPr>
    </w:p>
    <w:p w14:paraId="07DCF062" w14:textId="77777777" w:rsidR="00AE727E" w:rsidRDefault="008433E0">
      <w:pPr>
        <w:jc w:val="center"/>
      </w:pPr>
      <w:r>
        <w:rPr>
          <w:rFonts w:ascii="Times New Roman" w:eastAsia="宋体" w:hAnsi="Times New Roman"/>
          <w:color w:val="000000"/>
          <w:sz w:val="20"/>
          <w:szCs w:val="20"/>
        </w:rPr>
        <w:t>34</w:t>
      </w:r>
    </w:p>
    <w:p w14:paraId="07DCF063" w14:textId="77777777" w:rsidR="00AE727E" w:rsidRDefault="00AE727E">
      <w:pPr>
        <w:jc w:val="center"/>
      </w:pPr>
    </w:p>
    <w:p w14:paraId="07DCF064" w14:textId="77777777" w:rsidR="00AE727E" w:rsidRDefault="008433E0">
      <w:r>
        <w:pict w14:anchorId="07DD18F2">
          <v:rect id="_x0000_i1058" style="width:415.3pt;height:1.5pt" o:hralign="center" o:hrstd="t" o:hr="t" fillcolor="#a0a0a0" stroked="f"/>
        </w:pict>
      </w:r>
    </w:p>
    <w:p w14:paraId="07DCF065" w14:textId="77777777" w:rsidR="00AE727E" w:rsidRDefault="008433E0">
      <w:hyperlink r:id="rId159" w:anchor="i1c8279be622a460ea19600488436f115_10" w:history="1">
        <w:r>
          <w:rPr>
            <w:rStyle w:val="a5"/>
            <w:rFonts w:ascii="Times New Roman" w:eastAsia="宋体" w:hAnsi="Times New Roman"/>
            <w:sz w:val="20"/>
            <w:szCs w:val="20"/>
          </w:rPr>
          <w:t>Table of Contents</w:t>
        </w:r>
      </w:hyperlink>
    </w:p>
    <w:p w14:paraId="07DCF066"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067"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068"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069" w14:textId="77777777" w:rsidR="00AE727E" w:rsidRDefault="00AE727E">
      <w:pPr>
        <w:jc w:val="center"/>
      </w:pPr>
    </w:p>
    <w:p w14:paraId="07DCF06A" w14:textId="77777777" w:rsidR="00AE727E" w:rsidRDefault="008433E0">
      <w:r>
        <w:rPr>
          <w:rFonts w:ascii="Times New Roman" w:eastAsia="宋体" w:hAnsi="Times New Roman"/>
          <w:b/>
          <w:bCs/>
          <w:color w:val="000000"/>
          <w:sz w:val="20"/>
          <w:szCs w:val="20"/>
        </w:rPr>
        <w:t>Derivative Instruments</w:t>
      </w:r>
    </w:p>
    <w:p w14:paraId="07DCF06B" w14:textId="77777777" w:rsidR="00AE727E" w:rsidRDefault="00AE727E"/>
    <w:p w14:paraId="07DCF06C" w14:textId="77777777" w:rsidR="00AE727E" w:rsidRDefault="008433E0">
      <w:pPr>
        <w:spacing w:after="60"/>
      </w:pPr>
      <w:r>
        <w:rPr>
          <w:rFonts w:ascii="Times New Roman" w:eastAsia="宋体" w:hAnsi="Times New Roman"/>
          <w:i/>
          <w:iCs/>
          <w:color w:val="000000"/>
          <w:sz w:val="20"/>
          <w:szCs w:val="20"/>
          <w:u w:val="single"/>
        </w:rPr>
        <w:t>Notional Amounts o</w:t>
      </w:r>
      <w:r>
        <w:rPr>
          <w:rFonts w:ascii="Times New Roman" w:eastAsia="宋体" w:hAnsi="Times New Roman"/>
          <w:i/>
          <w:iCs/>
          <w:color w:val="000000"/>
          <w:sz w:val="20"/>
          <w:szCs w:val="20"/>
          <w:u w:val="single"/>
        </w:rPr>
        <w:t>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8"/>
        <w:gridCol w:w="38"/>
        <w:gridCol w:w="120"/>
        <w:gridCol w:w="1255"/>
        <w:gridCol w:w="36"/>
        <w:gridCol w:w="36"/>
        <w:gridCol w:w="36"/>
        <w:gridCol w:w="36"/>
        <w:gridCol w:w="120"/>
        <w:gridCol w:w="1255"/>
        <w:gridCol w:w="36"/>
      </w:tblGrid>
      <w:tr w:rsidR="00AE727E" w14:paraId="07DCF079" w14:textId="77777777">
        <w:trPr>
          <w:jc w:val="center"/>
        </w:trPr>
        <w:tc>
          <w:tcPr>
            <w:tcW w:w="50" w:type="pct"/>
            <w:shd w:val="clear" w:color="auto" w:fill="auto"/>
            <w:vAlign w:val="bottom"/>
          </w:tcPr>
          <w:p w14:paraId="07DCF06D" w14:textId="77777777" w:rsidR="00AE727E" w:rsidRDefault="00AE727E">
            <w:pPr>
              <w:rPr>
                <w:rFonts w:ascii="宋体"/>
              </w:rPr>
            </w:pPr>
          </w:p>
        </w:tc>
        <w:tc>
          <w:tcPr>
            <w:tcW w:w="3234" w:type="pct"/>
            <w:shd w:val="clear" w:color="auto" w:fill="auto"/>
            <w:vAlign w:val="bottom"/>
          </w:tcPr>
          <w:p w14:paraId="07DCF06E" w14:textId="77777777" w:rsidR="00AE727E" w:rsidRDefault="00AE727E">
            <w:pPr>
              <w:rPr>
                <w:rFonts w:ascii="宋体"/>
              </w:rPr>
            </w:pPr>
          </w:p>
        </w:tc>
        <w:tc>
          <w:tcPr>
            <w:tcW w:w="5" w:type="pct"/>
            <w:shd w:val="clear" w:color="auto" w:fill="auto"/>
            <w:vAlign w:val="bottom"/>
          </w:tcPr>
          <w:p w14:paraId="07DCF06F" w14:textId="77777777" w:rsidR="00AE727E" w:rsidRDefault="00AE727E">
            <w:pPr>
              <w:rPr>
                <w:rFonts w:ascii="宋体"/>
              </w:rPr>
            </w:pPr>
          </w:p>
        </w:tc>
        <w:tc>
          <w:tcPr>
            <w:tcW w:w="50" w:type="pct"/>
            <w:shd w:val="clear" w:color="auto" w:fill="auto"/>
            <w:vAlign w:val="bottom"/>
          </w:tcPr>
          <w:p w14:paraId="07DCF070" w14:textId="77777777" w:rsidR="00AE727E" w:rsidRDefault="00AE727E">
            <w:pPr>
              <w:rPr>
                <w:rFonts w:ascii="宋体"/>
              </w:rPr>
            </w:pPr>
          </w:p>
        </w:tc>
        <w:tc>
          <w:tcPr>
            <w:tcW w:w="785" w:type="pct"/>
            <w:shd w:val="clear" w:color="auto" w:fill="auto"/>
            <w:vAlign w:val="bottom"/>
          </w:tcPr>
          <w:p w14:paraId="07DCF071" w14:textId="77777777" w:rsidR="00AE727E" w:rsidRDefault="00AE727E">
            <w:pPr>
              <w:rPr>
                <w:rFonts w:ascii="宋体"/>
              </w:rPr>
            </w:pPr>
          </w:p>
        </w:tc>
        <w:tc>
          <w:tcPr>
            <w:tcW w:w="5" w:type="pct"/>
            <w:shd w:val="clear" w:color="auto" w:fill="auto"/>
            <w:vAlign w:val="bottom"/>
          </w:tcPr>
          <w:p w14:paraId="07DCF072" w14:textId="77777777" w:rsidR="00AE727E" w:rsidRDefault="00AE727E">
            <w:pPr>
              <w:rPr>
                <w:rFonts w:ascii="宋体"/>
              </w:rPr>
            </w:pPr>
          </w:p>
        </w:tc>
        <w:tc>
          <w:tcPr>
            <w:tcW w:w="5" w:type="pct"/>
            <w:shd w:val="clear" w:color="auto" w:fill="auto"/>
            <w:vAlign w:val="bottom"/>
          </w:tcPr>
          <w:p w14:paraId="07DCF073" w14:textId="77777777" w:rsidR="00AE727E" w:rsidRDefault="00AE727E">
            <w:pPr>
              <w:rPr>
                <w:rFonts w:ascii="宋体"/>
              </w:rPr>
            </w:pPr>
          </w:p>
        </w:tc>
        <w:tc>
          <w:tcPr>
            <w:tcW w:w="19" w:type="pct"/>
            <w:shd w:val="clear" w:color="auto" w:fill="auto"/>
            <w:vAlign w:val="bottom"/>
          </w:tcPr>
          <w:p w14:paraId="07DCF074" w14:textId="77777777" w:rsidR="00AE727E" w:rsidRDefault="00AE727E">
            <w:pPr>
              <w:rPr>
                <w:rFonts w:ascii="宋体"/>
              </w:rPr>
            </w:pPr>
          </w:p>
        </w:tc>
        <w:tc>
          <w:tcPr>
            <w:tcW w:w="5" w:type="pct"/>
            <w:shd w:val="clear" w:color="auto" w:fill="auto"/>
            <w:vAlign w:val="bottom"/>
          </w:tcPr>
          <w:p w14:paraId="07DCF075" w14:textId="77777777" w:rsidR="00AE727E" w:rsidRDefault="00AE727E">
            <w:pPr>
              <w:rPr>
                <w:rFonts w:ascii="宋体"/>
              </w:rPr>
            </w:pPr>
          </w:p>
        </w:tc>
        <w:tc>
          <w:tcPr>
            <w:tcW w:w="50" w:type="pct"/>
            <w:shd w:val="clear" w:color="auto" w:fill="auto"/>
            <w:vAlign w:val="bottom"/>
          </w:tcPr>
          <w:p w14:paraId="07DCF076" w14:textId="77777777" w:rsidR="00AE727E" w:rsidRDefault="00AE727E">
            <w:pPr>
              <w:rPr>
                <w:rFonts w:ascii="宋体"/>
              </w:rPr>
            </w:pPr>
          </w:p>
        </w:tc>
        <w:tc>
          <w:tcPr>
            <w:tcW w:w="785" w:type="pct"/>
            <w:shd w:val="clear" w:color="auto" w:fill="auto"/>
            <w:vAlign w:val="bottom"/>
          </w:tcPr>
          <w:p w14:paraId="07DCF077" w14:textId="77777777" w:rsidR="00AE727E" w:rsidRDefault="00AE727E">
            <w:pPr>
              <w:rPr>
                <w:rFonts w:ascii="宋体"/>
              </w:rPr>
            </w:pPr>
          </w:p>
        </w:tc>
        <w:tc>
          <w:tcPr>
            <w:tcW w:w="5" w:type="pct"/>
            <w:shd w:val="clear" w:color="auto" w:fill="auto"/>
            <w:vAlign w:val="bottom"/>
          </w:tcPr>
          <w:p w14:paraId="07DCF078" w14:textId="77777777" w:rsidR="00AE727E" w:rsidRDefault="00AE727E">
            <w:pPr>
              <w:rPr>
                <w:rFonts w:ascii="宋体"/>
              </w:rPr>
            </w:pPr>
          </w:p>
        </w:tc>
      </w:tr>
      <w:tr w:rsidR="00AE727E" w14:paraId="07DCF07E" w14:textId="77777777">
        <w:trPr>
          <w:jc w:val="center"/>
        </w:trPr>
        <w:tc>
          <w:tcPr>
            <w:tcW w:w="0" w:type="auto"/>
            <w:gridSpan w:val="3"/>
            <w:shd w:val="clear" w:color="auto" w:fill="auto"/>
            <w:tcMar>
              <w:top w:w="40" w:type="dxa"/>
              <w:left w:w="132" w:type="dxa"/>
              <w:bottom w:w="40" w:type="dxa"/>
              <w:right w:w="132" w:type="dxa"/>
            </w:tcMar>
            <w:vAlign w:val="bottom"/>
          </w:tcPr>
          <w:p w14:paraId="07DCF07A"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DCF07B"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F07C"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07D"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081" w14:textId="77777777">
        <w:trPr>
          <w:jc w:val="center"/>
        </w:trPr>
        <w:tc>
          <w:tcPr>
            <w:tcW w:w="0" w:type="auto"/>
            <w:gridSpan w:val="3"/>
            <w:shd w:val="clear" w:color="auto" w:fill="auto"/>
            <w:tcMar>
              <w:top w:w="40" w:type="dxa"/>
              <w:left w:w="20" w:type="dxa"/>
              <w:bottom w:w="40" w:type="dxa"/>
              <w:right w:w="20" w:type="dxa"/>
            </w:tcMar>
            <w:vAlign w:val="bottom"/>
          </w:tcPr>
          <w:p w14:paraId="07DCF07F"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F080"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086" w14:textId="77777777">
        <w:trPr>
          <w:jc w:val="center"/>
        </w:trPr>
        <w:tc>
          <w:tcPr>
            <w:tcW w:w="0" w:type="auto"/>
            <w:gridSpan w:val="3"/>
            <w:shd w:val="clear" w:color="auto" w:fill="CCEEFF"/>
            <w:tcMar>
              <w:top w:w="40" w:type="dxa"/>
              <w:left w:w="20" w:type="dxa"/>
              <w:bottom w:w="40" w:type="dxa"/>
              <w:right w:w="20" w:type="dxa"/>
            </w:tcMar>
            <w:vAlign w:val="bottom"/>
          </w:tcPr>
          <w:p w14:paraId="07DCF082" w14:textId="77777777" w:rsidR="00AE727E" w:rsidRDefault="008433E0">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07DCF083"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084"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085" w14:textId="77777777" w:rsidR="00AE727E" w:rsidRDefault="008433E0">
            <w:pPr>
              <w:jc w:val="right"/>
              <w:textAlignment w:val="bottom"/>
            </w:pPr>
            <w:r>
              <w:rPr>
                <w:rFonts w:ascii="Times New Roman" w:eastAsia="宋体" w:hAnsi="Times New Roman"/>
                <w:color w:val="000000"/>
                <w:sz w:val="20"/>
                <w:szCs w:val="20"/>
              </w:rPr>
              <w:t> </w:t>
            </w:r>
          </w:p>
        </w:tc>
      </w:tr>
      <w:tr w:rsidR="00AE727E" w14:paraId="07DCF08F" w14:textId="77777777">
        <w:trPr>
          <w:jc w:val="center"/>
        </w:trPr>
        <w:tc>
          <w:tcPr>
            <w:tcW w:w="0" w:type="auto"/>
            <w:gridSpan w:val="3"/>
            <w:shd w:val="clear" w:color="auto" w:fill="FFFFFF"/>
            <w:tcMar>
              <w:top w:w="40" w:type="dxa"/>
              <w:left w:w="155" w:type="dxa"/>
              <w:bottom w:w="40" w:type="dxa"/>
              <w:right w:w="20" w:type="dxa"/>
            </w:tcMar>
            <w:vAlign w:val="bottom"/>
          </w:tcPr>
          <w:p w14:paraId="07DCF087" w14:textId="77777777" w:rsidR="00AE727E" w:rsidRDefault="008433E0">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right w:w="0" w:type="dxa"/>
            </w:tcMar>
            <w:vAlign w:val="bottom"/>
          </w:tcPr>
          <w:p w14:paraId="07DCF08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089" w14:textId="77777777" w:rsidR="00AE727E" w:rsidRDefault="008433E0">
            <w:pPr>
              <w:jc w:val="right"/>
              <w:textAlignment w:val="bottom"/>
            </w:pPr>
            <w:r>
              <w:rPr>
                <w:rFonts w:ascii="Times New Roman" w:eastAsia="宋体" w:hAnsi="Times New Roman"/>
                <w:color w:val="000000"/>
                <w:sz w:val="20"/>
                <w:szCs w:val="20"/>
              </w:rPr>
              <w:t>8,354 </w:t>
            </w:r>
          </w:p>
        </w:tc>
        <w:tc>
          <w:tcPr>
            <w:tcW w:w="0" w:type="auto"/>
            <w:shd w:val="clear" w:color="auto" w:fill="FFFFFF"/>
            <w:tcMar>
              <w:top w:w="40" w:type="dxa"/>
              <w:left w:w="0" w:type="dxa"/>
              <w:bottom w:w="40" w:type="dxa"/>
              <w:right w:w="20" w:type="dxa"/>
            </w:tcMar>
            <w:vAlign w:val="bottom"/>
          </w:tcPr>
          <w:p w14:paraId="07DCF08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8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08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08D" w14:textId="77777777" w:rsidR="00AE727E" w:rsidRDefault="008433E0">
            <w:pPr>
              <w:jc w:val="right"/>
              <w:textAlignment w:val="bottom"/>
            </w:pPr>
            <w:r>
              <w:rPr>
                <w:rFonts w:ascii="Times New Roman" w:eastAsia="宋体" w:hAnsi="Times New Roman"/>
                <w:color w:val="000000"/>
                <w:sz w:val="20"/>
                <w:szCs w:val="20"/>
              </w:rPr>
              <w:t>6,840 </w:t>
            </w:r>
          </w:p>
        </w:tc>
        <w:tc>
          <w:tcPr>
            <w:tcW w:w="0" w:type="auto"/>
            <w:shd w:val="clear" w:color="auto" w:fill="FFFFFF"/>
            <w:tcMar>
              <w:top w:w="40" w:type="dxa"/>
              <w:left w:w="0" w:type="dxa"/>
              <w:bottom w:w="40" w:type="dxa"/>
              <w:right w:w="20" w:type="dxa"/>
            </w:tcMar>
            <w:vAlign w:val="bottom"/>
          </w:tcPr>
          <w:p w14:paraId="07DCF08E" w14:textId="77777777" w:rsidR="00AE727E" w:rsidRDefault="00AE727E">
            <w:pPr>
              <w:jc w:val="right"/>
              <w:rPr>
                <w:rFonts w:ascii="宋体"/>
              </w:rPr>
            </w:pPr>
          </w:p>
        </w:tc>
      </w:tr>
      <w:tr w:rsidR="00AE727E" w14:paraId="07DCF096" w14:textId="77777777">
        <w:trPr>
          <w:jc w:val="center"/>
        </w:trPr>
        <w:tc>
          <w:tcPr>
            <w:tcW w:w="0" w:type="auto"/>
            <w:gridSpan w:val="3"/>
            <w:shd w:val="clear" w:color="auto" w:fill="CCEEFF"/>
            <w:tcMar>
              <w:top w:w="40" w:type="dxa"/>
              <w:left w:w="155" w:type="dxa"/>
              <w:bottom w:w="40" w:type="dxa"/>
              <w:right w:w="20" w:type="dxa"/>
            </w:tcMar>
            <w:vAlign w:val="bottom"/>
          </w:tcPr>
          <w:p w14:paraId="07DCF090" w14:textId="77777777" w:rsidR="00AE727E" w:rsidRDefault="008433E0">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07DCF091" w14:textId="77777777" w:rsidR="00AE727E" w:rsidRDefault="008433E0">
            <w:pPr>
              <w:jc w:val="right"/>
              <w:textAlignment w:val="bottom"/>
            </w:pPr>
            <w:r>
              <w:rPr>
                <w:rFonts w:ascii="Times New Roman" w:eastAsia="宋体" w:hAnsi="Times New Roman"/>
                <w:color w:val="000000"/>
                <w:sz w:val="20"/>
                <w:szCs w:val="20"/>
              </w:rPr>
              <w:t>9,570 </w:t>
            </w:r>
          </w:p>
        </w:tc>
        <w:tc>
          <w:tcPr>
            <w:tcW w:w="0" w:type="auto"/>
            <w:shd w:val="clear" w:color="auto" w:fill="CCEEFF"/>
            <w:tcMar>
              <w:top w:w="40" w:type="dxa"/>
              <w:left w:w="0" w:type="dxa"/>
              <w:bottom w:w="40" w:type="dxa"/>
              <w:right w:w="20" w:type="dxa"/>
            </w:tcMar>
            <w:vAlign w:val="bottom"/>
          </w:tcPr>
          <w:p w14:paraId="07DCF09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9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094" w14:textId="77777777" w:rsidR="00AE727E" w:rsidRDefault="008433E0">
            <w:pPr>
              <w:jc w:val="right"/>
              <w:textAlignment w:val="bottom"/>
            </w:pPr>
            <w:r>
              <w:rPr>
                <w:rFonts w:ascii="Times New Roman" w:eastAsia="宋体" w:hAnsi="Times New Roman"/>
                <w:color w:val="000000"/>
                <w:sz w:val="20"/>
                <w:szCs w:val="20"/>
              </w:rPr>
              <w:t>9,890 </w:t>
            </w:r>
          </w:p>
        </w:tc>
        <w:tc>
          <w:tcPr>
            <w:tcW w:w="0" w:type="auto"/>
            <w:shd w:val="clear" w:color="auto" w:fill="CCEEFF"/>
            <w:tcMar>
              <w:top w:w="40" w:type="dxa"/>
              <w:left w:w="0" w:type="dxa"/>
              <w:bottom w:w="40" w:type="dxa"/>
              <w:right w:w="20" w:type="dxa"/>
            </w:tcMar>
            <w:vAlign w:val="bottom"/>
          </w:tcPr>
          <w:p w14:paraId="07DCF095" w14:textId="77777777" w:rsidR="00AE727E" w:rsidRDefault="00AE727E">
            <w:pPr>
              <w:jc w:val="right"/>
              <w:rPr>
                <w:rFonts w:ascii="宋体"/>
              </w:rPr>
            </w:pPr>
          </w:p>
        </w:tc>
      </w:tr>
      <w:tr w:rsidR="00AE727E" w14:paraId="07DCF09F" w14:textId="77777777">
        <w:trPr>
          <w:jc w:val="center"/>
        </w:trPr>
        <w:tc>
          <w:tcPr>
            <w:tcW w:w="0" w:type="auto"/>
            <w:gridSpan w:val="3"/>
            <w:shd w:val="clear" w:color="auto" w:fill="FFFFFF"/>
            <w:tcMar>
              <w:top w:w="40" w:type="dxa"/>
              <w:left w:w="245" w:type="dxa"/>
              <w:bottom w:w="40" w:type="dxa"/>
              <w:right w:w="20" w:type="dxa"/>
            </w:tcMar>
            <w:vAlign w:val="bottom"/>
          </w:tcPr>
          <w:p w14:paraId="07DCF097" w14:textId="77777777" w:rsidR="00AE727E" w:rsidRDefault="008433E0">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F09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099" w14:textId="77777777" w:rsidR="00AE727E" w:rsidRDefault="008433E0">
            <w:pPr>
              <w:jc w:val="right"/>
              <w:textAlignment w:val="bottom"/>
            </w:pPr>
            <w:r>
              <w:rPr>
                <w:rFonts w:ascii="Times New Roman" w:eastAsia="宋体" w:hAnsi="Times New Roman"/>
                <w:color w:val="000000"/>
                <w:sz w:val="20"/>
                <w:szCs w:val="20"/>
              </w:rPr>
              <w:t>17,924 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09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9B"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09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09D" w14:textId="77777777" w:rsidR="00AE727E" w:rsidRDefault="008433E0">
            <w:pPr>
              <w:jc w:val="right"/>
              <w:textAlignment w:val="bottom"/>
            </w:pPr>
            <w:r>
              <w:rPr>
                <w:rFonts w:ascii="Times New Roman" w:eastAsia="宋体" w:hAnsi="Times New Roman"/>
                <w:color w:val="000000"/>
                <w:sz w:val="20"/>
                <w:szCs w:val="20"/>
              </w:rPr>
              <w:t>16,730 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09E" w14:textId="77777777" w:rsidR="00AE727E" w:rsidRDefault="00AE727E">
            <w:pPr>
              <w:jc w:val="right"/>
              <w:rPr>
                <w:rFonts w:ascii="宋体"/>
              </w:rPr>
            </w:pPr>
          </w:p>
        </w:tc>
      </w:tr>
      <w:tr w:rsidR="00AE727E" w14:paraId="07DCF0A4" w14:textId="77777777">
        <w:trPr>
          <w:jc w:val="center"/>
        </w:trPr>
        <w:tc>
          <w:tcPr>
            <w:tcW w:w="0" w:type="auto"/>
            <w:gridSpan w:val="3"/>
            <w:shd w:val="clear" w:color="auto" w:fill="CCEEFF"/>
            <w:tcMar>
              <w:top w:w="40" w:type="dxa"/>
              <w:left w:w="20" w:type="dxa"/>
              <w:bottom w:w="40" w:type="dxa"/>
              <w:right w:w="20" w:type="dxa"/>
            </w:tcMar>
            <w:vAlign w:val="bottom"/>
          </w:tcPr>
          <w:p w14:paraId="07DCF0A0" w14:textId="77777777" w:rsidR="00AE727E" w:rsidRDefault="008433E0">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F0A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0A2"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F0A3" w14:textId="77777777" w:rsidR="00AE727E" w:rsidRDefault="00AE727E">
            <w:pPr>
              <w:rPr>
                <w:rFonts w:ascii="宋体"/>
              </w:rPr>
            </w:pPr>
          </w:p>
        </w:tc>
      </w:tr>
      <w:tr w:rsidR="00AE727E" w14:paraId="07DCF0AD" w14:textId="77777777">
        <w:trPr>
          <w:jc w:val="center"/>
        </w:trPr>
        <w:tc>
          <w:tcPr>
            <w:tcW w:w="0" w:type="auto"/>
            <w:gridSpan w:val="3"/>
            <w:shd w:val="clear" w:color="auto" w:fill="FFFFFF"/>
            <w:tcMar>
              <w:top w:w="40" w:type="dxa"/>
              <w:left w:w="155" w:type="dxa"/>
              <w:bottom w:w="40" w:type="dxa"/>
              <w:right w:w="20" w:type="dxa"/>
            </w:tcMar>
            <w:vAlign w:val="bottom"/>
          </w:tcPr>
          <w:p w14:paraId="07DCF0A5" w14:textId="77777777" w:rsidR="00AE727E" w:rsidRDefault="008433E0">
            <w:pPr>
              <w:textAlignment w:val="bottom"/>
            </w:pPr>
            <w:r>
              <w:rPr>
                <w:rFonts w:ascii="Times New Roman" w:eastAsia="宋体" w:hAnsi="Times New Roman"/>
                <w:color w:val="000000"/>
                <w:sz w:val="20"/>
                <w:szCs w:val="20"/>
              </w:rPr>
              <w:t>Non-designated as hedging instruments</w:t>
            </w:r>
          </w:p>
        </w:tc>
        <w:tc>
          <w:tcPr>
            <w:tcW w:w="0" w:type="auto"/>
            <w:shd w:val="clear" w:color="auto" w:fill="FFFFFF"/>
            <w:tcMar>
              <w:top w:w="40" w:type="dxa"/>
              <w:left w:w="20" w:type="dxa"/>
              <w:bottom w:w="40" w:type="dxa"/>
              <w:right w:w="0" w:type="dxa"/>
            </w:tcMar>
            <w:vAlign w:val="bottom"/>
          </w:tcPr>
          <w:p w14:paraId="07DCF0A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0A7" w14:textId="77777777" w:rsidR="00AE727E" w:rsidRDefault="008433E0">
            <w:pPr>
              <w:jc w:val="right"/>
              <w:textAlignment w:val="bottom"/>
            </w:pPr>
            <w:r>
              <w:rPr>
                <w:rFonts w:ascii="Times New Roman" w:eastAsia="宋体" w:hAnsi="Times New Roman"/>
                <w:color w:val="000000"/>
                <w:sz w:val="20"/>
                <w:szCs w:val="20"/>
              </w:rPr>
              <w:t>6,393 </w:t>
            </w:r>
          </w:p>
        </w:tc>
        <w:tc>
          <w:tcPr>
            <w:tcW w:w="0" w:type="auto"/>
            <w:shd w:val="clear" w:color="auto" w:fill="FFFFFF"/>
            <w:tcMar>
              <w:top w:w="40" w:type="dxa"/>
              <w:left w:w="0" w:type="dxa"/>
              <w:bottom w:w="40" w:type="dxa"/>
              <w:right w:w="20" w:type="dxa"/>
            </w:tcMar>
            <w:vAlign w:val="bottom"/>
          </w:tcPr>
          <w:p w14:paraId="07DCF0A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0A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0A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0AB" w14:textId="77777777" w:rsidR="00AE727E" w:rsidRDefault="008433E0">
            <w:pPr>
              <w:jc w:val="right"/>
              <w:textAlignment w:val="bottom"/>
            </w:pPr>
            <w:r>
              <w:rPr>
                <w:rFonts w:ascii="Times New Roman" w:eastAsia="宋体" w:hAnsi="Times New Roman"/>
                <w:color w:val="000000"/>
                <w:sz w:val="20"/>
                <w:szCs w:val="20"/>
              </w:rPr>
              <w:t>5,859 </w:t>
            </w:r>
          </w:p>
        </w:tc>
        <w:tc>
          <w:tcPr>
            <w:tcW w:w="0" w:type="auto"/>
            <w:shd w:val="clear" w:color="auto" w:fill="FFFFFF"/>
            <w:tcMar>
              <w:top w:w="40" w:type="dxa"/>
              <w:left w:w="0" w:type="dxa"/>
              <w:bottom w:w="40" w:type="dxa"/>
              <w:right w:w="20" w:type="dxa"/>
            </w:tcMar>
            <w:vAlign w:val="bottom"/>
          </w:tcPr>
          <w:p w14:paraId="07DCF0AC" w14:textId="77777777" w:rsidR="00AE727E" w:rsidRDefault="00AE727E">
            <w:pPr>
              <w:jc w:val="right"/>
              <w:rPr>
                <w:rFonts w:ascii="宋体"/>
              </w:rPr>
            </w:pPr>
          </w:p>
        </w:tc>
      </w:tr>
    </w:tbl>
    <w:p w14:paraId="07DCF0AE" w14:textId="77777777" w:rsidR="00AE727E" w:rsidRDefault="00AE727E"/>
    <w:p w14:paraId="07DCF0AF" w14:textId="77777777" w:rsidR="00AE727E" w:rsidRDefault="008433E0">
      <w:pPr>
        <w:spacing w:after="60"/>
      </w:pPr>
      <w:r>
        <w:rPr>
          <w:rFonts w:ascii="Times New Roman" w:eastAsia="宋体" w:hAnsi="Times New Roman"/>
          <w:i/>
          <w:iCs/>
          <w:color w:val="000000"/>
          <w:sz w:val="20"/>
          <w:szCs w:val="20"/>
          <w:u w:val="single"/>
        </w:rPr>
        <w:t xml:space="preserve">Effect of Derivative Instruments Designated as Hedging Instruments on the Condensed Consolidated Statements of </w:t>
      </w:r>
      <w:r>
        <w:rPr>
          <w:rFonts w:ascii="Times New Roman" w:eastAsia="宋体" w:hAnsi="Times New Roman"/>
          <w:i/>
          <w:iCs/>
          <w:color w:val="000000"/>
          <w:sz w:val="20"/>
          <w:szCs w:val="20"/>
          <w:u w:val="single"/>
        </w:rPr>
        <w:t>Financial Position and the Condensed Consolidated Statements of Income</w:t>
      </w:r>
    </w:p>
    <w:p w14:paraId="07DCF0B0" w14:textId="77777777" w:rsidR="00AE727E" w:rsidRDefault="00AE727E">
      <w:pPr>
        <w:spacing w:after="60"/>
      </w:pPr>
    </w:p>
    <w:tbl>
      <w:tblPr>
        <w:tblW w:w="5000" w:type="pct"/>
        <w:tblCellMar>
          <w:top w:w="15" w:type="dxa"/>
          <w:left w:w="15" w:type="dxa"/>
          <w:bottom w:w="15" w:type="dxa"/>
          <w:right w:w="15" w:type="dxa"/>
        </w:tblCellMar>
        <w:tblLook w:val="04A0" w:firstRow="1" w:lastRow="0" w:firstColumn="1" w:lastColumn="0" w:noHBand="0" w:noVBand="1"/>
      </w:tblPr>
      <w:tblGrid>
        <w:gridCol w:w="43"/>
        <w:gridCol w:w="1897"/>
        <w:gridCol w:w="36"/>
        <w:gridCol w:w="36"/>
        <w:gridCol w:w="36"/>
        <w:gridCol w:w="36"/>
        <w:gridCol w:w="121"/>
        <w:gridCol w:w="1680"/>
        <w:gridCol w:w="36"/>
        <w:gridCol w:w="36"/>
        <w:gridCol w:w="36"/>
        <w:gridCol w:w="36"/>
        <w:gridCol w:w="38"/>
        <w:gridCol w:w="2143"/>
        <w:gridCol w:w="36"/>
        <w:gridCol w:w="36"/>
        <w:gridCol w:w="36"/>
        <w:gridCol w:w="36"/>
        <w:gridCol w:w="121"/>
        <w:gridCol w:w="1681"/>
        <w:gridCol w:w="36"/>
        <w:gridCol w:w="36"/>
        <w:gridCol w:w="36"/>
        <w:gridCol w:w="36"/>
        <w:gridCol w:w="36"/>
      </w:tblGrid>
      <w:tr w:rsidR="00AE727E" w14:paraId="07DCF0CA" w14:textId="77777777">
        <w:tc>
          <w:tcPr>
            <w:tcW w:w="50" w:type="pct"/>
            <w:shd w:val="clear" w:color="auto" w:fill="auto"/>
            <w:vAlign w:val="bottom"/>
          </w:tcPr>
          <w:p w14:paraId="07DCF0B1" w14:textId="77777777" w:rsidR="00AE727E" w:rsidRDefault="00AE727E">
            <w:pPr>
              <w:rPr>
                <w:rFonts w:ascii="宋体"/>
              </w:rPr>
            </w:pPr>
          </w:p>
        </w:tc>
        <w:tc>
          <w:tcPr>
            <w:tcW w:w="1209" w:type="pct"/>
            <w:shd w:val="clear" w:color="auto" w:fill="auto"/>
            <w:vAlign w:val="bottom"/>
          </w:tcPr>
          <w:p w14:paraId="07DCF0B2" w14:textId="77777777" w:rsidR="00AE727E" w:rsidRDefault="00AE727E">
            <w:pPr>
              <w:rPr>
                <w:rFonts w:ascii="宋体"/>
              </w:rPr>
            </w:pPr>
          </w:p>
        </w:tc>
        <w:tc>
          <w:tcPr>
            <w:tcW w:w="5" w:type="pct"/>
            <w:shd w:val="clear" w:color="auto" w:fill="auto"/>
            <w:vAlign w:val="bottom"/>
          </w:tcPr>
          <w:p w14:paraId="07DCF0B3" w14:textId="77777777" w:rsidR="00AE727E" w:rsidRDefault="00AE727E">
            <w:pPr>
              <w:rPr>
                <w:rFonts w:ascii="宋体"/>
              </w:rPr>
            </w:pPr>
          </w:p>
        </w:tc>
        <w:tc>
          <w:tcPr>
            <w:tcW w:w="5" w:type="pct"/>
            <w:shd w:val="clear" w:color="auto" w:fill="auto"/>
            <w:vAlign w:val="bottom"/>
          </w:tcPr>
          <w:p w14:paraId="07DCF0B4" w14:textId="77777777" w:rsidR="00AE727E" w:rsidRDefault="00AE727E">
            <w:pPr>
              <w:rPr>
                <w:rFonts w:ascii="宋体"/>
              </w:rPr>
            </w:pPr>
          </w:p>
        </w:tc>
        <w:tc>
          <w:tcPr>
            <w:tcW w:w="19" w:type="pct"/>
            <w:shd w:val="clear" w:color="auto" w:fill="auto"/>
            <w:vAlign w:val="bottom"/>
          </w:tcPr>
          <w:p w14:paraId="07DCF0B5" w14:textId="77777777" w:rsidR="00AE727E" w:rsidRDefault="00AE727E">
            <w:pPr>
              <w:rPr>
                <w:rFonts w:ascii="宋体"/>
              </w:rPr>
            </w:pPr>
          </w:p>
        </w:tc>
        <w:tc>
          <w:tcPr>
            <w:tcW w:w="5" w:type="pct"/>
            <w:shd w:val="clear" w:color="auto" w:fill="auto"/>
            <w:vAlign w:val="bottom"/>
          </w:tcPr>
          <w:p w14:paraId="07DCF0B6" w14:textId="77777777" w:rsidR="00AE727E" w:rsidRDefault="00AE727E">
            <w:pPr>
              <w:rPr>
                <w:rFonts w:ascii="宋体"/>
              </w:rPr>
            </w:pPr>
          </w:p>
        </w:tc>
        <w:tc>
          <w:tcPr>
            <w:tcW w:w="50" w:type="pct"/>
            <w:shd w:val="clear" w:color="auto" w:fill="auto"/>
            <w:vAlign w:val="bottom"/>
          </w:tcPr>
          <w:p w14:paraId="07DCF0B7" w14:textId="77777777" w:rsidR="00AE727E" w:rsidRDefault="00AE727E">
            <w:pPr>
              <w:rPr>
                <w:rFonts w:ascii="宋体"/>
              </w:rPr>
            </w:pPr>
          </w:p>
        </w:tc>
        <w:tc>
          <w:tcPr>
            <w:tcW w:w="1063" w:type="pct"/>
            <w:shd w:val="clear" w:color="auto" w:fill="auto"/>
            <w:vAlign w:val="bottom"/>
          </w:tcPr>
          <w:p w14:paraId="07DCF0B8" w14:textId="77777777" w:rsidR="00AE727E" w:rsidRDefault="00AE727E">
            <w:pPr>
              <w:rPr>
                <w:rFonts w:ascii="宋体"/>
              </w:rPr>
            </w:pPr>
          </w:p>
        </w:tc>
        <w:tc>
          <w:tcPr>
            <w:tcW w:w="5" w:type="pct"/>
            <w:shd w:val="clear" w:color="auto" w:fill="auto"/>
            <w:vAlign w:val="bottom"/>
          </w:tcPr>
          <w:p w14:paraId="07DCF0B9" w14:textId="77777777" w:rsidR="00AE727E" w:rsidRDefault="00AE727E">
            <w:pPr>
              <w:rPr>
                <w:rFonts w:ascii="宋体"/>
              </w:rPr>
            </w:pPr>
          </w:p>
        </w:tc>
        <w:tc>
          <w:tcPr>
            <w:tcW w:w="5" w:type="pct"/>
            <w:shd w:val="clear" w:color="auto" w:fill="auto"/>
            <w:vAlign w:val="bottom"/>
          </w:tcPr>
          <w:p w14:paraId="07DCF0BA" w14:textId="77777777" w:rsidR="00AE727E" w:rsidRDefault="00AE727E">
            <w:pPr>
              <w:rPr>
                <w:rFonts w:ascii="宋体"/>
              </w:rPr>
            </w:pPr>
          </w:p>
        </w:tc>
        <w:tc>
          <w:tcPr>
            <w:tcW w:w="19" w:type="pct"/>
            <w:shd w:val="clear" w:color="auto" w:fill="auto"/>
            <w:vAlign w:val="bottom"/>
          </w:tcPr>
          <w:p w14:paraId="07DCF0BB" w14:textId="77777777" w:rsidR="00AE727E" w:rsidRDefault="00AE727E">
            <w:pPr>
              <w:rPr>
                <w:rFonts w:ascii="宋体"/>
              </w:rPr>
            </w:pPr>
          </w:p>
        </w:tc>
        <w:tc>
          <w:tcPr>
            <w:tcW w:w="5" w:type="pct"/>
            <w:shd w:val="clear" w:color="auto" w:fill="auto"/>
            <w:vAlign w:val="bottom"/>
          </w:tcPr>
          <w:p w14:paraId="07DCF0BC" w14:textId="77777777" w:rsidR="00AE727E" w:rsidRDefault="00AE727E">
            <w:pPr>
              <w:rPr>
                <w:rFonts w:ascii="宋体"/>
              </w:rPr>
            </w:pPr>
          </w:p>
        </w:tc>
        <w:tc>
          <w:tcPr>
            <w:tcW w:w="50" w:type="pct"/>
            <w:shd w:val="clear" w:color="auto" w:fill="auto"/>
            <w:vAlign w:val="bottom"/>
          </w:tcPr>
          <w:p w14:paraId="07DCF0BD" w14:textId="77777777" w:rsidR="00AE727E" w:rsidRDefault="00AE727E">
            <w:pPr>
              <w:rPr>
                <w:rFonts w:ascii="宋体"/>
              </w:rPr>
            </w:pPr>
          </w:p>
        </w:tc>
        <w:tc>
          <w:tcPr>
            <w:tcW w:w="1355" w:type="pct"/>
            <w:shd w:val="clear" w:color="auto" w:fill="auto"/>
            <w:vAlign w:val="bottom"/>
          </w:tcPr>
          <w:p w14:paraId="07DCF0BE" w14:textId="77777777" w:rsidR="00AE727E" w:rsidRDefault="00AE727E">
            <w:pPr>
              <w:rPr>
                <w:rFonts w:ascii="宋体"/>
              </w:rPr>
            </w:pPr>
          </w:p>
        </w:tc>
        <w:tc>
          <w:tcPr>
            <w:tcW w:w="5" w:type="pct"/>
            <w:shd w:val="clear" w:color="auto" w:fill="auto"/>
            <w:vAlign w:val="bottom"/>
          </w:tcPr>
          <w:p w14:paraId="07DCF0BF" w14:textId="77777777" w:rsidR="00AE727E" w:rsidRDefault="00AE727E">
            <w:pPr>
              <w:rPr>
                <w:rFonts w:ascii="宋体"/>
              </w:rPr>
            </w:pPr>
          </w:p>
        </w:tc>
        <w:tc>
          <w:tcPr>
            <w:tcW w:w="5" w:type="pct"/>
            <w:shd w:val="clear" w:color="auto" w:fill="auto"/>
            <w:vAlign w:val="bottom"/>
          </w:tcPr>
          <w:p w14:paraId="07DCF0C0" w14:textId="77777777" w:rsidR="00AE727E" w:rsidRDefault="00AE727E">
            <w:pPr>
              <w:rPr>
                <w:rFonts w:ascii="宋体"/>
              </w:rPr>
            </w:pPr>
          </w:p>
        </w:tc>
        <w:tc>
          <w:tcPr>
            <w:tcW w:w="19" w:type="pct"/>
            <w:shd w:val="clear" w:color="auto" w:fill="auto"/>
            <w:vAlign w:val="bottom"/>
          </w:tcPr>
          <w:p w14:paraId="07DCF0C1" w14:textId="77777777" w:rsidR="00AE727E" w:rsidRDefault="00AE727E">
            <w:pPr>
              <w:rPr>
                <w:rFonts w:ascii="宋体"/>
              </w:rPr>
            </w:pPr>
          </w:p>
        </w:tc>
        <w:tc>
          <w:tcPr>
            <w:tcW w:w="5" w:type="pct"/>
            <w:shd w:val="clear" w:color="auto" w:fill="auto"/>
            <w:vAlign w:val="bottom"/>
          </w:tcPr>
          <w:p w14:paraId="07DCF0C2" w14:textId="77777777" w:rsidR="00AE727E" w:rsidRDefault="00AE727E">
            <w:pPr>
              <w:rPr>
                <w:rFonts w:ascii="宋体"/>
              </w:rPr>
            </w:pPr>
          </w:p>
        </w:tc>
        <w:tc>
          <w:tcPr>
            <w:tcW w:w="50" w:type="pct"/>
            <w:shd w:val="clear" w:color="auto" w:fill="auto"/>
            <w:vAlign w:val="bottom"/>
          </w:tcPr>
          <w:p w14:paraId="07DCF0C3" w14:textId="77777777" w:rsidR="00AE727E" w:rsidRDefault="00AE727E">
            <w:pPr>
              <w:rPr>
                <w:rFonts w:ascii="宋体"/>
              </w:rPr>
            </w:pPr>
          </w:p>
        </w:tc>
        <w:tc>
          <w:tcPr>
            <w:tcW w:w="1063" w:type="pct"/>
            <w:shd w:val="clear" w:color="auto" w:fill="auto"/>
            <w:vAlign w:val="bottom"/>
          </w:tcPr>
          <w:p w14:paraId="07DCF0C4" w14:textId="77777777" w:rsidR="00AE727E" w:rsidRDefault="00AE727E">
            <w:pPr>
              <w:rPr>
                <w:rFonts w:ascii="宋体"/>
              </w:rPr>
            </w:pPr>
          </w:p>
        </w:tc>
        <w:tc>
          <w:tcPr>
            <w:tcW w:w="5" w:type="pct"/>
            <w:shd w:val="clear" w:color="auto" w:fill="auto"/>
            <w:vAlign w:val="bottom"/>
          </w:tcPr>
          <w:p w14:paraId="07DCF0C5" w14:textId="77777777" w:rsidR="00AE727E" w:rsidRDefault="00AE727E">
            <w:pPr>
              <w:rPr>
                <w:rFonts w:ascii="宋体"/>
              </w:rPr>
            </w:pPr>
          </w:p>
        </w:tc>
        <w:tc>
          <w:tcPr>
            <w:tcW w:w="0" w:type="auto"/>
            <w:shd w:val="clear" w:color="auto" w:fill="auto"/>
            <w:vAlign w:val="bottom"/>
          </w:tcPr>
          <w:p w14:paraId="07DCF0C6" w14:textId="77777777" w:rsidR="00AE727E" w:rsidRDefault="00AE727E">
            <w:pPr>
              <w:rPr>
                <w:rFonts w:ascii="宋体"/>
                <w:vanish/>
              </w:rPr>
            </w:pPr>
          </w:p>
        </w:tc>
        <w:tc>
          <w:tcPr>
            <w:tcW w:w="0" w:type="auto"/>
            <w:shd w:val="clear" w:color="auto" w:fill="auto"/>
            <w:vAlign w:val="bottom"/>
          </w:tcPr>
          <w:p w14:paraId="07DCF0C7" w14:textId="77777777" w:rsidR="00AE727E" w:rsidRDefault="00AE727E">
            <w:pPr>
              <w:rPr>
                <w:rFonts w:ascii="宋体"/>
                <w:vanish/>
              </w:rPr>
            </w:pPr>
          </w:p>
        </w:tc>
        <w:tc>
          <w:tcPr>
            <w:tcW w:w="0" w:type="auto"/>
            <w:shd w:val="clear" w:color="auto" w:fill="auto"/>
            <w:vAlign w:val="bottom"/>
          </w:tcPr>
          <w:p w14:paraId="07DCF0C8" w14:textId="77777777" w:rsidR="00AE727E" w:rsidRDefault="00AE727E">
            <w:pPr>
              <w:rPr>
                <w:rFonts w:ascii="宋体"/>
                <w:vanish/>
              </w:rPr>
            </w:pPr>
          </w:p>
        </w:tc>
        <w:tc>
          <w:tcPr>
            <w:tcW w:w="0" w:type="auto"/>
            <w:shd w:val="clear" w:color="auto" w:fill="auto"/>
            <w:vAlign w:val="bottom"/>
          </w:tcPr>
          <w:p w14:paraId="07DCF0C9" w14:textId="77777777" w:rsidR="00AE727E" w:rsidRDefault="00AE727E">
            <w:pPr>
              <w:rPr>
                <w:rFonts w:ascii="宋体"/>
                <w:vanish/>
              </w:rPr>
            </w:pPr>
          </w:p>
        </w:tc>
      </w:tr>
      <w:tr w:rsidR="00AE727E" w14:paraId="07DCF0D6" w14:textId="77777777">
        <w:tc>
          <w:tcPr>
            <w:tcW w:w="0" w:type="auto"/>
            <w:gridSpan w:val="3"/>
            <w:shd w:val="clear" w:color="auto" w:fill="auto"/>
            <w:tcMar>
              <w:top w:w="40" w:type="dxa"/>
              <w:left w:w="20" w:type="dxa"/>
              <w:bottom w:w="40" w:type="dxa"/>
              <w:right w:w="20" w:type="dxa"/>
            </w:tcMar>
            <w:vAlign w:val="bottom"/>
          </w:tcPr>
          <w:p w14:paraId="07DCF0CB" w14:textId="77777777" w:rsidR="00AE727E" w:rsidRDefault="008433E0">
            <w:pPr>
              <w:jc w:val="center"/>
              <w:textAlignment w:val="bottom"/>
            </w:pPr>
            <w:r>
              <w:rPr>
                <w:rFonts w:ascii="Times New Roman" w:eastAsia="宋体" w:hAnsi="Times New Roman"/>
                <w:b/>
                <w:bCs/>
                <w:color w:val="000000"/>
                <w:sz w:val="18"/>
                <w:szCs w:val="18"/>
              </w:rPr>
              <w:t>Derivatives in Cash Flow Hedging Relationships</w:t>
            </w:r>
          </w:p>
        </w:tc>
        <w:tc>
          <w:tcPr>
            <w:tcW w:w="0" w:type="auto"/>
            <w:gridSpan w:val="3"/>
            <w:shd w:val="clear" w:color="auto" w:fill="auto"/>
            <w:tcMar>
              <w:top w:w="0" w:type="dxa"/>
              <w:left w:w="20" w:type="dxa"/>
              <w:bottom w:w="0" w:type="dxa"/>
              <w:right w:w="20" w:type="dxa"/>
            </w:tcMar>
            <w:vAlign w:val="bottom"/>
          </w:tcPr>
          <w:p w14:paraId="07DCF0CC"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0CD" w14:textId="77777777" w:rsidR="00AE727E" w:rsidRDefault="008433E0">
            <w:pPr>
              <w:jc w:val="center"/>
              <w:textAlignment w:val="bottom"/>
            </w:pPr>
            <w:r>
              <w:rPr>
                <w:rFonts w:ascii="Times New Roman" w:eastAsia="宋体" w:hAnsi="Times New Roman"/>
                <w:b/>
                <w:bCs/>
                <w:color w:val="000000"/>
                <w:sz w:val="18"/>
                <w:szCs w:val="18"/>
              </w:rPr>
              <w:t>Gain (Loss) Recognized in Accumulated OCI, Net of Tax, on Derivatives</w:t>
            </w:r>
          </w:p>
        </w:tc>
        <w:tc>
          <w:tcPr>
            <w:tcW w:w="0" w:type="auto"/>
            <w:gridSpan w:val="3"/>
            <w:shd w:val="clear" w:color="auto" w:fill="auto"/>
            <w:tcMar>
              <w:top w:w="0" w:type="dxa"/>
              <w:left w:w="20" w:type="dxa"/>
              <w:bottom w:w="0" w:type="dxa"/>
              <w:right w:w="20" w:type="dxa"/>
            </w:tcMar>
            <w:vAlign w:val="bottom"/>
          </w:tcPr>
          <w:p w14:paraId="07DCF0CE"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0CF" w14:textId="77777777" w:rsidR="00AE727E" w:rsidRDefault="008433E0">
            <w:pPr>
              <w:jc w:val="center"/>
              <w:textAlignment w:val="bottom"/>
            </w:pPr>
            <w:r>
              <w:rPr>
                <w:rFonts w:ascii="Times New Roman" w:eastAsia="宋体" w:hAnsi="Times New Roman"/>
                <w:b/>
                <w:bCs/>
                <w:color w:val="000000"/>
                <w:sz w:val="18"/>
                <w:szCs w:val="18"/>
              </w:rPr>
              <w:t>Location of Gain (Loss) Reclassified from Accumulated OCI into Income</w:t>
            </w:r>
          </w:p>
        </w:tc>
        <w:tc>
          <w:tcPr>
            <w:tcW w:w="0" w:type="auto"/>
            <w:gridSpan w:val="3"/>
            <w:shd w:val="clear" w:color="auto" w:fill="auto"/>
            <w:tcMar>
              <w:top w:w="0" w:type="dxa"/>
              <w:left w:w="20" w:type="dxa"/>
              <w:bottom w:w="0" w:type="dxa"/>
              <w:right w:w="20" w:type="dxa"/>
            </w:tcMar>
            <w:vAlign w:val="bottom"/>
          </w:tcPr>
          <w:p w14:paraId="07DCF0D0"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0D1" w14:textId="77777777" w:rsidR="00AE727E" w:rsidRDefault="008433E0">
            <w:pPr>
              <w:jc w:val="center"/>
              <w:textAlignment w:val="bottom"/>
            </w:pPr>
            <w:r>
              <w:rPr>
                <w:rFonts w:ascii="Times New Roman" w:eastAsia="宋体" w:hAnsi="Times New Roman"/>
                <w:b/>
                <w:bCs/>
                <w:color w:val="000000"/>
                <w:sz w:val="18"/>
                <w:szCs w:val="18"/>
              </w:rPr>
              <w:t xml:space="preserve">Gain (Loss) Reclassified from </w:t>
            </w:r>
            <w:r>
              <w:rPr>
                <w:rFonts w:ascii="Times New Roman" w:eastAsia="宋体" w:hAnsi="Times New Roman"/>
                <w:b/>
                <w:bCs/>
                <w:color w:val="000000"/>
                <w:sz w:val="18"/>
                <w:szCs w:val="18"/>
              </w:rPr>
              <w:t>Accumulated OCI into Income</w:t>
            </w:r>
          </w:p>
        </w:tc>
        <w:tc>
          <w:tcPr>
            <w:tcW w:w="0" w:type="auto"/>
            <w:shd w:val="clear" w:color="auto" w:fill="auto"/>
            <w:vAlign w:val="bottom"/>
          </w:tcPr>
          <w:p w14:paraId="07DCF0D2" w14:textId="77777777" w:rsidR="00AE727E" w:rsidRDefault="00AE727E">
            <w:pPr>
              <w:rPr>
                <w:rFonts w:ascii="宋体"/>
                <w:vanish/>
              </w:rPr>
            </w:pPr>
          </w:p>
        </w:tc>
        <w:tc>
          <w:tcPr>
            <w:tcW w:w="0" w:type="auto"/>
            <w:shd w:val="clear" w:color="auto" w:fill="auto"/>
            <w:vAlign w:val="bottom"/>
          </w:tcPr>
          <w:p w14:paraId="07DCF0D3" w14:textId="77777777" w:rsidR="00AE727E" w:rsidRDefault="00AE727E">
            <w:pPr>
              <w:rPr>
                <w:rFonts w:ascii="宋体"/>
                <w:vanish/>
              </w:rPr>
            </w:pPr>
          </w:p>
        </w:tc>
        <w:tc>
          <w:tcPr>
            <w:tcW w:w="0" w:type="auto"/>
            <w:shd w:val="clear" w:color="auto" w:fill="auto"/>
            <w:vAlign w:val="bottom"/>
          </w:tcPr>
          <w:p w14:paraId="07DCF0D4" w14:textId="77777777" w:rsidR="00AE727E" w:rsidRDefault="00AE727E">
            <w:pPr>
              <w:rPr>
                <w:rFonts w:ascii="宋体"/>
                <w:vanish/>
              </w:rPr>
            </w:pPr>
          </w:p>
        </w:tc>
        <w:tc>
          <w:tcPr>
            <w:tcW w:w="0" w:type="auto"/>
            <w:shd w:val="clear" w:color="auto" w:fill="auto"/>
            <w:vAlign w:val="bottom"/>
          </w:tcPr>
          <w:p w14:paraId="07DCF0D5" w14:textId="77777777" w:rsidR="00AE727E" w:rsidRDefault="00AE727E">
            <w:pPr>
              <w:rPr>
                <w:rFonts w:ascii="宋体"/>
                <w:vanish/>
              </w:rPr>
            </w:pPr>
          </w:p>
        </w:tc>
      </w:tr>
      <w:tr w:rsidR="00AE727E" w14:paraId="07DCF0E2"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0D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0D8"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0D9" w14:textId="77777777" w:rsidR="00AE727E" w:rsidRDefault="008433E0">
            <w:pPr>
              <w:jc w:val="center"/>
              <w:textAlignment w:val="bottom"/>
            </w:pPr>
            <w:r>
              <w:rPr>
                <w:rFonts w:ascii="Times New Roman" w:eastAsia="宋体" w:hAnsi="Times New Roman"/>
                <w:color w:val="000000"/>
                <w:sz w:val="18"/>
                <w:szCs w:val="18"/>
              </w:rPr>
              <w:t>(in millions)</w:t>
            </w:r>
          </w:p>
        </w:tc>
        <w:tc>
          <w:tcPr>
            <w:tcW w:w="0" w:type="auto"/>
            <w:gridSpan w:val="3"/>
            <w:shd w:val="clear" w:color="auto" w:fill="auto"/>
            <w:tcMar>
              <w:top w:w="0" w:type="dxa"/>
              <w:left w:w="20" w:type="dxa"/>
              <w:bottom w:w="0" w:type="dxa"/>
              <w:right w:w="20" w:type="dxa"/>
            </w:tcMar>
            <w:vAlign w:val="bottom"/>
          </w:tcPr>
          <w:p w14:paraId="07DCF0DA"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0DB"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0DC"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0DD" w14:textId="77777777" w:rsidR="00AE727E" w:rsidRDefault="008433E0">
            <w:pPr>
              <w:jc w:val="center"/>
              <w:textAlignment w:val="bottom"/>
            </w:pPr>
            <w:r>
              <w:rPr>
                <w:rFonts w:ascii="Times New Roman" w:eastAsia="宋体" w:hAnsi="Times New Roman"/>
                <w:color w:val="000000"/>
                <w:sz w:val="18"/>
                <w:szCs w:val="18"/>
              </w:rPr>
              <w:t>(in millions)</w:t>
            </w:r>
          </w:p>
        </w:tc>
        <w:tc>
          <w:tcPr>
            <w:tcW w:w="0" w:type="auto"/>
            <w:shd w:val="clear" w:color="auto" w:fill="auto"/>
            <w:vAlign w:val="bottom"/>
          </w:tcPr>
          <w:p w14:paraId="07DCF0DE" w14:textId="77777777" w:rsidR="00AE727E" w:rsidRDefault="00AE727E">
            <w:pPr>
              <w:rPr>
                <w:rFonts w:ascii="宋体"/>
                <w:vanish/>
              </w:rPr>
            </w:pPr>
          </w:p>
        </w:tc>
        <w:tc>
          <w:tcPr>
            <w:tcW w:w="0" w:type="auto"/>
            <w:shd w:val="clear" w:color="auto" w:fill="auto"/>
            <w:vAlign w:val="bottom"/>
          </w:tcPr>
          <w:p w14:paraId="07DCF0DF" w14:textId="77777777" w:rsidR="00AE727E" w:rsidRDefault="00AE727E">
            <w:pPr>
              <w:rPr>
                <w:rFonts w:ascii="宋体"/>
                <w:vanish/>
              </w:rPr>
            </w:pPr>
          </w:p>
        </w:tc>
        <w:tc>
          <w:tcPr>
            <w:tcW w:w="0" w:type="auto"/>
            <w:shd w:val="clear" w:color="auto" w:fill="auto"/>
            <w:vAlign w:val="bottom"/>
          </w:tcPr>
          <w:p w14:paraId="07DCF0E0" w14:textId="77777777" w:rsidR="00AE727E" w:rsidRDefault="00AE727E">
            <w:pPr>
              <w:rPr>
                <w:rFonts w:ascii="宋体"/>
                <w:vanish/>
              </w:rPr>
            </w:pPr>
          </w:p>
        </w:tc>
        <w:tc>
          <w:tcPr>
            <w:tcW w:w="0" w:type="auto"/>
            <w:shd w:val="clear" w:color="auto" w:fill="auto"/>
            <w:vAlign w:val="bottom"/>
          </w:tcPr>
          <w:p w14:paraId="07DCF0E1" w14:textId="77777777" w:rsidR="00AE727E" w:rsidRDefault="00AE727E">
            <w:pPr>
              <w:rPr>
                <w:rFonts w:ascii="宋体"/>
                <w:vanish/>
              </w:rPr>
            </w:pPr>
          </w:p>
        </w:tc>
      </w:tr>
      <w:tr w:rsidR="00AE727E" w14:paraId="07DCF0E8" w14:textId="77777777">
        <w:tc>
          <w:tcPr>
            <w:tcW w:w="0" w:type="auto"/>
            <w:gridSpan w:val="21"/>
            <w:shd w:val="clear" w:color="auto" w:fill="CCEEFF"/>
            <w:tcMar>
              <w:top w:w="40" w:type="dxa"/>
              <w:left w:w="20" w:type="dxa"/>
              <w:bottom w:w="40" w:type="dxa"/>
              <w:right w:w="20" w:type="dxa"/>
            </w:tcMar>
            <w:vAlign w:val="bottom"/>
          </w:tcPr>
          <w:p w14:paraId="07DCF0E3" w14:textId="77777777" w:rsidR="00AE727E" w:rsidRDefault="008433E0">
            <w:pPr>
              <w:textAlignment w:val="bottom"/>
            </w:pPr>
            <w:r>
              <w:rPr>
                <w:rFonts w:ascii="Times New Roman" w:eastAsia="宋体" w:hAnsi="Times New Roman"/>
                <w:i/>
                <w:iCs/>
                <w:color w:val="000000"/>
                <w:sz w:val="20"/>
                <w:szCs w:val="20"/>
              </w:rPr>
              <w:t>For the three months ended October 29, 2021</w:t>
            </w:r>
          </w:p>
        </w:tc>
        <w:tc>
          <w:tcPr>
            <w:tcW w:w="0" w:type="auto"/>
            <w:shd w:val="clear" w:color="auto" w:fill="auto"/>
            <w:vAlign w:val="bottom"/>
          </w:tcPr>
          <w:p w14:paraId="07DCF0E4" w14:textId="77777777" w:rsidR="00AE727E" w:rsidRDefault="00AE727E">
            <w:pPr>
              <w:rPr>
                <w:rFonts w:ascii="宋体"/>
                <w:vanish/>
              </w:rPr>
            </w:pPr>
          </w:p>
        </w:tc>
        <w:tc>
          <w:tcPr>
            <w:tcW w:w="0" w:type="auto"/>
            <w:shd w:val="clear" w:color="auto" w:fill="auto"/>
            <w:vAlign w:val="bottom"/>
          </w:tcPr>
          <w:p w14:paraId="07DCF0E5" w14:textId="77777777" w:rsidR="00AE727E" w:rsidRDefault="00AE727E">
            <w:pPr>
              <w:rPr>
                <w:rFonts w:ascii="宋体"/>
                <w:vanish/>
              </w:rPr>
            </w:pPr>
          </w:p>
        </w:tc>
        <w:tc>
          <w:tcPr>
            <w:tcW w:w="0" w:type="auto"/>
            <w:shd w:val="clear" w:color="auto" w:fill="auto"/>
            <w:vAlign w:val="bottom"/>
          </w:tcPr>
          <w:p w14:paraId="07DCF0E6" w14:textId="77777777" w:rsidR="00AE727E" w:rsidRDefault="00AE727E">
            <w:pPr>
              <w:rPr>
                <w:rFonts w:ascii="宋体"/>
                <w:vanish/>
              </w:rPr>
            </w:pPr>
          </w:p>
        </w:tc>
        <w:tc>
          <w:tcPr>
            <w:tcW w:w="0" w:type="auto"/>
            <w:shd w:val="clear" w:color="auto" w:fill="auto"/>
            <w:vAlign w:val="bottom"/>
          </w:tcPr>
          <w:p w14:paraId="07DCF0E7" w14:textId="77777777" w:rsidR="00AE727E" w:rsidRDefault="00AE727E">
            <w:pPr>
              <w:rPr>
                <w:rFonts w:ascii="宋体"/>
                <w:vanish/>
              </w:rPr>
            </w:pPr>
          </w:p>
        </w:tc>
      </w:tr>
      <w:tr w:rsidR="00AE727E" w14:paraId="07DCF0F6" w14:textId="77777777">
        <w:tc>
          <w:tcPr>
            <w:tcW w:w="0" w:type="auto"/>
            <w:gridSpan w:val="3"/>
            <w:shd w:val="clear" w:color="auto" w:fill="FFFFFF"/>
            <w:tcMar>
              <w:top w:w="0" w:type="dxa"/>
              <w:left w:w="20" w:type="dxa"/>
              <w:bottom w:w="0" w:type="dxa"/>
              <w:right w:w="20" w:type="dxa"/>
            </w:tcMar>
            <w:vAlign w:val="bottom"/>
          </w:tcPr>
          <w:p w14:paraId="07DCF0E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0EA"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0EB"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F0EC"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0ED" w14:textId="77777777" w:rsidR="00AE727E" w:rsidRDefault="008433E0">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DCF0E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0E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0F0" w14:textId="77777777" w:rsidR="00AE727E" w:rsidRDefault="008433E0">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bottom"/>
          </w:tcPr>
          <w:p w14:paraId="07DCF0F1" w14:textId="77777777" w:rsidR="00AE727E" w:rsidRDefault="00AE727E">
            <w:pPr>
              <w:jc w:val="right"/>
              <w:rPr>
                <w:rFonts w:ascii="宋体"/>
              </w:rPr>
            </w:pPr>
          </w:p>
        </w:tc>
        <w:tc>
          <w:tcPr>
            <w:tcW w:w="0" w:type="auto"/>
            <w:shd w:val="clear" w:color="auto" w:fill="auto"/>
            <w:vAlign w:val="bottom"/>
          </w:tcPr>
          <w:p w14:paraId="07DCF0F2" w14:textId="77777777" w:rsidR="00AE727E" w:rsidRDefault="00AE727E">
            <w:pPr>
              <w:rPr>
                <w:rFonts w:ascii="宋体"/>
                <w:vanish/>
              </w:rPr>
            </w:pPr>
          </w:p>
        </w:tc>
        <w:tc>
          <w:tcPr>
            <w:tcW w:w="0" w:type="auto"/>
            <w:shd w:val="clear" w:color="auto" w:fill="auto"/>
            <w:vAlign w:val="bottom"/>
          </w:tcPr>
          <w:p w14:paraId="07DCF0F3" w14:textId="77777777" w:rsidR="00AE727E" w:rsidRDefault="00AE727E">
            <w:pPr>
              <w:rPr>
                <w:rFonts w:ascii="宋体"/>
                <w:vanish/>
              </w:rPr>
            </w:pPr>
          </w:p>
        </w:tc>
        <w:tc>
          <w:tcPr>
            <w:tcW w:w="0" w:type="auto"/>
            <w:shd w:val="clear" w:color="auto" w:fill="auto"/>
            <w:vAlign w:val="bottom"/>
          </w:tcPr>
          <w:p w14:paraId="07DCF0F4" w14:textId="77777777" w:rsidR="00AE727E" w:rsidRDefault="00AE727E">
            <w:pPr>
              <w:rPr>
                <w:rFonts w:ascii="宋体"/>
                <w:vanish/>
              </w:rPr>
            </w:pPr>
          </w:p>
        </w:tc>
        <w:tc>
          <w:tcPr>
            <w:tcW w:w="0" w:type="auto"/>
            <w:shd w:val="clear" w:color="auto" w:fill="auto"/>
            <w:vAlign w:val="bottom"/>
          </w:tcPr>
          <w:p w14:paraId="07DCF0F5" w14:textId="77777777" w:rsidR="00AE727E" w:rsidRDefault="00AE727E">
            <w:pPr>
              <w:rPr>
                <w:rFonts w:ascii="宋体"/>
                <w:vanish/>
              </w:rPr>
            </w:pPr>
          </w:p>
        </w:tc>
      </w:tr>
      <w:tr w:rsidR="00AE727E" w14:paraId="07DCF105" w14:textId="77777777">
        <w:tc>
          <w:tcPr>
            <w:tcW w:w="0" w:type="auto"/>
            <w:gridSpan w:val="3"/>
            <w:shd w:val="clear" w:color="auto" w:fill="CCEEFF"/>
            <w:tcMar>
              <w:top w:w="40" w:type="dxa"/>
              <w:left w:w="20" w:type="dxa"/>
              <w:bottom w:w="40" w:type="dxa"/>
              <w:right w:w="20" w:type="dxa"/>
            </w:tcMar>
            <w:vAlign w:val="bottom"/>
          </w:tcPr>
          <w:p w14:paraId="07DCF0F7" w14:textId="77777777" w:rsidR="00AE727E" w:rsidRDefault="008433E0">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DCF0F8"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0F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0FA" w14:textId="77777777" w:rsidR="00AE727E" w:rsidRDefault="008433E0">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07DCF0F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0FC"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0FD" w14:textId="77777777" w:rsidR="00AE727E" w:rsidRDefault="008433E0">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DCF0F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0FF" w14:textId="77777777" w:rsidR="00AE727E" w:rsidRDefault="008433E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DCF100" w14:textId="77777777" w:rsidR="00AE727E" w:rsidRDefault="00AE727E">
            <w:pPr>
              <w:jc w:val="right"/>
              <w:rPr>
                <w:rFonts w:ascii="宋体"/>
              </w:rPr>
            </w:pPr>
          </w:p>
        </w:tc>
        <w:tc>
          <w:tcPr>
            <w:tcW w:w="0" w:type="auto"/>
            <w:shd w:val="clear" w:color="auto" w:fill="auto"/>
            <w:vAlign w:val="bottom"/>
          </w:tcPr>
          <w:p w14:paraId="07DCF101" w14:textId="77777777" w:rsidR="00AE727E" w:rsidRDefault="00AE727E">
            <w:pPr>
              <w:rPr>
                <w:rFonts w:ascii="宋体"/>
                <w:vanish/>
              </w:rPr>
            </w:pPr>
          </w:p>
        </w:tc>
        <w:tc>
          <w:tcPr>
            <w:tcW w:w="0" w:type="auto"/>
            <w:shd w:val="clear" w:color="auto" w:fill="auto"/>
            <w:vAlign w:val="bottom"/>
          </w:tcPr>
          <w:p w14:paraId="07DCF102" w14:textId="77777777" w:rsidR="00AE727E" w:rsidRDefault="00AE727E">
            <w:pPr>
              <w:rPr>
                <w:rFonts w:ascii="宋体"/>
                <w:vanish/>
              </w:rPr>
            </w:pPr>
          </w:p>
        </w:tc>
        <w:tc>
          <w:tcPr>
            <w:tcW w:w="0" w:type="auto"/>
            <w:shd w:val="clear" w:color="auto" w:fill="auto"/>
            <w:vAlign w:val="bottom"/>
          </w:tcPr>
          <w:p w14:paraId="07DCF103" w14:textId="77777777" w:rsidR="00AE727E" w:rsidRDefault="00AE727E">
            <w:pPr>
              <w:rPr>
                <w:rFonts w:ascii="宋体"/>
                <w:vanish/>
              </w:rPr>
            </w:pPr>
          </w:p>
        </w:tc>
        <w:tc>
          <w:tcPr>
            <w:tcW w:w="0" w:type="auto"/>
            <w:shd w:val="clear" w:color="auto" w:fill="auto"/>
            <w:vAlign w:val="bottom"/>
          </w:tcPr>
          <w:p w14:paraId="07DCF104" w14:textId="77777777" w:rsidR="00AE727E" w:rsidRDefault="00AE727E">
            <w:pPr>
              <w:rPr>
                <w:rFonts w:ascii="宋体"/>
                <w:vanish/>
              </w:rPr>
            </w:pPr>
          </w:p>
        </w:tc>
      </w:tr>
      <w:tr w:rsidR="00AE727E" w14:paraId="07DCF113" w14:textId="77777777">
        <w:tc>
          <w:tcPr>
            <w:tcW w:w="0" w:type="auto"/>
            <w:gridSpan w:val="3"/>
            <w:shd w:val="clear" w:color="auto" w:fill="FFFFFF"/>
            <w:tcMar>
              <w:top w:w="40" w:type="dxa"/>
              <w:left w:w="20" w:type="dxa"/>
              <w:bottom w:w="40" w:type="dxa"/>
              <w:right w:w="20" w:type="dxa"/>
            </w:tcMar>
            <w:vAlign w:val="bottom"/>
          </w:tcPr>
          <w:p w14:paraId="07DCF106" w14:textId="77777777" w:rsidR="00AE727E" w:rsidRDefault="008433E0">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07DCF10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0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0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10A"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0B"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DCF10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0D"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0E" w14:textId="77777777" w:rsidR="00AE727E" w:rsidRDefault="00AE727E">
            <w:pPr>
              <w:jc w:val="right"/>
              <w:rPr>
                <w:rFonts w:ascii="宋体"/>
              </w:rPr>
            </w:pPr>
          </w:p>
        </w:tc>
        <w:tc>
          <w:tcPr>
            <w:tcW w:w="0" w:type="auto"/>
            <w:shd w:val="clear" w:color="auto" w:fill="auto"/>
            <w:vAlign w:val="bottom"/>
          </w:tcPr>
          <w:p w14:paraId="07DCF10F" w14:textId="77777777" w:rsidR="00AE727E" w:rsidRDefault="00AE727E">
            <w:pPr>
              <w:rPr>
                <w:rFonts w:ascii="宋体"/>
                <w:vanish/>
              </w:rPr>
            </w:pPr>
          </w:p>
        </w:tc>
        <w:tc>
          <w:tcPr>
            <w:tcW w:w="0" w:type="auto"/>
            <w:shd w:val="clear" w:color="auto" w:fill="auto"/>
            <w:vAlign w:val="bottom"/>
          </w:tcPr>
          <w:p w14:paraId="07DCF110" w14:textId="77777777" w:rsidR="00AE727E" w:rsidRDefault="00AE727E">
            <w:pPr>
              <w:rPr>
                <w:rFonts w:ascii="宋体"/>
                <w:vanish/>
              </w:rPr>
            </w:pPr>
          </w:p>
        </w:tc>
        <w:tc>
          <w:tcPr>
            <w:tcW w:w="0" w:type="auto"/>
            <w:shd w:val="clear" w:color="auto" w:fill="auto"/>
            <w:vAlign w:val="bottom"/>
          </w:tcPr>
          <w:p w14:paraId="07DCF111" w14:textId="77777777" w:rsidR="00AE727E" w:rsidRDefault="00AE727E">
            <w:pPr>
              <w:rPr>
                <w:rFonts w:ascii="宋体"/>
                <w:vanish/>
              </w:rPr>
            </w:pPr>
          </w:p>
        </w:tc>
        <w:tc>
          <w:tcPr>
            <w:tcW w:w="0" w:type="auto"/>
            <w:shd w:val="clear" w:color="auto" w:fill="auto"/>
            <w:vAlign w:val="bottom"/>
          </w:tcPr>
          <w:p w14:paraId="07DCF112" w14:textId="77777777" w:rsidR="00AE727E" w:rsidRDefault="00AE727E">
            <w:pPr>
              <w:rPr>
                <w:rFonts w:ascii="宋体"/>
                <w:vanish/>
              </w:rPr>
            </w:pPr>
          </w:p>
        </w:tc>
      </w:tr>
      <w:tr w:rsidR="00AE727E" w14:paraId="07DCF123" w14:textId="77777777">
        <w:tc>
          <w:tcPr>
            <w:tcW w:w="0" w:type="auto"/>
            <w:gridSpan w:val="3"/>
            <w:shd w:val="clear" w:color="auto" w:fill="CCEEFF"/>
            <w:tcMar>
              <w:top w:w="40" w:type="dxa"/>
              <w:left w:w="155" w:type="dxa"/>
              <w:bottom w:w="40" w:type="dxa"/>
              <w:right w:w="20" w:type="dxa"/>
            </w:tcMar>
            <w:vAlign w:val="bottom"/>
          </w:tcPr>
          <w:p w14:paraId="07DCF114" w14:textId="77777777" w:rsidR="00AE727E" w:rsidRDefault="008433E0">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DCF11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1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17" w14:textId="77777777" w:rsidR="00AE727E" w:rsidRDefault="008433E0">
            <w:pPr>
              <w:jc w:val="right"/>
              <w:textAlignment w:val="bottom"/>
            </w:pPr>
            <w:r>
              <w:rPr>
                <w:rFonts w:ascii="Times New Roman" w:eastAsia="宋体" w:hAnsi="Times New Roman"/>
                <w:color w:val="000000"/>
                <w:sz w:val="20"/>
                <w:szCs w:val="20"/>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1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1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1A" w14:textId="77777777" w:rsidR="00AE727E" w:rsidRDefault="008433E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11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1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1D" w14:textId="77777777" w:rsidR="00AE727E" w:rsidRDefault="008433E0">
            <w:pPr>
              <w:jc w:val="right"/>
              <w:textAlignment w:val="bottom"/>
            </w:pPr>
            <w:r>
              <w:rPr>
                <w:rFonts w:ascii="Times New Roman" w:eastAsia="宋体" w:hAnsi="Times New Roman"/>
                <w:color w:val="000000"/>
                <w:sz w:val="20"/>
                <w:szCs w:val="20"/>
              </w:rPr>
              <w:t>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1E" w14:textId="77777777" w:rsidR="00AE727E" w:rsidRDefault="00AE727E">
            <w:pPr>
              <w:jc w:val="right"/>
              <w:rPr>
                <w:rFonts w:ascii="宋体"/>
              </w:rPr>
            </w:pPr>
          </w:p>
        </w:tc>
        <w:tc>
          <w:tcPr>
            <w:tcW w:w="0" w:type="auto"/>
            <w:shd w:val="clear" w:color="auto" w:fill="auto"/>
            <w:vAlign w:val="bottom"/>
          </w:tcPr>
          <w:p w14:paraId="07DCF11F" w14:textId="77777777" w:rsidR="00AE727E" w:rsidRDefault="00AE727E">
            <w:pPr>
              <w:rPr>
                <w:rFonts w:ascii="宋体"/>
                <w:vanish/>
              </w:rPr>
            </w:pPr>
          </w:p>
        </w:tc>
        <w:tc>
          <w:tcPr>
            <w:tcW w:w="0" w:type="auto"/>
            <w:shd w:val="clear" w:color="auto" w:fill="auto"/>
            <w:vAlign w:val="bottom"/>
          </w:tcPr>
          <w:p w14:paraId="07DCF120" w14:textId="77777777" w:rsidR="00AE727E" w:rsidRDefault="00AE727E">
            <w:pPr>
              <w:rPr>
                <w:rFonts w:ascii="宋体"/>
                <w:vanish/>
              </w:rPr>
            </w:pPr>
          </w:p>
        </w:tc>
        <w:tc>
          <w:tcPr>
            <w:tcW w:w="0" w:type="auto"/>
            <w:shd w:val="clear" w:color="auto" w:fill="auto"/>
            <w:vAlign w:val="bottom"/>
          </w:tcPr>
          <w:p w14:paraId="07DCF121" w14:textId="77777777" w:rsidR="00AE727E" w:rsidRDefault="00AE727E">
            <w:pPr>
              <w:rPr>
                <w:rFonts w:ascii="宋体"/>
                <w:vanish/>
              </w:rPr>
            </w:pPr>
          </w:p>
        </w:tc>
        <w:tc>
          <w:tcPr>
            <w:tcW w:w="0" w:type="auto"/>
            <w:shd w:val="clear" w:color="auto" w:fill="auto"/>
            <w:vAlign w:val="bottom"/>
          </w:tcPr>
          <w:p w14:paraId="07DCF122" w14:textId="77777777" w:rsidR="00AE727E" w:rsidRDefault="00AE727E">
            <w:pPr>
              <w:rPr>
                <w:rFonts w:ascii="宋体"/>
                <w:vanish/>
              </w:rPr>
            </w:pPr>
          </w:p>
        </w:tc>
      </w:tr>
      <w:tr w:rsidR="00AE727E" w14:paraId="07DCF12F" w14:textId="77777777">
        <w:trPr>
          <w:trHeight w:val="280"/>
        </w:trPr>
        <w:tc>
          <w:tcPr>
            <w:tcW w:w="0" w:type="auto"/>
            <w:gridSpan w:val="3"/>
            <w:shd w:val="clear" w:color="auto" w:fill="FFFFFF"/>
            <w:tcMar>
              <w:top w:w="0" w:type="dxa"/>
              <w:left w:w="20" w:type="dxa"/>
              <w:bottom w:w="0" w:type="dxa"/>
              <w:right w:w="20" w:type="dxa"/>
            </w:tcMar>
            <w:vAlign w:val="bottom"/>
          </w:tcPr>
          <w:p w14:paraId="07DCF12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25"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2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2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2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29"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2A" w14:textId="77777777" w:rsidR="00AE727E" w:rsidRDefault="00AE727E">
            <w:pPr>
              <w:rPr>
                <w:rFonts w:ascii="宋体"/>
              </w:rPr>
            </w:pPr>
          </w:p>
        </w:tc>
        <w:tc>
          <w:tcPr>
            <w:tcW w:w="0" w:type="auto"/>
            <w:shd w:val="clear" w:color="auto" w:fill="auto"/>
            <w:vAlign w:val="bottom"/>
          </w:tcPr>
          <w:p w14:paraId="07DCF12B" w14:textId="77777777" w:rsidR="00AE727E" w:rsidRDefault="00AE727E">
            <w:pPr>
              <w:rPr>
                <w:rFonts w:ascii="宋体"/>
                <w:vanish/>
              </w:rPr>
            </w:pPr>
          </w:p>
        </w:tc>
        <w:tc>
          <w:tcPr>
            <w:tcW w:w="0" w:type="auto"/>
            <w:shd w:val="clear" w:color="auto" w:fill="auto"/>
            <w:vAlign w:val="bottom"/>
          </w:tcPr>
          <w:p w14:paraId="07DCF12C" w14:textId="77777777" w:rsidR="00AE727E" w:rsidRDefault="00AE727E">
            <w:pPr>
              <w:rPr>
                <w:rFonts w:ascii="宋体"/>
                <w:vanish/>
              </w:rPr>
            </w:pPr>
          </w:p>
        </w:tc>
        <w:tc>
          <w:tcPr>
            <w:tcW w:w="0" w:type="auto"/>
            <w:shd w:val="clear" w:color="auto" w:fill="auto"/>
            <w:vAlign w:val="bottom"/>
          </w:tcPr>
          <w:p w14:paraId="07DCF12D" w14:textId="77777777" w:rsidR="00AE727E" w:rsidRDefault="00AE727E">
            <w:pPr>
              <w:rPr>
                <w:rFonts w:ascii="宋体"/>
                <w:vanish/>
              </w:rPr>
            </w:pPr>
          </w:p>
        </w:tc>
        <w:tc>
          <w:tcPr>
            <w:tcW w:w="0" w:type="auto"/>
            <w:shd w:val="clear" w:color="auto" w:fill="auto"/>
            <w:vAlign w:val="bottom"/>
          </w:tcPr>
          <w:p w14:paraId="07DCF12E" w14:textId="77777777" w:rsidR="00AE727E" w:rsidRDefault="00AE727E">
            <w:pPr>
              <w:rPr>
                <w:rFonts w:ascii="宋体"/>
                <w:vanish/>
              </w:rPr>
            </w:pPr>
          </w:p>
        </w:tc>
      </w:tr>
      <w:tr w:rsidR="00AE727E" w14:paraId="07DCF135" w14:textId="77777777">
        <w:tc>
          <w:tcPr>
            <w:tcW w:w="0" w:type="auto"/>
            <w:gridSpan w:val="21"/>
            <w:shd w:val="clear" w:color="auto" w:fill="CCEEFF"/>
            <w:tcMar>
              <w:top w:w="40" w:type="dxa"/>
              <w:left w:w="20" w:type="dxa"/>
              <w:bottom w:w="40" w:type="dxa"/>
              <w:right w:w="20" w:type="dxa"/>
            </w:tcMar>
            <w:vAlign w:val="bottom"/>
          </w:tcPr>
          <w:p w14:paraId="07DCF130" w14:textId="77777777" w:rsidR="00AE727E" w:rsidRDefault="008433E0">
            <w:pPr>
              <w:textAlignment w:val="bottom"/>
            </w:pPr>
            <w:r>
              <w:rPr>
                <w:rFonts w:ascii="Times New Roman" w:eastAsia="宋体" w:hAnsi="Times New Roman"/>
                <w:i/>
                <w:iCs/>
                <w:color w:val="000000"/>
                <w:sz w:val="20"/>
                <w:szCs w:val="20"/>
              </w:rPr>
              <w:t>For the three months ended October 30, 2020</w:t>
            </w:r>
          </w:p>
        </w:tc>
        <w:tc>
          <w:tcPr>
            <w:tcW w:w="0" w:type="auto"/>
            <w:shd w:val="clear" w:color="auto" w:fill="auto"/>
            <w:vAlign w:val="bottom"/>
          </w:tcPr>
          <w:p w14:paraId="07DCF131" w14:textId="77777777" w:rsidR="00AE727E" w:rsidRDefault="00AE727E">
            <w:pPr>
              <w:rPr>
                <w:rFonts w:ascii="宋体"/>
                <w:vanish/>
              </w:rPr>
            </w:pPr>
          </w:p>
        </w:tc>
        <w:tc>
          <w:tcPr>
            <w:tcW w:w="0" w:type="auto"/>
            <w:shd w:val="clear" w:color="auto" w:fill="auto"/>
            <w:vAlign w:val="bottom"/>
          </w:tcPr>
          <w:p w14:paraId="07DCF132" w14:textId="77777777" w:rsidR="00AE727E" w:rsidRDefault="00AE727E">
            <w:pPr>
              <w:rPr>
                <w:rFonts w:ascii="宋体"/>
                <w:vanish/>
              </w:rPr>
            </w:pPr>
          </w:p>
        </w:tc>
        <w:tc>
          <w:tcPr>
            <w:tcW w:w="0" w:type="auto"/>
            <w:shd w:val="clear" w:color="auto" w:fill="auto"/>
            <w:vAlign w:val="bottom"/>
          </w:tcPr>
          <w:p w14:paraId="07DCF133" w14:textId="77777777" w:rsidR="00AE727E" w:rsidRDefault="00AE727E">
            <w:pPr>
              <w:rPr>
                <w:rFonts w:ascii="宋体"/>
                <w:vanish/>
              </w:rPr>
            </w:pPr>
          </w:p>
        </w:tc>
        <w:tc>
          <w:tcPr>
            <w:tcW w:w="0" w:type="auto"/>
            <w:shd w:val="clear" w:color="auto" w:fill="auto"/>
            <w:vAlign w:val="bottom"/>
          </w:tcPr>
          <w:p w14:paraId="07DCF134" w14:textId="77777777" w:rsidR="00AE727E" w:rsidRDefault="00AE727E">
            <w:pPr>
              <w:rPr>
                <w:rFonts w:ascii="宋体"/>
                <w:vanish/>
              </w:rPr>
            </w:pPr>
          </w:p>
        </w:tc>
      </w:tr>
      <w:tr w:rsidR="00AE727E" w14:paraId="07DCF143" w14:textId="77777777">
        <w:tc>
          <w:tcPr>
            <w:tcW w:w="0" w:type="auto"/>
            <w:gridSpan w:val="3"/>
            <w:shd w:val="clear" w:color="auto" w:fill="FFFFFF"/>
            <w:tcMar>
              <w:top w:w="0" w:type="dxa"/>
              <w:left w:w="20" w:type="dxa"/>
              <w:bottom w:w="0" w:type="dxa"/>
              <w:right w:w="20" w:type="dxa"/>
            </w:tcMar>
            <w:vAlign w:val="bottom"/>
          </w:tcPr>
          <w:p w14:paraId="07DCF13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37"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38"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F139"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3A" w14:textId="77777777" w:rsidR="00AE727E" w:rsidRDefault="008433E0">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DCF13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13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13D" w14:textId="77777777" w:rsidR="00AE727E" w:rsidRDefault="008433E0">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07DCF13E" w14:textId="77777777" w:rsidR="00AE727E" w:rsidRDefault="00AE727E">
            <w:pPr>
              <w:jc w:val="right"/>
              <w:rPr>
                <w:rFonts w:ascii="宋体"/>
              </w:rPr>
            </w:pPr>
          </w:p>
        </w:tc>
        <w:tc>
          <w:tcPr>
            <w:tcW w:w="0" w:type="auto"/>
            <w:shd w:val="clear" w:color="auto" w:fill="auto"/>
            <w:vAlign w:val="bottom"/>
          </w:tcPr>
          <w:p w14:paraId="07DCF13F" w14:textId="77777777" w:rsidR="00AE727E" w:rsidRDefault="00AE727E">
            <w:pPr>
              <w:rPr>
                <w:rFonts w:ascii="宋体"/>
                <w:vanish/>
              </w:rPr>
            </w:pPr>
          </w:p>
        </w:tc>
        <w:tc>
          <w:tcPr>
            <w:tcW w:w="0" w:type="auto"/>
            <w:shd w:val="clear" w:color="auto" w:fill="auto"/>
            <w:vAlign w:val="bottom"/>
          </w:tcPr>
          <w:p w14:paraId="07DCF140" w14:textId="77777777" w:rsidR="00AE727E" w:rsidRDefault="00AE727E">
            <w:pPr>
              <w:rPr>
                <w:rFonts w:ascii="宋体"/>
                <w:vanish/>
              </w:rPr>
            </w:pPr>
          </w:p>
        </w:tc>
        <w:tc>
          <w:tcPr>
            <w:tcW w:w="0" w:type="auto"/>
            <w:shd w:val="clear" w:color="auto" w:fill="auto"/>
            <w:vAlign w:val="bottom"/>
          </w:tcPr>
          <w:p w14:paraId="07DCF141" w14:textId="77777777" w:rsidR="00AE727E" w:rsidRDefault="00AE727E">
            <w:pPr>
              <w:rPr>
                <w:rFonts w:ascii="宋体"/>
                <w:vanish/>
              </w:rPr>
            </w:pPr>
          </w:p>
        </w:tc>
        <w:tc>
          <w:tcPr>
            <w:tcW w:w="0" w:type="auto"/>
            <w:shd w:val="clear" w:color="auto" w:fill="auto"/>
            <w:vAlign w:val="bottom"/>
          </w:tcPr>
          <w:p w14:paraId="07DCF142" w14:textId="77777777" w:rsidR="00AE727E" w:rsidRDefault="00AE727E">
            <w:pPr>
              <w:rPr>
                <w:rFonts w:ascii="宋体"/>
                <w:vanish/>
              </w:rPr>
            </w:pPr>
          </w:p>
        </w:tc>
      </w:tr>
      <w:tr w:rsidR="00AE727E" w14:paraId="07DCF152" w14:textId="77777777">
        <w:tc>
          <w:tcPr>
            <w:tcW w:w="0" w:type="auto"/>
            <w:gridSpan w:val="3"/>
            <w:shd w:val="clear" w:color="auto" w:fill="CCEEFF"/>
            <w:tcMar>
              <w:top w:w="40" w:type="dxa"/>
              <w:left w:w="20" w:type="dxa"/>
              <w:bottom w:w="40" w:type="dxa"/>
              <w:right w:w="20" w:type="dxa"/>
            </w:tcMar>
            <w:vAlign w:val="bottom"/>
          </w:tcPr>
          <w:p w14:paraId="07DCF144" w14:textId="77777777" w:rsidR="00AE727E" w:rsidRDefault="008433E0">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DCF145"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14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147" w14:textId="77777777" w:rsidR="00AE727E" w:rsidRDefault="008433E0">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7DCF14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4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4A" w14:textId="77777777" w:rsidR="00AE727E" w:rsidRDefault="008433E0">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DCF14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14C"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DCF14D" w14:textId="77777777" w:rsidR="00AE727E" w:rsidRDefault="00AE727E">
            <w:pPr>
              <w:jc w:val="right"/>
              <w:rPr>
                <w:rFonts w:ascii="宋体"/>
              </w:rPr>
            </w:pPr>
          </w:p>
        </w:tc>
        <w:tc>
          <w:tcPr>
            <w:tcW w:w="0" w:type="auto"/>
            <w:shd w:val="clear" w:color="auto" w:fill="auto"/>
            <w:vAlign w:val="bottom"/>
          </w:tcPr>
          <w:p w14:paraId="07DCF14E" w14:textId="77777777" w:rsidR="00AE727E" w:rsidRDefault="00AE727E">
            <w:pPr>
              <w:rPr>
                <w:rFonts w:ascii="宋体"/>
                <w:vanish/>
              </w:rPr>
            </w:pPr>
          </w:p>
        </w:tc>
        <w:tc>
          <w:tcPr>
            <w:tcW w:w="0" w:type="auto"/>
            <w:shd w:val="clear" w:color="auto" w:fill="auto"/>
            <w:vAlign w:val="bottom"/>
          </w:tcPr>
          <w:p w14:paraId="07DCF14F" w14:textId="77777777" w:rsidR="00AE727E" w:rsidRDefault="00AE727E">
            <w:pPr>
              <w:rPr>
                <w:rFonts w:ascii="宋体"/>
                <w:vanish/>
              </w:rPr>
            </w:pPr>
          </w:p>
        </w:tc>
        <w:tc>
          <w:tcPr>
            <w:tcW w:w="0" w:type="auto"/>
            <w:shd w:val="clear" w:color="auto" w:fill="auto"/>
            <w:vAlign w:val="bottom"/>
          </w:tcPr>
          <w:p w14:paraId="07DCF150" w14:textId="77777777" w:rsidR="00AE727E" w:rsidRDefault="00AE727E">
            <w:pPr>
              <w:rPr>
                <w:rFonts w:ascii="宋体"/>
                <w:vanish/>
              </w:rPr>
            </w:pPr>
          </w:p>
        </w:tc>
        <w:tc>
          <w:tcPr>
            <w:tcW w:w="0" w:type="auto"/>
            <w:shd w:val="clear" w:color="auto" w:fill="auto"/>
            <w:vAlign w:val="bottom"/>
          </w:tcPr>
          <w:p w14:paraId="07DCF151" w14:textId="77777777" w:rsidR="00AE727E" w:rsidRDefault="00AE727E">
            <w:pPr>
              <w:rPr>
                <w:rFonts w:ascii="宋体"/>
                <w:vanish/>
              </w:rPr>
            </w:pPr>
          </w:p>
        </w:tc>
      </w:tr>
      <w:tr w:rsidR="00AE727E" w14:paraId="07DCF160" w14:textId="77777777">
        <w:tc>
          <w:tcPr>
            <w:tcW w:w="0" w:type="auto"/>
            <w:gridSpan w:val="3"/>
            <w:shd w:val="clear" w:color="auto" w:fill="FFFFFF"/>
            <w:tcMar>
              <w:top w:w="40" w:type="dxa"/>
              <w:left w:w="20" w:type="dxa"/>
              <w:bottom w:w="40" w:type="dxa"/>
              <w:right w:w="20" w:type="dxa"/>
            </w:tcMar>
            <w:vAlign w:val="bottom"/>
          </w:tcPr>
          <w:p w14:paraId="07DCF153" w14:textId="77777777" w:rsidR="00AE727E" w:rsidRDefault="008433E0">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07DCF15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5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5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157"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58"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DCF15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5A"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5B" w14:textId="77777777" w:rsidR="00AE727E" w:rsidRDefault="00AE727E">
            <w:pPr>
              <w:jc w:val="right"/>
              <w:rPr>
                <w:rFonts w:ascii="宋体"/>
              </w:rPr>
            </w:pPr>
          </w:p>
        </w:tc>
        <w:tc>
          <w:tcPr>
            <w:tcW w:w="0" w:type="auto"/>
            <w:shd w:val="clear" w:color="auto" w:fill="auto"/>
            <w:vAlign w:val="bottom"/>
          </w:tcPr>
          <w:p w14:paraId="07DCF15C" w14:textId="77777777" w:rsidR="00AE727E" w:rsidRDefault="00AE727E">
            <w:pPr>
              <w:rPr>
                <w:rFonts w:ascii="宋体"/>
                <w:vanish/>
              </w:rPr>
            </w:pPr>
          </w:p>
        </w:tc>
        <w:tc>
          <w:tcPr>
            <w:tcW w:w="0" w:type="auto"/>
            <w:shd w:val="clear" w:color="auto" w:fill="auto"/>
            <w:vAlign w:val="bottom"/>
          </w:tcPr>
          <w:p w14:paraId="07DCF15D" w14:textId="77777777" w:rsidR="00AE727E" w:rsidRDefault="00AE727E">
            <w:pPr>
              <w:rPr>
                <w:rFonts w:ascii="宋体"/>
                <w:vanish/>
              </w:rPr>
            </w:pPr>
          </w:p>
        </w:tc>
        <w:tc>
          <w:tcPr>
            <w:tcW w:w="0" w:type="auto"/>
            <w:shd w:val="clear" w:color="auto" w:fill="auto"/>
            <w:vAlign w:val="bottom"/>
          </w:tcPr>
          <w:p w14:paraId="07DCF15E" w14:textId="77777777" w:rsidR="00AE727E" w:rsidRDefault="00AE727E">
            <w:pPr>
              <w:rPr>
                <w:rFonts w:ascii="宋体"/>
                <w:vanish/>
              </w:rPr>
            </w:pPr>
          </w:p>
        </w:tc>
        <w:tc>
          <w:tcPr>
            <w:tcW w:w="0" w:type="auto"/>
            <w:shd w:val="clear" w:color="auto" w:fill="auto"/>
            <w:vAlign w:val="bottom"/>
          </w:tcPr>
          <w:p w14:paraId="07DCF15F" w14:textId="77777777" w:rsidR="00AE727E" w:rsidRDefault="00AE727E">
            <w:pPr>
              <w:rPr>
                <w:rFonts w:ascii="宋体"/>
                <w:vanish/>
              </w:rPr>
            </w:pPr>
          </w:p>
        </w:tc>
      </w:tr>
      <w:tr w:rsidR="00AE727E" w14:paraId="07DCF170" w14:textId="77777777">
        <w:tc>
          <w:tcPr>
            <w:tcW w:w="0" w:type="auto"/>
            <w:gridSpan w:val="3"/>
            <w:shd w:val="clear" w:color="auto" w:fill="CCEEFF"/>
            <w:tcMar>
              <w:top w:w="40" w:type="dxa"/>
              <w:left w:w="155" w:type="dxa"/>
              <w:bottom w:w="40" w:type="dxa"/>
              <w:right w:w="20" w:type="dxa"/>
            </w:tcMar>
            <w:vAlign w:val="bottom"/>
          </w:tcPr>
          <w:p w14:paraId="07DCF161" w14:textId="77777777" w:rsidR="00AE727E" w:rsidRDefault="008433E0">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DCF16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6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64" w14:textId="77777777" w:rsidR="00AE727E" w:rsidRDefault="008433E0">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66"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67" w14:textId="77777777" w:rsidR="00AE727E" w:rsidRDefault="008433E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16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6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6A" w14:textId="77777777" w:rsidR="00AE727E" w:rsidRDefault="008433E0">
            <w:pPr>
              <w:jc w:val="right"/>
              <w:textAlignment w:val="bottom"/>
            </w:pPr>
            <w:r>
              <w:rPr>
                <w:rFonts w:ascii="Times New Roman" w:eastAsia="宋体" w:hAnsi="Times New Roman"/>
                <w:color w:val="000000"/>
                <w:sz w:val="20"/>
                <w:szCs w:val="20"/>
              </w:rPr>
              <w:t>(84)</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6B" w14:textId="77777777" w:rsidR="00AE727E" w:rsidRDefault="00AE727E">
            <w:pPr>
              <w:jc w:val="right"/>
              <w:rPr>
                <w:rFonts w:ascii="宋体"/>
              </w:rPr>
            </w:pPr>
          </w:p>
        </w:tc>
        <w:tc>
          <w:tcPr>
            <w:tcW w:w="0" w:type="auto"/>
            <w:shd w:val="clear" w:color="auto" w:fill="auto"/>
            <w:vAlign w:val="bottom"/>
          </w:tcPr>
          <w:p w14:paraId="07DCF16C" w14:textId="77777777" w:rsidR="00AE727E" w:rsidRDefault="00AE727E">
            <w:pPr>
              <w:rPr>
                <w:rFonts w:ascii="宋体"/>
                <w:vanish/>
              </w:rPr>
            </w:pPr>
          </w:p>
        </w:tc>
        <w:tc>
          <w:tcPr>
            <w:tcW w:w="0" w:type="auto"/>
            <w:shd w:val="clear" w:color="auto" w:fill="auto"/>
            <w:vAlign w:val="bottom"/>
          </w:tcPr>
          <w:p w14:paraId="07DCF16D" w14:textId="77777777" w:rsidR="00AE727E" w:rsidRDefault="00AE727E">
            <w:pPr>
              <w:rPr>
                <w:rFonts w:ascii="宋体"/>
                <w:vanish/>
              </w:rPr>
            </w:pPr>
          </w:p>
        </w:tc>
        <w:tc>
          <w:tcPr>
            <w:tcW w:w="0" w:type="auto"/>
            <w:shd w:val="clear" w:color="auto" w:fill="auto"/>
            <w:vAlign w:val="bottom"/>
          </w:tcPr>
          <w:p w14:paraId="07DCF16E" w14:textId="77777777" w:rsidR="00AE727E" w:rsidRDefault="00AE727E">
            <w:pPr>
              <w:rPr>
                <w:rFonts w:ascii="宋体"/>
                <w:vanish/>
              </w:rPr>
            </w:pPr>
          </w:p>
        </w:tc>
        <w:tc>
          <w:tcPr>
            <w:tcW w:w="0" w:type="auto"/>
            <w:shd w:val="clear" w:color="auto" w:fill="auto"/>
            <w:vAlign w:val="bottom"/>
          </w:tcPr>
          <w:p w14:paraId="07DCF16F" w14:textId="77777777" w:rsidR="00AE727E" w:rsidRDefault="00AE727E">
            <w:pPr>
              <w:rPr>
                <w:rFonts w:ascii="宋体"/>
                <w:vanish/>
              </w:rPr>
            </w:pPr>
          </w:p>
        </w:tc>
      </w:tr>
      <w:tr w:rsidR="00AE727E" w14:paraId="07DCF17C" w14:textId="77777777">
        <w:trPr>
          <w:trHeight w:val="180"/>
        </w:trPr>
        <w:tc>
          <w:tcPr>
            <w:tcW w:w="0" w:type="auto"/>
            <w:gridSpan w:val="3"/>
            <w:shd w:val="clear" w:color="auto" w:fill="FFFFFF"/>
            <w:tcMar>
              <w:top w:w="0" w:type="dxa"/>
              <w:left w:w="20" w:type="dxa"/>
              <w:bottom w:w="0" w:type="dxa"/>
              <w:right w:w="20" w:type="dxa"/>
            </w:tcMar>
            <w:vAlign w:val="bottom"/>
          </w:tcPr>
          <w:p w14:paraId="07DCF17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72"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7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7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7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76"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77" w14:textId="77777777" w:rsidR="00AE727E" w:rsidRDefault="00AE727E">
            <w:pPr>
              <w:rPr>
                <w:rFonts w:ascii="宋体"/>
              </w:rPr>
            </w:pPr>
          </w:p>
        </w:tc>
        <w:tc>
          <w:tcPr>
            <w:tcW w:w="0" w:type="auto"/>
            <w:shd w:val="clear" w:color="auto" w:fill="auto"/>
            <w:vAlign w:val="bottom"/>
          </w:tcPr>
          <w:p w14:paraId="07DCF178" w14:textId="77777777" w:rsidR="00AE727E" w:rsidRDefault="00AE727E">
            <w:pPr>
              <w:rPr>
                <w:rFonts w:ascii="宋体"/>
                <w:vanish/>
              </w:rPr>
            </w:pPr>
          </w:p>
        </w:tc>
        <w:tc>
          <w:tcPr>
            <w:tcW w:w="0" w:type="auto"/>
            <w:shd w:val="clear" w:color="auto" w:fill="auto"/>
            <w:vAlign w:val="bottom"/>
          </w:tcPr>
          <w:p w14:paraId="07DCF179" w14:textId="77777777" w:rsidR="00AE727E" w:rsidRDefault="00AE727E">
            <w:pPr>
              <w:rPr>
                <w:rFonts w:ascii="宋体"/>
                <w:vanish/>
              </w:rPr>
            </w:pPr>
          </w:p>
        </w:tc>
        <w:tc>
          <w:tcPr>
            <w:tcW w:w="0" w:type="auto"/>
            <w:shd w:val="clear" w:color="auto" w:fill="auto"/>
            <w:vAlign w:val="bottom"/>
          </w:tcPr>
          <w:p w14:paraId="07DCF17A" w14:textId="77777777" w:rsidR="00AE727E" w:rsidRDefault="00AE727E">
            <w:pPr>
              <w:rPr>
                <w:rFonts w:ascii="宋体"/>
                <w:vanish/>
              </w:rPr>
            </w:pPr>
          </w:p>
        </w:tc>
        <w:tc>
          <w:tcPr>
            <w:tcW w:w="0" w:type="auto"/>
            <w:shd w:val="clear" w:color="auto" w:fill="auto"/>
            <w:vAlign w:val="bottom"/>
          </w:tcPr>
          <w:p w14:paraId="07DCF17B" w14:textId="77777777" w:rsidR="00AE727E" w:rsidRDefault="00AE727E">
            <w:pPr>
              <w:rPr>
                <w:rFonts w:ascii="宋体"/>
                <w:vanish/>
              </w:rPr>
            </w:pPr>
          </w:p>
        </w:tc>
      </w:tr>
      <w:tr w:rsidR="00AE727E" w14:paraId="07DCF182" w14:textId="77777777">
        <w:tc>
          <w:tcPr>
            <w:tcW w:w="0" w:type="auto"/>
            <w:gridSpan w:val="21"/>
            <w:shd w:val="clear" w:color="auto" w:fill="CCEEFF"/>
            <w:tcMar>
              <w:top w:w="40" w:type="dxa"/>
              <w:left w:w="20" w:type="dxa"/>
              <w:bottom w:w="40" w:type="dxa"/>
              <w:right w:w="20" w:type="dxa"/>
            </w:tcMar>
            <w:vAlign w:val="bottom"/>
          </w:tcPr>
          <w:p w14:paraId="07DCF17D" w14:textId="77777777" w:rsidR="00AE727E" w:rsidRDefault="008433E0">
            <w:pPr>
              <w:textAlignment w:val="bottom"/>
            </w:pPr>
            <w:r>
              <w:rPr>
                <w:rFonts w:ascii="Times New Roman" w:eastAsia="宋体" w:hAnsi="Times New Roman"/>
                <w:i/>
                <w:iCs/>
                <w:color w:val="000000"/>
                <w:sz w:val="20"/>
                <w:szCs w:val="20"/>
              </w:rPr>
              <w:t>For the nine months ended October 29, 2021</w:t>
            </w:r>
          </w:p>
        </w:tc>
        <w:tc>
          <w:tcPr>
            <w:tcW w:w="0" w:type="auto"/>
            <w:shd w:val="clear" w:color="auto" w:fill="auto"/>
            <w:vAlign w:val="bottom"/>
          </w:tcPr>
          <w:p w14:paraId="07DCF17E" w14:textId="77777777" w:rsidR="00AE727E" w:rsidRDefault="00AE727E">
            <w:pPr>
              <w:rPr>
                <w:rFonts w:ascii="宋体"/>
                <w:vanish/>
              </w:rPr>
            </w:pPr>
          </w:p>
        </w:tc>
        <w:tc>
          <w:tcPr>
            <w:tcW w:w="0" w:type="auto"/>
            <w:shd w:val="clear" w:color="auto" w:fill="auto"/>
            <w:vAlign w:val="bottom"/>
          </w:tcPr>
          <w:p w14:paraId="07DCF17F" w14:textId="77777777" w:rsidR="00AE727E" w:rsidRDefault="00AE727E">
            <w:pPr>
              <w:rPr>
                <w:rFonts w:ascii="宋体"/>
                <w:vanish/>
              </w:rPr>
            </w:pPr>
          </w:p>
        </w:tc>
        <w:tc>
          <w:tcPr>
            <w:tcW w:w="0" w:type="auto"/>
            <w:shd w:val="clear" w:color="auto" w:fill="auto"/>
            <w:vAlign w:val="bottom"/>
          </w:tcPr>
          <w:p w14:paraId="07DCF180" w14:textId="77777777" w:rsidR="00AE727E" w:rsidRDefault="00AE727E">
            <w:pPr>
              <w:rPr>
                <w:rFonts w:ascii="宋体"/>
                <w:vanish/>
              </w:rPr>
            </w:pPr>
          </w:p>
        </w:tc>
        <w:tc>
          <w:tcPr>
            <w:tcW w:w="0" w:type="auto"/>
            <w:shd w:val="clear" w:color="auto" w:fill="auto"/>
            <w:vAlign w:val="bottom"/>
          </w:tcPr>
          <w:p w14:paraId="07DCF181" w14:textId="77777777" w:rsidR="00AE727E" w:rsidRDefault="00AE727E">
            <w:pPr>
              <w:rPr>
                <w:rFonts w:ascii="宋体"/>
                <w:vanish/>
              </w:rPr>
            </w:pPr>
          </w:p>
        </w:tc>
      </w:tr>
      <w:tr w:rsidR="00AE727E" w14:paraId="07DCF190" w14:textId="77777777">
        <w:tc>
          <w:tcPr>
            <w:tcW w:w="0" w:type="auto"/>
            <w:gridSpan w:val="3"/>
            <w:shd w:val="clear" w:color="auto" w:fill="FFFFFF"/>
            <w:tcMar>
              <w:top w:w="0" w:type="dxa"/>
              <w:left w:w="20" w:type="dxa"/>
              <w:bottom w:w="0" w:type="dxa"/>
              <w:right w:w="20" w:type="dxa"/>
            </w:tcMar>
            <w:vAlign w:val="bottom"/>
          </w:tcPr>
          <w:p w14:paraId="07DCF18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84"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85"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F186"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87" w14:textId="77777777" w:rsidR="00AE727E" w:rsidRDefault="008433E0">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DCF18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18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18A" w14:textId="77777777" w:rsidR="00AE727E" w:rsidRDefault="008433E0">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07DCF18B" w14:textId="77777777" w:rsidR="00AE727E" w:rsidRDefault="00AE727E">
            <w:pPr>
              <w:jc w:val="right"/>
              <w:rPr>
                <w:rFonts w:ascii="宋体"/>
              </w:rPr>
            </w:pPr>
          </w:p>
        </w:tc>
        <w:tc>
          <w:tcPr>
            <w:tcW w:w="0" w:type="auto"/>
            <w:shd w:val="clear" w:color="auto" w:fill="auto"/>
            <w:vAlign w:val="bottom"/>
          </w:tcPr>
          <w:p w14:paraId="07DCF18C" w14:textId="77777777" w:rsidR="00AE727E" w:rsidRDefault="00AE727E">
            <w:pPr>
              <w:rPr>
                <w:rFonts w:ascii="宋体"/>
                <w:vanish/>
              </w:rPr>
            </w:pPr>
          </w:p>
        </w:tc>
        <w:tc>
          <w:tcPr>
            <w:tcW w:w="0" w:type="auto"/>
            <w:shd w:val="clear" w:color="auto" w:fill="auto"/>
            <w:vAlign w:val="bottom"/>
          </w:tcPr>
          <w:p w14:paraId="07DCF18D" w14:textId="77777777" w:rsidR="00AE727E" w:rsidRDefault="00AE727E">
            <w:pPr>
              <w:rPr>
                <w:rFonts w:ascii="宋体"/>
                <w:vanish/>
              </w:rPr>
            </w:pPr>
          </w:p>
        </w:tc>
        <w:tc>
          <w:tcPr>
            <w:tcW w:w="0" w:type="auto"/>
            <w:shd w:val="clear" w:color="auto" w:fill="auto"/>
            <w:vAlign w:val="bottom"/>
          </w:tcPr>
          <w:p w14:paraId="07DCF18E" w14:textId="77777777" w:rsidR="00AE727E" w:rsidRDefault="00AE727E">
            <w:pPr>
              <w:rPr>
                <w:rFonts w:ascii="宋体"/>
                <w:vanish/>
              </w:rPr>
            </w:pPr>
          </w:p>
        </w:tc>
        <w:tc>
          <w:tcPr>
            <w:tcW w:w="0" w:type="auto"/>
            <w:shd w:val="clear" w:color="auto" w:fill="auto"/>
            <w:vAlign w:val="bottom"/>
          </w:tcPr>
          <w:p w14:paraId="07DCF18F" w14:textId="77777777" w:rsidR="00AE727E" w:rsidRDefault="00AE727E">
            <w:pPr>
              <w:rPr>
                <w:rFonts w:ascii="宋体"/>
                <w:vanish/>
              </w:rPr>
            </w:pPr>
          </w:p>
        </w:tc>
      </w:tr>
      <w:tr w:rsidR="00AE727E" w14:paraId="07DCF19F" w14:textId="77777777">
        <w:tc>
          <w:tcPr>
            <w:tcW w:w="0" w:type="auto"/>
            <w:gridSpan w:val="3"/>
            <w:shd w:val="clear" w:color="auto" w:fill="CCEEFF"/>
            <w:tcMar>
              <w:top w:w="40" w:type="dxa"/>
              <w:left w:w="20" w:type="dxa"/>
              <w:bottom w:w="40" w:type="dxa"/>
              <w:right w:w="20" w:type="dxa"/>
            </w:tcMar>
            <w:vAlign w:val="bottom"/>
          </w:tcPr>
          <w:p w14:paraId="07DCF191" w14:textId="77777777" w:rsidR="00AE727E" w:rsidRDefault="008433E0">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DCF192"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19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194" w14:textId="77777777" w:rsidR="00AE727E" w:rsidRDefault="008433E0">
            <w:pPr>
              <w:jc w:val="right"/>
              <w:textAlignment w:val="bottom"/>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bottom"/>
          </w:tcPr>
          <w:p w14:paraId="07DCF19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96"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97" w14:textId="77777777" w:rsidR="00AE727E" w:rsidRDefault="008433E0">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DCF19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199" w14:textId="77777777" w:rsidR="00AE727E" w:rsidRDefault="008433E0">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DCF19A" w14:textId="77777777" w:rsidR="00AE727E" w:rsidRDefault="00AE727E">
            <w:pPr>
              <w:jc w:val="right"/>
              <w:rPr>
                <w:rFonts w:ascii="宋体"/>
              </w:rPr>
            </w:pPr>
          </w:p>
        </w:tc>
        <w:tc>
          <w:tcPr>
            <w:tcW w:w="0" w:type="auto"/>
            <w:shd w:val="clear" w:color="auto" w:fill="auto"/>
            <w:vAlign w:val="bottom"/>
          </w:tcPr>
          <w:p w14:paraId="07DCF19B" w14:textId="77777777" w:rsidR="00AE727E" w:rsidRDefault="00AE727E">
            <w:pPr>
              <w:rPr>
                <w:rFonts w:ascii="宋体"/>
                <w:vanish/>
              </w:rPr>
            </w:pPr>
          </w:p>
        </w:tc>
        <w:tc>
          <w:tcPr>
            <w:tcW w:w="0" w:type="auto"/>
            <w:shd w:val="clear" w:color="auto" w:fill="auto"/>
            <w:vAlign w:val="bottom"/>
          </w:tcPr>
          <w:p w14:paraId="07DCF19C" w14:textId="77777777" w:rsidR="00AE727E" w:rsidRDefault="00AE727E">
            <w:pPr>
              <w:rPr>
                <w:rFonts w:ascii="宋体"/>
                <w:vanish/>
              </w:rPr>
            </w:pPr>
          </w:p>
        </w:tc>
        <w:tc>
          <w:tcPr>
            <w:tcW w:w="0" w:type="auto"/>
            <w:shd w:val="clear" w:color="auto" w:fill="auto"/>
            <w:vAlign w:val="bottom"/>
          </w:tcPr>
          <w:p w14:paraId="07DCF19D" w14:textId="77777777" w:rsidR="00AE727E" w:rsidRDefault="00AE727E">
            <w:pPr>
              <w:rPr>
                <w:rFonts w:ascii="宋体"/>
                <w:vanish/>
              </w:rPr>
            </w:pPr>
          </w:p>
        </w:tc>
        <w:tc>
          <w:tcPr>
            <w:tcW w:w="0" w:type="auto"/>
            <w:shd w:val="clear" w:color="auto" w:fill="auto"/>
            <w:vAlign w:val="bottom"/>
          </w:tcPr>
          <w:p w14:paraId="07DCF19E" w14:textId="77777777" w:rsidR="00AE727E" w:rsidRDefault="00AE727E">
            <w:pPr>
              <w:rPr>
                <w:rFonts w:ascii="宋体"/>
                <w:vanish/>
              </w:rPr>
            </w:pPr>
          </w:p>
        </w:tc>
      </w:tr>
      <w:tr w:rsidR="00AE727E" w14:paraId="07DCF1AD" w14:textId="77777777">
        <w:tc>
          <w:tcPr>
            <w:tcW w:w="0" w:type="auto"/>
            <w:gridSpan w:val="3"/>
            <w:shd w:val="clear" w:color="auto" w:fill="FFFFFF"/>
            <w:tcMar>
              <w:top w:w="40" w:type="dxa"/>
              <w:left w:w="20" w:type="dxa"/>
              <w:bottom w:w="40" w:type="dxa"/>
              <w:right w:w="20" w:type="dxa"/>
            </w:tcMar>
            <w:vAlign w:val="bottom"/>
          </w:tcPr>
          <w:p w14:paraId="07DCF1A0" w14:textId="77777777" w:rsidR="00AE727E" w:rsidRDefault="008433E0">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07DCF1A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A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1A4"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A5"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DCF1A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A7"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A8" w14:textId="77777777" w:rsidR="00AE727E" w:rsidRDefault="00AE727E">
            <w:pPr>
              <w:jc w:val="right"/>
              <w:rPr>
                <w:rFonts w:ascii="宋体"/>
              </w:rPr>
            </w:pPr>
          </w:p>
        </w:tc>
        <w:tc>
          <w:tcPr>
            <w:tcW w:w="0" w:type="auto"/>
            <w:shd w:val="clear" w:color="auto" w:fill="auto"/>
            <w:vAlign w:val="bottom"/>
          </w:tcPr>
          <w:p w14:paraId="07DCF1A9" w14:textId="77777777" w:rsidR="00AE727E" w:rsidRDefault="00AE727E">
            <w:pPr>
              <w:rPr>
                <w:rFonts w:ascii="宋体"/>
                <w:vanish/>
              </w:rPr>
            </w:pPr>
          </w:p>
        </w:tc>
        <w:tc>
          <w:tcPr>
            <w:tcW w:w="0" w:type="auto"/>
            <w:shd w:val="clear" w:color="auto" w:fill="auto"/>
            <w:vAlign w:val="bottom"/>
          </w:tcPr>
          <w:p w14:paraId="07DCF1AA" w14:textId="77777777" w:rsidR="00AE727E" w:rsidRDefault="00AE727E">
            <w:pPr>
              <w:rPr>
                <w:rFonts w:ascii="宋体"/>
                <w:vanish/>
              </w:rPr>
            </w:pPr>
          </w:p>
        </w:tc>
        <w:tc>
          <w:tcPr>
            <w:tcW w:w="0" w:type="auto"/>
            <w:shd w:val="clear" w:color="auto" w:fill="auto"/>
            <w:vAlign w:val="bottom"/>
          </w:tcPr>
          <w:p w14:paraId="07DCF1AB" w14:textId="77777777" w:rsidR="00AE727E" w:rsidRDefault="00AE727E">
            <w:pPr>
              <w:rPr>
                <w:rFonts w:ascii="宋体"/>
                <w:vanish/>
              </w:rPr>
            </w:pPr>
          </w:p>
        </w:tc>
        <w:tc>
          <w:tcPr>
            <w:tcW w:w="0" w:type="auto"/>
            <w:shd w:val="clear" w:color="auto" w:fill="auto"/>
            <w:vAlign w:val="bottom"/>
          </w:tcPr>
          <w:p w14:paraId="07DCF1AC" w14:textId="77777777" w:rsidR="00AE727E" w:rsidRDefault="00AE727E">
            <w:pPr>
              <w:rPr>
                <w:rFonts w:ascii="宋体"/>
                <w:vanish/>
              </w:rPr>
            </w:pPr>
          </w:p>
        </w:tc>
      </w:tr>
      <w:tr w:rsidR="00AE727E" w14:paraId="07DCF1BD" w14:textId="77777777">
        <w:tc>
          <w:tcPr>
            <w:tcW w:w="0" w:type="auto"/>
            <w:gridSpan w:val="3"/>
            <w:shd w:val="clear" w:color="auto" w:fill="CCEEFF"/>
            <w:tcMar>
              <w:top w:w="40" w:type="dxa"/>
              <w:left w:w="155" w:type="dxa"/>
              <w:bottom w:w="40" w:type="dxa"/>
              <w:right w:w="20" w:type="dxa"/>
            </w:tcMar>
            <w:vAlign w:val="bottom"/>
          </w:tcPr>
          <w:p w14:paraId="07DCF1AE" w14:textId="77777777" w:rsidR="00AE727E" w:rsidRDefault="008433E0">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DCF1AF"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B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B1" w14:textId="77777777" w:rsidR="00AE727E" w:rsidRDefault="008433E0">
            <w:pPr>
              <w:jc w:val="right"/>
              <w:textAlignment w:val="bottom"/>
            </w:pPr>
            <w:r>
              <w:rPr>
                <w:rFonts w:ascii="Times New Roman" w:eastAsia="宋体" w:hAnsi="Times New Roman"/>
                <w:color w:val="000000"/>
                <w:sz w:val="20"/>
                <w:szCs w:val="20"/>
              </w:rPr>
              <w:t>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B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B3"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B4" w14:textId="77777777" w:rsidR="00AE727E" w:rsidRDefault="008433E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1B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1B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1B7" w14:textId="77777777" w:rsidR="00AE727E" w:rsidRDefault="008433E0">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1B8" w14:textId="77777777" w:rsidR="00AE727E" w:rsidRDefault="00AE727E">
            <w:pPr>
              <w:jc w:val="right"/>
              <w:rPr>
                <w:rFonts w:ascii="宋体"/>
              </w:rPr>
            </w:pPr>
          </w:p>
        </w:tc>
        <w:tc>
          <w:tcPr>
            <w:tcW w:w="0" w:type="auto"/>
            <w:shd w:val="clear" w:color="auto" w:fill="auto"/>
            <w:vAlign w:val="bottom"/>
          </w:tcPr>
          <w:p w14:paraId="07DCF1B9" w14:textId="77777777" w:rsidR="00AE727E" w:rsidRDefault="00AE727E">
            <w:pPr>
              <w:rPr>
                <w:rFonts w:ascii="宋体"/>
                <w:vanish/>
              </w:rPr>
            </w:pPr>
          </w:p>
        </w:tc>
        <w:tc>
          <w:tcPr>
            <w:tcW w:w="0" w:type="auto"/>
            <w:shd w:val="clear" w:color="auto" w:fill="auto"/>
            <w:vAlign w:val="bottom"/>
          </w:tcPr>
          <w:p w14:paraId="07DCF1BA" w14:textId="77777777" w:rsidR="00AE727E" w:rsidRDefault="00AE727E">
            <w:pPr>
              <w:rPr>
                <w:rFonts w:ascii="宋体"/>
                <w:vanish/>
              </w:rPr>
            </w:pPr>
          </w:p>
        </w:tc>
        <w:tc>
          <w:tcPr>
            <w:tcW w:w="0" w:type="auto"/>
            <w:shd w:val="clear" w:color="auto" w:fill="auto"/>
            <w:vAlign w:val="bottom"/>
          </w:tcPr>
          <w:p w14:paraId="07DCF1BB" w14:textId="77777777" w:rsidR="00AE727E" w:rsidRDefault="00AE727E">
            <w:pPr>
              <w:rPr>
                <w:rFonts w:ascii="宋体"/>
                <w:vanish/>
              </w:rPr>
            </w:pPr>
          </w:p>
        </w:tc>
        <w:tc>
          <w:tcPr>
            <w:tcW w:w="0" w:type="auto"/>
            <w:shd w:val="clear" w:color="auto" w:fill="auto"/>
            <w:vAlign w:val="bottom"/>
          </w:tcPr>
          <w:p w14:paraId="07DCF1BC" w14:textId="77777777" w:rsidR="00AE727E" w:rsidRDefault="00AE727E">
            <w:pPr>
              <w:rPr>
                <w:rFonts w:ascii="宋体"/>
                <w:vanish/>
              </w:rPr>
            </w:pPr>
          </w:p>
        </w:tc>
      </w:tr>
      <w:tr w:rsidR="00AE727E" w14:paraId="07DCF1C9" w14:textId="77777777">
        <w:trPr>
          <w:trHeight w:val="180"/>
        </w:trPr>
        <w:tc>
          <w:tcPr>
            <w:tcW w:w="0" w:type="auto"/>
            <w:gridSpan w:val="3"/>
            <w:shd w:val="clear" w:color="auto" w:fill="FFFFFF"/>
            <w:tcMar>
              <w:top w:w="0" w:type="dxa"/>
              <w:left w:w="20" w:type="dxa"/>
              <w:bottom w:w="0" w:type="dxa"/>
              <w:right w:w="20" w:type="dxa"/>
            </w:tcMar>
            <w:vAlign w:val="bottom"/>
          </w:tcPr>
          <w:p w14:paraId="07DCF1B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BF"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C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C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C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C3"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1C4" w14:textId="77777777" w:rsidR="00AE727E" w:rsidRDefault="00AE727E">
            <w:pPr>
              <w:rPr>
                <w:rFonts w:ascii="宋体"/>
              </w:rPr>
            </w:pPr>
          </w:p>
        </w:tc>
        <w:tc>
          <w:tcPr>
            <w:tcW w:w="0" w:type="auto"/>
            <w:shd w:val="clear" w:color="auto" w:fill="auto"/>
            <w:vAlign w:val="bottom"/>
          </w:tcPr>
          <w:p w14:paraId="07DCF1C5" w14:textId="77777777" w:rsidR="00AE727E" w:rsidRDefault="00AE727E">
            <w:pPr>
              <w:rPr>
                <w:rFonts w:ascii="宋体"/>
                <w:vanish/>
              </w:rPr>
            </w:pPr>
          </w:p>
        </w:tc>
        <w:tc>
          <w:tcPr>
            <w:tcW w:w="0" w:type="auto"/>
            <w:shd w:val="clear" w:color="auto" w:fill="auto"/>
            <w:vAlign w:val="bottom"/>
          </w:tcPr>
          <w:p w14:paraId="07DCF1C6" w14:textId="77777777" w:rsidR="00AE727E" w:rsidRDefault="00AE727E">
            <w:pPr>
              <w:rPr>
                <w:rFonts w:ascii="宋体"/>
                <w:vanish/>
              </w:rPr>
            </w:pPr>
          </w:p>
        </w:tc>
        <w:tc>
          <w:tcPr>
            <w:tcW w:w="0" w:type="auto"/>
            <w:shd w:val="clear" w:color="auto" w:fill="auto"/>
            <w:vAlign w:val="bottom"/>
          </w:tcPr>
          <w:p w14:paraId="07DCF1C7" w14:textId="77777777" w:rsidR="00AE727E" w:rsidRDefault="00AE727E">
            <w:pPr>
              <w:rPr>
                <w:rFonts w:ascii="宋体"/>
                <w:vanish/>
              </w:rPr>
            </w:pPr>
          </w:p>
        </w:tc>
        <w:tc>
          <w:tcPr>
            <w:tcW w:w="0" w:type="auto"/>
            <w:shd w:val="clear" w:color="auto" w:fill="auto"/>
            <w:vAlign w:val="bottom"/>
          </w:tcPr>
          <w:p w14:paraId="07DCF1C8" w14:textId="77777777" w:rsidR="00AE727E" w:rsidRDefault="00AE727E">
            <w:pPr>
              <w:rPr>
                <w:rFonts w:ascii="宋体"/>
                <w:vanish/>
              </w:rPr>
            </w:pPr>
          </w:p>
        </w:tc>
      </w:tr>
      <w:tr w:rsidR="00AE727E" w14:paraId="07DCF1CF" w14:textId="77777777">
        <w:tc>
          <w:tcPr>
            <w:tcW w:w="0" w:type="auto"/>
            <w:gridSpan w:val="21"/>
            <w:shd w:val="clear" w:color="auto" w:fill="CCEEFF"/>
            <w:tcMar>
              <w:top w:w="40" w:type="dxa"/>
              <w:left w:w="20" w:type="dxa"/>
              <w:bottom w:w="40" w:type="dxa"/>
              <w:right w:w="20" w:type="dxa"/>
            </w:tcMar>
            <w:vAlign w:val="bottom"/>
          </w:tcPr>
          <w:p w14:paraId="07DCF1CA" w14:textId="77777777" w:rsidR="00AE727E" w:rsidRDefault="008433E0">
            <w:pPr>
              <w:textAlignment w:val="bottom"/>
            </w:pPr>
            <w:r>
              <w:rPr>
                <w:rFonts w:ascii="Times New Roman" w:eastAsia="宋体" w:hAnsi="Times New Roman"/>
                <w:i/>
                <w:iCs/>
                <w:color w:val="000000"/>
                <w:sz w:val="20"/>
                <w:szCs w:val="20"/>
              </w:rPr>
              <w:t>For the nine months ended October 30, 2020</w:t>
            </w:r>
          </w:p>
        </w:tc>
        <w:tc>
          <w:tcPr>
            <w:tcW w:w="0" w:type="auto"/>
            <w:shd w:val="clear" w:color="auto" w:fill="auto"/>
            <w:vAlign w:val="bottom"/>
          </w:tcPr>
          <w:p w14:paraId="07DCF1CB" w14:textId="77777777" w:rsidR="00AE727E" w:rsidRDefault="00AE727E">
            <w:pPr>
              <w:rPr>
                <w:rFonts w:ascii="宋体"/>
                <w:vanish/>
              </w:rPr>
            </w:pPr>
          </w:p>
        </w:tc>
        <w:tc>
          <w:tcPr>
            <w:tcW w:w="0" w:type="auto"/>
            <w:shd w:val="clear" w:color="auto" w:fill="auto"/>
            <w:vAlign w:val="bottom"/>
          </w:tcPr>
          <w:p w14:paraId="07DCF1CC" w14:textId="77777777" w:rsidR="00AE727E" w:rsidRDefault="00AE727E">
            <w:pPr>
              <w:rPr>
                <w:rFonts w:ascii="宋体"/>
                <w:vanish/>
              </w:rPr>
            </w:pPr>
          </w:p>
        </w:tc>
        <w:tc>
          <w:tcPr>
            <w:tcW w:w="0" w:type="auto"/>
            <w:shd w:val="clear" w:color="auto" w:fill="auto"/>
            <w:vAlign w:val="bottom"/>
          </w:tcPr>
          <w:p w14:paraId="07DCF1CD" w14:textId="77777777" w:rsidR="00AE727E" w:rsidRDefault="00AE727E">
            <w:pPr>
              <w:rPr>
                <w:rFonts w:ascii="宋体"/>
                <w:vanish/>
              </w:rPr>
            </w:pPr>
          </w:p>
        </w:tc>
        <w:tc>
          <w:tcPr>
            <w:tcW w:w="0" w:type="auto"/>
            <w:shd w:val="clear" w:color="auto" w:fill="auto"/>
            <w:vAlign w:val="bottom"/>
          </w:tcPr>
          <w:p w14:paraId="07DCF1CE" w14:textId="77777777" w:rsidR="00AE727E" w:rsidRDefault="00AE727E">
            <w:pPr>
              <w:rPr>
                <w:rFonts w:ascii="宋体"/>
                <w:vanish/>
              </w:rPr>
            </w:pPr>
          </w:p>
        </w:tc>
      </w:tr>
      <w:tr w:rsidR="00AE727E" w14:paraId="07DCF1DD" w14:textId="77777777">
        <w:tc>
          <w:tcPr>
            <w:tcW w:w="0" w:type="auto"/>
            <w:gridSpan w:val="3"/>
            <w:shd w:val="clear" w:color="auto" w:fill="FFFFFF"/>
            <w:tcMar>
              <w:top w:w="0" w:type="dxa"/>
              <w:left w:w="20" w:type="dxa"/>
              <w:bottom w:w="0" w:type="dxa"/>
              <w:right w:w="20" w:type="dxa"/>
            </w:tcMar>
            <w:vAlign w:val="bottom"/>
          </w:tcPr>
          <w:p w14:paraId="07DCF1D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1D1"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D2"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DCF1D3"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D4" w14:textId="77777777" w:rsidR="00AE727E" w:rsidRDefault="008433E0">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DCF1D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1D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1D7" w14:textId="77777777" w:rsidR="00AE727E" w:rsidRDefault="008433E0">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DCF1D8" w14:textId="77777777" w:rsidR="00AE727E" w:rsidRDefault="00AE727E">
            <w:pPr>
              <w:jc w:val="right"/>
              <w:rPr>
                <w:rFonts w:ascii="宋体"/>
              </w:rPr>
            </w:pPr>
          </w:p>
        </w:tc>
        <w:tc>
          <w:tcPr>
            <w:tcW w:w="0" w:type="auto"/>
            <w:shd w:val="clear" w:color="auto" w:fill="auto"/>
            <w:vAlign w:val="bottom"/>
          </w:tcPr>
          <w:p w14:paraId="07DCF1D9" w14:textId="77777777" w:rsidR="00AE727E" w:rsidRDefault="00AE727E">
            <w:pPr>
              <w:rPr>
                <w:rFonts w:ascii="宋体"/>
                <w:vanish/>
              </w:rPr>
            </w:pPr>
          </w:p>
        </w:tc>
        <w:tc>
          <w:tcPr>
            <w:tcW w:w="0" w:type="auto"/>
            <w:shd w:val="clear" w:color="auto" w:fill="auto"/>
            <w:vAlign w:val="bottom"/>
          </w:tcPr>
          <w:p w14:paraId="07DCF1DA" w14:textId="77777777" w:rsidR="00AE727E" w:rsidRDefault="00AE727E">
            <w:pPr>
              <w:rPr>
                <w:rFonts w:ascii="宋体"/>
                <w:vanish/>
              </w:rPr>
            </w:pPr>
          </w:p>
        </w:tc>
        <w:tc>
          <w:tcPr>
            <w:tcW w:w="0" w:type="auto"/>
            <w:shd w:val="clear" w:color="auto" w:fill="auto"/>
            <w:vAlign w:val="bottom"/>
          </w:tcPr>
          <w:p w14:paraId="07DCF1DB" w14:textId="77777777" w:rsidR="00AE727E" w:rsidRDefault="00AE727E">
            <w:pPr>
              <w:rPr>
                <w:rFonts w:ascii="宋体"/>
                <w:vanish/>
              </w:rPr>
            </w:pPr>
          </w:p>
        </w:tc>
        <w:tc>
          <w:tcPr>
            <w:tcW w:w="0" w:type="auto"/>
            <w:shd w:val="clear" w:color="auto" w:fill="auto"/>
            <w:vAlign w:val="bottom"/>
          </w:tcPr>
          <w:p w14:paraId="07DCF1DC" w14:textId="77777777" w:rsidR="00AE727E" w:rsidRDefault="00AE727E">
            <w:pPr>
              <w:rPr>
                <w:rFonts w:ascii="宋体"/>
                <w:vanish/>
              </w:rPr>
            </w:pPr>
          </w:p>
        </w:tc>
      </w:tr>
      <w:tr w:rsidR="00AE727E" w14:paraId="07DCF1EC" w14:textId="77777777">
        <w:tc>
          <w:tcPr>
            <w:tcW w:w="0" w:type="auto"/>
            <w:gridSpan w:val="3"/>
            <w:shd w:val="clear" w:color="auto" w:fill="CCEEFF"/>
            <w:tcMar>
              <w:top w:w="40" w:type="dxa"/>
              <w:left w:w="20" w:type="dxa"/>
              <w:bottom w:w="40" w:type="dxa"/>
              <w:right w:w="20" w:type="dxa"/>
            </w:tcMar>
            <w:vAlign w:val="bottom"/>
          </w:tcPr>
          <w:p w14:paraId="07DCF1DE" w14:textId="77777777" w:rsidR="00AE727E" w:rsidRDefault="008433E0">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DCF1DF"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1E0"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1E1" w14:textId="77777777" w:rsidR="00AE727E" w:rsidRDefault="008433E0">
            <w:pPr>
              <w:jc w:val="right"/>
              <w:textAlignment w:val="bottom"/>
            </w:pPr>
            <w:r>
              <w:rPr>
                <w:rFonts w:ascii="Times New Roman" w:eastAsia="宋体" w:hAnsi="Times New Roman"/>
                <w:color w:val="000000"/>
                <w:sz w:val="20"/>
                <w:szCs w:val="20"/>
              </w:rPr>
              <w:t>(45)</w:t>
            </w:r>
          </w:p>
        </w:tc>
        <w:tc>
          <w:tcPr>
            <w:tcW w:w="0" w:type="auto"/>
            <w:shd w:val="clear" w:color="auto" w:fill="CCEEFF"/>
            <w:tcMar>
              <w:top w:w="40" w:type="dxa"/>
              <w:left w:w="0" w:type="dxa"/>
              <w:bottom w:w="40" w:type="dxa"/>
              <w:right w:w="20" w:type="dxa"/>
            </w:tcMar>
            <w:vAlign w:val="bottom"/>
          </w:tcPr>
          <w:p w14:paraId="07DCF1E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1E3"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1E4" w14:textId="77777777" w:rsidR="00AE727E" w:rsidRDefault="008433E0">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DCF1E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1E6" w14:textId="77777777" w:rsidR="00AE727E" w:rsidRDefault="008433E0">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07DCF1E7" w14:textId="77777777" w:rsidR="00AE727E" w:rsidRDefault="00AE727E">
            <w:pPr>
              <w:jc w:val="right"/>
              <w:rPr>
                <w:rFonts w:ascii="宋体"/>
              </w:rPr>
            </w:pPr>
          </w:p>
        </w:tc>
        <w:tc>
          <w:tcPr>
            <w:tcW w:w="0" w:type="auto"/>
            <w:shd w:val="clear" w:color="auto" w:fill="auto"/>
            <w:vAlign w:val="bottom"/>
          </w:tcPr>
          <w:p w14:paraId="07DCF1E8" w14:textId="77777777" w:rsidR="00AE727E" w:rsidRDefault="00AE727E">
            <w:pPr>
              <w:rPr>
                <w:rFonts w:ascii="宋体"/>
                <w:vanish/>
              </w:rPr>
            </w:pPr>
          </w:p>
        </w:tc>
        <w:tc>
          <w:tcPr>
            <w:tcW w:w="0" w:type="auto"/>
            <w:shd w:val="clear" w:color="auto" w:fill="auto"/>
            <w:vAlign w:val="bottom"/>
          </w:tcPr>
          <w:p w14:paraId="07DCF1E9" w14:textId="77777777" w:rsidR="00AE727E" w:rsidRDefault="00AE727E">
            <w:pPr>
              <w:rPr>
                <w:rFonts w:ascii="宋体"/>
                <w:vanish/>
              </w:rPr>
            </w:pPr>
          </w:p>
        </w:tc>
        <w:tc>
          <w:tcPr>
            <w:tcW w:w="0" w:type="auto"/>
            <w:shd w:val="clear" w:color="auto" w:fill="auto"/>
            <w:vAlign w:val="bottom"/>
          </w:tcPr>
          <w:p w14:paraId="07DCF1EA" w14:textId="77777777" w:rsidR="00AE727E" w:rsidRDefault="00AE727E">
            <w:pPr>
              <w:rPr>
                <w:rFonts w:ascii="宋体"/>
                <w:vanish/>
              </w:rPr>
            </w:pPr>
          </w:p>
        </w:tc>
        <w:tc>
          <w:tcPr>
            <w:tcW w:w="0" w:type="auto"/>
            <w:shd w:val="clear" w:color="auto" w:fill="auto"/>
            <w:vAlign w:val="bottom"/>
          </w:tcPr>
          <w:p w14:paraId="07DCF1EB" w14:textId="77777777" w:rsidR="00AE727E" w:rsidRDefault="00AE727E">
            <w:pPr>
              <w:rPr>
                <w:rFonts w:ascii="宋体"/>
                <w:vanish/>
              </w:rPr>
            </w:pPr>
          </w:p>
        </w:tc>
      </w:tr>
      <w:tr w:rsidR="00AE727E" w14:paraId="07DCF1FA" w14:textId="77777777">
        <w:tc>
          <w:tcPr>
            <w:tcW w:w="0" w:type="auto"/>
            <w:gridSpan w:val="3"/>
            <w:shd w:val="clear" w:color="auto" w:fill="FFFFFF"/>
            <w:tcMar>
              <w:top w:w="40" w:type="dxa"/>
              <w:left w:w="20" w:type="dxa"/>
              <w:bottom w:w="40" w:type="dxa"/>
              <w:right w:w="20" w:type="dxa"/>
            </w:tcMar>
            <w:vAlign w:val="bottom"/>
          </w:tcPr>
          <w:p w14:paraId="07DCF1ED" w14:textId="77777777" w:rsidR="00AE727E" w:rsidRDefault="008433E0">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07DCF1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E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1F1"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1F2"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DCF1F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1F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1F5" w14:textId="77777777" w:rsidR="00AE727E" w:rsidRDefault="00AE727E">
            <w:pPr>
              <w:jc w:val="right"/>
              <w:rPr>
                <w:rFonts w:ascii="宋体"/>
              </w:rPr>
            </w:pPr>
          </w:p>
        </w:tc>
        <w:tc>
          <w:tcPr>
            <w:tcW w:w="0" w:type="auto"/>
            <w:shd w:val="clear" w:color="auto" w:fill="auto"/>
            <w:vAlign w:val="bottom"/>
          </w:tcPr>
          <w:p w14:paraId="07DCF1F6" w14:textId="77777777" w:rsidR="00AE727E" w:rsidRDefault="00AE727E">
            <w:pPr>
              <w:rPr>
                <w:rFonts w:ascii="宋体"/>
                <w:vanish/>
              </w:rPr>
            </w:pPr>
          </w:p>
        </w:tc>
        <w:tc>
          <w:tcPr>
            <w:tcW w:w="0" w:type="auto"/>
            <w:shd w:val="clear" w:color="auto" w:fill="auto"/>
            <w:vAlign w:val="bottom"/>
          </w:tcPr>
          <w:p w14:paraId="07DCF1F7" w14:textId="77777777" w:rsidR="00AE727E" w:rsidRDefault="00AE727E">
            <w:pPr>
              <w:rPr>
                <w:rFonts w:ascii="宋体"/>
                <w:vanish/>
              </w:rPr>
            </w:pPr>
          </w:p>
        </w:tc>
        <w:tc>
          <w:tcPr>
            <w:tcW w:w="0" w:type="auto"/>
            <w:shd w:val="clear" w:color="auto" w:fill="auto"/>
            <w:vAlign w:val="bottom"/>
          </w:tcPr>
          <w:p w14:paraId="07DCF1F8" w14:textId="77777777" w:rsidR="00AE727E" w:rsidRDefault="00AE727E">
            <w:pPr>
              <w:rPr>
                <w:rFonts w:ascii="宋体"/>
                <w:vanish/>
              </w:rPr>
            </w:pPr>
          </w:p>
        </w:tc>
        <w:tc>
          <w:tcPr>
            <w:tcW w:w="0" w:type="auto"/>
            <w:shd w:val="clear" w:color="auto" w:fill="auto"/>
            <w:vAlign w:val="bottom"/>
          </w:tcPr>
          <w:p w14:paraId="07DCF1F9" w14:textId="77777777" w:rsidR="00AE727E" w:rsidRDefault="00AE727E">
            <w:pPr>
              <w:rPr>
                <w:rFonts w:ascii="宋体"/>
                <w:vanish/>
              </w:rPr>
            </w:pPr>
          </w:p>
        </w:tc>
      </w:tr>
      <w:tr w:rsidR="00AE727E" w14:paraId="07DCF20A" w14:textId="77777777">
        <w:tc>
          <w:tcPr>
            <w:tcW w:w="0" w:type="auto"/>
            <w:gridSpan w:val="3"/>
            <w:shd w:val="clear" w:color="auto" w:fill="CCEEFF"/>
            <w:tcMar>
              <w:top w:w="40" w:type="dxa"/>
              <w:left w:w="155" w:type="dxa"/>
              <w:bottom w:w="40" w:type="dxa"/>
              <w:right w:w="20" w:type="dxa"/>
            </w:tcMar>
            <w:vAlign w:val="bottom"/>
          </w:tcPr>
          <w:p w14:paraId="07DCF1FB" w14:textId="77777777" w:rsidR="00AE727E" w:rsidRDefault="008433E0">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DCF1F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1F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1FE" w14:textId="77777777" w:rsidR="00AE727E" w:rsidRDefault="008433E0">
            <w:pPr>
              <w:jc w:val="right"/>
              <w:textAlignment w:val="bottom"/>
            </w:pPr>
            <w:r>
              <w:rPr>
                <w:rFonts w:ascii="Times New Roman" w:eastAsia="宋体" w:hAnsi="Times New Roman"/>
                <w:color w:val="000000"/>
                <w:sz w:val="20"/>
                <w:szCs w:val="20"/>
              </w:rPr>
              <w:t>(45)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1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200"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201" w14:textId="77777777" w:rsidR="00AE727E" w:rsidRDefault="008433E0">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202"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20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204" w14:textId="77777777" w:rsidR="00AE727E" w:rsidRDefault="008433E0">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205" w14:textId="77777777" w:rsidR="00AE727E" w:rsidRDefault="00AE727E">
            <w:pPr>
              <w:jc w:val="right"/>
              <w:rPr>
                <w:rFonts w:ascii="宋体"/>
              </w:rPr>
            </w:pPr>
          </w:p>
        </w:tc>
        <w:tc>
          <w:tcPr>
            <w:tcW w:w="0" w:type="auto"/>
            <w:shd w:val="clear" w:color="auto" w:fill="auto"/>
            <w:vAlign w:val="bottom"/>
          </w:tcPr>
          <w:p w14:paraId="07DCF206" w14:textId="77777777" w:rsidR="00AE727E" w:rsidRDefault="00AE727E">
            <w:pPr>
              <w:rPr>
                <w:rFonts w:ascii="宋体"/>
                <w:vanish/>
              </w:rPr>
            </w:pPr>
          </w:p>
        </w:tc>
        <w:tc>
          <w:tcPr>
            <w:tcW w:w="0" w:type="auto"/>
            <w:shd w:val="clear" w:color="auto" w:fill="auto"/>
            <w:vAlign w:val="bottom"/>
          </w:tcPr>
          <w:p w14:paraId="07DCF207" w14:textId="77777777" w:rsidR="00AE727E" w:rsidRDefault="00AE727E">
            <w:pPr>
              <w:rPr>
                <w:rFonts w:ascii="宋体"/>
                <w:vanish/>
              </w:rPr>
            </w:pPr>
          </w:p>
        </w:tc>
        <w:tc>
          <w:tcPr>
            <w:tcW w:w="0" w:type="auto"/>
            <w:shd w:val="clear" w:color="auto" w:fill="auto"/>
            <w:vAlign w:val="bottom"/>
          </w:tcPr>
          <w:p w14:paraId="07DCF208" w14:textId="77777777" w:rsidR="00AE727E" w:rsidRDefault="00AE727E">
            <w:pPr>
              <w:rPr>
                <w:rFonts w:ascii="宋体"/>
                <w:vanish/>
              </w:rPr>
            </w:pPr>
          </w:p>
        </w:tc>
        <w:tc>
          <w:tcPr>
            <w:tcW w:w="0" w:type="auto"/>
            <w:shd w:val="clear" w:color="auto" w:fill="auto"/>
            <w:vAlign w:val="bottom"/>
          </w:tcPr>
          <w:p w14:paraId="07DCF209" w14:textId="77777777" w:rsidR="00AE727E" w:rsidRDefault="00AE727E">
            <w:pPr>
              <w:rPr>
                <w:rFonts w:ascii="宋体"/>
                <w:vanish/>
              </w:rPr>
            </w:pPr>
          </w:p>
        </w:tc>
      </w:tr>
    </w:tbl>
    <w:p w14:paraId="07DCF20B" w14:textId="77777777" w:rsidR="00AE727E" w:rsidRDefault="00AE727E"/>
    <w:p w14:paraId="07DCF20C" w14:textId="77777777" w:rsidR="00AE727E" w:rsidRDefault="00AE727E">
      <w:pPr>
        <w:spacing w:after="60"/>
      </w:pPr>
    </w:p>
    <w:p w14:paraId="07DCF20D" w14:textId="77777777" w:rsidR="00AE727E" w:rsidRDefault="00AE727E">
      <w:pPr>
        <w:spacing w:after="60"/>
      </w:pPr>
    </w:p>
    <w:p w14:paraId="07DCF20E" w14:textId="77777777" w:rsidR="00AE727E" w:rsidRDefault="00AE727E">
      <w:pPr>
        <w:spacing w:after="60"/>
      </w:pPr>
    </w:p>
    <w:p w14:paraId="07DCF20F" w14:textId="77777777" w:rsidR="00AE727E" w:rsidRDefault="00AE727E">
      <w:pPr>
        <w:jc w:val="center"/>
      </w:pPr>
    </w:p>
    <w:p w14:paraId="07DCF210" w14:textId="77777777" w:rsidR="00AE727E" w:rsidRDefault="008433E0">
      <w:pPr>
        <w:jc w:val="center"/>
      </w:pPr>
      <w:r>
        <w:rPr>
          <w:rFonts w:ascii="Times New Roman" w:eastAsia="宋体" w:hAnsi="Times New Roman"/>
          <w:color w:val="000000"/>
          <w:sz w:val="20"/>
          <w:szCs w:val="20"/>
        </w:rPr>
        <w:t>35</w:t>
      </w:r>
    </w:p>
    <w:p w14:paraId="07DCF211" w14:textId="77777777" w:rsidR="00AE727E" w:rsidRDefault="00AE727E">
      <w:pPr>
        <w:jc w:val="center"/>
      </w:pPr>
    </w:p>
    <w:p w14:paraId="07DCF212" w14:textId="77777777" w:rsidR="00AE727E" w:rsidRDefault="008433E0">
      <w:r>
        <w:pict w14:anchorId="07DD18F3">
          <v:rect id="_x0000_i1059" style="width:415.3pt;height:1.5pt" o:hralign="center" o:hrstd="t" o:hr="t" fillcolor="#a0a0a0" stroked="f"/>
        </w:pict>
      </w:r>
    </w:p>
    <w:p w14:paraId="07DCF213" w14:textId="77777777" w:rsidR="00AE727E" w:rsidRDefault="008433E0">
      <w:hyperlink r:id="rId160" w:anchor="i1c8279be622a460ea19600488436f115_10" w:history="1">
        <w:r>
          <w:rPr>
            <w:rStyle w:val="a5"/>
            <w:rFonts w:ascii="Times New Roman" w:eastAsia="宋体" w:hAnsi="Times New Roman"/>
            <w:sz w:val="20"/>
            <w:szCs w:val="20"/>
          </w:rPr>
          <w:t>Table of Contents</w:t>
        </w:r>
      </w:hyperlink>
    </w:p>
    <w:p w14:paraId="07DCF21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21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21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217" w14:textId="77777777" w:rsidR="00AE727E" w:rsidRDefault="00AE727E">
      <w:pPr>
        <w:jc w:val="center"/>
      </w:pPr>
    </w:p>
    <w:p w14:paraId="07DCF218" w14:textId="77777777" w:rsidR="00AE727E" w:rsidRDefault="00AE727E">
      <w:pPr>
        <w:spacing w:after="60"/>
      </w:pPr>
    </w:p>
    <w:p w14:paraId="07DCF219" w14:textId="77777777" w:rsidR="00AE727E" w:rsidRDefault="008433E0">
      <w:pPr>
        <w:spacing w:after="60"/>
      </w:pPr>
      <w:r>
        <w:rPr>
          <w:rFonts w:ascii="Times New Roman" w:eastAsia="宋体" w:hAnsi="Times New Roman"/>
          <w:i/>
          <w:iCs/>
          <w:color w:val="000000"/>
          <w:sz w:val="20"/>
          <w:szCs w:val="20"/>
          <w:u w:val="single"/>
        </w:rPr>
        <w:t>Effect of Derivative Instruments Not Designated as Hedging Instruments on the Condensed Consolidated Statements of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439"/>
        <w:gridCol w:w="36"/>
        <w:gridCol w:w="36"/>
        <w:gridCol w:w="36"/>
        <w:gridCol w:w="36"/>
        <w:gridCol w:w="121"/>
        <w:gridCol w:w="957"/>
        <w:gridCol w:w="37"/>
        <w:gridCol w:w="36"/>
        <w:gridCol w:w="36"/>
        <w:gridCol w:w="36"/>
        <w:gridCol w:w="121"/>
        <w:gridCol w:w="957"/>
        <w:gridCol w:w="37"/>
        <w:gridCol w:w="36"/>
        <w:gridCol w:w="36"/>
        <w:gridCol w:w="36"/>
        <w:gridCol w:w="36"/>
        <w:gridCol w:w="36"/>
        <w:gridCol w:w="36"/>
        <w:gridCol w:w="121"/>
        <w:gridCol w:w="957"/>
        <w:gridCol w:w="37"/>
        <w:gridCol w:w="36"/>
        <w:gridCol w:w="36"/>
        <w:gridCol w:w="36"/>
        <w:gridCol w:w="121"/>
        <w:gridCol w:w="957"/>
        <w:gridCol w:w="36"/>
        <w:gridCol w:w="36"/>
        <w:gridCol w:w="36"/>
        <w:gridCol w:w="36"/>
        <w:gridCol w:w="46"/>
        <w:gridCol w:w="1631"/>
        <w:gridCol w:w="36"/>
      </w:tblGrid>
      <w:tr w:rsidR="00AE727E" w14:paraId="07DCF23E" w14:textId="77777777">
        <w:trPr>
          <w:jc w:val="center"/>
        </w:trPr>
        <w:tc>
          <w:tcPr>
            <w:tcW w:w="50" w:type="pct"/>
            <w:shd w:val="clear" w:color="auto" w:fill="auto"/>
            <w:vAlign w:val="bottom"/>
          </w:tcPr>
          <w:p w14:paraId="07DCF21A" w14:textId="77777777" w:rsidR="00AE727E" w:rsidRDefault="00AE727E">
            <w:pPr>
              <w:rPr>
                <w:rFonts w:ascii="宋体"/>
              </w:rPr>
            </w:pPr>
          </w:p>
        </w:tc>
        <w:tc>
          <w:tcPr>
            <w:tcW w:w="939" w:type="pct"/>
            <w:shd w:val="clear" w:color="auto" w:fill="auto"/>
            <w:vAlign w:val="bottom"/>
          </w:tcPr>
          <w:p w14:paraId="07DCF21B" w14:textId="77777777" w:rsidR="00AE727E" w:rsidRDefault="00AE727E">
            <w:pPr>
              <w:rPr>
                <w:rFonts w:ascii="宋体"/>
              </w:rPr>
            </w:pPr>
          </w:p>
        </w:tc>
        <w:tc>
          <w:tcPr>
            <w:tcW w:w="5" w:type="pct"/>
            <w:shd w:val="clear" w:color="auto" w:fill="auto"/>
            <w:vAlign w:val="bottom"/>
          </w:tcPr>
          <w:p w14:paraId="07DCF21C" w14:textId="77777777" w:rsidR="00AE727E" w:rsidRDefault="00AE727E">
            <w:pPr>
              <w:rPr>
                <w:rFonts w:ascii="宋体"/>
              </w:rPr>
            </w:pPr>
          </w:p>
        </w:tc>
        <w:tc>
          <w:tcPr>
            <w:tcW w:w="5" w:type="pct"/>
            <w:shd w:val="clear" w:color="auto" w:fill="auto"/>
            <w:vAlign w:val="bottom"/>
          </w:tcPr>
          <w:p w14:paraId="07DCF21D" w14:textId="77777777" w:rsidR="00AE727E" w:rsidRDefault="00AE727E">
            <w:pPr>
              <w:rPr>
                <w:rFonts w:ascii="宋体"/>
              </w:rPr>
            </w:pPr>
          </w:p>
        </w:tc>
        <w:tc>
          <w:tcPr>
            <w:tcW w:w="19" w:type="pct"/>
            <w:shd w:val="clear" w:color="auto" w:fill="auto"/>
            <w:vAlign w:val="bottom"/>
          </w:tcPr>
          <w:p w14:paraId="07DCF21E" w14:textId="77777777" w:rsidR="00AE727E" w:rsidRDefault="00AE727E">
            <w:pPr>
              <w:rPr>
                <w:rFonts w:ascii="宋体"/>
              </w:rPr>
            </w:pPr>
          </w:p>
        </w:tc>
        <w:tc>
          <w:tcPr>
            <w:tcW w:w="5" w:type="pct"/>
            <w:shd w:val="clear" w:color="auto" w:fill="auto"/>
            <w:vAlign w:val="bottom"/>
          </w:tcPr>
          <w:p w14:paraId="07DCF21F" w14:textId="77777777" w:rsidR="00AE727E" w:rsidRDefault="00AE727E">
            <w:pPr>
              <w:rPr>
                <w:rFonts w:ascii="宋体"/>
              </w:rPr>
            </w:pPr>
          </w:p>
        </w:tc>
        <w:tc>
          <w:tcPr>
            <w:tcW w:w="50" w:type="pct"/>
            <w:shd w:val="clear" w:color="auto" w:fill="auto"/>
            <w:vAlign w:val="bottom"/>
          </w:tcPr>
          <w:p w14:paraId="07DCF220" w14:textId="77777777" w:rsidR="00AE727E" w:rsidRDefault="00AE727E">
            <w:pPr>
              <w:rPr>
                <w:rFonts w:ascii="宋体"/>
              </w:rPr>
            </w:pPr>
          </w:p>
        </w:tc>
        <w:tc>
          <w:tcPr>
            <w:tcW w:w="624" w:type="pct"/>
            <w:shd w:val="clear" w:color="auto" w:fill="auto"/>
            <w:vAlign w:val="bottom"/>
          </w:tcPr>
          <w:p w14:paraId="07DCF221" w14:textId="77777777" w:rsidR="00AE727E" w:rsidRDefault="00AE727E">
            <w:pPr>
              <w:rPr>
                <w:rFonts w:ascii="宋体"/>
              </w:rPr>
            </w:pPr>
          </w:p>
        </w:tc>
        <w:tc>
          <w:tcPr>
            <w:tcW w:w="5" w:type="pct"/>
            <w:shd w:val="clear" w:color="auto" w:fill="auto"/>
            <w:vAlign w:val="bottom"/>
          </w:tcPr>
          <w:p w14:paraId="07DCF222" w14:textId="77777777" w:rsidR="00AE727E" w:rsidRDefault="00AE727E">
            <w:pPr>
              <w:rPr>
                <w:rFonts w:ascii="宋体"/>
              </w:rPr>
            </w:pPr>
          </w:p>
        </w:tc>
        <w:tc>
          <w:tcPr>
            <w:tcW w:w="5" w:type="pct"/>
            <w:shd w:val="clear" w:color="auto" w:fill="auto"/>
            <w:vAlign w:val="bottom"/>
          </w:tcPr>
          <w:p w14:paraId="07DCF223" w14:textId="77777777" w:rsidR="00AE727E" w:rsidRDefault="00AE727E">
            <w:pPr>
              <w:rPr>
                <w:rFonts w:ascii="宋体"/>
              </w:rPr>
            </w:pPr>
          </w:p>
        </w:tc>
        <w:tc>
          <w:tcPr>
            <w:tcW w:w="19" w:type="pct"/>
            <w:shd w:val="clear" w:color="auto" w:fill="auto"/>
            <w:vAlign w:val="bottom"/>
          </w:tcPr>
          <w:p w14:paraId="07DCF224" w14:textId="77777777" w:rsidR="00AE727E" w:rsidRDefault="00AE727E">
            <w:pPr>
              <w:rPr>
                <w:rFonts w:ascii="宋体"/>
              </w:rPr>
            </w:pPr>
          </w:p>
        </w:tc>
        <w:tc>
          <w:tcPr>
            <w:tcW w:w="5" w:type="pct"/>
            <w:shd w:val="clear" w:color="auto" w:fill="auto"/>
            <w:vAlign w:val="bottom"/>
          </w:tcPr>
          <w:p w14:paraId="07DCF225" w14:textId="77777777" w:rsidR="00AE727E" w:rsidRDefault="00AE727E">
            <w:pPr>
              <w:rPr>
                <w:rFonts w:ascii="宋体"/>
              </w:rPr>
            </w:pPr>
          </w:p>
        </w:tc>
        <w:tc>
          <w:tcPr>
            <w:tcW w:w="50" w:type="pct"/>
            <w:shd w:val="clear" w:color="auto" w:fill="auto"/>
            <w:vAlign w:val="bottom"/>
          </w:tcPr>
          <w:p w14:paraId="07DCF226" w14:textId="77777777" w:rsidR="00AE727E" w:rsidRDefault="00AE727E">
            <w:pPr>
              <w:rPr>
                <w:rFonts w:ascii="宋体"/>
              </w:rPr>
            </w:pPr>
          </w:p>
        </w:tc>
        <w:tc>
          <w:tcPr>
            <w:tcW w:w="624" w:type="pct"/>
            <w:shd w:val="clear" w:color="auto" w:fill="auto"/>
            <w:vAlign w:val="bottom"/>
          </w:tcPr>
          <w:p w14:paraId="07DCF227" w14:textId="77777777" w:rsidR="00AE727E" w:rsidRDefault="00AE727E">
            <w:pPr>
              <w:rPr>
                <w:rFonts w:ascii="宋体"/>
              </w:rPr>
            </w:pPr>
          </w:p>
        </w:tc>
        <w:tc>
          <w:tcPr>
            <w:tcW w:w="5" w:type="pct"/>
            <w:shd w:val="clear" w:color="auto" w:fill="auto"/>
            <w:vAlign w:val="bottom"/>
          </w:tcPr>
          <w:p w14:paraId="07DCF228" w14:textId="77777777" w:rsidR="00AE727E" w:rsidRDefault="00AE727E">
            <w:pPr>
              <w:rPr>
                <w:rFonts w:ascii="宋体"/>
              </w:rPr>
            </w:pPr>
          </w:p>
        </w:tc>
        <w:tc>
          <w:tcPr>
            <w:tcW w:w="5" w:type="pct"/>
            <w:shd w:val="clear" w:color="auto" w:fill="auto"/>
            <w:vAlign w:val="bottom"/>
          </w:tcPr>
          <w:p w14:paraId="07DCF229" w14:textId="77777777" w:rsidR="00AE727E" w:rsidRDefault="00AE727E">
            <w:pPr>
              <w:rPr>
                <w:rFonts w:ascii="宋体"/>
              </w:rPr>
            </w:pPr>
          </w:p>
        </w:tc>
        <w:tc>
          <w:tcPr>
            <w:tcW w:w="19" w:type="pct"/>
            <w:shd w:val="clear" w:color="auto" w:fill="auto"/>
            <w:vAlign w:val="bottom"/>
          </w:tcPr>
          <w:p w14:paraId="07DCF22A" w14:textId="77777777" w:rsidR="00AE727E" w:rsidRDefault="00AE727E">
            <w:pPr>
              <w:rPr>
                <w:rFonts w:ascii="宋体"/>
              </w:rPr>
            </w:pPr>
          </w:p>
        </w:tc>
        <w:tc>
          <w:tcPr>
            <w:tcW w:w="5" w:type="pct"/>
            <w:shd w:val="clear" w:color="auto" w:fill="auto"/>
            <w:vAlign w:val="bottom"/>
          </w:tcPr>
          <w:p w14:paraId="07DCF22B" w14:textId="77777777" w:rsidR="00AE727E" w:rsidRDefault="00AE727E">
            <w:pPr>
              <w:rPr>
                <w:rFonts w:ascii="宋体"/>
              </w:rPr>
            </w:pPr>
          </w:p>
        </w:tc>
        <w:tc>
          <w:tcPr>
            <w:tcW w:w="5" w:type="pct"/>
            <w:shd w:val="clear" w:color="auto" w:fill="auto"/>
            <w:vAlign w:val="bottom"/>
          </w:tcPr>
          <w:p w14:paraId="07DCF22C" w14:textId="77777777" w:rsidR="00AE727E" w:rsidRDefault="00AE727E">
            <w:pPr>
              <w:rPr>
                <w:rFonts w:ascii="宋体"/>
              </w:rPr>
            </w:pPr>
          </w:p>
        </w:tc>
        <w:tc>
          <w:tcPr>
            <w:tcW w:w="19" w:type="pct"/>
            <w:shd w:val="clear" w:color="auto" w:fill="auto"/>
            <w:vAlign w:val="bottom"/>
          </w:tcPr>
          <w:p w14:paraId="07DCF22D" w14:textId="77777777" w:rsidR="00AE727E" w:rsidRDefault="00AE727E">
            <w:pPr>
              <w:rPr>
                <w:rFonts w:ascii="宋体"/>
              </w:rPr>
            </w:pPr>
          </w:p>
        </w:tc>
        <w:tc>
          <w:tcPr>
            <w:tcW w:w="5" w:type="pct"/>
            <w:shd w:val="clear" w:color="auto" w:fill="auto"/>
            <w:vAlign w:val="bottom"/>
          </w:tcPr>
          <w:p w14:paraId="07DCF22E" w14:textId="77777777" w:rsidR="00AE727E" w:rsidRDefault="00AE727E">
            <w:pPr>
              <w:rPr>
                <w:rFonts w:ascii="宋体"/>
              </w:rPr>
            </w:pPr>
          </w:p>
        </w:tc>
        <w:tc>
          <w:tcPr>
            <w:tcW w:w="50" w:type="pct"/>
            <w:shd w:val="clear" w:color="auto" w:fill="auto"/>
            <w:vAlign w:val="bottom"/>
          </w:tcPr>
          <w:p w14:paraId="07DCF22F" w14:textId="77777777" w:rsidR="00AE727E" w:rsidRDefault="00AE727E">
            <w:pPr>
              <w:rPr>
                <w:rFonts w:ascii="宋体"/>
              </w:rPr>
            </w:pPr>
          </w:p>
        </w:tc>
        <w:tc>
          <w:tcPr>
            <w:tcW w:w="624" w:type="pct"/>
            <w:shd w:val="clear" w:color="auto" w:fill="auto"/>
            <w:vAlign w:val="bottom"/>
          </w:tcPr>
          <w:p w14:paraId="07DCF230" w14:textId="77777777" w:rsidR="00AE727E" w:rsidRDefault="00AE727E">
            <w:pPr>
              <w:rPr>
                <w:rFonts w:ascii="宋体"/>
              </w:rPr>
            </w:pPr>
          </w:p>
        </w:tc>
        <w:tc>
          <w:tcPr>
            <w:tcW w:w="5" w:type="pct"/>
            <w:shd w:val="clear" w:color="auto" w:fill="auto"/>
            <w:vAlign w:val="bottom"/>
          </w:tcPr>
          <w:p w14:paraId="07DCF231" w14:textId="77777777" w:rsidR="00AE727E" w:rsidRDefault="00AE727E">
            <w:pPr>
              <w:rPr>
                <w:rFonts w:ascii="宋体"/>
              </w:rPr>
            </w:pPr>
          </w:p>
        </w:tc>
        <w:tc>
          <w:tcPr>
            <w:tcW w:w="5" w:type="pct"/>
            <w:shd w:val="clear" w:color="auto" w:fill="auto"/>
            <w:vAlign w:val="bottom"/>
          </w:tcPr>
          <w:p w14:paraId="07DCF232" w14:textId="77777777" w:rsidR="00AE727E" w:rsidRDefault="00AE727E">
            <w:pPr>
              <w:rPr>
                <w:rFonts w:ascii="宋体"/>
              </w:rPr>
            </w:pPr>
          </w:p>
        </w:tc>
        <w:tc>
          <w:tcPr>
            <w:tcW w:w="19" w:type="pct"/>
            <w:shd w:val="clear" w:color="auto" w:fill="auto"/>
            <w:vAlign w:val="bottom"/>
          </w:tcPr>
          <w:p w14:paraId="07DCF233" w14:textId="77777777" w:rsidR="00AE727E" w:rsidRDefault="00AE727E">
            <w:pPr>
              <w:rPr>
                <w:rFonts w:ascii="宋体"/>
              </w:rPr>
            </w:pPr>
          </w:p>
        </w:tc>
        <w:tc>
          <w:tcPr>
            <w:tcW w:w="5" w:type="pct"/>
            <w:shd w:val="clear" w:color="auto" w:fill="auto"/>
            <w:vAlign w:val="bottom"/>
          </w:tcPr>
          <w:p w14:paraId="07DCF234" w14:textId="77777777" w:rsidR="00AE727E" w:rsidRDefault="00AE727E">
            <w:pPr>
              <w:rPr>
                <w:rFonts w:ascii="宋体"/>
              </w:rPr>
            </w:pPr>
          </w:p>
        </w:tc>
        <w:tc>
          <w:tcPr>
            <w:tcW w:w="50" w:type="pct"/>
            <w:shd w:val="clear" w:color="auto" w:fill="auto"/>
            <w:vAlign w:val="bottom"/>
          </w:tcPr>
          <w:p w14:paraId="07DCF235" w14:textId="77777777" w:rsidR="00AE727E" w:rsidRDefault="00AE727E">
            <w:pPr>
              <w:rPr>
                <w:rFonts w:ascii="宋体"/>
              </w:rPr>
            </w:pPr>
          </w:p>
        </w:tc>
        <w:tc>
          <w:tcPr>
            <w:tcW w:w="624" w:type="pct"/>
            <w:shd w:val="clear" w:color="auto" w:fill="auto"/>
            <w:vAlign w:val="bottom"/>
          </w:tcPr>
          <w:p w14:paraId="07DCF236" w14:textId="77777777" w:rsidR="00AE727E" w:rsidRDefault="00AE727E">
            <w:pPr>
              <w:rPr>
                <w:rFonts w:ascii="宋体"/>
              </w:rPr>
            </w:pPr>
          </w:p>
        </w:tc>
        <w:tc>
          <w:tcPr>
            <w:tcW w:w="5" w:type="pct"/>
            <w:shd w:val="clear" w:color="auto" w:fill="auto"/>
            <w:vAlign w:val="bottom"/>
          </w:tcPr>
          <w:p w14:paraId="07DCF237" w14:textId="77777777" w:rsidR="00AE727E" w:rsidRDefault="00AE727E">
            <w:pPr>
              <w:rPr>
                <w:rFonts w:ascii="宋体"/>
              </w:rPr>
            </w:pPr>
          </w:p>
        </w:tc>
        <w:tc>
          <w:tcPr>
            <w:tcW w:w="5" w:type="pct"/>
            <w:shd w:val="clear" w:color="auto" w:fill="auto"/>
            <w:vAlign w:val="bottom"/>
          </w:tcPr>
          <w:p w14:paraId="07DCF238" w14:textId="77777777" w:rsidR="00AE727E" w:rsidRDefault="00AE727E">
            <w:pPr>
              <w:rPr>
                <w:rFonts w:ascii="宋体"/>
              </w:rPr>
            </w:pPr>
          </w:p>
        </w:tc>
        <w:tc>
          <w:tcPr>
            <w:tcW w:w="19" w:type="pct"/>
            <w:shd w:val="clear" w:color="auto" w:fill="auto"/>
            <w:vAlign w:val="bottom"/>
          </w:tcPr>
          <w:p w14:paraId="07DCF239" w14:textId="77777777" w:rsidR="00AE727E" w:rsidRDefault="00AE727E">
            <w:pPr>
              <w:rPr>
                <w:rFonts w:ascii="宋体"/>
              </w:rPr>
            </w:pPr>
          </w:p>
        </w:tc>
        <w:tc>
          <w:tcPr>
            <w:tcW w:w="5" w:type="pct"/>
            <w:shd w:val="clear" w:color="auto" w:fill="auto"/>
            <w:vAlign w:val="bottom"/>
          </w:tcPr>
          <w:p w14:paraId="07DCF23A" w14:textId="77777777" w:rsidR="00AE727E" w:rsidRDefault="00AE727E">
            <w:pPr>
              <w:rPr>
                <w:rFonts w:ascii="宋体"/>
              </w:rPr>
            </w:pPr>
          </w:p>
        </w:tc>
        <w:tc>
          <w:tcPr>
            <w:tcW w:w="50" w:type="pct"/>
            <w:shd w:val="clear" w:color="auto" w:fill="auto"/>
            <w:vAlign w:val="bottom"/>
          </w:tcPr>
          <w:p w14:paraId="07DCF23B" w14:textId="77777777" w:rsidR="00AE727E" w:rsidRDefault="00AE727E">
            <w:pPr>
              <w:rPr>
                <w:rFonts w:ascii="宋体"/>
              </w:rPr>
            </w:pPr>
          </w:p>
        </w:tc>
        <w:tc>
          <w:tcPr>
            <w:tcW w:w="1056" w:type="pct"/>
            <w:shd w:val="clear" w:color="auto" w:fill="auto"/>
            <w:vAlign w:val="bottom"/>
          </w:tcPr>
          <w:p w14:paraId="07DCF23C" w14:textId="77777777" w:rsidR="00AE727E" w:rsidRDefault="00AE727E">
            <w:pPr>
              <w:rPr>
                <w:rFonts w:ascii="宋体"/>
              </w:rPr>
            </w:pPr>
          </w:p>
        </w:tc>
        <w:tc>
          <w:tcPr>
            <w:tcW w:w="5" w:type="pct"/>
            <w:shd w:val="clear" w:color="auto" w:fill="auto"/>
            <w:vAlign w:val="bottom"/>
          </w:tcPr>
          <w:p w14:paraId="07DCF23D" w14:textId="77777777" w:rsidR="00AE727E" w:rsidRDefault="00AE727E">
            <w:pPr>
              <w:rPr>
                <w:rFonts w:ascii="宋体"/>
              </w:rPr>
            </w:pPr>
          </w:p>
        </w:tc>
      </w:tr>
      <w:tr w:rsidR="00AE727E" w14:paraId="07DCF247" w14:textId="77777777">
        <w:trPr>
          <w:jc w:val="center"/>
        </w:trPr>
        <w:tc>
          <w:tcPr>
            <w:tcW w:w="0" w:type="auto"/>
            <w:gridSpan w:val="3"/>
            <w:shd w:val="clear" w:color="auto" w:fill="auto"/>
            <w:tcMar>
              <w:top w:w="0" w:type="dxa"/>
              <w:left w:w="20" w:type="dxa"/>
              <w:bottom w:w="0" w:type="dxa"/>
              <w:right w:w="20" w:type="dxa"/>
            </w:tcMar>
            <w:vAlign w:val="bottom"/>
          </w:tcPr>
          <w:p w14:paraId="07DCF23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4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241"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24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43"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244" w14:textId="77777777" w:rsidR="00AE727E" w:rsidRDefault="008433E0">
            <w:pPr>
              <w:jc w:val="center"/>
              <w:textAlignment w:val="bottom"/>
            </w:pPr>
            <w:r>
              <w:rPr>
                <w:rFonts w:ascii="Times New Roman" w:eastAsia="宋体" w:hAnsi="Times New Roman"/>
                <w:b/>
                <w:bCs/>
                <w:color w:val="000000"/>
                <w:sz w:val="20"/>
                <w:szCs w:val="20"/>
              </w:rPr>
              <w:t>Nine Months Ended</w:t>
            </w:r>
          </w:p>
        </w:tc>
        <w:tc>
          <w:tcPr>
            <w:tcW w:w="0" w:type="auto"/>
            <w:gridSpan w:val="3"/>
            <w:shd w:val="clear" w:color="auto" w:fill="auto"/>
            <w:tcMar>
              <w:top w:w="0" w:type="dxa"/>
              <w:left w:w="20" w:type="dxa"/>
              <w:bottom w:w="0" w:type="dxa"/>
              <w:right w:w="20" w:type="dxa"/>
            </w:tcMar>
            <w:vAlign w:val="bottom"/>
          </w:tcPr>
          <w:p w14:paraId="07DCF24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46" w14:textId="77777777" w:rsidR="00AE727E" w:rsidRDefault="00AE727E">
            <w:pPr>
              <w:rPr>
                <w:rFonts w:ascii="宋体"/>
              </w:rPr>
            </w:pPr>
          </w:p>
        </w:tc>
      </w:tr>
      <w:tr w:rsidR="00AE727E" w14:paraId="07DCF254" w14:textId="77777777">
        <w:trPr>
          <w:jc w:val="center"/>
        </w:trPr>
        <w:tc>
          <w:tcPr>
            <w:tcW w:w="0" w:type="auto"/>
            <w:gridSpan w:val="3"/>
            <w:shd w:val="clear" w:color="auto" w:fill="auto"/>
            <w:tcMar>
              <w:top w:w="0" w:type="dxa"/>
              <w:left w:w="20" w:type="dxa"/>
              <w:bottom w:w="0" w:type="dxa"/>
              <w:right w:w="20" w:type="dxa"/>
            </w:tcMar>
            <w:vAlign w:val="bottom"/>
          </w:tcPr>
          <w:p w14:paraId="07DCF24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49"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24A"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4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4C"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24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4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4F"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5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51"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252"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253" w14:textId="77777777" w:rsidR="00AE727E" w:rsidRDefault="008433E0">
            <w:pPr>
              <w:jc w:val="center"/>
              <w:textAlignment w:val="bottom"/>
            </w:pPr>
            <w:r>
              <w:rPr>
                <w:rFonts w:ascii="Times New Roman" w:eastAsia="宋体" w:hAnsi="Times New Roman"/>
                <w:b/>
                <w:bCs/>
                <w:color w:val="000000"/>
                <w:sz w:val="20"/>
                <w:szCs w:val="20"/>
              </w:rPr>
              <w:t>Location of Gain (Loss) Recognized</w:t>
            </w:r>
          </w:p>
        </w:tc>
      </w:tr>
      <w:tr w:rsidR="00AE727E" w14:paraId="07DCF25A" w14:textId="77777777">
        <w:trPr>
          <w:jc w:val="center"/>
        </w:trPr>
        <w:tc>
          <w:tcPr>
            <w:tcW w:w="0" w:type="auto"/>
            <w:gridSpan w:val="3"/>
            <w:shd w:val="clear" w:color="auto" w:fill="auto"/>
            <w:tcMar>
              <w:top w:w="0" w:type="dxa"/>
              <w:left w:w="20" w:type="dxa"/>
              <w:bottom w:w="0" w:type="dxa"/>
              <w:right w:w="20" w:type="dxa"/>
            </w:tcMar>
            <w:vAlign w:val="bottom"/>
          </w:tcPr>
          <w:p w14:paraId="07DCF25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256" w14:textId="77777777" w:rsidR="00AE727E" w:rsidRDefault="00AE727E">
            <w:pPr>
              <w:rPr>
                <w:rFonts w:ascii="宋体"/>
              </w:rPr>
            </w:pPr>
          </w:p>
        </w:tc>
        <w:tc>
          <w:tcPr>
            <w:tcW w:w="0" w:type="auto"/>
            <w:gridSpan w:val="24"/>
            <w:tcBorders>
              <w:top w:val="single" w:sz="8" w:space="0" w:color="000000"/>
            </w:tcBorders>
            <w:shd w:val="clear" w:color="auto" w:fill="auto"/>
            <w:tcMar>
              <w:top w:w="40" w:type="dxa"/>
              <w:left w:w="20" w:type="dxa"/>
              <w:bottom w:w="40" w:type="dxa"/>
              <w:right w:w="20" w:type="dxa"/>
            </w:tcMar>
            <w:vAlign w:val="bottom"/>
          </w:tcPr>
          <w:p w14:paraId="07DCF257" w14:textId="77777777" w:rsidR="00AE727E" w:rsidRDefault="008433E0">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07DCF258"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59" w14:textId="77777777" w:rsidR="00AE727E" w:rsidRDefault="00AE727E">
            <w:pPr>
              <w:rPr>
                <w:rFonts w:ascii="宋体"/>
              </w:rPr>
            </w:pPr>
          </w:p>
        </w:tc>
      </w:tr>
      <w:tr w:rsidR="00AE727E" w14:paraId="07DCF265" w14:textId="77777777">
        <w:trPr>
          <w:jc w:val="center"/>
        </w:trPr>
        <w:tc>
          <w:tcPr>
            <w:tcW w:w="0" w:type="auto"/>
            <w:gridSpan w:val="9"/>
            <w:shd w:val="clear" w:color="auto" w:fill="CCEEFF"/>
            <w:tcMar>
              <w:top w:w="40" w:type="dxa"/>
              <w:left w:w="20" w:type="dxa"/>
              <w:bottom w:w="40" w:type="dxa"/>
              <w:right w:w="20" w:type="dxa"/>
            </w:tcMar>
            <w:vAlign w:val="bottom"/>
          </w:tcPr>
          <w:p w14:paraId="07DCF25B" w14:textId="77777777" w:rsidR="00AE727E" w:rsidRDefault="008433E0">
            <w:pPr>
              <w:textAlignment w:val="bottom"/>
            </w:pPr>
            <w:r>
              <w:rPr>
                <w:rFonts w:ascii="Times New Roman" w:eastAsia="宋体" w:hAnsi="Times New Roman"/>
                <w:i/>
                <w:iCs/>
                <w:color w:val="000000"/>
                <w:sz w:val="20"/>
                <w:szCs w:val="20"/>
              </w:rPr>
              <w:t>Gain (Loss) Recognized:</w:t>
            </w:r>
          </w:p>
        </w:tc>
        <w:tc>
          <w:tcPr>
            <w:tcW w:w="0" w:type="auto"/>
            <w:gridSpan w:val="3"/>
            <w:shd w:val="clear" w:color="auto" w:fill="CCEEFF"/>
            <w:tcMar>
              <w:top w:w="0" w:type="dxa"/>
              <w:left w:w="20" w:type="dxa"/>
              <w:bottom w:w="0" w:type="dxa"/>
              <w:right w:w="20" w:type="dxa"/>
            </w:tcMar>
            <w:vAlign w:val="bottom"/>
          </w:tcPr>
          <w:p w14:paraId="07DCF25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5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5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6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6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6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6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64" w14:textId="77777777" w:rsidR="00AE727E" w:rsidRDefault="00AE727E">
            <w:pPr>
              <w:rPr>
                <w:rFonts w:ascii="宋体"/>
              </w:rPr>
            </w:pPr>
          </w:p>
        </w:tc>
      </w:tr>
      <w:tr w:rsidR="00AE727E" w14:paraId="07DCF27A" w14:textId="77777777">
        <w:trPr>
          <w:jc w:val="center"/>
        </w:trPr>
        <w:tc>
          <w:tcPr>
            <w:tcW w:w="0" w:type="auto"/>
            <w:gridSpan w:val="3"/>
            <w:shd w:val="clear" w:color="auto" w:fill="FFFFFF"/>
            <w:tcMar>
              <w:top w:w="40" w:type="dxa"/>
              <w:left w:w="20" w:type="dxa"/>
              <w:bottom w:w="40" w:type="dxa"/>
              <w:right w:w="20" w:type="dxa"/>
            </w:tcMar>
            <w:vAlign w:val="bottom"/>
          </w:tcPr>
          <w:p w14:paraId="07DCF266" w14:textId="77777777" w:rsidR="00AE727E" w:rsidRDefault="008433E0">
            <w:pPr>
              <w:textAlignment w:val="bottom"/>
            </w:pPr>
            <w:r>
              <w:rPr>
                <w:rFonts w:ascii="Times New Roman" w:eastAsia="宋体" w:hAnsi="Times New Roman"/>
                <w:color w:val="000000"/>
                <w:sz w:val="20"/>
                <w:szCs w:val="20"/>
              </w:rPr>
              <w:t>Foreign exchange contracts</w:t>
            </w:r>
          </w:p>
        </w:tc>
        <w:tc>
          <w:tcPr>
            <w:tcW w:w="0" w:type="auto"/>
            <w:gridSpan w:val="3"/>
            <w:shd w:val="clear" w:color="auto" w:fill="FFFFFF"/>
            <w:tcMar>
              <w:top w:w="0" w:type="dxa"/>
              <w:left w:w="20" w:type="dxa"/>
              <w:bottom w:w="0" w:type="dxa"/>
              <w:right w:w="20" w:type="dxa"/>
            </w:tcMar>
            <w:vAlign w:val="bottom"/>
          </w:tcPr>
          <w:p w14:paraId="07DCF267"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26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269" w14:textId="77777777" w:rsidR="00AE727E" w:rsidRDefault="008433E0">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left w:w="0" w:type="dxa"/>
              <w:bottom w:w="40" w:type="dxa"/>
              <w:right w:w="20" w:type="dxa"/>
            </w:tcMar>
            <w:vAlign w:val="bottom"/>
          </w:tcPr>
          <w:p w14:paraId="07DCF26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6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26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26D" w14:textId="77777777" w:rsidR="00AE727E" w:rsidRDefault="008433E0">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07DCF26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6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27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27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272" w14:textId="77777777" w:rsidR="00AE727E" w:rsidRDefault="008433E0">
            <w:pPr>
              <w:jc w:val="right"/>
              <w:textAlignment w:val="bottom"/>
            </w:pPr>
            <w:r>
              <w:rPr>
                <w:rFonts w:ascii="Times New Roman" w:eastAsia="宋体" w:hAnsi="Times New Roman"/>
                <w:color w:val="000000"/>
                <w:sz w:val="20"/>
                <w:szCs w:val="20"/>
              </w:rPr>
              <w:t>(242)</w:t>
            </w:r>
          </w:p>
        </w:tc>
        <w:tc>
          <w:tcPr>
            <w:tcW w:w="0" w:type="auto"/>
            <w:shd w:val="clear" w:color="auto" w:fill="FFFFFF"/>
            <w:tcMar>
              <w:top w:w="40" w:type="dxa"/>
              <w:left w:w="0" w:type="dxa"/>
              <w:bottom w:w="40" w:type="dxa"/>
              <w:right w:w="20" w:type="dxa"/>
            </w:tcMar>
            <w:vAlign w:val="bottom"/>
          </w:tcPr>
          <w:p w14:paraId="07DCF27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7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27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276" w14:textId="77777777" w:rsidR="00AE727E" w:rsidRDefault="008433E0">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07DCF2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78"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CF279" w14:textId="77777777" w:rsidR="00AE727E" w:rsidRDefault="008433E0">
            <w:pPr>
              <w:textAlignment w:val="bottom"/>
            </w:pPr>
            <w:r>
              <w:rPr>
                <w:rFonts w:ascii="Times New Roman" w:eastAsia="宋体" w:hAnsi="Times New Roman"/>
                <w:color w:val="000000"/>
                <w:sz w:val="20"/>
                <w:szCs w:val="20"/>
              </w:rPr>
              <w:t>Interest and other, net</w:t>
            </w:r>
          </w:p>
        </w:tc>
      </w:tr>
      <w:tr w:rsidR="00AE727E" w14:paraId="07DCF28B" w14:textId="77777777">
        <w:trPr>
          <w:jc w:val="center"/>
        </w:trPr>
        <w:tc>
          <w:tcPr>
            <w:tcW w:w="0" w:type="auto"/>
            <w:gridSpan w:val="3"/>
            <w:shd w:val="clear" w:color="auto" w:fill="CCEEFF"/>
            <w:tcMar>
              <w:top w:w="40" w:type="dxa"/>
              <w:left w:w="20" w:type="dxa"/>
              <w:bottom w:w="40" w:type="dxa"/>
              <w:right w:w="20" w:type="dxa"/>
            </w:tcMar>
            <w:vAlign w:val="bottom"/>
          </w:tcPr>
          <w:p w14:paraId="07DCF27B" w14:textId="77777777" w:rsidR="00AE727E" w:rsidRDefault="008433E0">
            <w:pPr>
              <w:textAlignment w:val="bottom"/>
            </w:pPr>
            <w:r>
              <w:rPr>
                <w:rFonts w:ascii="Times New Roman" w:eastAsia="宋体" w:hAnsi="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bottom"/>
          </w:tcPr>
          <w:p w14:paraId="07DCF27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27D"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DCF27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27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280"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F28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28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8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284"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F2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28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287" w14:textId="77777777" w:rsidR="00AE727E" w:rsidRDefault="008433E0">
            <w:pPr>
              <w:jc w:val="right"/>
              <w:textAlignment w:val="bottom"/>
            </w:pPr>
            <w:r>
              <w:rPr>
                <w:rFonts w:ascii="Times New Roman" w:eastAsia="宋体" w:hAnsi="Times New Roman"/>
                <w:color w:val="000000"/>
                <w:sz w:val="20"/>
                <w:szCs w:val="20"/>
              </w:rPr>
              <w:t>(43)</w:t>
            </w:r>
          </w:p>
        </w:tc>
        <w:tc>
          <w:tcPr>
            <w:tcW w:w="0" w:type="auto"/>
            <w:shd w:val="clear" w:color="auto" w:fill="CCEEFF"/>
            <w:tcMar>
              <w:top w:w="40" w:type="dxa"/>
              <w:left w:w="0" w:type="dxa"/>
              <w:bottom w:w="40" w:type="dxa"/>
              <w:right w:w="20" w:type="dxa"/>
            </w:tcMar>
            <w:vAlign w:val="bottom"/>
          </w:tcPr>
          <w:p w14:paraId="07DCF28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28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28A" w14:textId="77777777" w:rsidR="00AE727E" w:rsidRDefault="008433E0">
            <w:pPr>
              <w:textAlignment w:val="bottom"/>
            </w:pPr>
            <w:r>
              <w:rPr>
                <w:rFonts w:ascii="Times New Roman" w:eastAsia="宋体" w:hAnsi="Times New Roman"/>
                <w:color w:val="000000"/>
                <w:sz w:val="20"/>
                <w:szCs w:val="20"/>
              </w:rPr>
              <w:t>Interest and other, net</w:t>
            </w:r>
          </w:p>
        </w:tc>
      </w:tr>
      <w:tr w:rsidR="00AE727E" w14:paraId="07DCF2A0" w14:textId="77777777">
        <w:trPr>
          <w:jc w:val="center"/>
        </w:trPr>
        <w:tc>
          <w:tcPr>
            <w:tcW w:w="0" w:type="auto"/>
            <w:gridSpan w:val="3"/>
            <w:shd w:val="clear" w:color="auto" w:fill="FFFFFF"/>
            <w:tcMar>
              <w:top w:w="40" w:type="dxa"/>
              <w:left w:w="155" w:type="dxa"/>
              <w:bottom w:w="40" w:type="dxa"/>
              <w:right w:w="20" w:type="dxa"/>
            </w:tcMar>
            <w:vAlign w:val="bottom"/>
          </w:tcPr>
          <w:p w14:paraId="07DCF28C" w14:textId="77777777" w:rsidR="00AE727E" w:rsidRDefault="008433E0">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07DCF28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28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28F" w14:textId="77777777" w:rsidR="00AE727E" w:rsidRDefault="008433E0">
            <w:pPr>
              <w:jc w:val="right"/>
              <w:textAlignment w:val="bottom"/>
            </w:pPr>
            <w:r>
              <w:rPr>
                <w:rFonts w:ascii="Times New Roman" w:eastAsia="宋体" w:hAnsi="Times New Roman"/>
                <w:color w:val="000000"/>
                <w:sz w:val="20"/>
                <w:szCs w:val="20"/>
              </w:rPr>
              <w:t>(81)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29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9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292"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293" w14:textId="77777777" w:rsidR="00AE727E" w:rsidRDefault="008433E0">
            <w:pPr>
              <w:jc w:val="right"/>
              <w:textAlignment w:val="bottom"/>
            </w:pPr>
            <w:r>
              <w:rPr>
                <w:rFonts w:ascii="Times New Roman" w:eastAsia="宋体" w:hAnsi="Times New Roman"/>
                <w:color w:val="000000"/>
                <w:sz w:val="20"/>
                <w:szCs w:val="20"/>
              </w:rPr>
              <w:t>(126)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29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9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29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29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298" w14:textId="77777777" w:rsidR="00AE727E" w:rsidRDefault="008433E0">
            <w:pPr>
              <w:jc w:val="right"/>
              <w:textAlignment w:val="bottom"/>
            </w:pPr>
            <w:r>
              <w:rPr>
                <w:rFonts w:ascii="Times New Roman" w:eastAsia="宋体" w:hAnsi="Times New Roman"/>
                <w:color w:val="000000"/>
                <w:sz w:val="20"/>
                <w:szCs w:val="20"/>
              </w:rPr>
              <w:t>(241)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29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9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29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29C" w14:textId="77777777" w:rsidR="00AE727E" w:rsidRDefault="008433E0">
            <w:pPr>
              <w:jc w:val="right"/>
              <w:textAlignment w:val="bottom"/>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29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9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29F" w14:textId="77777777" w:rsidR="00AE727E" w:rsidRDefault="00AE727E">
            <w:pPr>
              <w:rPr>
                <w:rFonts w:ascii="宋体"/>
              </w:rPr>
            </w:pPr>
          </w:p>
        </w:tc>
      </w:tr>
    </w:tbl>
    <w:p w14:paraId="07DCF2A1" w14:textId="77777777" w:rsidR="00AE727E" w:rsidRDefault="00AE727E"/>
    <w:p w14:paraId="07DCF2A2" w14:textId="77777777" w:rsidR="00AE727E" w:rsidRDefault="00AE727E">
      <w:pPr>
        <w:jc w:val="center"/>
      </w:pPr>
    </w:p>
    <w:p w14:paraId="07DCF2A3" w14:textId="77777777" w:rsidR="00AE727E" w:rsidRDefault="008433E0">
      <w:pPr>
        <w:jc w:val="center"/>
      </w:pPr>
      <w:r>
        <w:rPr>
          <w:rFonts w:ascii="Times New Roman" w:eastAsia="宋体" w:hAnsi="Times New Roman"/>
          <w:color w:val="000000"/>
          <w:sz w:val="20"/>
          <w:szCs w:val="20"/>
        </w:rPr>
        <w:t>36</w:t>
      </w:r>
    </w:p>
    <w:p w14:paraId="07DCF2A4" w14:textId="77777777" w:rsidR="00AE727E" w:rsidRDefault="00AE727E">
      <w:pPr>
        <w:jc w:val="center"/>
      </w:pPr>
    </w:p>
    <w:p w14:paraId="07DCF2A5" w14:textId="77777777" w:rsidR="00AE727E" w:rsidRDefault="008433E0">
      <w:r>
        <w:pict w14:anchorId="07DD18F4">
          <v:rect id="_x0000_i1060" style="width:415.3pt;height:1.5pt" o:hralign="center" o:hrstd="t" o:hr="t" fillcolor="#a0a0a0" stroked="f"/>
        </w:pict>
      </w:r>
    </w:p>
    <w:p w14:paraId="07DCF2A6" w14:textId="77777777" w:rsidR="00AE727E" w:rsidRDefault="008433E0">
      <w:hyperlink r:id="rId161" w:anchor="i1c8279be622a460ea19600488436f115_10" w:history="1">
        <w:r>
          <w:rPr>
            <w:rStyle w:val="a5"/>
            <w:rFonts w:ascii="Times New Roman" w:eastAsia="宋体" w:hAnsi="Times New Roman"/>
            <w:sz w:val="20"/>
            <w:szCs w:val="20"/>
          </w:rPr>
          <w:t>Table of Contents</w:t>
        </w:r>
      </w:hyperlink>
    </w:p>
    <w:p w14:paraId="07DCF2A7"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2A8"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2A9"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2AA" w14:textId="77777777" w:rsidR="00AE727E" w:rsidRDefault="00AE727E">
      <w:pPr>
        <w:jc w:val="center"/>
      </w:pPr>
    </w:p>
    <w:p w14:paraId="07DCF2AB" w14:textId="77777777" w:rsidR="00AE727E" w:rsidRDefault="008433E0">
      <w:r>
        <w:rPr>
          <w:rFonts w:ascii="Times New Roman" w:eastAsia="宋体" w:hAnsi="Times New Roman"/>
          <w:i/>
          <w:iCs/>
          <w:color w:val="000000"/>
          <w:sz w:val="20"/>
          <w:szCs w:val="20"/>
          <w:u w:val="single"/>
        </w:rPr>
        <w:t>Fair Value of Derivative Ins</w:t>
      </w:r>
      <w:r>
        <w:rPr>
          <w:rFonts w:ascii="Times New Roman" w:eastAsia="宋体" w:hAnsi="Times New Roman"/>
          <w:i/>
          <w:iCs/>
          <w:color w:val="000000"/>
          <w:sz w:val="20"/>
          <w:szCs w:val="20"/>
          <w:u w:val="single"/>
        </w:rPr>
        <w:t>truments in the Condensed Consolidated Statements of Financial Position</w:t>
      </w:r>
    </w:p>
    <w:p w14:paraId="07DCF2AC" w14:textId="77777777" w:rsidR="00AE727E" w:rsidRDefault="00AE727E"/>
    <w:p w14:paraId="07DCF2AD" w14:textId="77777777" w:rsidR="00AE727E" w:rsidRDefault="008433E0">
      <w:pPr>
        <w:spacing w:after="60"/>
      </w:pPr>
      <w:r>
        <w:rPr>
          <w:rFonts w:ascii="Times New Roman" w:eastAsia="宋体" w:hAnsi="Times New Roman"/>
          <w:color w:val="000000"/>
          <w:sz w:val="20"/>
          <w:szCs w:val="20"/>
        </w:rPr>
        <w:t xml:space="preserve">The Company presents its foreign exchange derivative instruments on a net basis in the Condensed Consolidated Statements of Financial Position due to the right of offset by its </w:t>
      </w:r>
      <w:r>
        <w:rPr>
          <w:rFonts w:ascii="Times New Roman" w:eastAsia="宋体" w:hAnsi="Times New Roman"/>
          <w:color w:val="000000"/>
          <w:sz w:val="20"/>
          <w:szCs w:val="20"/>
        </w:rPr>
        <w:t>counterparties under master netting arrangements. The following tables present the fair value of those derivative instruments presented on a gross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11"/>
        <w:gridCol w:w="37"/>
        <w:gridCol w:w="121"/>
        <w:gridCol w:w="664"/>
        <w:gridCol w:w="36"/>
        <w:gridCol w:w="36"/>
        <w:gridCol w:w="36"/>
        <w:gridCol w:w="36"/>
        <w:gridCol w:w="121"/>
        <w:gridCol w:w="664"/>
        <w:gridCol w:w="36"/>
        <w:gridCol w:w="36"/>
        <w:gridCol w:w="36"/>
        <w:gridCol w:w="36"/>
        <w:gridCol w:w="121"/>
        <w:gridCol w:w="803"/>
        <w:gridCol w:w="36"/>
        <w:gridCol w:w="36"/>
        <w:gridCol w:w="36"/>
        <w:gridCol w:w="36"/>
        <w:gridCol w:w="121"/>
        <w:gridCol w:w="1043"/>
        <w:gridCol w:w="36"/>
        <w:gridCol w:w="36"/>
        <w:gridCol w:w="36"/>
        <w:gridCol w:w="36"/>
        <w:gridCol w:w="121"/>
        <w:gridCol w:w="559"/>
        <w:gridCol w:w="36"/>
      </w:tblGrid>
      <w:tr w:rsidR="00AE727E" w14:paraId="07DCF2CC" w14:textId="77777777">
        <w:tc>
          <w:tcPr>
            <w:tcW w:w="50" w:type="pct"/>
            <w:shd w:val="clear" w:color="auto" w:fill="auto"/>
            <w:vAlign w:val="bottom"/>
          </w:tcPr>
          <w:p w14:paraId="07DCF2AE" w14:textId="77777777" w:rsidR="00AE727E" w:rsidRDefault="00AE727E">
            <w:pPr>
              <w:rPr>
                <w:rFonts w:ascii="宋体"/>
              </w:rPr>
            </w:pPr>
          </w:p>
        </w:tc>
        <w:tc>
          <w:tcPr>
            <w:tcW w:w="2159" w:type="pct"/>
            <w:shd w:val="clear" w:color="auto" w:fill="auto"/>
            <w:vAlign w:val="bottom"/>
          </w:tcPr>
          <w:p w14:paraId="07DCF2AF" w14:textId="77777777" w:rsidR="00AE727E" w:rsidRDefault="00AE727E">
            <w:pPr>
              <w:rPr>
                <w:rFonts w:ascii="宋体"/>
              </w:rPr>
            </w:pPr>
          </w:p>
        </w:tc>
        <w:tc>
          <w:tcPr>
            <w:tcW w:w="5" w:type="pct"/>
            <w:shd w:val="clear" w:color="auto" w:fill="auto"/>
            <w:vAlign w:val="bottom"/>
          </w:tcPr>
          <w:p w14:paraId="07DCF2B0" w14:textId="77777777" w:rsidR="00AE727E" w:rsidRDefault="00AE727E">
            <w:pPr>
              <w:rPr>
                <w:rFonts w:ascii="宋体"/>
              </w:rPr>
            </w:pPr>
          </w:p>
        </w:tc>
        <w:tc>
          <w:tcPr>
            <w:tcW w:w="50" w:type="pct"/>
            <w:shd w:val="clear" w:color="auto" w:fill="auto"/>
            <w:vAlign w:val="bottom"/>
          </w:tcPr>
          <w:p w14:paraId="07DCF2B1" w14:textId="77777777" w:rsidR="00AE727E" w:rsidRDefault="00AE727E">
            <w:pPr>
              <w:rPr>
                <w:rFonts w:ascii="宋体"/>
              </w:rPr>
            </w:pPr>
          </w:p>
        </w:tc>
        <w:tc>
          <w:tcPr>
            <w:tcW w:w="478" w:type="pct"/>
            <w:shd w:val="clear" w:color="auto" w:fill="auto"/>
            <w:vAlign w:val="bottom"/>
          </w:tcPr>
          <w:p w14:paraId="07DCF2B2" w14:textId="77777777" w:rsidR="00AE727E" w:rsidRDefault="00AE727E">
            <w:pPr>
              <w:rPr>
                <w:rFonts w:ascii="宋体"/>
              </w:rPr>
            </w:pPr>
          </w:p>
        </w:tc>
        <w:tc>
          <w:tcPr>
            <w:tcW w:w="5" w:type="pct"/>
            <w:shd w:val="clear" w:color="auto" w:fill="auto"/>
            <w:vAlign w:val="bottom"/>
          </w:tcPr>
          <w:p w14:paraId="07DCF2B3" w14:textId="77777777" w:rsidR="00AE727E" w:rsidRDefault="00AE727E">
            <w:pPr>
              <w:rPr>
                <w:rFonts w:ascii="宋体"/>
              </w:rPr>
            </w:pPr>
          </w:p>
        </w:tc>
        <w:tc>
          <w:tcPr>
            <w:tcW w:w="5" w:type="pct"/>
            <w:shd w:val="clear" w:color="auto" w:fill="auto"/>
            <w:vAlign w:val="bottom"/>
          </w:tcPr>
          <w:p w14:paraId="07DCF2B4" w14:textId="77777777" w:rsidR="00AE727E" w:rsidRDefault="00AE727E">
            <w:pPr>
              <w:rPr>
                <w:rFonts w:ascii="宋体"/>
              </w:rPr>
            </w:pPr>
          </w:p>
        </w:tc>
        <w:tc>
          <w:tcPr>
            <w:tcW w:w="19" w:type="pct"/>
            <w:shd w:val="clear" w:color="auto" w:fill="auto"/>
            <w:vAlign w:val="bottom"/>
          </w:tcPr>
          <w:p w14:paraId="07DCF2B5" w14:textId="77777777" w:rsidR="00AE727E" w:rsidRDefault="00AE727E">
            <w:pPr>
              <w:rPr>
                <w:rFonts w:ascii="宋体"/>
              </w:rPr>
            </w:pPr>
          </w:p>
        </w:tc>
        <w:tc>
          <w:tcPr>
            <w:tcW w:w="5" w:type="pct"/>
            <w:shd w:val="clear" w:color="auto" w:fill="auto"/>
            <w:vAlign w:val="bottom"/>
          </w:tcPr>
          <w:p w14:paraId="07DCF2B6" w14:textId="77777777" w:rsidR="00AE727E" w:rsidRDefault="00AE727E">
            <w:pPr>
              <w:rPr>
                <w:rFonts w:ascii="宋体"/>
              </w:rPr>
            </w:pPr>
          </w:p>
        </w:tc>
        <w:tc>
          <w:tcPr>
            <w:tcW w:w="50" w:type="pct"/>
            <w:shd w:val="clear" w:color="auto" w:fill="auto"/>
            <w:vAlign w:val="bottom"/>
          </w:tcPr>
          <w:p w14:paraId="07DCF2B7" w14:textId="77777777" w:rsidR="00AE727E" w:rsidRDefault="00AE727E">
            <w:pPr>
              <w:rPr>
                <w:rFonts w:ascii="宋体"/>
              </w:rPr>
            </w:pPr>
          </w:p>
        </w:tc>
        <w:tc>
          <w:tcPr>
            <w:tcW w:w="478" w:type="pct"/>
            <w:shd w:val="clear" w:color="auto" w:fill="auto"/>
            <w:vAlign w:val="bottom"/>
          </w:tcPr>
          <w:p w14:paraId="07DCF2B8" w14:textId="77777777" w:rsidR="00AE727E" w:rsidRDefault="00AE727E">
            <w:pPr>
              <w:rPr>
                <w:rFonts w:ascii="宋体"/>
              </w:rPr>
            </w:pPr>
          </w:p>
        </w:tc>
        <w:tc>
          <w:tcPr>
            <w:tcW w:w="5" w:type="pct"/>
            <w:shd w:val="clear" w:color="auto" w:fill="auto"/>
            <w:vAlign w:val="bottom"/>
          </w:tcPr>
          <w:p w14:paraId="07DCF2B9" w14:textId="77777777" w:rsidR="00AE727E" w:rsidRDefault="00AE727E">
            <w:pPr>
              <w:rPr>
                <w:rFonts w:ascii="宋体"/>
              </w:rPr>
            </w:pPr>
          </w:p>
        </w:tc>
        <w:tc>
          <w:tcPr>
            <w:tcW w:w="5" w:type="pct"/>
            <w:shd w:val="clear" w:color="auto" w:fill="auto"/>
            <w:vAlign w:val="bottom"/>
          </w:tcPr>
          <w:p w14:paraId="07DCF2BA" w14:textId="77777777" w:rsidR="00AE727E" w:rsidRDefault="00AE727E">
            <w:pPr>
              <w:rPr>
                <w:rFonts w:ascii="宋体"/>
              </w:rPr>
            </w:pPr>
          </w:p>
        </w:tc>
        <w:tc>
          <w:tcPr>
            <w:tcW w:w="19" w:type="pct"/>
            <w:shd w:val="clear" w:color="auto" w:fill="auto"/>
            <w:vAlign w:val="bottom"/>
          </w:tcPr>
          <w:p w14:paraId="07DCF2BB" w14:textId="77777777" w:rsidR="00AE727E" w:rsidRDefault="00AE727E">
            <w:pPr>
              <w:rPr>
                <w:rFonts w:ascii="宋体"/>
              </w:rPr>
            </w:pPr>
          </w:p>
        </w:tc>
        <w:tc>
          <w:tcPr>
            <w:tcW w:w="5" w:type="pct"/>
            <w:shd w:val="clear" w:color="auto" w:fill="auto"/>
            <w:vAlign w:val="bottom"/>
          </w:tcPr>
          <w:p w14:paraId="07DCF2BC" w14:textId="77777777" w:rsidR="00AE727E" w:rsidRDefault="00AE727E">
            <w:pPr>
              <w:rPr>
                <w:rFonts w:ascii="宋体"/>
              </w:rPr>
            </w:pPr>
          </w:p>
        </w:tc>
        <w:tc>
          <w:tcPr>
            <w:tcW w:w="50" w:type="pct"/>
            <w:shd w:val="clear" w:color="auto" w:fill="auto"/>
            <w:vAlign w:val="bottom"/>
          </w:tcPr>
          <w:p w14:paraId="07DCF2BD" w14:textId="77777777" w:rsidR="00AE727E" w:rsidRDefault="00AE727E">
            <w:pPr>
              <w:rPr>
                <w:rFonts w:ascii="宋体"/>
              </w:rPr>
            </w:pPr>
          </w:p>
        </w:tc>
        <w:tc>
          <w:tcPr>
            <w:tcW w:w="478" w:type="pct"/>
            <w:shd w:val="clear" w:color="auto" w:fill="auto"/>
            <w:vAlign w:val="bottom"/>
          </w:tcPr>
          <w:p w14:paraId="07DCF2BE" w14:textId="77777777" w:rsidR="00AE727E" w:rsidRDefault="00AE727E">
            <w:pPr>
              <w:rPr>
                <w:rFonts w:ascii="宋体"/>
              </w:rPr>
            </w:pPr>
          </w:p>
        </w:tc>
        <w:tc>
          <w:tcPr>
            <w:tcW w:w="5" w:type="pct"/>
            <w:shd w:val="clear" w:color="auto" w:fill="auto"/>
            <w:vAlign w:val="bottom"/>
          </w:tcPr>
          <w:p w14:paraId="07DCF2BF" w14:textId="77777777" w:rsidR="00AE727E" w:rsidRDefault="00AE727E">
            <w:pPr>
              <w:rPr>
                <w:rFonts w:ascii="宋体"/>
              </w:rPr>
            </w:pPr>
          </w:p>
        </w:tc>
        <w:tc>
          <w:tcPr>
            <w:tcW w:w="5" w:type="pct"/>
            <w:shd w:val="clear" w:color="auto" w:fill="auto"/>
            <w:vAlign w:val="bottom"/>
          </w:tcPr>
          <w:p w14:paraId="07DCF2C0" w14:textId="77777777" w:rsidR="00AE727E" w:rsidRDefault="00AE727E">
            <w:pPr>
              <w:rPr>
                <w:rFonts w:ascii="宋体"/>
              </w:rPr>
            </w:pPr>
          </w:p>
        </w:tc>
        <w:tc>
          <w:tcPr>
            <w:tcW w:w="19" w:type="pct"/>
            <w:shd w:val="clear" w:color="auto" w:fill="auto"/>
            <w:vAlign w:val="bottom"/>
          </w:tcPr>
          <w:p w14:paraId="07DCF2C1" w14:textId="77777777" w:rsidR="00AE727E" w:rsidRDefault="00AE727E">
            <w:pPr>
              <w:rPr>
                <w:rFonts w:ascii="宋体"/>
              </w:rPr>
            </w:pPr>
          </w:p>
        </w:tc>
        <w:tc>
          <w:tcPr>
            <w:tcW w:w="5" w:type="pct"/>
            <w:shd w:val="clear" w:color="auto" w:fill="auto"/>
            <w:vAlign w:val="bottom"/>
          </w:tcPr>
          <w:p w14:paraId="07DCF2C2" w14:textId="77777777" w:rsidR="00AE727E" w:rsidRDefault="00AE727E">
            <w:pPr>
              <w:rPr>
                <w:rFonts w:ascii="宋体"/>
              </w:rPr>
            </w:pPr>
          </w:p>
        </w:tc>
        <w:tc>
          <w:tcPr>
            <w:tcW w:w="50" w:type="pct"/>
            <w:shd w:val="clear" w:color="auto" w:fill="auto"/>
            <w:vAlign w:val="bottom"/>
          </w:tcPr>
          <w:p w14:paraId="07DCF2C3" w14:textId="77777777" w:rsidR="00AE727E" w:rsidRDefault="00AE727E">
            <w:pPr>
              <w:rPr>
                <w:rFonts w:ascii="宋体"/>
              </w:rPr>
            </w:pPr>
          </w:p>
        </w:tc>
        <w:tc>
          <w:tcPr>
            <w:tcW w:w="478" w:type="pct"/>
            <w:shd w:val="clear" w:color="auto" w:fill="auto"/>
            <w:vAlign w:val="bottom"/>
          </w:tcPr>
          <w:p w14:paraId="07DCF2C4" w14:textId="77777777" w:rsidR="00AE727E" w:rsidRDefault="00AE727E">
            <w:pPr>
              <w:rPr>
                <w:rFonts w:ascii="宋体"/>
              </w:rPr>
            </w:pPr>
          </w:p>
        </w:tc>
        <w:tc>
          <w:tcPr>
            <w:tcW w:w="5" w:type="pct"/>
            <w:shd w:val="clear" w:color="auto" w:fill="auto"/>
            <w:vAlign w:val="bottom"/>
          </w:tcPr>
          <w:p w14:paraId="07DCF2C5" w14:textId="77777777" w:rsidR="00AE727E" w:rsidRDefault="00AE727E">
            <w:pPr>
              <w:rPr>
                <w:rFonts w:ascii="宋体"/>
              </w:rPr>
            </w:pPr>
          </w:p>
        </w:tc>
        <w:tc>
          <w:tcPr>
            <w:tcW w:w="5" w:type="pct"/>
            <w:shd w:val="clear" w:color="auto" w:fill="auto"/>
            <w:vAlign w:val="bottom"/>
          </w:tcPr>
          <w:p w14:paraId="07DCF2C6" w14:textId="77777777" w:rsidR="00AE727E" w:rsidRDefault="00AE727E">
            <w:pPr>
              <w:rPr>
                <w:rFonts w:ascii="宋体"/>
              </w:rPr>
            </w:pPr>
          </w:p>
        </w:tc>
        <w:tc>
          <w:tcPr>
            <w:tcW w:w="19" w:type="pct"/>
            <w:shd w:val="clear" w:color="auto" w:fill="auto"/>
            <w:vAlign w:val="bottom"/>
          </w:tcPr>
          <w:p w14:paraId="07DCF2C7" w14:textId="77777777" w:rsidR="00AE727E" w:rsidRDefault="00AE727E">
            <w:pPr>
              <w:rPr>
                <w:rFonts w:ascii="宋体"/>
              </w:rPr>
            </w:pPr>
          </w:p>
        </w:tc>
        <w:tc>
          <w:tcPr>
            <w:tcW w:w="5" w:type="pct"/>
            <w:shd w:val="clear" w:color="auto" w:fill="auto"/>
            <w:vAlign w:val="bottom"/>
          </w:tcPr>
          <w:p w14:paraId="07DCF2C8" w14:textId="77777777" w:rsidR="00AE727E" w:rsidRDefault="00AE727E">
            <w:pPr>
              <w:rPr>
                <w:rFonts w:ascii="宋体"/>
              </w:rPr>
            </w:pPr>
          </w:p>
        </w:tc>
        <w:tc>
          <w:tcPr>
            <w:tcW w:w="50" w:type="pct"/>
            <w:shd w:val="clear" w:color="auto" w:fill="auto"/>
            <w:vAlign w:val="bottom"/>
          </w:tcPr>
          <w:p w14:paraId="07DCF2C9" w14:textId="77777777" w:rsidR="00AE727E" w:rsidRDefault="00AE727E">
            <w:pPr>
              <w:rPr>
                <w:rFonts w:ascii="宋体"/>
              </w:rPr>
            </w:pPr>
          </w:p>
        </w:tc>
        <w:tc>
          <w:tcPr>
            <w:tcW w:w="478" w:type="pct"/>
            <w:shd w:val="clear" w:color="auto" w:fill="auto"/>
            <w:vAlign w:val="bottom"/>
          </w:tcPr>
          <w:p w14:paraId="07DCF2CA" w14:textId="77777777" w:rsidR="00AE727E" w:rsidRDefault="00AE727E">
            <w:pPr>
              <w:rPr>
                <w:rFonts w:ascii="宋体"/>
              </w:rPr>
            </w:pPr>
          </w:p>
        </w:tc>
        <w:tc>
          <w:tcPr>
            <w:tcW w:w="5" w:type="pct"/>
            <w:shd w:val="clear" w:color="auto" w:fill="auto"/>
            <w:vAlign w:val="bottom"/>
          </w:tcPr>
          <w:p w14:paraId="07DCF2CB" w14:textId="77777777" w:rsidR="00AE727E" w:rsidRDefault="00AE727E">
            <w:pPr>
              <w:rPr>
                <w:rFonts w:ascii="宋体"/>
              </w:rPr>
            </w:pPr>
          </w:p>
        </w:tc>
      </w:tr>
      <w:tr w:rsidR="00AE727E" w14:paraId="07DCF2CF" w14:textId="77777777">
        <w:tc>
          <w:tcPr>
            <w:tcW w:w="0" w:type="auto"/>
            <w:gridSpan w:val="3"/>
            <w:shd w:val="clear" w:color="auto" w:fill="auto"/>
            <w:tcMar>
              <w:top w:w="40" w:type="dxa"/>
              <w:left w:w="20" w:type="dxa"/>
              <w:bottom w:w="40" w:type="dxa"/>
              <w:right w:w="20" w:type="dxa"/>
            </w:tcMar>
            <w:vAlign w:val="bottom"/>
          </w:tcPr>
          <w:p w14:paraId="07DCF2CD"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DCF2CE"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F2DA" w14:textId="77777777">
        <w:tc>
          <w:tcPr>
            <w:tcW w:w="0" w:type="auto"/>
            <w:gridSpan w:val="3"/>
            <w:shd w:val="clear" w:color="auto" w:fill="auto"/>
            <w:tcMar>
              <w:top w:w="40" w:type="dxa"/>
              <w:left w:w="20" w:type="dxa"/>
              <w:bottom w:w="40" w:type="dxa"/>
              <w:right w:w="20" w:type="dxa"/>
            </w:tcMar>
            <w:vAlign w:val="bottom"/>
          </w:tcPr>
          <w:p w14:paraId="07DCF2D0"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2D1" w14:textId="77777777" w:rsidR="00AE727E" w:rsidRDefault="008433E0">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D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D3" w14:textId="77777777" w:rsidR="00AE727E" w:rsidRDefault="008433E0">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D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D5" w14:textId="77777777" w:rsidR="00AE727E" w:rsidRDefault="008433E0">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D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D7" w14:textId="77777777" w:rsidR="00AE727E" w:rsidRDefault="008433E0">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2D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2D9" w14:textId="77777777" w:rsidR="00AE727E" w:rsidRDefault="008433E0">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AE727E" w14:paraId="07DCF2DD" w14:textId="77777777">
        <w:tc>
          <w:tcPr>
            <w:tcW w:w="0" w:type="auto"/>
            <w:gridSpan w:val="3"/>
            <w:shd w:val="clear" w:color="auto" w:fill="auto"/>
            <w:tcMar>
              <w:top w:w="40" w:type="dxa"/>
              <w:left w:w="20" w:type="dxa"/>
              <w:bottom w:w="40" w:type="dxa"/>
              <w:right w:w="20" w:type="dxa"/>
            </w:tcMar>
            <w:vAlign w:val="center"/>
          </w:tcPr>
          <w:p w14:paraId="07DCF2DB"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07DCF2DC"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2E8" w14:textId="77777777">
        <w:tc>
          <w:tcPr>
            <w:tcW w:w="0" w:type="auto"/>
            <w:gridSpan w:val="3"/>
            <w:shd w:val="clear" w:color="auto" w:fill="CCEEFF"/>
            <w:tcMar>
              <w:top w:w="40" w:type="dxa"/>
              <w:left w:w="20" w:type="dxa"/>
              <w:bottom w:w="40" w:type="dxa"/>
              <w:right w:w="20" w:type="dxa"/>
            </w:tcMar>
            <w:vAlign w:val="center"/>
          </w:tcPr>
          <w:p w14:paraId="07DCF2DE" w14:textId="77777777" w:rsidR="00AE727E" w:rsidRDefault="008433E0">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07DCF2D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2E7" w14:textId="77777777" w:rsidR="00AE727E" w:rsidRDefault="00AE727E">
            <w:pPr>
              <w:rPr>
                <w:rFonts w:ascii="宋体"/>
              </w:rPr>
            </w:pPr>
          </w:p>
        </w:tc>
      </w:tr>
      <w:tr w:rsidR="00AE727E" w14:paraId="07DCF2FD" w14:textId="77777777">
        <w:tc>
          <w:tcPr>
            <w:tcW w:w="0" w:type="auto"/>
            <w:gridSpan w:val="3"/>
            <w:shd w:val="clear" w:color="auto" w:fill="FFFFFF"/>
            <w:tcMar>
              <w:top w:w="40" w:type="dxa"/>
              <w:left w:w="20" w:type="dxa"/>
              <w:bottom w:w="40" w:type="dxa"/>
              <w:right w:w="20" w:type="dxa"/>
            </w:tcMar>
            <w:vAlign w:val="center"/>
          </w:tcPr>
          <w:p w14:paraId="07DCF2E9" w14:textId="77777777" w:rsidR="00AE727E" w:rsidRDefault="008433E0">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center"/>
          </w:tcPr>
          <w:p w14:paraId="07DCF2E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2EB" w14:textId="77777777" w:rsidR="00AE727E" w:rsidRDefault="008433E0">
            <w:pPr>
              <w:jc w:val="right"/>
              <w:textAlignment w:val="center"/>
            </w:pPr>
            <w:r>
              <w:rPr>
                <w:rFonts w:ascii="Times New Roman" w:eastAsia="宋体" w:hAnsi="Times New Roman"/>
                <w:color w:val="000000"/>
                <w:sz w:val="20"/>
                <w:szCs w:val="20"/>
              </w:rPr>
              <w:t>112 </w:t>
            </w:r>
          </w:p>
        </w:tc>
        <w:tc>
          <w:tcPr>
            <w:tcW w:w="0" w:type="auto"/>
            <w:shd w:val="clear" w:color="auto" w:fill="FFFFFF"/>
            <w:tcMar>
              <w:top w:w="40" w:type="dxa"/>
              <w:left w:w="0" w:type="dxa"/>
              <w:bottom w:w="40" w:type="dxa"/>
              <w:right w:w="20" w:type="dxa"/>
            </w:tcMar>
            <w:vAlign w:val="center"/>
          </w:tcPr>
          <w:p w14:paraId="07DCF2E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ED"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2E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2EF"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2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F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2F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2F3"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DCF2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F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2F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2F7"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2F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2F9"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2F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2FB" w14:textId="77777777" w:rsidR="00AE727E" w:rsidRDefault="008433E0">
            <w:pPr>
              <w:jc w:val="right"/>
              <w:textAlignment w:val="center"/>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center"/>
          </w:tcPr>
          <w:p w14:paraId="07DCF2FC" w14:textId="77777777" w:rsidR="00AE727E" w:rsidRDefault="00AE727E">
            <w:pPr>
              <w:jc w:val="right"/>
              <w:rPr>
                <w:rFonts w:ascii="宋体"/>
              </w:rPr>
            </w:pPr>
          </w:p>
        </w:tc>
      </w:tr>
      <w:tr w:rsidR="00AE727E" w14:paraId="07DCF30D" w14:textId="77777777">
        <w:tc>
          <w:tcPr>
            <w:tcW w:w="0" w:type="auto"/>
            <w:gridSpan w:val="3"/>
            <w:shd w:val="clear" w:color="auto" w:fill="CCEEFF"/>
            <w:tcMar>
              <w:top w:w="40" w:type="dxa"/>
              <w:left w:w="20" w:type="dxa"/>
              <w:bottom w:w="40" w:type="dxa"/>
              <w:right w:w="20" w:type="dxa"/>
            </w:tcMar>
            <w:vAlign w:val="center"/>
          </w:tcPr>
          <w:p w14:paraId="07DCF2FE" w14:textId="77777777" w:rsidR="00AE727E" w:rsidRDefault="008433E0">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07DCF2FF" w14:textId="77777777" w:rsidR="00AE727E" w:rsidRDefault="008433E0">
            <w:pPr>
              <w:jc w:val="right"/>
              <w:textAlignment w:val="center"/>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center"/>
          </w:tcPr>
          <w:p w14:paraId="07DCF3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0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0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0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05" w14:textId="77777777" w:rsidR="00AE727E" w:rsidRDefault="008433E0">
            <w:pPr>
              <w:jc w:val="right"/>
              <w:textAlignment w:val="center"/>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center"/>
          </w:tcPr>
          <w:p w14:paraId="07DCF30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0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08"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0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0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0B" w14:textId="77777777" w:rsidR="00AE727E" w:rsidRDefault="008433E0">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07DCF30C" w14:textId="77777777" w:rsidR="00AE727E" w:rsidRDefault="00AE727E">
            <w:pPr>
              <w:jc w:val="right"/>
              <w:rPr>
                <w:rFonts w:ascii="宋体"/>
              </w:rPr>
            </w:pPr>
          </w:p>
        </w:tc>
      </w:tr>
      <w:tr w:rsidR="00AE727E" w14:paraId="07DCF31D" w14:textId="77777777">
        <w:tc>
          <w:tcPr>
            <w:tcW w:w="0" w:type="auto"/>
            <w:gridSpan w:val="3"/>
            <w:shd w:val="clear" w:color="auto" w:fill="FFFFFF"/>
            <w:tcMar>
              <w:top w:w="40" w:type="dxa"/>
              <w:left w:w="155" w:type="dxa"/>
              <w:bottom w:w="40" w:type="dxa"/>
              <w:right w:w="20" w:type="dxa"/>
            </w:tcMar>
            <w:vAlign w:val="center"/>
          </w:tcPr>
          <w:p w14:paraId="07DCF30E" w14:textId="77777777" w:rsidR="00AE727E" w:rsidRDefault="008433E0">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0F" w14:textId="77777777" w:rsidR="00AE727E" w:rsidRDefault="008433E0">
            <w:pPr>
              <w:jc w:val="right"/>
              <w:textAlignment w:val="center"/>
            </w:pPr>
            <w:r>
              <w:rPr>
                <w:rFonts w:ascii="Times New Roman" w:eastAsia="宋体" w:hAnsi="Times New Roman"/>
                <w:color w:val="000000"/>
                <w:sz w:val="20"/>
                <w:szCs w:val="20"/>
              </w:rPr>
              <w:t>93 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11"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12"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1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14"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15" w14:textId="77777777" w:rsidR="00AE727E" w:rsidRDefault="008433E0">
            <w:pPr>
              <w:jc w:val="right"/>
              <w:textAlignment w:val="center"/>
            </w:pPr>
            <w:r>
              <w:rPr>
                <w:rFonts w:ascii="Times New Roman" w:eastAsia="宋体" w:hAnsi="Times New Roman"/>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1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17"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18"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1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1A"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1B" w14:textId="77777777" w:rsidR="00AE727E" w:rsidRDefault="008433E0">
            <w:pPr>
              <w:jc w:val="right"/>
              <w:textAlignment w:val="center"/>
            </w:pPr>
            <w:r>
              <w:rPr>
                <w:rFonts w:ascii="Times New Roman" w:eastAsia="宋体" w:hAnsi="Times New Roman"/>
                <w:color w:val="000000"/>
                <w:sz w:val="20"/>
                <w:szCs w:val="20"/>
              </w:rPr>
              <w:t>89 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1C" w14:textId="77777777" w:rsidR="00AE727E" w:rsidRDefault="00AE727E">
            <w:pPr>
              <w:jc w:val="right"/>
              <w:rPr>
                <w:rFonts w:ascii="宋体"/>
              </w:rPr>
            </w:pPr>
          </w:p>
        </w:tc>
      </w:tr>
      <w:tr w:rsidR="00AE727E" w14:paraId="07DCF328" w14:textId="77777777">
        <w:tc>
          <w:tcPr>
            <w:tcW w:w="0" w:type="auto"/>
            <w:gridSpan w:val="3"/>
            <w:shd w:val="clear" w:color="auto" w:fill="CCEEFF"/>
            <w:tcMar>
              <w:top w:w="40" w:type="dxa"/>
              <w:left w:w="20" w:type="dxa"/>
              <w:bottom w:w="40" w:type="dxa"/>
              <w:right w:w="20" w:type="dxa"/>
            </w:tcMar>
            <w:vAlign w:val="center"/>
          </w:tcPr>
          <w:p w14:paraId="07DCF31E" w14:textId="77777777" w:rsidR="00AE727E" w:rsidRDefault="008433E0">
            <w:pPr>
              <w:textAlignment w:val="center"/>
            </w:pPr>
            <w:r>
              <w:rPr>
                <w:rFonts w:ascii="Times New Roman" w:eastAsia="宋体"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31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20"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32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22"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32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24"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32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2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327" w14:textId="77777777" w:rsidR="00AE727E" w:rsidRDefault="00AE727E">
            <w:pPr>
              <w:rPr>
                <w:rFonts w:ascii="宋体"/>
              </w:rPr>
            </w:pPr>
          </w:p>
        </w:tc>
      </w:tr>
      <w:tr w:rsidR="00AE727E" w14:paraId="07DCF338" w14:textId="77777777">
        <w:tc>
          <w:tcPr>
            <w:tcW w:w="0" w:type="auto"/>
            <w:gridSpan w:val="3"/>
            <w:shd w:val="clear" w:color="auto" w:fill="FFFFFF"/>
            <w:tcMar>
              <w:top w:w="40" w:type="dxa"/>
              <w:left w:w="20" w:type="dxa"/>
              <w:bottom w:w="40" w:type="dxa"/>
              <w:right w:w="20" w:type="dxa"/>
            </w:tcMar>
            <w:vAlign w:val="center"/>
          </w:tcPr>
          <w:p w14:paraId="07DCF329" w14:textId="77777777" w:rsidR="00AE727E" w:rsidRDefault="008433E0">
            <w:pPr>
              <w:textAlignment w:val="center"/>
            </w:pPr>
            <w:r>
              <w:rPr>
                <w:rFonts w:ascii="Times New Roman" w:eastAsia="宋体" w:hAnsi="Times New Roman"/>
                <w:color w:val="000000"/>
                <w:sz w:val="20"/>
                <w:szCs w:val="20"/>
              </w:rPr>
              <w:t xml:space="preserve">Foreign exchange contracts in an asset </w:t>
            </w:r>
            <w:r>
              <w:rPr>
                <w:rFonts w:ascii="Times New Roman" w:eastAsia="宋体" w:hAnsi="Times New Roman"/>
                <w:color w:val="000000"/>
                <w:sz w:val="20"/>
                <w:szCs w:val="20"/>
              </w:rPr>
              <w:t>position</w:t>
            </w:r>
          </w:p>
        </w:tc>
        <w:tc>
          <w:tcPr>
            <w:tcW w:w="0" w:type="auto"/>
            <w:gridSpan w:val="2"/>
            <w:shd w:val="clear" w:color="auto" w:fill="FFFFFF"/>
            <w:tcMar>
              <w:top w:w="40" w:type="dxa"/>
              <w:left w:w="20" w:type="dxa"/>
              <w:bottom w:w="40" w:type="dxa"/>
              <w:right w:w="0" w:type="dxa"/>
            </w:tcMar>
            <w:vAlign w:val="center"/>
          </w:tcPr>
          <w:p w14:paraId="07DCF32A" w14:textId="77777777" w:rsidR="00AE727E" w:rsidRDefault="008433E0">
            <w:pPr>
              <w:jc w:val="right"/>
              <w:textAlignment w:val="center"/>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center"/>
          </w:tcPr>
          <w:p w14:paraId="07DCF32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2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2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2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2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30" w14:textId="77777777" w:rsidR="00AE727E" w:rsidRDefault="008433E0">
            <w:pPr>
              <w:jc w:val="right"/>
              <w:textAlignment w:val="center"/>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center"/>
          </w:tcPr>
          <w:p w14:paraId="07DCF33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3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3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3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36" w14:textId="77777777" w:rsidR="00AE727E" w:rsidRDefault="008433E0">
            <w:pPr>
              <w:jc w:val="right"/>
              <w:textAlignment w:val="center"/>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center"/>
          </w:tcPr>
          <w:p w14:paraId="07DCF337" w14:textId="77777777" w:rsidR="00AE727E" w:rsidRDefault="00AE727E">
            <w:pPr>
              <w:jc w:val="right"/>
              <w:rPr>
                <w:rFonts w:ascii="宋体"/>
              </w:rPr>
            </w:pPr>
          </w:p>
        </w:tc>
      </w:tr>
      <w:tr w:rsidR="00AE727E" w14:paraId="07DCF348" w14:textId="77777777">
        <w:tc>
          <w:tcPr>
            <w:tcW w:w="0" w:type="auto"/>
            <w:gridSpan w:val="3"/>
            <w:shd w:val="clear" w:color="auto" w:fill="CCEEFF"/>
            <w:tcMar>
              <w:top w:w="40" w:type="dxa"/>
              <w:left w:w="20" w:type="dxa"/>
              <w:bottom w:w="40" w:type="dxa"/>
              <w:right w:w="20" w:type="dxa"/>
            </w:tcMar>
            <w:vAlign w:val="center"/>
          </w:tcPr>
          <w:p w14:paraId="07DCF339" w14:textId="77777777" w:rsidR="00AE727E" w:rsidRDefault="008433E0">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07DCF33A" w14:textId="77777777" w:rsidR="00AE727E" w:rsidRDefault="008433E0">
            <w:pPr>
              <w:jc w:val="right"/>
              <w:textAlignment w:val="center"/>
            </w:pPr>
            <w:r>
              <w:rPr>
                <w:rFonts w:ascii="Times New Roman" w:eastAsia="宋体" w:hAnsi="Times New Roman"/>
                <w:color w:val="000000"/>
                <w:sz w:val="20"/>
                <w:szCs w:val="20"/>
              </w:rPr>
              <w:t>(159)</w:t>
            </w:r>
          </w:p>
        </w:tc>
        <w:tc>
          <w:tcPr>
            <w:tcW w:w="0" w:type="auto"/>
            <w:shd w:val="clear" w:color="auto" w:fill="CCEEFF"/>
            <w:tcMar>
              <w:top w:w="40" w:type="dxa"/>
              <w:left w:w="0" w:type="dxa"/>
              <w:bottom w:w="40" w:type="dxa"/>
              <w:right w:w="20" w:type="dxa"/>
            </w:tcMar>
            <w:vAlign w:val="center"/>
          </w:tcPr>
          <w:p w14:paraId="07DCF33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3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3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3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3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40" w14:textId="77777777" w:rsidR="00AE727E" w:rsidRDefault="008433E0">
            <w:pPr>
              <w:jc w:val="right"/>
              <w:textAlignment w:val="center"/>
            </w:pPr>
            <w:r>
              <w:rPr>
                <w:rFonts w:ascii="Times New Roman" w:eastAsia="宋体" w:hAnsi="Times New Roman"/>
                <w:color w:val="000000"/>
                <w:sz w:val="20"/>
                <w:szCs w:val="20"/>
              </w:rPr>
              <w:t>(82)</w:t>
            </w:r>
          </w:p>
        </w:tc>
        <w:tc>
          <w:tcPr>
            <w:tcW w:w="0" w:type="auto"/>
            <w:shd w:val="clear" w:color="auto" w:fill="CCEEFF"/>
            <w:tcMar>
              <w:top w:w="40" w:type="dxa"/>
              <w:left w:w="0" w:type="dxa"/>
              <w:bottom w:w="40" w:type="dxa"/>
              <w:right w:w="20" w:type="dxa"/>
            </w:tcMar>
            <w:vAlign w:val="center"/>
          </w:tcPr>
          <w:p w14:paraId="07DCF34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4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43" w14:textId="77777777" w:rsidR="00AE727E" w:rsidRDefault="008433E0">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center"/>
          </w:tcPr>
          <w:p w14:paraId="07DCF34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4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46" w14:textId="77777777" w:rsidR="00AE727E" w:rsidRDefault="008433E0">
            <w:pPr>
              <w:jc w:val="right"/>
              <w:textAlignment w:val="center"/>
            </w:pPr>
            <w:r>
              <w:rPr>
                <w:rFonts w:ascii="Times New Roman" w:eastAsia="宋体" w:hAnsi="Times New Roman"/>
                <w:color w:val="000000"/>
                <w:sz w:val="20"/>
                <w:szCs w:val="20"/>
              </w:rPr>
              <w:t>(248)</w:t>
            </w:r>
          </w:p>
        </w:tc>
        <w:tc>
          <w:tcPr>
            <w:tcW w:w="0" w:type="auto"/>
            <w:shd w:val="clear" w:color="auto" w:fill="CCEEFF"/>
            <w:tcMar>
              <w:top w:w="40" w:type="dxa"/>
              <w:left w:w="0" w:type="dxa"/>
              <w:bottom w:w="40" w:type="dxa"/>
              <w:right w:w="20" w:type="dxa"/>
            </w:tcMar>
            <w:vAlign w:val="center"/>
          </w:tcPr>
          <w:p w14:paraId="07DCF347" w14:textId="77777777" w:rsidR="00AE727E" w:rsidRDefault="00AE727E">
            <w:pPr>
              <w:jc w:val="right"/>
              <w:rPr>
                <w:rFonts w:ascii="宋体"/>
              </w:rPr>
            </w:pPr>
          </w:p>
        </w:tc>
      </w:tr>
      <w:tr w:rsidR="00AE727E" w14:paraId="07DCF358" w14:textId="77777777">
        <w:tc>
          <w:tcPr>
            <w:tcW w:w="0" w:type="auto"/>
            <w:gridSpan w:val="3"/>
            <w:shd w:val="clear" w:color="auto" w:fill="FFFFFF"/>
            <w:tcMar>
              <w:top w:w="40" w:type="dxa"/>
              <w:left w:w="20" w:type="dxa"/>
              <w:bottom w:w="40" w:type="dxa"/>
              <w:right w:w="20" w:type="dxa"/>
            </w:tcMar>
            <w:vAlign w:val="center"/>
          </w:tcPr>
          <w:p w14:paraId="07DCF349" w14:textId="77777777" w:rsidR="00AE727E" w:rsidRDefault="008433E0">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07DCF34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4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4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4D"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CF34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4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5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5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5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5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5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5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56"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CF357" w14:textId="77777777" w:rsidR="00AE727E" w:rsidRDefault="00AE727E">
            <w:pPr>
              <w:jc w:val="right"/>
              <w:rPr>
                <w:rFonts w:ascii="宋体"/>
              </w:rPr>
            </w:pPr>
          </w:p>
        </w:tc>
      </w:tr>
      <w:tr w:rsidR="00AE727E" w14:paraId="07DCF368" w14:textId="77777777">
        <w:tc>
          <w:tcPr>
            <w:tcW w:w="0" w:type="auto"/>
            <w:gridSpan w:val="3"/>
            <w:shd w:val="clear" w:color="auto" w:fill="CCEEFF"/>
            <w:tcMar>
              <w:top w:w="40" w:type="dxa"/>
              <w:left w:w="20" w:type="dxa"/>
              <w:bottom w:w="40" w:type="dxa"/>
              <w:right w:w="20" w:type="dxa"/>
            </w:tcMar>
            <w:vAlign w:val="center"/>
          </w:tcPr>
          <w:p w14:paraId="07DCF359" w14:textId="77777777" w:rsidR="00AE727E" w:rsidRDefault="008433E0">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07DCF35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5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5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5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5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5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6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6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63" w14:textId="77777777" w:rsidR="00AE727E" w:rsidRDefault="008433E0">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center"/>
          </w:tcPr>
          <w:p w14:paraId="07DCF36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6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66" w14:textId="77777777" w:rsidR="00AE727E" w:rsidRDefault="008433E0">
            <w:pPr>
              <w:jc w:val="right"/>
              <w:textAlignment w:val="center"/>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center"/>
          </w:tcPr>
          <w:p w14:paraId="07DCF367" w14:textId="77777777" w:rsidR="00AE727E" w:rsidRDefault="00AE727E">
            <w:pPr>
              <w:jc w:val="right"/>
              <w:rPr>
                <w:rFonts w:ascii="宋体"/>
              </w:rPr>
            </w:pPr>
          </w:p>
        </w:tc>
      </w:tr>
      <w:tr w:rsidR="00AE727E" w14:paraId="07DCF378" w14:textId="77777777">
        <w:tc>
          <w:tcPr>
            <w:tcW w:w="0" w:type="auto"/>
            <w:gridSpan w:val="3"/>
            <w:shd w:val="clear" w:color="auto" w:fill="FFFFFF"/>
            <w:tcMar>
              <w:top w:w="40" w:type="dxa"/>
              <w:left w:w="155" w:type="dxa"/>
              <w:bottom w:w="40" w:type="dxa"/>
              <w:right w:w="20" w:type="dxa"/>
            </w:tcMar>
            <w:vAlign w:val="center"/>
          </w:tcPr>
          <w:p w14:paraId="07DCF369" w14:textId="77777777" w:rsidR="00AE727E" w:rsidRDefault="008433E0">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6A" w14:textId="77777777" w:rsidR="00AE727E" w:rsidRDefault="008433E0">
            <w:pPr>
              <w:jc w:val="right"/>
              <w:textAlignment w:val="center"/>
            </w:pPr>
            <w:r>
              <w:rPr>
                <w:rFonts w:ascii="Times New Roman" w:eastAsia="宋体" w:hAnsi="Times New Roman"/>
                <w:color w:val="000000"/>
                <w:sz w:val="20"/>
                <w:szCs w:val="20"/>
              </w:rPr>
              <w:t>85 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6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6C"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6D" w14:textId="77777777" w:rsidR="00AE727E" w:rsidRDefault="008433E0">
            <w:pPr>
              <w:jc w:val="right"/>
              <w:textAlignment w:val="center"/>
            </w:pPr>
            <w:r>
              <w:rPr>
                <w:rFonts w:ascii="Times New Roman" w:eastAsia="宋体" w:hAnsi="Times New Roman"/>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6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6F"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70" w14:textId="77777777" w:rsidR="00AE727E" w:rsidRDefault="008433E0">
            <w:pPr>
              <w:jc w:val="right"/>
              <w:textAlignment w:val="center"/>
            </w:pPr>
            <w:r>
              <w:rPr>
                <w:rFonts w:ascii="Times New Roman" w:eastAsia="宋体" w:hAnsi="Times New Roman"/>
                <w:color w:val="000000"/>
                <w:sz w:val="20"/>
                <w:szCs w:val="20"/>
              </w:rPr>
              <w:t>(57)</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7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72"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73" w14:textId="77777777" w:rsidR="00AE727E" w:rsidRDefault="008433E0">
            <w:pPr>
              <w:jc w:val="right"/>
              <w:textAlignment w:val="center"/>
            </w:pPr>
            <w:r>
              <w:rPr>
                <w:rFonts w:ascii="Times New Roman" w:eastAsia="宋体" w:hAnsi="Times New Roman"/>
                <w:color w:val="000000"/>
                <w:sz w:val="20"/>
                <w:szCs w:val="20"/>
              </w:rPr>
              <w:t>(39)</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7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7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376" w14:textId="77777777" w:rsidR="00AE727E" w:rsidRDefault="008433E0">
            <w:pPr>
              <w:jc w:val="right"/>
              <w:textAlignment w:val="center"/>
            </w:pPr>
            <w:r>
              <w:rPr>
                <w:rFonts w:ascii="Times New Roman" w:eastAsia="宋体" w:hAnsi="Times New Roman"/>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377" w14:textId="77777777" w:rsidR="00AE727E" w:rsidRDefault="00AE727E">
            <w:pPr>
              <w:jc w:val="right"/>
              <w:rPr>
                <w:rFonts w:ascii="宋体"/>
              </w:rPr>
            </w:pPr>
          </w:p>
        </w:tc>
      </w:tr>
      <w:tr w:rsidR="00AE727E" w14:paraId="07DCF38D" w14:textId="77777777">
        <w:tc>
          <w:tcPr>
            <w:tcW w:w="0" w:type="auto"/>
            <w:gridSpan w:val="3"/>
            <w:shd w:val="clear" w:color="auto" w:fill="CCEEFF"/>
            <w:tcMar>
              <w:top w:w="40" w:type="dxa"/>
              <w:left w:w="245" w:type="dxa"/>
              <w:bottom w:w="40" w:type="dxa"/>
              <w:right w:w="20" w:type="dxa"/>
            </w:tcMar>
            <w:vAlign w:val="center"/>
          </w:tcPr>
          <w:p w14:paraId="07DCF379" w14:textId="77777777" w:rsidR="00AE727E" w:rsidRDefault="008433E0">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CF37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37B" w14:textId="77777777" w:rsidR="00AE727E" w:rsidRDefault="008433E0">
            <w:pPr>
              <w:jc w:val="right"/>
              <w:textAlignment w:val="center"/>
            </w:pPr>
            <w:r>
              <w:rPr>
                <w:rFonts w:ascii="Times New Roman" w:eastAsia="宋体" w:hAnsi="Times New Roman"/>
                <w:color w:val="000000"/>
                <w:sz w:val="20"/>
                <w:szCs w:val="20"/>
              </w:rPr>
              <w:t>178 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37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7D"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37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37F" w14:textId="77777777" w:rsidR="00AE727E" w:rsidRDefault="008433E0">
            <w:pPr>
              <w:jc w:val="right"/>
              <w:textAlignment w:val="center"/>
            </w:pPr>
            <w:r>
              <w:rPr>
                <w:rFonts w:ascii="Times New Roman" w:eastAsia="宋体" w:hAnsi="Times New Roman"/>
                <w:color w:val="000000"/>
                <w:sz w:val="20"/>
                <w:szCs w:val="20"/>
              </w:rPr>
              <w:t>17 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38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81"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38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383" w14:textId="77777777" w:rsidR="00AE727E" w:rsidRDefault="008433E0">
            <w:pPr>
              <w:jc w:val="right"/>
              <w:textAlignment w:val="center"/>
            </w:pPr>
            <w:r>
              <w:rPr>
                <w:rFonts w:ascii="Times New Roman" w:eastAsia="宋体" w:hAnsi="Times New Roman"/>
                <w:color w:val="000000"/>
                <w:sz w:val="20"/>
                <w:szCs w:val="20"/>
              </w:rPr>
              <w:t>(61)</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38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8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38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387" w14:textId="77777777" w:rsidR="00AE727E" w:rsidRDefault="008433E0">
            <w:pPr>
              <w:jc w:val="right"/>
              <w:textAlignment w:val="center"/>
            </w:pPr>
            <w:r>
              <w:rPr>
                <w:rFonts w:ascii="Times New Roman" w:eastAsia="宋体" w:hAnsi="Times New Roman"/>
                <w:color w:val="000000"/>
                <w:sz w:val="20"/>
                <w:szCs w:val="20"/>
              </w:rPr>
              <w:t>(39)</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38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89"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38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38B" w14:textId="77777777" w:rsidR="00AE727E" w:rsidRDefault="008433E0">
            <w:pPr>
              <w:jc w:val="right"/>
              <w:textAlignment w:val="center"/>
            </w:pPr>
            <w:r>
              <w:rPr>
                <w:rFonts w:ascii="Times New Roman" w:eastAsia="宋体" w:hAnsi="Times New Roman"/>
                <w:color w:val="000000"/>
                <w:sz w:val="20"/>
                <w:szCs w:val="20"/>
              </w:rPr>
              <w:t>95 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38C" w14:textId="77777777" w:rsidR="00AE727E" w:rsidRDefault="00AE727E">
            <w:pPr>
              <w:jc w:val="right"/>
              <w:rPr>
                <w:rFonts w:ascii="宋体"/>
              </w:rPr>
            </w:pPr>
          </w:p>
        </w:tc>
      </w:tr>
      <w:tr w:rsidR="00AE727E" w14:paraId="07DCF398" w14:textId="77777777">
        <w:trPr>
          <w:trHeight w:val="280"/>
        </w:trPr>
        <w:tc>
          <w:tcPr>
            <w:tcW w:w="0" w:type="auto"/>
            <w:gridSpan w:val="3"/>
            <w:shd w:val="clear" w:color="auto" w:fill="auto"/>
            <w:tcMar>
              <w:top w:w="0" w:type="dxa"/>
              <w:left w:w="20" w:type="dxa"/>
              <w:bottom w:w="0" w:type="dxa"/>
              <w:right w:w="20" w:type="dxa"/>
            </w:tcMar>
            <w:vAlign w:val="bottom"/>
          </w:tcPr>
          <w:p w14:paraId="07DCF38E"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38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390"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391"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392"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39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394"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39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396"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397" w14:textId="77777777" w:rsidR="00AE727E" w:rsidRDefault="00AE727E">
            <w:pPr>
              <w:rPr>
                <w:rFonts w:ascii="宋体"/>
              </w:rPr>
            </w:pPr>
          </w:p>
        </w:tc>
      </w:tr>
      <w:tr w:rsidR="00AE727E" w14:paraId="07DCF39B" w14:textId="77777777">
        <w:tc>
          <w:tcPr>
            <w:tcW w:w="0" w:type="auto"/>
            <w:gridSpan w:val="3"/>
            <w:shd w:val="clear" w:color="auto" w:fill="auto"/>
            <w:tcMar>
              <w:top w:w="40" w:type="dxa"/>
              <w:left w:w="20" w:type="dxa"/>
              <w:bottom w:w="40" w:type="dxa"/>
              <w:right w:w="20" w:type="dxa"/>
            </w:tcMar>
            <w:vAlign w:val="bottom"/>
          </w:tcPr>
          <w:p w14:paraId="07DCF399"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DCF39A"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3A6" w14:textId="77777777">
        <w:tc>
          <w:tcPr>
            <w:tcW w:w="0" w:type="auto"/>
            <w:gridSpan w:val="3"/>
            <w:shd w:val="clear" w:color="auto" w:fill="auto"/>
            <w:tcMar>
              <w:top w:w="40" w:type="dxa"/>
              <w:left w:w="20" w:type="dxa"/>
              <w:bottom w:w="40" w:type="dxa"/>
              <w:right w:w="20" w:type="dxa"/>
            </w:tcMar>
            <w:vAlign w:val="bottom"/>
          </w:tcPr>
          <w:p w14:paraId="07DCF39C"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39D" w14:textId="77777777" w:rsidR="00AE727E" w:rsidRDefault="008433E0">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39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39F" w14:textId="77777777" w:rsidR="00AE727E" w:rsidRDefault="008433E0">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3A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3A1" w14:textId="77777777" w:rsidR="00AE727E" w:rsidRDefault="008433E0">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3A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3A3" w14:textId="77777777" w:rsidR="00AE727E" w:rsidRDefault="008433E0">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3A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3A5" w14:textId="77777777" w:rsidR="00AE727E" w:rsidRDefault="008433E0">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AE727E" w14:paraId="07DCF3A9" w14:textId="77777777">
        <w:tc>
          <w:tcPr>
            <w:tcW w:w="0" w:type="auto"/>
            <w:gridSpan w:val="3"/>
            <w:shd w:val="clear" w:color="auto" w:fill="auto"/>
            <w:tcMar>
              <w:top w:w="40" w:type="dxa"/>
              <w:left w:w="20" w:type="dxa"/>
              <w:bottom w:w="40" w:type="dxa"/>
              <w:right w:w="20" w:type="dxa"/>
            </w:tcMar>
            <w:vAlign w:val="center"/>
          </w:tcPr>
          <w:p w14:paraId="07DCF3A7"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07DCF3A8"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3B4" w14:textId="77777777">
        <w:tc>
          <w:tcPr>
            <w:tcW w:w="0" w:type="auto"/>
            <w:gridSpan w:val="3"/>
            <w:shd w:val="clear" w:color="auto" w:fill="CCEEFF"/>
            <w:tcMar>
              <w:top w:w="40" w:type="dxa"/>
              <w:left w:w="20" w:type="dxa"/>
              <w:bottom w:w="40" w:type="dxa"/>
              <w:right w:w="20" w:type="dxa"/>
            </w:tcMar>
            <w:vAlign w:val="center"/>
          </w:tcPr>
          <w:p w14:paraId="07DCF3AA" w14:textId="77777777" w:rsidR="00AE727E" w:rsidRDefault="008433E0">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07DCF3A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A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A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A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A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B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B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B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3B3" w14:textId="77777777" w:rsidR="00AE727E" w:rsidRDefault="00AE727E">
            <w:pPr>
              <w:rPr>
                <w:rFonts w:ascii="宋体"/>
              </w:rPr>
            </w:pPr>
          </w:p>
        </w:tc>
      </w:tr>
      <w:tr w:rsidR="00AE727E" w14:paraId="07DCF3C9" w14:textId="77777777">
        <w:tc>
          <w:tcPr>
            <w:tcW w:w="0" w:type="auto"/>
            <w:gridSpan w:val="3"/>
            <w:shd w:val="clear" w:color="auto" w:fill="FFFFFF"/>
            <w:tcMar>
              <w:top w:w="40" w:type="dxa"/>
              <w:left w:w="20" w:type="dxa"/>
              <w:bottom w:w="40" w:type="dxa"/>
              <w:right w:w="20" w:type="dxa"/>
            </w:tcMar>
            <w:vAlign w:val="center"/>
          </w:tcPr>
          <w:p w14:paraId="07DCF3B5" w14:textId="77777777" w:rsidR="00AE727E" w:rsidRDefault="008433E0">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center"/>
          </w:tcPr>
          <w:p w14:paraId="07DCF3B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3B7" w14:textId="77777777" w:rsidR="00AE727E" w:rsidRDefault="008433E0">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07DCF3B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B9"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3B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3B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B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BD"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3B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3BF" w14:textId="77777777" w:rsidR="00AE727E" w:rsidRDefault="008433E0">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07DCF3C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C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3C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3C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C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C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3C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3C7" w14:textId="77777777" w:rsidR="00AE727E" w:rsidRDefault="008433E0">
            <w:pPr>
              <w:jc w:val="right"/>
              <w:textAlignment w:val="center"/>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center"/>
          </w:tcPr>
          <w:p w14:paraId="07DCF3C8" w14:textId="77777777" w:rsidR="00AE727E" w:rsidRDefault="00AE727E">
            <w:pPr>
              <w:jc w:val="right"/>
              <w:rPr>
                <w:rFonts w:ascii="宋体"/>
              </w:rPr>
            </w:pPr>
          </w:p>
        </w:tc>
      </w:tr>
      <w:tr w:rsidR="00AE727E" w14:paraId="07DCF3D9" w14:textId="77777777">
        <w:tc>
          <w:tcPr>
            <w:tcW w:w="0" w:type="auto"/>
            <w:gridSpan w:val="3"/>
            <w:shd w:val="clear" w:color="auto" w:fill="CCEEFF"/>
            <w:tcMar>
              <w:top w:w="40" w:type="dxa"/>
              <w:left w:w="20" w:type="dxa"/>
              <w:bottom w:w="40" w:type="dxa"/>
              <w:right w:w="20" w:type="dxa"/>
            </w:tcMar>
            <w:vAlign w:val="center"/>
          </w:tcPr>
          <w:p w14:paraId="07DCF3CA" w14:textId="77777777" w:rsidR="00AE727E" w:rsidRDefault="008433E0">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07DCF3CB" w14:textId="77777777" w:rsidR="00AE727E" w:rsidRDefault="008433E0">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07DCF3C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C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CE"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C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D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D1" w14:textId="77777777" w:rsidR="00AE727E" w:rsidRDefault="008433E0">
            <w:pPr>
              <w:jc w:val="right"/>
              <w:textAlignment w:val="center"/>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center"/>
          </w:tcPr>
          <w:p w14:paraId="07DCF3D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D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D4"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3D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D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3D7" w14:textId="77777777" w:rsidR="00AE727E" w:rsidRDefault="008433E0">
            <w:pPr>
              <w:jc w:val="right"/>
              <w:textAlignment w:val="center"/>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center"/>
          </w:tcPr>
          <w:p w14:paraId="07DCF3D8" w14:textId="77777777" w:rsidR="00AE727E" w:rsidRDefault="00AE727E">
            <w:pPr>
              <w:jc w:val="right"/>
              <w:rPr>
                <w:rFonts w:ascii="宋体"/>
              </w:rPr>
            </w:pPr>
          </w:p>
        </w:tc>
      </w:tr>
      <w:tr w:rsidR="00AE727E" w14:paraId="07DCF3E9" w14:textId="77777777">
        <w:tc>
          <w:tcPr>
            <w:tcW w:w="0" w:type="auto"/>
            <w:gridSpan w:val="3"/>
            <w:shd w:val="clear" w:color="auto" w:fill="FFFFFF"/>
            <w:tcMar>
              <w:top w:w="40" w:type="dxa"/>
              <w:left w:w="155" w:type="dxa"/>
              <w:bottom w:w="40" w:type="dxa"/>
              <w:right w:w="20" w:type="dxa"/>
            </w:tcMar>
            <w:vAlign w:val="center"/>
          </w:tcPr>
          <w:p w14:paraId="07DCF3DA" w14:textId="77777777" w:rsidR="00AE727E" w:rsidRDefault="008433E0">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7DCF3DB" w14:textId="77777777" w:rsidR="00AE727E" w:rsidRDefault="008433E0">
            <w:pPr>
              <w:jc w:val="right"/>
              <w:textAlignment w:val="center"/>
            </w:pPr>
            <w:r>
              <w:rPr>
                <w:rFonts w:ascii="Times New Roman" w:eastAsia="宋体" w:hAnsi="Times New Roman"/>
                <w:color w:val="000000"/>
                <w:sz w:val="20"/>
                <w:szCs w:val="20"/>
              </w:rPr>
              <w:t>18 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7DCF3D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DD" w14:textId="77777777" w:rsidR="00AE727E" w:rsidRDefault="00AE727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7DCF3DE"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7DCF3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E0" w14:textId="77777777" w:rsidR="00AE727E" w:rsidRDefault="00AE727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7DCF3E1" w14:textId="77777777" w:rsidR="00AE727E" w:rsidRDefault="008433E0">
            <w:pPr>
              <w:jc w:val="right"/>
              <w:textAlignment w:val="center"/>
            </w:pPr>
            <w:r>
              <w:rPr>
                <w:rFonts w:ascii="Times New Roman" w:eastAsia="宋体" w:hAnsi="Times New Roman"/>
                <w:color w:val="000000"/>
                <w:sz w:val="20"/>
                <w:szCs w:val="20"/>
              </w:rPr>
              <w:t>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7DCF3E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E3" w14:textId="77777777" w:rsidR="00AE727E" w:rsidRDefault="00AE727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7DCF3E4" w14:textId="77777777" w:rsidR="00AE727E" w:rsidRDefault="008433E0">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7DCF3E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E6" w14:textId="77777777" w:rsidR="00AE727E" w:rsidRDefault="00AE727E">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07DCF3E7" w14:textId="77777777" w:rsidR="00AE727E" w:rsidRDefault="008433E0">
            <w:pPr>
              <w:jc w:val="right"/>
              <w:textAlignment w:val="center"/>
            </w:pPr>
            <w:r>
              <w:rPr>
                <w:rFonts w:ascii="Times New Roman" w:eastAsia="宋体" w:hAnsi="Times New Roman"/>
                <w:color w:val="000000"/>
                <w:sz w:val="20"/>
                <w:szCs w:val="20"/>
              </w:rPr>
              <w:t>21 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07DCF3E8" w14:textId="77777777" w:rsidR="00AE727E" w:rsidRDefault="00AE727E">
            <w:pPr>
              <w:jc w:val="right"/>
              <w:rPr>
                <w:rFonts w:ascii="宋体"/>
              </w:rPr>
            </w:pPr>
          </w:p>
        </w:tc>
      </w:tr>
      <w:tr w:rsidR="00AE727E" w14:paraId="07DCF3EB" w14:textId="77777777">
        <w:tc>
          <w:tcPr>
            <w:tcW w:w="0" w:type="auto"/>
            <w:gridSpan w:val="30"/>
            <w:shd w:val="clear" w:color="auto" w:fill="CCEEFF"/>
            <w:tcMar>
              <w:top w:w="40" w:type="dxa"/>
              <w:left w:w="20" w:type="dxa"/>
              <w:bottom w:w="40" w:type="dxa"/>
              <w:right w:w="20" w:type="dxa"/>
            </w:tcMar>
            <w:vAlign w:val="center"/>
          </w:tcPr>
          <w:p w14:paraId="07DCF3EA" w14:textId="77777777" w:rsidR="00AE727E" w:rsidRDefault="008433E0">
            <w:pPr>
              <w:textAlignment w:val="center"/>
            </w:pPr>
            <w:r>
              <w:rPr>
                <w:rFonts w:ascii="Times New Roman" w:eastAsia="宋体" w:hAnsi="Times New Roman"/>
                <w:i/>
                <w:iCs/>
                <w:color w:val="000000"/>
                <w:sz w:val="20"/>
                <w:szCs w:val="20"/>
              </w:rPr>
              <w:t>Derivatives not designated as hedging instruments:</w:t>
            </w:r>
          </w:p>
        </w:tc>
      </w:tr>
      <w:tr w:rsidR="00AE727E" w14:paraId="07DCF3FB" w14:textId="77777777">
        <w:tc>
          <w:tcPr>
            <w:tcW w:w="0" w:type="auto"/>
            <w:gridSpan w:val="3"/>
            <w:shd w:val="clear" w:color="auto" w:fill="FFFFFF"/>
            <w:tcMar>
              <w:top w:w="40" w:type="dxa"/>
              <w:left w:w="20" w:type="dxa"/>
              <w:bottom w:w="40" w:type="dxa"/>
              <w:right w:w="20" w:type="dxa"/>
            </w:tcMar>
            <w:vAlign w:val="center"/>
          </w:tcPr>
          <w:p w14:paraId="07DCF3EC" w14:textId="77777777" w:rsidR="00AE727E" w:rsidRDefault="008433E0">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07DCF3ED" w14:textId="77777777" w:rsidR="00AE727E" w:rsidRDefault="008433E0">
            <w:pPr>
              <w:jc w:val="right"/>
              <w:textAlignment w:val="center"/>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center"/>
          </w:tcPr>
          <w:p w14:paraId="07DCF3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E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F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F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F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F3" w14:textId="77777777" w:rsidR="00AE727E" w:rsidRDefault="008433E0">
            <w:pPr>
              <w:jc w:val="right"/>
              <w:textAlignment w:val="center"/>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center"/>
          </w:tcPr>
          <w:p w14:paraId="07DCF3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F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F6"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3F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3F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3F9" w14:textId="77777777" w:rsidR="00AE727E" w:rsidRDefault="008433E0">
            <w:pPr>
              <w:jc w:val="right"/>
              <w:textAlignment w:val="center"/>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center"/>
          </w:tcPr>
          <w:p w14:paraId="07DCF3FA" w14:textId="77777777" w:rsidR="00AE727E" w:rsidRDefault="00AE727E">
            <w:pPr>
              <w:jc w:val="right"/>
              <w:rPr>
                <w:rFonts w:ascii="宋体"/>
              </w:rPr>
            </w:pPr>
          </w:p>
        </w:tc>
      </w:tr>
      <w:tr w:rsidR="00AE727E" w14:paraId="07DCF40B" w14:textId="77777777">
        <w:tc>
          <w:tcPr>
            <w:tcW w:w="0" w:type="auto"/>
            <w:gridSpan w:val="3"/>
            <w:shd w:val="clear" w:color="auto" w:fill="CCEEFF"/>
            <w:tcMar>
              <w:top w:w="40" w:type="dxa"/>
              <w:left w:w="20" w:type="dxa"/>
              <w:bottom w:w="40" w:type="dxa"/>
              <w:right w:w="20" w:type="dxa"/>
            </w:tcMar>
            <w:vAlign w:val="center"/>
          </w:tcPr>
          <w:p w14:paraId="07DCF3FC" w14:textId="77777777" w:rsidR="00AE727E" w:rsidRDefault="008433E0">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07DCF3FD" w14:textId="77777777" w:rsidR="00AE727E" w:rsidRDefault="008433E0">
            <w:pPr>
              <w:jc w:val="right"/>
              <w:textAlignment w:val="center"/>
            </w:pPr>
            <w:r>
              <w:rPr>
                <w:rFonts w:ascii="Times New Roman" w:eastAsia="宋体" w:hAnsi="Times New Roman"/>
                <w:color w:val="000000"/>
                <w:sz w:val="20"/>
                <w:szCs w:val="20"/>
              </w:rPr>
              <w:t>(108)</w:t>
            </w:r>
          </w:p>
        </w:tc>
        <w:tc>
          <w:tcPr>
            <w:tcW w:w="0" w:type="auto"/>
            <w:shd w:val="clear" w:color="auto" w:fill="CCEEFF"/>
            <w:tcMar>
              <w:top w:w="40" w:type="dxa"/>
              <w:left w:w="0" w:type="dxa"/>
              <w:bottom w:w="40" w:type="dxa"/>
              <w:right w:w="20" w:type="dxa"/>
            </w:tcMar>
            <w:vAlign w:val="center"/>
          </w:tcPr>
          <w:p w14:paraId="07DCF3F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3F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0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40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0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03" w14:textId="77777777" w:rsidR="00AE727E" w:rsidRDefault="008433E0">
            <w:pPr>
              <w:jc w:val="right"/>
              <w:textAlignment w:val="center"/>
            </w:pPr>
            <w:r>
              <w:rPr>
                <w:rFonts w:ascii="Times New Roman" w:eastAsia="宋体" w:hAnsi="Times New Roman"/>
                <w:color w:val="000000"/>
                <w:sz w:val="20"/>
                <w:szCs w:val="20"/>
              </w:rPr>
              <w:t>(159)</w:t>
            </w:r>
          </w:p>
        </w:tc>
        <w:tc>
          <w:tcPr>
            <w:tcW w:w="0" w:type="auto"/>
            <w:shd w:val="clear" w:color="auto" w:fill="CCEEFF"/>
            <w:tcMar>
              <w:top w:w="40" w:type="dxa"/>
              <w:left w:w="0" w:type="dxa"/>
              <w:bottom w:w="40" w:type="dxa"/>
              <w:right w:w="20" w:type="dxa"/>
            </w:tcMar>
            <w:vAlign w:val="center"/>
          </w:tcPr>
          <w:p w14:paraId="07DCF40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0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06" w14:textId="77777777" w:rsidR="00AE727E" w:rsidRDefault="008433E0">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center"/>
          </w:tcPr>
          <w:p w14:paraId="07DCF40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0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09" w14:textId="77777777" w:rsidR="00AE727E" w:rsidRDefault="008433E0">
            <w:pPr>
              <w:jc w:val="right"/>
              <w:textAlignment w:val="center"/>
            </w:pPr>
            <w:r>
              <w:rPr>
                <w:rFonts w:ascii="Times New Roman" w:eastAsia="宋体" w:hAnsi="Times New Roman"/>
                <w:color w:val="000000"/>
                <w:sz w:val="20"/>
                <w:szCs w:val="20"/>
              </w:rPr>
              <w:t>(271)</w:t>
            </w:r>
          </w:p>
        </w:tc>
        <w:tc>
          <w:tcPr>
            <w:tcW w:w="0" w:type="auto"/>
            <w:shd w:val="clear" w:color="auto" w:fill="CCEEFF"/>
            <w:tcMar>
              <w:top w:w="40" w:type="dxa"/>
              <w:left w:w="0" w:type="dxa"/>
              <w:bottom w:w="40" w:type="dxa"/>
              <w:right w:w="20" w:type="dxa"/>
            </w:tcMar>
            <w:vAlign w:val="center"/>
          </w:tcPr>
          <w:p w14:paraId="07DCF40A" w14:textId="77777777" w:rsidR="00AE727E" w:rsidRDefault="00AE727E">
            <w:pPr>
              <w:jc w:val="right"/>
              <w:rPr>
                <w:rFonts w:ascii="宋体"/>
              </w:rPr>
            </w:pPr>
          </w:p>
        </w:tc>
      </w:tr>
      <w:tr w:rsidR="00AE727E" w14:paraId="07DCF41B" w14:textId="77777777">
        <w:tc>
          <w:tcPr>
            <w:tcW w:w="0" w:type="auto"/>
            <w:gridSpan w:val="3"/>
            <w:shd w:val="clear" w:color="auto" w:fill="FFFFFF"/>
            <w:tcMar>
              <w:top w:w="40" w:type="dxa"/>
              <w:left w:w="20" w:type="dxa"/>
              <w:bottom w:w="40" w:type="dxa"/>
              <w:right w:w="20" w:type="dxa"/>
            </w:tcMar>
            <w:vAlign w:val="center"/>
          </w:tcPr>
          <w:p w14:paraId="07DCF40C" w14:textId="77777777" w:rsidR="00AE727E" w:rsidRDefault="008433E0">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07DCF40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40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0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410"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CF41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1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41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41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1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416"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4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1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419"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CF41A" w14:textId="77777777" w:rsidR="00AE727E" w:rsidRDefault="00AE727E">
            <w:pPr>
              <w:jc w:val="right"/>
              <w:rPr>
                <w:rFonts w:ascii="宋体"/>
              </w:rPr>
            </w:pPr>
          </w:p>
        </w:tc>
      </w:tr>
      <w:tr w:rsidR="00AE727E" w14:paraId="07DCF42B" w14:textId="77777777">
        <w:tc>
          <w:tcPr>
            <w:tcW w:w="0" w:type="auto"/>
            <w:gridSpan w:val="3"/>
            <w:shd w:val="clear" w:color="auto" w:fill="CCEEFF"/>
            <w:tcMar>
              <w:top w:w="40" w:type="dxa"/>
              <w:left w:w="20" w:type="dxa"/>
              <w:bottom w:w="40" w:type="dxa"/>
              <w:right w:w="20" w:type="dxa"/>
            </w:tcMar>
            <w:vAlign w:val="center"/>
          </w:tcPr>
          <w:p w14:paraId="07DCF41C" w14:textId="77777777" w:rsidR="00AE727E" w:rsidRDefault="008433E0">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07DCF41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41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2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42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2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2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4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2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26" w14:textId="77777777" w:rsidR="00AE727E" w:rsidRDefault="008433E0">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07DCF4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2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429" w14:textId="77777777" w:rsidR="00AE727E" w:rsidRDefault="008433E0">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07DCF42A" w14:textId="77777777" w:rsidR="00AE727E" w:rsidRDefault="00AE727E">
            <w:pPr>
              <w:jc w:val="right"/>
              <w:rPr>
                <w:rFonts w:ascii="宋体"/>
              </w:rPr>
            </w:pPr>
          </w:p>
        </w:tc>
      </w:tr>
      <w:tr w:rsidR="00AE727E" w14:paraId="07DCF43B" w14:textId="77777777">
        <w:tc>
          <w:tcPr>
            <w:tcW w:w="0" w:type="auto"/>
            <w:gridSpan w:val="3"/>
            <w:shd w:val="clear" w:color="auto" w:fill="FFFFFF"/>
            <w:tcMar>
              <w:top w:w="40" w:type="dxa"/>
              <w:left w:w="155" w:type="dxa"/>
              <w:bottom w:w="40" w:type="dxa"/>
              <w:right w:w="20" w:type="dxa"/>
            </w:tcMar>
            <w:vAlign w:val="center"/>
          </w:tcPr>
          <w:p w14:paraId="07DCF42C" w14:textId="77777777" w:rsidR="00AE727E" w:rsidRDefault="008433E0">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42D" w14:textId="77777777" w:rsidR="00AE727E" w:rsidRDefault="008433E0">
            <w:pPr>
              <w:jc w:val="right"/>
              <w:textAlignment w:val="center"/>
            </w:pPr>
            <w:r>
              <w:rPr>
                <w:rFonts w:ascii="Times New Roman" w:eastAsia="宋体" w:hAnsi="Times New Roman"/>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42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2F"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430" w14:textId="77777777" w:rsidR="00AE727E" w:rsidRDefault="008433E0">
            <w:pPr>
              <w:jc w:val="right"/>
              <w:textAlignment w:val="center"/>
            </w:pPr>
            <w:r>
              <w:rPr>
                <w:rFonts w:ascii="Times New Roman" w:eastAsia="宋体" w:hAnsi="Times New Roman"/>
                <w:color w:val="000000"/>
                <w:sz w:val="20"/>
                <w:szCs w:val="20"/>
              </w:rPr>
              <w:t>10 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43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32"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433" w14:textId="77777777" w:rsidR="00AE727E" w:rsidRDefault="008433E0">
            <w:pPr>
              <w:jc w:val="right"/>
              <w:textAlignment w:val="center"/>
            </w:pPr>
            <w:r>
              <w:rPr>
                <w:rFonts w:ascii="Times New Roman" w:eastAsia="宋体" w:hAnsi="Times New Roman"/>
                <w:color w:val="000000"/>
                <w:sz w:val="20"/>
                <w:szCs w:val="20"/>
              </w:rPr>
              <w:t>(101)</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4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3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436" w14:textId="77777777" w:rsidR="00AE727E" w:rsidRDefault="008433E0">
            <w:pPr>
              <w:jc w:val="right"/>
              <w:textAlignment w:val="center"/>
            </w:pPr>
            <w:r>
              <w:rPr>
                <w:rFonts w:ascii="Times New Roman" w:eastAsia="宋体" w:hAnsi="Times New Roman"/>
                <w:color w:val="000000"/>
                <w:sz w:val="20"/>
                <w:szCs w:val="20"/>
              </w:rPr>
              <w:t>(35)</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43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3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439" w14:textId="77777777" w:rsidR="00AE727E" w:rsidRDefault="008433E0">
            <w:pPr>
              <w:jc w:val="right"/>
              <w:textAlignment w:val="center"/>
            </w:pPr>
            <w:r>
              <w:rPr>
                <w:rFonts w:ascii="Times New Roman" w:eastAsia="宋体" w:hAnsi="Times New Roman"/>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43A" w14:textId="77777777" w:rsidR="00AE727E" w:rsidRDefault="00AE727E">
            <w:pPr>
              <w:jc w:val="right"/>
              <w:rPr>
                <w:rFonts w:ascii="宋体"/>
              </w:rPr>
            </w:pPr>
          </w:p>
        </w:tc>
      </w:tr>
      <w:tr w:rsidR="00AE727E" w14:paraId="07DCF450" w14:textId="77777777">
        <w:tc>
          <w:tcPr>
            <w:tcW w:w="0" w:type="auto"/>
            <w:gridSpan w:val="3"/>
            <w:shd w:val="clear" w:color="auto" w:fill="CCEEFF"/>
            <w:tcMar>
              <w:top w:w="40" w:type="dxa"/>
              <w:left w:w="245" w:type="dxa"/>
              <w:bottom w:w="40" w:type="dxa"/>
              <w:right w:w="20" w:type="dxa"/>
            </w:tcMar>
            <w:vAlign w:val="center"/>
          </w:tcPr>
          <w:p w14:paraId="07DCF43C" w14:textId="77777777" w:rsidR="00AE727E" w:rsidRDefault="008433E0">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43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43E" w14:textId="77777777" w:rsidR="00AE727E" w:rsidRDefault="008433E0">
            <w:pPr>
              <w:jc w:val="right"/>
              <w:textAlignment w:val="center"/>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43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4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44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442" w14:textId="77777777" w:rsidR="00AE727E" w:rsidRDefault="008433E0">
            <w:pPr>
              <w:jc w:val="right"/>
              <w:textAlignment w:val="center"/>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44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4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44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446" w14:textId="77777777" w:rsidR="00AE727E" w:rsidRDefault="008433E0">
            <w:pPr>
              <w:jc w:val="right"/>
              <w:textAlignment w:val="center"/>
            </w:pPr>
            <w:r>
              <w:rPr>
                <w:rFonts w:ascii="Times New Roman" w:eastAsia="宋体" w:hAnsi="Times New Roman"/>
                <w:color w:val="000000"/>
                <w:sz w:val="20"/>
                <w:szCs w:val="20"/>
              </w:rPr>
              <w:t>(98)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44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48"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44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44A" w14:textId="77777777" w:rsidR="00AE727E" w:rsidRDefault="008433E0">
            <w:pPr>
              <w:jc w:val="right"/>
              <w:textAlignment w:val="center"/>
            </w:pPr>
            <w:r>
              <w:rPr>
                <w:rFonts w:ascii="Times New Roman" w:eastAsia="宋体" w:hAnsi="Times New Roman"/>
                <w:color w:val="000000"/>
                <w:sz w:val="20"/>
                <w:szCs w:val="20"/>
              </w:rPr>
              <w:t>(35)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4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4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44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44E" w14:textId="77777777" w:rsidR="00AE727E" w:rsidRDefault="008433E0">
            <w:pPr>
              <w:jc w:val="right"/>
              <w:textAlignment w:val="center"/>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44F" w14:textId="77777777" w:rsidR="00AE727E" w:rsidRDefault="00AE727E">
            <w:pPr>
              <w:jc w:val="right"/>
              <w:rPr>
                <w:rFonts w:ascii="宋体"/>
              </w:rPr>
            </w:pPr>
          </w:p>
        </w:tc>
      </w:tr>
    </w:tbl>
    <w:p w14:paraId="07DCF451" w14:textId="77777777" w:rsidR="00AE727E" w:rsidRDefault="00AE727E"/>
    <w:p w14:paraId="07DCF452" w14:textId="77777777" w:rsidR="00AE727E" w:rsidRDefault="00AE727E">
      <w:pPr>
        <w:jc w:val="center"/>
      </w:pPr>
    </w:p>
    <w:p w14:paraId="07DCF453" w14:textId="77777777" w:rsidR="00AE727E" w:rsidRDefault="008433E0">
      <w:pPr>
        <w:jc w:val="center"/>
      </w:pPr>
      <w:r>
        <w:rPr>
          <w:rFonts w:ascii="Times New Roman" w:eastAsia="宋体" w:hAnsi="Times New Roman"/>
          <w:color w:val="000000"/>
          <w:sz w:val="20"/>
          <w:szCs w:val="20"/>
        </w:rPr>
        <w:t>37</w:t>
      </w:r>
    </w:p>
    <w:p w14:paraId="07DCF454" w14:textId="77777777" w:rsidR="00AE727E" w:rsidRDefault="00AE727E">
      <w:pPr>
        <w:jc w:val="center"/>
      </w:pPr>
    </w:p>
    <w:p w14:paraId="07DCF455" w14:textId="77777777" w:rsidR="00AE727E" w:rsidRDefault="008433E0">
      <w:r>
        <w:pict w14:anchorId="07DD18F5">
          <v:rect id="_x0000_i1061" style="width:415.3pt;height:1.5pt" o:hralign="center" o:hrstd="t" o:hr="t" fillcolor="#a0a0a0" stroked="f"/>
        </w:pict>
      </w:r>
    </w:p>
    <w:p w14:paraId="07DCF456" w14:textId="77777777" w:rsidR="00AE727E" w:rsidRDefault="008433E0">
      <w:hyperlink r:id="rId162" w:anchor="i1c8279be622a460ea19600488436f115_10" w:history="1">
        <w:r>
          <w:rPr>
            <w:rStyle w:val="a5"/>
            <w:rFonts w:ascii="Times New Roman" w:eastAsia="宋体" w:hAnsi="Times New Roman"/>
            <w:sz w:val="20"/>
            <w:szCs w:val="20"/>
          </w:rPr>
          <w:t>Table of Contents</w:t>
        </w:r>
      </w:hyperlink>
    </w:p>
    <w:p w14:paraId="07DCF457"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458"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w:t>
      </w:r>
      <w:r>
        <w:rPr>
          <w:rFonts w:ascii="Times New Roman" w:eastAsia="宋体" w:hAnsi="Times New Roman"/>
          <w:b/>
          <w:bCs/>
          <w:color w:val="000000"/>
          <w:sz w:val="20"/>
          <w:szCs w:val="20"/>
          <w:shd w:val="clear" w:color="auto" w:fill="FFFFFF"/>
        </w:rPr>
        <w:t>L STATEMENTS (Continued)</w:t>
      </w:r>
    </w:p>
    <w:p w14:paraId="07DCF459"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45A" w14:textId="77777777" w:rsidR="00AE727E" w:rsidRDefault="00AE727E">
      <w:pPr>
        <w:jc w:val="center"/>
      </w:pPr>
    </w:p>
    <w:p w14:paraId="07DCF45B" w14:textId="77777777" w:rsidR="00AE727E" w:rsidRDefault="008433E0">
      <w:pPr>
        <w:spacing w:after="60"/>
      </w:pPr>
      <w:r>
        <w:rPr>
          <w:rFonts w:ascii="Times New Roman" w:eastAsia="宋体"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Condensed</w:t>
      </w:r>
      <w:r>
        <w:rPr>
          <w:rFonts w:ascii="Times New Roman" w:eastAsia="宋体" w:hAnsi="Times New Roman"/>
          <w:color w:val="000000"/>
          <w:sz w:val="20"/>
          <w:szCs w:val="20"/>
        </w:rPr>
        <w:t xml:space="preserve">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890"/>
        <w:gridCol w:w="37"/>
        <w:gridCol w:w="121"/>
        <w:gridCol w:w="841"/>
        <w:gridCol w:w="36"/>
        <w:gridCol w:w="36"/>
        <w:gridCol w:w="36"/>
        <w:gridCol w:w="36"/>
        <w:gridCol w:w="121"/>
        <w:gridCol w:w="741"/>
        <w:gridCol w:w="36"/>
        <w:gridCol w:w="36"/>
        <w:gridCol w:w="36"/>
        <w:gridCol w:w="36"/>
        <w:gridCol w:w="121"/>
        <w:gridCol w:w="844"/>
        <w:gridCol w:w="36"/>
        <w:gridCol w:w="36"/>
        <w:gridCol w:w="36"/>
        <w:gridCol w:w="36"/>
        <w:gridCol w:w="121"/>
        <w:gridCol w:w="884"/>
        <w:gridCol w:w="37"/>
        <w:gridCol w:w="36"/>
        <w:gridCol w:w="36"/>
        <w:gridCol w:w="36"/>
        <w:gridCol w:w="121"/>
        <w:gridCol w:w="731"/>
        <w:gridCol w:w="37"/>
        <w:gridCol w:w="36"/>
        <w:gridCol w:w="36"/>
        <w:gridCol w:w="36"/>
        <w:gridCol w:w="121"/>
        <w:gridCol w:w="844"/>
        <w:gridCol w:w="36"/>
      </w:tblGrid>
      <w:tr w:rsidR="00AE727E" w14:paraId="07DCF480" w14:textId="77777777">
        <w:trPr>
          <w:jc w:val="center"/>
        </w:trPr>
        <w:tc>
          <w:tcPr>
            <w:tcW w:w="50" w:type="pct"/>
            <w:shd w:val="clear" w:color="auto" w:fill="auto"/>
            <w:vAlign w:val="bottom"/>
          </w:tcPr>
          <w:p w14:paraId="07DCF45C" w14:textId="77777777" w:rsidR="00AE727E" w:rsidRDefault="00AE727E">
            <w:pPr>
              <w:rPr>
                <w:rFonts w:ascii="宋体"/>
              </w:rPr>
            </w:pPr>
          </w:p>
        </w:tc>
        <w:tc>
          <w:tcPr>
            <w:tcW w:w="1341" w:type="pct"/>
            <w:shd w:val="clear" w:color="auto" w:fill="auto"/>
            <w:vAlign w:val="bottom"/>
          </w:tcPr>
          <w:p w14:paraId="07DCF45D" w14:textId="77777777" w:rsidR="00AE727E" w:rsidRDefault="00AE727E">
            <w:pPr>
              <w:rPr>
                <w:rFonts w:ascii="宋体"/>
              </w:rPr>
            </w:pPr>
          </w:p>
        </w:tc>
        <w:tc>
          <w:tcPr>
            <w:tcW w:w="5" w:type="pct"/>
            <w:shd w:val="clear" w:color="auto" w:fill="auto"/>
            <w:vAlign w:val="bottom"/>
          </w:tcPr>
          <w:p w14:paraId="07DCF45E" w14:textId="77777777" w:rsidR="00AE727E" w:rsidRDefault="00AE727E">
            <w:pPr>
              <w:rPr>
                <w:rFonts w:ascii="宋体"/>
              </w:rPr>
            </w:pPr>
          </w:p>
        </w:tc>
        <w:tc>
          <w:tcPr>
            <w:tcW w:w="50" w:type="pct"/>
            <w:shd w:val="clear" w:color="auto" w:fill="auto"/>
            <w:vAlign w:val="bottom"/>
          </w:tcPr>
          <w:p w14:paraId="07DCF45F" w14:textId="77777777" w:rsidR="00AE727E" w:rsidRDefault="00AE727E">
            <w:pPr>
              <w:rPr>
                <w:rFonts w:ascii="宋体"/>
              </w:rPr>
            </w:pPr>
          </w:p>
        </w:tc>
        <w:tc>
          <w:tcPr>
            <w:tcW w:w="522" w:type="pct"/>
            <w:shd w:val="clear" w:color="auto" w:fill="auto"/>
            <w:vAlign w:val="bottom"/>
          </w:tcPr>
          <w:p w14:paraId="07DCF460" w14:textId="77777777" w:rsidR="00AE727E" w:rsidRDefault="00AE727E">
            <w:pPr>
              <w:rPr>
                <w:rFonts w:ascii="宋体"/>
              </w:rPr>
            </w:pPr>
          </w:p>
        </w:tc>
        <w:tc>
          <w:tcPr>
            <w:tcW w:w="5" w:type="pct"/>
            <w:shd w:val="clear" w:color="auto" w:fill="auto"/>
            <w:vAlign w:val="bottom"/>
          </w:tcPr>
          <w:p w14:paraId="07DCF461" w14:textId="77777777" w:rsidR="00AE727E" w:rsidRDefault="00AE727E">
            <w:pPr>
              <w:rPr>
                <w:rFonts w:ascii="宋体"/>
              </w:rPr>
            </w:pPr>
          </w:p>
        </w:tc>
        <w:tc>
          <w:tcPr>
            <w:tcW w:w="5" w:type="pct"/>
            <w:shd w:val="clear" w:color="auto" w:fill="auto"/>
            <w:vAlign w:val="bottom"/>
          </w:tcPr>
          <w:p w14:paraId="07DCF462" w14:textId="77777777" w:rsidR="00AE727E" w:rsidRDefault="00AE727E">
            <w:pPr>
              <w:rPr>
                <w:rFonts w:ascii="宋体"/>
              </w:rPr>
            </w:pPr>
          </w:p>
        </w:tc>
        <w:tc>
          <w:tcPr>
            <w:tcW w:w="19" w:type="pct"/>
            <w:shd w:val="clear" w:color="auto" w:fill="auto"/>
            <w:vAlign w:val="bottom"/>
          </w:tcPr>
          <w:p w14:paraId="07DCF463" w14:textId="77777777" w:rsidR="00AE727E" w:rsidRDefault="00AE727E">
            <w:pPr>
              <w:rPr>
                <w:rFonts w:ascii="宋体"/>
              </w:rPr>
            </w:pPr>
          </w:p>
        </w:tc>
        <w:tc>
          <w:tcPr>
            <w:tcW w:w="5" w:type="pct"/>
            <w:shd w:val="clear" w:color="auto" w:fill="auto"/>
            <w:vAlign w:val="bottom"/>
          </w:tcPr>
          <w:p w14:paraId="07DCF464" w14:textId="77777777" w:rsidR="00AE727E" w:rsidRDefault="00AE727E">
            <w:pPr>
              <w:rPr>
                <w:rFonts w:ascii="宋体"/>
              </w:rPr>
            </w:pPr>
          </w:p>
        </w:tc>
        <w:tc>
          <w:tcPr>
            <w:tcW w:w="50" w:type="pct"/>
            <w:shd w:val="clear" w:color="auto" w:fill="auto"/>
            <w:vAlign w:val="bottom"/>
          </w:tcPr>
          <w:p w14:paraId="07DCF465" w14:textId="77777777" w:rsidR="00AE727E" w:rsidRDefault="00AE727E">
            <w:pPr>
              <w:rPr>
                <w:rFonts w:ascii="宋体"/>
              </w:rPr>
            </w:pPr>
          </w:p>
        </w:tc>
        <w:tc>
          <w:tcPr>
            <w:tcW w:w="522" w:type="pct"/>
            <w:shd w:val="clear" w:color="auto" w:fill="auto"/>
            <w:vAlign w:val="bottom"/>
          </w:tcPr>
          <w:p w14:paraId="07DCF466" w14:textId="77777777" w:rsidR="00AE727E" w:rsidRDefault="00AE727E">
            <w:pPr>
              <w:rPr>
                <w:rFonts w:ascii="宋体"/>
              </w:rPr>
            </w:pPr>
          </w:p>
        </w:tc>
        <w:tc>
          <w:tcPr>
            <w:tcW w:w="5" w:type="pct"/>
            <w:shd w:val="clear" w:color="auto" w:fill="auto"/>
            <w:vAlign w:val="bottom"/>
          </w:tcPr>
          <w:p w14:paraId="07DCF467" w14:textId="77777777" w:rsidR="00AE727E" w:rsidRDefault="00AE727E">
            <w:pPr>
              <w:rPr>
                <w:rFonts w:ascii="宋体"/>
              </w:rPr>
            </w:pPr>
          </w:p>
        </w:tc>
        <w:tc>
          <w:tcPr>
            <w:tcW w:w="5" w:type="pct"/>
            <w:shd w:val="clear" w:color="auto" w:fill="auto"/>
            <w:vAlign w:val="bottom"/>
          </w:tcPr>
          <w:p w14:paraId="07DCF468" w14:textId="77777777" w:rsidR="00AE727E" w:rsidRDefault="00AE727E">
            <w:pPr>
              <w:rPr>
                <w:rFonts w:ascii="宋体"/>
              </w:rPr>
            </w:pPr>
          </w:p>
        </w:tc>
        <w:tc>
          <w:tcPr>
            <w:tcW w:w="19" w:type="pct"/>
            <w:shd w:val="clear" w:color="auto" w:fill="auto"/>
            <w:vAlign w:val="bottom"/>
          </w:tcPr>
          <w:p w14:paraId="07DCF469" w14:textId="77777777" w:rsidR="00AE727E" w:rsidRDefault="00AE727E">
            <w:pPr>
              <w:rPr>
                <w:rFonts w:ascii="宋体"/>
              </w:rPr>
            </w:pPr>
          </w:p>
        </w:tc>
        <w:tc>
          <w:tcPr>
            <w:tcW w:w="5" w:type="pct"/>
            <w:shd w:val="clear" w:color="auto" w:fill="auto"/>
            <w:vAlign w:val="bottom"/>
          </w:tcPr>
          <w:p w14:paraId="07DCF46A" w14:textId="77777777" w:rsidR="00AE727E" w:rsidRDefault="00AE727E">
            <w:pPr>
              <w:rPr>
                <w:rFonts w:ascii="宋体"/>
              </w:rPr>
            </w:pPr>
          </w:p>
        </w:tc>
        <w:tc>
          <w:tcPr>
            <w:tcW w:w="50" w:type="pct"/>
            <w:shd w:val="clear" w:color="auto" w:fill="auto"/>
            <w:vAlign w:val="bottom"/>
          </w:tcPr>
          <w:p w14:paraId="07DCF46B" w14:textId="77777777" w:rsidR="00AE727E" w:rsidRDefault="00AE727E">
            <w:pPr>
              <w:rPr>
                <w:rFonts w:ascii="宋体"/>
              </w:rPr>
            </w:pPr>
          </w:p>
        </w:tc>
        <w:tc>
          <w:tcPr>
            <w:tcW w:w="537" w:type="pct"/>
            <w:shd w:val="clear" w:color="auto" w:fill="auto"/>
            <w:vAlign w:val="bottom"/>
          </w:tcPr>
          <w:p w14:paraId="07DCF46C" w14:textId="77777777" w:rsidR="00AE727E" w:rsidRDefault="00AE727E">
            <w:pPr>
              <w:rPr>
                <w:rFonts w:ascii="宋体"/>
              </w:rPr>
            </w:pPr>
          </w:p>
        </w:tc>
        <w:tc>
          <w:tcPr>
            <w:tcW w:w="5" w:type="pct"/>
            <w:shd w:val="clear" w:color="auto" w:fill="auto"/>
            <w:vAlign w:val="bottom"/>
          </w:tcPr>
          <w:p w14:paraId="07DCF46D" w14:textId="77777777" w:rsidR="00AE727E" w:rsidRDefault="00AE727E">
            <w:pPr>
              <w:rPr>
                <w:rFonts w:ascii="宋体"/>
              </w:rPr>
            </w:pPr>
          </w:p>
        </w:tc>
        <w:tc>
          <w:tcPr>
            <w:tcW w:w="5" w:type="pct"/>
            <w:shd w:val="clear" w:color="auto" w:fill="auto"/>
            <w:vAlign w:val="bottom"/>
          </w:tcPr>
          <w:p w14:paraId="07DCF46E" w14:textId="77777777" w:rsidR="00AE727E" w:rsidRDefault="00AE727E">
            <w:pPr>
              <w:rPr>
                <w:rFonts w:ascii="宋体"/>
              </w:rPr>
            </w:pPr>
          </w:p>
        </w:tc>
        <w:tc>
          <w:tcPr>
            <w:tcW w:w="19" w:type="pct"/>
            <w:shd w:val="clear" w:color="auto" w:fill="auto"/>
            <w:vAlign w:val="bottom"/>
          </w:tcPr>
          <w:p w14:paraId="07DCF46F" w14:textId="77777777" w:rsidR="00AE727E" w:rsidRDefault="00AE727E">
            <w:pPr>
              <w:rPr>
                <w:rFonts w:ascii="宋体"/>
              </w:rPr>
            </w:pPr>
          </w:p>
        </w:tc>
        <w:tc>
          <w:tcPr>
            <w:tcW w:w="5" w:type="pct"/>
            <w:shd w:val="clear" w:color="auto" w:fill="auto"/>
            <w:vAlign w:val="bottom"/>
          </w:tcPr>
          <w:p w14:paraId="07DCF470" w14:textId="77777777" w:rsidR="00AE727E" w:rsidRDefault="00AE727E">
            <w:pPr>
              <w:rPr>
                <w:rFonts w:ascii="宋体"/>
              </w:rPr>
            </w:pPr>
          </w:p>
        </w:tc>
        <w:tc>
          <w:tcPr>
            <w:tcW w:w="50" w:type="pct"/>
            <w:shd w:val="clear" w:color="auto" w:fill="auto"/>
            <w:vAlign w:val="bottom"/>
          </w:tcPr>
          <w:p w14:paraId="07DCF471" w14:textId="77777777" w:rsidR="00AE727E" w:rsidRDefault="00AE727E">
            <w:pPr>
              <w:rPr>
                <w:rFonts w:ascii="宋体"/>
              </w:rPr>
            </w:pPr>
          </w:p>
        </w:tc>
        <w:tc>
          <w:tcPr>
            <w:tcW w:w="500" w:type="pct"/>
            <w:shd w:val="clear" w:color="auto" w:fill="auto"/>
            <w:vAlign w:val="bottom"/>
          </w:tcPr>
          <w:p w14:paraId="07DCF472" w14:textId="77777777" w:rsidR="00AE727E" w:rsidRDefault="00AE727E">
            <w:pPr>
              <w:rPr>
                <w:rFonts w:ascii="宋体"/>
              </w:rPr>
            </w:pPr>
          </w:p>
        </w:tc>
        <w:tc>
          <w:tcPr>
            <w:tcW w:w="5" w:type="pct"/>
            <w:shd w:val="clear" w:color="auto" w:fill="auto"/>
            <w:vAlign w:val="bottom"/>
          </w:tcPr>
          <w:p w14:paraId="07DCF473" w14:textId="77777777" w:rsidR="00AE727E" w:rsidRDefault="00AE727E">
            <w:pPr>
              <w:rPr>
                <w:rFonts w:ascii="宋体"/>
              </w:rPr>
            </w:pPr>
          </w:p>
        </w:tc>
        <w:tc>
          <w:tcPr>
            <w:tcW w:w="5" w:type="pct"/>
            <w:shd w:val="clear" w:color="auto" w:fill="auto"/>
            <w:vAlign w:val="bottom"/>
          </w:tcPr>
          <w:p w14:paraId="07DCF474" w14:textId="77777777" w:rsidR="00AE727E" w:rsidRDefault="00AE727E">
            <w:pPr>
              <w:rPr>
                <w:rFonts w:ascii="宋体"/>
              </w:rPr>
            </w:pPr>
          </w:p>
        </w:tc>
        <w:tc>
          <w:tcPr>
            <w:tcW w:w="19" w:type="pct"/>
            <w:shd w:val="clear" w:color="auto" w:fill="auto"/>
            <w:vAlign w:val="bottom"/>
          </w:tcPr>
          <w:p w14:paraId="07DCF475" w14:textId="77777777" w:rsidR="00AE727E" w:rsidRDefault="00AE727E">
            <w:pPr>
              <w:rPr>
                <w:rFonts w:ascii="宋体"/>
              </w:rPr>
            </w:pPr>
          </w:p>
        </w:tc>
        <w:tc>
          <w:tcPr>
            <w:tcW w:w="5" w:type="pct"/>
            <w:shd w:val="clear" w:color="auto" w:fill="auto"/>
            <w:vAlign w:val="bottom"/>
          </w:tcPr>
          <w:p w14:paraId="07DCF476" w14:textId="77777777" w:rsidR="00AE727E" w:rsidRDefault="00AE727E">
            <w:pPr>
              <w:rPr>
                <w:rFonts w:ascii="宋体"/>
              </w:rPr>
            </w:pPr>
          </w:p>
        </w:tc>
        <w:tc>
          <w:tcPr>
            <w:tcW w:w="50" w:type="pct"/>
            <w:shd w:val="clear" w:color="auto" w:fill="auto"/>
            <w:vAlign w:val="bottom"/>
          </w:tcPr>
          <w:p w14:paraId="07DCF477" w14:textId="77777777" w:rsidR="00AE727E" w:rsidRDefault="00AE727E">
            <w:pPr>
              <w:rPr>
                <w:rFonts w:ascii="宋体"/>
              </w:rPr>
            </w:pPr>
          </w:p>
        </w:tc>
        <w:tc>
          <w:tcPr>
            <w:tcW w:w="507" w:type="pct"/>
            <w:shd w:val="clear" w:color="auto" w:fill="auto"/>
            <w:vAlign w:val="bottom"/>
          </w:tcPr>
          <w:p w14:paraId="07DCF478" w14:textId="77777777" w:rsidR="00AE727E" w:rsidRDefault="00AE727E">
            <w:pPr>
              <w:rPr>
                <w:rFonts w:ascii="宋体"/>
              </w:rPr>
            </w:pPr>
          </w:p>
        </w:tc>
        <w:tc>
          <w:tcPr>
            <w:tcW w:w="5" w:type="pct"/>
            <w:shd w:val="clear" w:color="auto" w:fill="auto"/>
            <w:vAlign w:val="bottom"/>
          </w:tcPr>
          <w:p w14:paraId="07DCF479" w14:textId="77777777" w:rsidR="00AE727E" w:rsidRDefault="00AE727E">
            <w:pPr>
              <w:rPr>
                <w:rFonts w:ascii="宋体"/>
              </w:rPr>
            </w:pPr>
          </w:p>
        </w:tc>
        <w:tc>
          <w:tcPr>
            <w:tcW w:w="5" w:type="pct"/>
            <w:shd w:val="clear" w:color="auto" w:fill="auto"/>
            <w:vAlign w:val="bottom"/>
          </w:tcPr>
          <w:p w14:paraId="07DCF47A" w14:textId="77777777" w:rsidR="00AE727E" w:rsidRDefault="00AE727E">
            <w:pPr>
              <w:rPr>
                <w:rFonts w:ascii="宋体"/>
              </w:rPr>
            </w:pPr>
          </w:p>
        </w:tc>
        <w:tc>
          <w:tcPr>
            <w:tcW w:w="19" w:type="pct"/>
            <w:shd w:val="clear" w:color="auto" w:fill="auto"/>
            <w:vAlign w:val="bottom"/>
          </w:tcPr>
          <w:p w14:paraId="07DCF47B" w14:textId="77777777" w:rsidR="00AE727E" w:rsidRDefault="00AE727E">
            <w:pPr>
              <w:rPr>
                <w:rFonts w:ascii="宋体"/>
              </w:rPr>
            </w:pPr>
          </w:p>
        </w:tc>
        <w:tc>
          <w:tcPr>
            <w:tcW w:w="5" w:type="pct"/>
            <w:shd w:val="clear" w:color="auto" w:fill="auto"/>
            <w:vAlign w:val="bottom"/>
          </w:tcPr>
          <w:p w14:paraId="07DCF47C" w14:textId="77777777" w:rsidR="00AE727E" w:rsidRDefault="00AE727E">
            <w:pPr>
              <w:rPr>
                <w:rFonts w:ascii="宋体"/>
              </w:rPr>
            </w:pPr>
          </w:p>
        </w:tc>
        <w:tc>
          <w:tcPr>
            <w:tcW w:w="50" w:type="pct"/>
            <w:shd w:val="clear" w:color="auto" w:fill="auto"/>
            <w:vAlign w:val="bottom"/>
          </w:tcPr>
          <w:p w14:paraId="07DCF47D" w14:textId="77777777" w:rsidR="00AE727E" w:rsidRDefault="00AE727E">
            <w:pPr>
              <w:rPr>
                <w:rFonts w:ascii="宋体"/>
              </w:rPr>
            </w:pPr>
          </w:p>
        </w:tc>
        <w:tc>
          <w:tcPr>
            <w:tcW w:w="537" w:type="pct"/>
            <w:shd w:val="clear" w:color="auto" w:fill="auto"/>
            <w:vAlign w:val="bottom"/>
          </w:tcPr>
          <w:p w14:paraId="07DCF47E" w14:textId="77777777" w:rsidR="00AE727E" w:rsidRDefault="00AE727E">
            <w:pPr>
              <w:rPr>
                <w:rFonts w:ascii="宋体"/>
              </w:rPr>
            </w:pPr>
          </w:p>
        </w:tc>
        <w:tc>
          <w:tcPr>
            <w:tcW w:w="5" w:type="pct"/>
            <w:shd w:val="clear" w:color="auto" w:fill="auto"/>
            <w:vAlign w:val="bottom"/>
          </w:tcPr>
          <w:p w14:paraId="07DCF47F" w14:textId="77777777" w:rsidR="00AE727E" w:rsidRDefault="00AE727E">
            <w:pPr>
              <w:rPr>
                <w:rFonts w:ascii="宋体"/>
              </w:rPr>
            </w:pPr>
          </w:p>
        </w:tc>
      </w:tr>
      <w:tr w:rsidR="00AE727E" w14:paraId="07DCF483" w14:textId="77777777">
        <w:trPr>
          <w:jc w:val="center"/>
        </w:trPr>
        <w:tc>
          <w:tcPr>
            <w:tcW w:w="0" w:type="auto"/>
            <w:gridSpan w:val="3"/>
            <w:shd w:val="clear" w:color="auto" w:fill="auto"/>
            <w:tcMar>
              <w:top w:w="0" w:type="dxa"/>
              <w:left w:w="20" w:type="dxa"/>
              <w:bottom w:w="0" w:type="dxa"/>
              <w:right w:w="20" w:type="dxa"/>
            </w:tcMar>
            <w:vAlign w:val="bottom"/>
          </w:tcPr>
          <w:p w14:paraId="07DCF481" w14:textId="77777777" w:rsidR="00AE727E" w:rsidRDefault="00AE727E">
            <w:pPr>
              <w:rPr>
                <w:rFonts w:ascii="宋体"/>
              </w:rPr>
            </w:pPr>
          </w:p>
        </w:tc>
        <w:tc>
          <w:tcPr>
            <w:tcW w:w="0" w:type="auto"/>
            <w:gridSpan w:val="33"/>
            <w:shd w:val="clear" w:color="auto" w:fill="auto"/>
            <w:tcMar>
              <w:top w:w="40" w:type="dxa"/>
              <w:left w:w="20" w:type="dxa"/>
              <w:bottom w:w="40" w:type="dxa"/>
              <w:right w:w="20" w:type="dxa"/>
            </w:tcMar>
            <w:vAlign w:val="bottom"/>
          </w:tcPr>
          <w:p w14:paraId="07DCF482"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F48E" w14:textId="77777777">
        <w:trPr>
          <w:trHeight w:val="640"/>
          <w:jc w:val="center"/>
        </w:trPr>
        <w:tc>
          <w:tcPr>
            <w:tcW w:w="0" w:type="auto"/>
            <w:gridSpan w:val="3"/>
            <w:vMerge w:val="restart"/>
            <w:shd w:val="clear" w:color="auto" w:fill="auto"/>
            <w:tcMar>
              <w:top w:w="0" w:type="dxa"/>
              <w:left w:w="20" w:type="dxa"/>
              <w:bottom w:w="0" w:type="dxa"/>
              <w:right w:w="20" w:type="dxa"/>
            </w:tcMar>
            <w:vAlign w:val="bottom"/>
          </w:tcPr>
          <w:p w14:paraId="07DCF484" w14:textId="77777777" w:rsidR="00AE727E" w:rsidRDefault="00AE727E">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DCF485" w14:textId="77777777" w:rsidR="00AE727E" w:rsidRDefault="008433E0">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7DCF486"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87" w14:textId="77777777" w:rsidR="00AE727E" w:rsidRDefault="008433E0">
            <w:pPr>
              <w:jc w:val="center"/>
              <w:textAlignment w:val="bottom"/>
            </w:pPr>
            <w:r>
              <w:rPr>
                <w:rFonts w:ascii="Times New Roman" w:eastAsia="宋体" w:hAnsi="Times New Roman"/>
                <w:b/>
                <w:bCs/>
                <w:color w:val="000000"/>
                <w:sz w:val="18"/>
                <w:szCs w:val="18"/>
              </w:rPr>
              <w:t xml:space="preserve">Gross Amounts Offset in the </w:t>
            </w:r>
            <w:r>
              <w:rPr>
                <w:rFonts w:ascii="Times New Roman" w:eastAsia="宋体" w:hAnsi="Times New Roman"/>
                <w:b/>
                <w:bCs/>
                <w:color w:val="000000"/>
                <w:sz w:val="18"/>
                <w:szCs w:val="18"/>
              </w:rPr>
              <w:t>Statement of Financial Position</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7DCF488"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89" w14:textId="77777777" w:rsidR="00AE727E" w:rsidRDefault="008433E0">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48A"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F48B" w14:textId="77777777" w:rsidR="00AE727E" w:rsidRDefault="008433E0">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48C"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8D" w14:textId="77777777" w:rsidR="00AE727E" w:rsidRDefault="008433E0">
            <w:pPr>
              <w:jc w:val="center"/>
              <w:textAlignment w:val="bottom"/>
            </w:pPr>
            <w:r>
              <w:rPr>
                <w:rFonts w:ascii="Times New Roman" w:eastAsia="宋体" w:hAnsi="Times New Roman"/>
                <w:b/>
                <w:bCs/>
                <w:color w:val="000000"/>
                <w:sz w:val="18"/>
                <w:szCs w:val="18"/>
              </w:rPr>
              <w:t>Net Amount of Assets/ (Liabilities) Recognized in the Statement of Fina</w:t>
            </w:r>
            <w:r>
              <w:rPr>
                <w:rFonts w:ascii="Times New Roman" w:eastAsia="宋体" w:hAnsi="Times New Roman"/>
                <w:b/>
                <w:bCs/>
                <w:color w:val="000000"/>
                <w:sz w:val="18"/>
                <w:szCs w:val="18"/>
              </w:rPr>
              <w:t>ncial Position</w:t>
            </w:r>
          </w:p>
        </w:tc>
      </w:tr>
      <w:tr w:rsidR="00AE727E" w14:paraId="07DCF49B" w14:textId="77777777">
        <w:trPr>
          <w:trHeight w:val="820"/>
          <w:jc w:val="center"/>
        </w:trPr>
        <w:tc>
          <w:tcPr>
            <w:tcW w:w="0" w:type="auto"/>
            <w:gridSpan w:val="3"/>
            <w:vMerge/>
            <w:shd w:val="clear" w:color="auto" w:fill="auto"/>
            <w:tcMar>
              <w:top w:w="0" w:type="dxa"/>
              <w:left w:w="20" w:type="dxa"/>
              <w:bottom w:w="0" w:type="dxa"/>
              <w:right w:w="20" w:type="dxa"/>
            </w:tcMar>
            <w:vAlign w:val="bottom"/>
          </w:tcPr>
          <w:p w14:paraId="07DCF48F" w14:textId="77777777" w:rsidR="00AE727E" w:rsidRDefault="00AE727E">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DCF490" w14:textId="77777777" w:rsidR="00AE727E" w:rsidRDefault="00AE727E">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7DCF491"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92" w14:textId="77777777" w:rsidR="00AE727E" w:rsidRDefault="00AE727E">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7DCF493"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94" w14:textId="77777777" w:rsidR="00AE727E" w:rsidRDefault="00AE727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CF49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96" w14:textId="77777777" w:rsidR="00AE727E" w:rsidRDefault="008433E0">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49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98" w14:textId="77777777" w:rsidR="00AE727E" w:rsidRDefault="008433E0">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vAlign w:val="bottom"/>
          </w:tcPr>
          <w:p w14:paraId="07DCF499"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49A" w14:textId="77777777" w:rsidR="00AE727E" w:rsidRDefault="00AE727E">
            <w:pPr>
              <w:jc w:val="center"/>
              <w:rPr>
                <w:rFonts w:ascii="宋体"/>
              </w:rPr>
            </w:pPr>
          </w:p>
        </w:tc>
      </w:tr>
      <w:tr w:rsidR="00AE727E" w14:paraId="07DCF49E" w14:textId="77777777">
        <w:trPr>
          <w:jc w:val="center"/>
        </w:trPr>
        <w:tc>
          <w:tcPr>
            <w:tcW w:w="0" w:type="auto"/>
            <w:gridSpan w:val="3"/>
            <w:shd w:val="clear" w:color="auto" w:fill="auto"/>
            <w:tcMar>
              <w:top w:w="0" w:type="dxa"/>
              <w:left w:w="20" w:type="dxa"/>
              <w:bottom w:w="0" w:type="dxa"/>
              <w:right w:w="20" w:type="dxa"/>
            </w:tcMar>
            <w:vAlign w:val="bottom"/>
          </w:tcPr>
          <w:p w14:paraId="07DCF49C"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F49D"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4AB" w14:textId="77777777">
        <w:trPr>
          <w:jc w:val="center"/>
        </w:trPr>
        <w:tc>
          <w:tcPr>
            <w:tcW w:w="0" w:type="auto"/>
            <w:gridSpan w:val="3"/>
            <w:shd w:val="clear" w:color="auto" w:fill="CCEEFF"/>
            <w:tcMar>
              <w:top w:w="40" w:type="dxa"/>
              <w:left w:w="20" w:type="dxa"/>
              <w:bottom w:w="40" w:type="dxa"/>
              <w:right w:w="20" w:type="dxa"/>
            </w:tcMar>
            <w:vAlign w:val="bottom"/>
          </w:tcPr>
          <w:p w14:paraId="07DCF49F" w14:textId="77777777" w:rsidR="00AE727E" w:rsidRDefault="008433E0">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07DCF4A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4AA" w14:textId="77777777" w:rsidR="00AE727E" w:rsidRDefault="00AE727E">
            <w:pPr>
              <w:rPr>
                <w:rFonts w:ascii="宋体"/>
              </w:rPr>
            </w:pPr>
          </w:p>
        </w:tc>
      </w:tr>
      <w:tr w:rsidR="00AE727E" w14:paraId="07DCF4C4" w14:textId="77777777">
        <w:trPr>
          <w:jc w:val="center"/>
        </w:trPr>
        <w:tc>
          <w:tcPr>
            <w:tcW w:w="0" w:type="auto"/>
            <w:gridSpan w:val="3"/>
            <w:shd w:val="clear" w:color="auto" w:fill="FFFFFF"/>
            <w:tcMar>
              <w:top w:w="40" w:type="dxa"/>
              <w:left w:w="20" w:type="dxa"/>
              <w:bottom w:w="40" w:type="dxa"/>
              <w:right w:w="20" w:type="dxa"/>
            </w:tcMar>
            <w:vAlign w:val="bottom"/>
          </w:tcPr>
          <w:p w14:paraId="07DCF4AC" w14:textId="77777777" w:rsidR="00AE727E" w:rsidRDefault="008433E0">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07DCF4A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AE" w14:textId="77777777" w:rsidR="00AE727E" w:rsidRDefault="008433E0">
            <w:pPr>
              <w:jc w:val="right"/>
              <w:textAlignment w:val="bottom"/>
            </w:pPr>
            <w:r>
              <w:rPr>
                <w:rFonts w:ascii="Times New Roman" w:eastAsia="宋体" w:hAnsi="Times New Roman"/>
                <w:color w:val="000000"/>
                <w:sz w:val="20"/>
                <w:szCs w:val="20"/>
              </w:rPr>
              <w:t>406 </w:t>
            </w:r>
          </w:p>
        </w:tc>
        <w:tc>
          <w:tcPr>
            <w:tcW w:w="0" w:type="auto"/>
            <w:shd w:val="clear" w:color="auto" w:fill="FFFFFF"/>
            <w:tcMar>
              <w:top w:w="40" w:type="dxa"/>
              <w:left w:w="0" w:type="dxa"/>
              <w:bottom w:w="40" w:type="dxa"/>
              <w:right w:w="20" w:type="dxa"/>
            </w:tcMar>
            <w:vAlign w:val="bottom"/>
          </w:tcPr>
          <w:p w14:paraId="07DCF4A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B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4B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B2" w14:textId="77777777" w:rsidR="00AE727E" w:rsidRDefault="008433E0">
            <w:pPr>
              <w:jc w:val="right"/>
              <w:textAlignment w:val="bottom"/>
            </w:pPr>
            <w:r>
              <w:rPr>
                <w:rFonts w:ascii="Times New Roman" w:eastAsia="宋体" w:hAnsi="Times New Roman"/>
                <w:color w:val="000000"/>
                <w:sz w:val="20"/>
                <w:szCs w:val="20"/>
              </w:rPr>
              <w:t>(211)</w:t>
            </w:r>
          </w:p>
        </w:tc>
        <w:tc>
          <w:tcPr>
            <w:tcW w:w="0" w:type="auto"/>
            <w:shd w:val="clear" w:color="auto" w:fill="FFFFFF"/>
            <w:tcMar>
              <w:top w:w="40" w:type="dxa"/>
              <w:left w:w="0" w:type="dxa"/>
              <w:bottom w:w="40" w:type="dxa"/>
              <w:right w:w="20" w:type="dxa"/>
            </w:tcMar>
            <w:vAlign w:val="bottom"/>
          </w:tcPr>
          <w:p w14:paraId="07DCF4B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B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4B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B6" w14:textId="77777777" w:rsidR="00AE727E" w:rsidRDefault="008433E0">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07DCF4B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B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4B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BA"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4B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B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4B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BE"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4B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C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4C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4C2" w14:textId="77777777" w:rsidR="00AE727E" w:rsidRDefault="008433E0">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07DCF4C3" w14:textId="77777777" w:rsidR="00AE727E" w:rsidRDefault="00AE727E">
            <w:pPr>
              <w:jc w:val="right"/>
              <w:rPr>
                <w:rFonts w:ascii="宋体"/>
              </w:rPr>
            </w:pPr>
          </w:p>
        </w:tc>
      </w:tr>
      <w:tr w:rsidR="00AE727E" w14:paraId="07DCF4D7" w14:textId="77777777">
        <w:trPr>
          <w:jc w:val="center"/>
        </w:trPr>
        <w:tc>
          <w:tcPr>
            <w:tcW w:w="0" w:type="auto"/>
            <w:gridSpan w:val="3"/>
            <w:shd w:val="clear" w:color="auto" w:fill="CCEEFF"/>
            <w:tcMar>
              <w:top w:w="40" w:type="dxa"/>
              <w:left w:w="20" w:type="dxa"/>
              <w:bottom w:w="40" w:type="dxa"/>
              <w:right w:w="20" w:type="dxa"/>
            </w:tcMar>
            <w:vAlign w:val="bottom"/>
          </w:tcPr>
          <w:p w14:paraId="07DCF4C5" w14:textId="77777777" w:rsidR="00AE727E" w:rsidRDefault="008433E0">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07DCF4C6" w14:textId="77777777" w:rsidR="00AE727E" w:rsidRDefault="008433E0">
            <w:pPr>
              <w:jc w:val="right"/>
              <w:textAlignment w:val="bottom"/>
            </w:pPr>
            <w:r>
              <w:rPr>
                <w:rFonts w:ascii="Times New Roman" w:eastAsia="宋体" w:hAnsi="Times New Roman"/>
                <w:color w:val="000000"/>
                <w:sz w:val="20"/>
                <w:szCs w:val="20"/>
              </w:rPr>
              <w:t>(311)</w:t>
            </w:r>
          </w:p>
        </w:tc>
        <w:tc>
          <w:tcPr>
            <w:tcW w:w="0" w:type="auto"/>
            <w:shd w:val="clear" w:color="auto" w:fill="CCEEFF"/>
            <w:tcMar>
              <w:top w:w="40" w:type="dxa"/>
              <w:left w:w="0" w:type="dxa"/>
              <w:bottom w:w="40" w:type="dxa"/>
              <w:right w:w="20" w:type="dxa"/>
            </w:tcMar>
            <w:vAlign w:val="bottom"/>
          </w:tcPr>
          <w:p w14:paraId="07DCF4C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C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4C9" w14:textId="77777777" w:rsidR="00AE727E" w:rsidRDefault="008433E0">
            <w:pPr>
              <w:jc w:val="right"/>
              <w:textAlignment w:val="bottom"/>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bottom"/>
          </w:tcPr>
          <w:p w14:paraId="07DCF4C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C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4CC" w14:textId="77777777" w:rsidR="00AE727E" w:rsidRDefault="008433E0">
            <w:pPr>
              <w:jc w:val="right"/>
              <w:textAlignment w:val="bottom"/>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bottom"/>
          </w:tcPr>
          <w:p w14:paraId="07DCF4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C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4C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4D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D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4D2" w14:textId="77777777" w:rsidR="00AE727E" w:rsidRDefault="008433E0">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7DCF4D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4D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4D5" w14:textId="77777777" w:rsidR="00AE727E" w:rsidRDefault="008433E0">
            <w:pPr>
              <w:jc w:val="right"/>
              <w:textAlignment w:val="bottom"/>
            </w:pPr>
            <w:r>
              <w:rPr>
                <w:rFonts w:ascii="Times New Roman" w:eastAsia="宋体" w:hAnsi="Times New Roman"/>
                <w:color w:val="000000"/>
                <w:sz w:val="20"/>
                <w:szCs w:val="20"/>
              </w:rPr>
              <w:t>(79)</w:t>
            </w:r>
          </w:p>
        </w:tc>
        <w:tc>
          <w:tcPr>
            <w:tcW w:w="0" w:type="auto"/>
            <w:shd w:val="clear" w:color="auto" w:fill="CCEEFF"/>
            <w:tcMar>
              <w:top w:w="40" w:type="dxa"/>
              <w:left w:w="0" w:type="dxa"/>
              <w:bottom w:w="40" w:type="dxa"/>
              <w:right w:w="20" w:type="dxa"/>
            </w:tcMar>
            <w:vAlign w:val="bottom"/>
          </w:tcPr>
          <w:p w14:paraId="07DCF4D6" w14:textId="77777777" w:rsidR="00AE727E" w:rsidRDefault="00AE727E">
            <w:pPr>
              <w:jc w:val="right"/>
              <w:rPr>
                <w:rFonts w:ascii="宋体"/>
              </w:rPr>
            </w:pPr>
          </w:p>
        </w:tc>
      </w:tr>
      <w:tr w:rsidR="00AE727E" w14:paraId="07DCF4F0" w14:textId="77777777">
        <w:trPr>
          <w:jc w:val="center"/>
        </w:trPr>
        <w:tc>
          <w:tcPr>
            <w:tcW w:w="0" w:type="auto"/>
            <w:gridSpan w:val="3"/>
            <w:shd w:val="clear" w:color="auto" w:fill="FFFFFF"/>
            <w:tcMar>
              <w:top w:w="40" w:type="dxa"/>
              <w:left w:w="155" w:type="dxa"/>
              <w:bottom w:w="40" w:type="dxa"/>
              <w:right w:w="20" w:type="dxa"/>
            </w:tcMar>
            <w:vAlign w:val="bottom"/>
          </w:tcPr>
          <w:p w14:paraId="07DCF4D8" w14:textId="77777777" w:rsidR="00AE727E" w:rsidRDefault="008433E0">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F4D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DA" w14:textId="77777777" w:rsidR="00AE727E" w:rsidRDefault="008433E0">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D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D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4D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DE"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E0"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4E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E2" w14:textId="77777777" w:rsidR="00AE727E" w:rsidRDefault="008433E0">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E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E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4E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E6"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E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E8"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4E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EA" w14:textId="77777777" w:rsidR="00AE727E" w:rsidRDefault="008433E0">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E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4E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4E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4EE" w14:textId="77777777" w:rsidR="00AE727E" w:rsidRDefault="008433E0">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4EF" w14:textId="77777777" w:rsidR="00AE727E" w:rsidRDefault="00AE727E">
            <w:pPr>
              <w:jc w:val="right"/>
              <w:rPr>
                <w:rFonts w:ascii="宋体"/>
              </w:rPr>
            </w:pPr>
          </w:p>
        </w:tc>
      </w:tr>
      <w:tr w:rsidR="00AE727E" w14:paraId="07DCF4FD" w14:textId="77777777">
        <w:trPr>
          <w:trHeight w:val="300"/>
          <w:jc w:val="center"/>
        </w:trPr>
        <w:tc>
          <w:tcPr>
            <w:tcW w:w="0" w:type="auto"/>
            <w:gridSpan w:val="3"/>
            <w:shd w:val="clear" w:color="auto" w:fill="auto"/>
            <w:tcMar>
              <w:top w:w="0" w:type="dxa"/>
              <w:left w:w="20" w:type="dxa"/>
              <w:bottom w:w="0" w:type="dxa"/>
              <w:right w:w="20" w:type="dxa"/>
            </w:tcMar>
            <w:vAlign w:val="bottom"/>
          </w:tcPr>
          <w:p w14:paraId="07DCF4F1"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4F3"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4F5"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6"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4F7"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4F9"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4FB"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4FC" w14:textId="77777777" w:rsidR="00AE727E" w:rsidRDefault="00AE727E">
            <w:pPr>
              <w:rPr>
                <w:rFonts w:ascii="宋体"/>
              </w:rPr>
            </w:pPr>
          </w:p>
        </w:tc>
      </w:tr>
      <w:tr w:rsidR="00AE727E" w14:paraId="07DCF500" w14:textId="77777777">
        <w:trPr>
          <w:jc w:val="center"/>
        </w:trPr>
        <w:tc>
          <w:tcPr>
            <w:tcW w:w="0" w:type="auto"/>
            <w:gridSpan w:val="3"/>
            <w:shd w:val="clear" w:color="auto" w:fill="auto"/>
            <w:tcMar>
              <w:top w:w="0" w:type="dxa"/>
              <w:left w:w="20" w:type="dxa"/>
              <w:bottom w:w="0" w:type="dxa"/>
              <w:right w:w="20" w:type="dxa"/>
            </w:tcMar>
            <w:vAlign w:val="bottom"/>
          </w:tcPr>
          <w:p w14:paraId="07DCF4FE" w14:textId="77777777" w:rsidR="00AE727E" w:rsidRDefault="00AE727E">
            <w:pPr>
              <w:rPr>
                <w:rFonts w:ascii="宋体"/>
              </w:rPr>
            </w:pPr>
          </w:p>
        </w:tc>
        <w:tc>
          <w:tcPr>
            <w:tcW w:w="0" w:type="auto"/>
            <w:gridSpan w:val="33"/>
            <w:shd w:val="clear" w:color="auto" w:fill="auto"/>
            <w:tcMar>
              <w:top w:w="40" w:type="dxa"/>
              <w:left w:w="20" w:type="dxa"/>
              <w:bottom w:w="40" w:type="dxa"/>
              <w:right w:w="20" w:type="dxa"/>
            </w:tcMar>
            <w:vAlign w:val="bottom"/>
          </w:tcPr>
          <w:p w14:paraId="07DCF4FF"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50B" w14:textId="77777777">
        <w:trPr>
          <w:trHeight w:val="600"/>
          <w:jc w:val="center"/>
        </w:trPr>
        <w:tc>
          <w:tcPr>
            <w:tcW w:w="0" w:type="auto"/>
            <w:gridSpan w:val="3"/>
            <w:vMerge w:val="restart"/>
            <w:shd w:val="clear" w:color="auto" w:fill="FFFFFF"/>
            <w:tcMar>
              <w:top w:w="0" w:type="dxa"/>
              <w:left w:w="20" w:type="dxa"/>
              <w:bottom w:w="0" w:type="dxa"/>
              <w:right w:w="20" w:type="dxa"/>
            </w:tcMar>
            <w:vAlign w:val="bottom"/>
          </w:tcPr>
          <w:p w14:paraId="07DCF501" w14:textId="77777777" w:rsidR="00AE727E" w:rsidRDefault="00AE727E">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DCF502" w14:textId="77777777" w:rsidR="00AE727E" w:rsidRDefault="008433E0">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07DCF503"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04" w14:textId="77777777" w:rsidR="00AE727E" w:rsidRDefault="008433E0">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07DCF505"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06" w14:textId="77777777" w:rsidR="00AE727E" w:rsidRDefault="008433E0">
            <w:pPr>
              <w:jc w:val="center"/>
              <w:textAlignment w:val="bottom"/>
            </w:pPr>
            <w:r>
              <w:rPr>
                <w:rFonts w:ascii="Times New Roman" w:eastAsia="宋体" w:hAnsi="Times New Roman"/>
                <w:b/>
                <w:bCs/>
                <w:color w:val="000000"/>
                <w:sz w:val="18"/>
                <w:szCs w:val="18"/>
              </w:rPr>
              <w:t xml:space="preserve">Net Amounts of Assets/ (Liabilities) Presented in the Statement of </w:t>
            </w:r>
            <w:r>
              <w:rPr>
                <w:rFonts w:ascii="Times New Roman" w:eastAsia="宋体" w:hAnsi="Times New Roman"/>
                <w:b/>
                <w:bCs/>
                <w:color w:val="000000"/>
                <w:sz w:val="18"/>
                <w:szCs w:val="18"/>
              </w:rPr>
              <w:t>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507"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CF508" w14:textId="77777777" w:rsidR="00AE727E" w:rsidRDefault="008433E0">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509" w14:textId="77777777" w:rsidR="00AE727E" w:rsidRDefault="00AE727E">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0A" w14:textId="77777777" w:rsidR="00AE727E" w:rsidRDefault="008433E0">
            <w:pPr>
              <w:jc w:val="center"/>
              <w:textAlignment w:val="bottom"/>
            </w:pPr>
            <w:r>
              <w:rPr>
                <w:rFonts w:ascii="Times New Roman" w:eastAsia="宋体" w:hAnsi="Times New Roman"/>
                <w:b/>
                <w:bCs/>
                <w:color w:val="000000"/>
                <w:sz w:val="18"/>
                <w:szCs w:val="18"/>
              </w:rPr>
              <w:t>Net Amount of Assets/ (Liabilities) Recognized in the Statement of Financial Position</w:t>
            </w:r>
          </w:p>
        </w:tc>
      </w:tr>
      <w:tr w:rsidR="00AE727E" w14:paraId="07DCF518" w14:textId="77777777">
        <w:trPr>
          <w:trHeight w:val="780"/>
          <w:jc w:val="center"/>
        </w:trPr>
        <w:tc>
          <w:tcPr>
            <w:tcW w:w="0" w:type="auto"/>
            <w:gridSpan w:val="3"/>
            <w:vMerge/>
            <w:shd w:val="clear" w:color="auto" w:fill="FFFFFF"/>
            <w:tcMar>
              <w:top w:w="0" w:type="dxa"/>
              <w:left w:w="20" w:type="dxa"/>
              <w:bottom w:w="0" w:type="dxa"/>
              <w:right w:w="20" w:type="dxa"/>
            </w:tcMar>
            <w:vAlign w:val="bottom"/>
          </w:tcPr>
          <w:p w14:paraId="07DCF50C" w14:textId="77777777" w:rsidR="00AE727E" w:rsidRDefault="00AE727E">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DCF50D" w14:textId="77777777" w:rsidR="00AE727E" w:rsidRDefault="00AE727E">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07DCF50E"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0F" w14:textId="77777777" w:rsidR="00AE727E" w:rsidRDefault="00AE727E">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07DCF510"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11" w14:textId="77777777" w:rsidR="00AE727E" w:rsidRDefault="00AE727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CF51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513" w14:textId="77777777" w:rsidR="00AE727E" w:rsidRDefault="008433E0">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51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515" w14:textId="77777777" w:rsidR="00AE727E" w:rsidRDefault="008433E0">
            <w:pPr>
              <w:jc w:val="center"/>
              <w:textAlignment w:val="bottom"/>
            </w:pPr>
            <w:r>
              <w:rPr>
                <w:rFonts w:ascii="Times New Roman" w:eastAsia="宋体" w:hAnsi="Times New Roman"/>
                <w:b/>
                <w:bCs/>
                <w:color w:val="000000"/>
                <w:sz w:val="18"/>
                <w:szCs w:val="18"/>
              </w:rPr>
              <w:t xml:space="preserve">Cash Collateral Received or </w:t>
            </w:r>
            <w:r>
              <w:rPr>
                <w:rFonts w:ascii="Times New Roman" w:eastAsia="宋体" w:hAnsi="Times New Roman"/>
                <w:b/>
                <w:bCs/>
                <w:color w:val="000000"/>
                <w:sz w:val="18"/>
                <w:szCs w:val="18"/>
              </w:rPr>
              <w:t>Pledged</w:t>
            </w:r>
          </w:p>
        </w:tc>
        <w:tc>
          <w:tcPr>
            <w:tcW w:w="0" w:type="auto"/>
            <w:gridSpan w:val="3"/>
            <w:shd w:val="clear" w:color="auto" w:fill="auto"/>
            <w:tcMar>
              <w:top w:w="0" w:type="dxa"/>
              <w:left w:w="20" w:type="dxa"/>
              <w:bottom w:w="0" w:type="dxa"/>
              <w:right w:w="20" w:type="dxa"/>
            </w:tcMar>
            <w:vAlign w:val="bottom"/>
          </w:tcPr>
          <w:p w14:paraId="07DCF516" w14:textId="77777777" w:rsidR="00AE727E" w:rsidRDefault="00AE727E">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CF517" w14:textId="77777777" w:rsidR="00AE727E" w:rsidRDefault="00AE727E">
            <w:pPr>
              <w:jc w:val="center"/>
              <w:rPr>
                <w:rFonts w:ascii="宋体"/>
              </w:rPr>
            </w:pPr>
          </w:p>
        </w:tc>
      </w:tr>
      <w:tr w:rsidR="00AE727E" w14:paraId="07DCF51B" w14:textId="77777777">
        <w:trPr>
          <w:jc w:val="center"/>
        </w:trPr>
        <w:tc>
          <w:tcPr>
            <w:tcW w:w="0" w:type="auto"/>
            <w:gridSpan w:val="3"/>
            <w:shd w:val="clear" w:color="auto" w:fill="auto"/>
            <w:tcMar>
              <w:top w:w="0" w:type="dxa"/>
              <w:left w:w="20" w:type="dxa"/>
              <w:bottom w:w="0" w:type="dxa"/>
              <w:right w:w="20" w:type="dxa"/>
            </w:tcMar>
            <w:vAlign w:val="bottom"/>
          </w:tcPr>
          <w:p w14:paraId="07DCF519"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CF51A"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528" w14:textId="77777777">
        <w:trPr>
          <w:jc w:val="center"/>
        </w:trPr>
        <w:tc>
          <w:tcPr>
            <w:tcW w:w="0" w:type="auto"/>
            <w:gridSpan w:val="3"/>
            <w:shd w:val="clear" w:color="auto" w:fill="CCEEFF"/>
            <w:tcMar>
              <w:top w:w="40" w:type="dxa"/>
              <w:left w:w="20" w:type="dxa"/>
              <w:bottom w:w="40" w:type="dxa"/>
              <w:right w:w="20" w:type="dxa"/>
            </w:tcMar>
            <w:vAlign w:val="bottom"/>
          </w:tcPr>
          <w:p w14:paraId="07DCF51C" w14:textId="77777777" w:rsidR="00AE727E" w:rsidRDefault="008433E0">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07DCF51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1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1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527" w14:textId="77777777" w:rsidR="00AE727E" w:rsidRDefault="00AE727E">
            <w:pPr>
              <w:rPr>
                <w:rFonts w:ascii="宋体"/>
              </w:rPr>
            </w:pPr>
          </w:p>
        </w:tc>
      </w:tr>
      <w:tr w:rsidR="00AE727E" w14:paraId="07DCF541" w14:textId="77777777">
        <w:trPr>
          <w:jc w:val="center"/>
        </w:trPr>
        <w:tc>
          <w:tcPr>
            <w:tcW w:w="0" w:type="auto"/>
            <w:gridSpan w:val="3"/>
            <w:shd w:val="clear" w:color="auto" w:fill="FFFFFF"/>
            <w:tcMar>
              <w:top w:w="40" w:type="dxa"/>
              <w:left w:w="20" w:type="dxa"/>
              <w:bottom w:w="40" w:type="dxa"/>
              <w:right w:w="20" w:type="dxa"/>
            </w:tcMar>
            <w:vAlign w:val="bottom"/>
          </w:tcPr>
          <w:p w14:paraId="07DCF529" w14:textId="77777777" w:rsidR="00AE727E" w:rsidRDefault="008433E0">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07DCF52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2B" w14:textId="77777777" w:rsidR="00AE727E" w:rsidRDefault="008433E0">
            <w:pPr>
              <w:jc w:val="right"/>
              <w:textAlignment w:val="bottom"/>
            </w:pPr>
            <w:r>
              <w:rPr>
                <w:rFonts w:ascii="Times New Roman" w:eastAsia="宋体" w:hAnsi="Times New Roman"/>
                <w:color w:val="000000"/>
                <w:sz w:val="20"/>
                <w:szCs w:val="20"/>
              </w:rPr>
              <w:t>298 </w:t>
            </w:r>
          </w:p>
        </w:tc>
        <w:tc>
          <w:tcPr>
            <w:tcW w:w="0" w:type="auto"/>
            <w:shd w:val="clear" w:color="auto" w:fill="FFFFFF"/>
            <w:tcMar>
              <w:top w:w="40" w:type="dxa"/>
              <w:left w:w="0" w:type="dxa"/>
              <w:bottom w:w="40" w:type="dxa"/>
              <w:right w:w="20" w:type="dxa"/>
            </w:tcMar>
            <w:vAlign w:val="bottom"/>
          </w:tcPr>
          <w:p w14:paraId="07DCF5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2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52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2F" w14:textId="77777777" w:rsidR="00AE727E" w:rsidRDefault="008433E0">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07DCF53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3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53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33" w14:textId="77777777" w:rsidR="00AE727E" w:rsidRDefault="008433E0">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07DCF5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3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53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37"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3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3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53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3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3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3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53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53F" w14:textId="77777777" w:rsidR="00AE727E" w:rsidRDefault="008433E0">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07DCF540" w14:textId="77777777" w:rsidR="00AE727E" w:rsidRDefault="00AE727E">
            <w:pPr>
              <w:jc w:val="right"/>
              <w:rPr>
                <w:rFonts w:ascii="宋体"/>
              </w:rPr>
            </w:pPr>
          </w:p>
        </w:tc>
      </w:tr>
      <w:tr w:rsidR="00AE727E" w14:paraId="07DCF554" w14:textId="77777777">
        <w:trPr>
          <w:jc w:val="center"/>
        </w:trPr>
        <w:tc>
          <w:tcPr>
            <w:tcW w:w="0" w:type="auto"/>
            <w:gridSpan w:val="3"/>
            <w:shd w:val="clear" w:color="auto" w:fill="CCEEFF"/>
            <w:tcMar>
              <w:top w:w="40" w:type="dxa"/>
              <w:left w:w="20" w:type="dxa"/>
              <w:bottom w:w="40" w:type="dxa"/>
              <w:right w:w="20" w:type="dxa"/>
            </w:tcMar>
            <w:vAlign w:val="bottom"/>
          </w:tcPr>
          <w:p w14:paraId="07DCF542" w14:textId="77777777" w:rsidR="00AE727E" w:rsidRDefault="008433E0">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07DCF543" w14:textId="77777777" w:rsidR="00AE727E" w:rsidRDefault="008433E0">
            <w:pPr>
              <w:jc w:val="right"/>
              <w:textAlignment w:val="bottom"/>
            </w:pPr>
            <w:r>
              <w:rPr>
                <w:rFonts w:ascii="Times New Roman" w:eastAsia="宋体" w:hAnsi="Times New Roman"/>
                <w:color w:val="000000"/>
                <w:sz w:val="20"/>
                <w:szCs w:val="20"/>
              </w:rPr>
              <w:t>(327)</w:t>
            </w:r>
          </w:p>
        </w:tc>
        <w:tc>
          <w:tcPr>
            <w:tcW w:w="0" w:type="auto"/>
            <w:shd w:val="clear" w:color="auto" w:fill="CCEEFF"/>
            <w:tcMar>
              <w:top w:w="40" w:type="dxa"/>
              <w:left w:w="0" w:type="dxa"/>
              <w:bottom w:w="40" w:type="dxa"/>
              <w:right w:w="20" w:type="dxa"/>
            </w:tcMar>
            <w:vAlign w:val="bottom"/>
          </w:tcPr>
          <w:p w14:paraId="07DCF54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4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46" w14:textId="77777777" w:rsidR="00AE727E" w:rsidRDefault="008433E0">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07DCF54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4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49" w14:textId="77777777" w:rsidR="00AE727E" w:rsidRDefault="008433E0">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07DCF54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4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4C"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5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4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4F" w14:textId="77777777" w:rsidR="00AE727E" w:rsidRDefault="008433E0">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07DCF55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5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52" w14:textId="77777777" w:rsidR="00AE727E" w:rsidRDefault="008433E0">
            <w:pPr>
              <w:jc w:val="right"/>
              <w:textAlignment w:val="bottom"/>
            </w:pPr>
            <w:r>
              <w:rPr>
                <w:rFonts w:ascii="Times New Roman" w:eastAsia="宋体" w:hAnsi="Times New Roman"/>
                <w:color w:val="000000"/>
                <w:sz w:val="20"/>
                <w:szCs w:val="20"/>
              </w:rPr>
              <w:t>(131)</w:t>
            </w:r>
          </w:p>
        </w:tc>
        <w:tc>
          <w:tcPr>
            <w:tcW w:w="0" w:type="auto"/>
            <w:shd w:val="clear" w:color="auto" w:fill="CCEEFF"/>
            <w:tcMar>
              <w:top w:w="40" w:type="dxa"/>
              <w:left w:w="0" w:type="dxa"/>
              <w:bottom w:w="40" w:type="dxa"/>
              <w:right w:w="20" w:type="dxa"/>
            </w:tcMar>
            <w:vAlign w:val="bottom"/>
          </w:tcPr>
          <w:p w14:paraId="07DCF553" w14:textId="77777777" w:rsidR="00AE727E" w:rsidRDefault="00AE727E">
            <w:pPr>
              <w:jc w:val="right"/>
              <w:rPr>
                <w:rFonts w:ascii="宋体"/>
              </w:rPr>
            </w:pPr>
          </w:p>
        </w:tc>
      </w:tr>
      <w:tr w:rsidR="00AE727E" w14:paraId="07DCF56D" w14:textId="77777777">
        <w:trPr>
          <w:jc w:val="center"/>
        </w:trPr>
        <w:tc>
          <w:tcPr>
            <w:tcW w:w="0" w:type="auto"/>
            <w:gridSpan w:val="3"/>
            <w:shd w:val="clear" w:color="auto" w:fill="FFFFFF"/>
            <w:tcMar>
              <w:top w:w="40" w:type="dxa"/>
              <w:left w:w="155" w:type="dxa"/>
              <w:bottom w:w="40" w:type="dxa"/>
              <w:right w:w="20" w:type="dxa"/>
            </w:tcMar>
            <w:vAlign w:val="bottom"/>
          </w:tcPr>
          <w:p w14:paraId="07DCF555" w14:textId="77777777" w:rsidR="00AE727E" w:rsidRDefault="008433E0">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5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57" w14:textId="77777777" w:rsidR="00AE727E" w:rsidRDefault="008433E0">
            <w:pPr>
              <w:jc w:val="right"/>
              <w:textAlignment w:val="bottom"/>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5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5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5B"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5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5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5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5F" w14:textId="77777777" w:rsidR="00AE727E" w:rsidRDefault="008433E0">
            <w:pPr>
              <w:jc w:val="right"/>
              <w:textAlignment w:val="bottom"/>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6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6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62"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63"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6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6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6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67" w14:textId="77777777" w:rsidR="00AE727E" w:rsidRDefault="008433E0">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6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6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56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56B" w14:textId="77777777" w:rsidR="00AE727E" w:rsidRDefault="008433E0">
            <w:pPr>
              <w:jc w:val="right"/>
              <w:textAlignment w:val="bottom"/>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56C" w14:textId="77777777" w:rsidR="00AE727E" w:rsidRDefault="00AE727E">
            <w:pPr>
              <w:jc w:val="right"/>
              <w:rPr>
                <w:rFonts w:ascii="宋体"/>
              </w:rPr>
            </w:pPr>
          </w:p>
        </w:tc>
      </w:tr>
    </w:tbl>
    <w:p w14:paraId="07DCF56E" w14:textId="77777777" w:rsidR="00AE727E" w:rsidRDefault="00AE727E"/>
    <w:p w14:paraId="07DCF56F" w14:textId="77777777" w:rsidR="00AE727E" w:rsidRDefault="00AE727E">
      <w:pPr>
        <w:jc w:val="center"/>
      </w:pPr>
    </w:p>
    <w:p w14:paraId="07DCF570" w14:textId="77777777" w:rsidR="00AE727E" w:rsidRDefault="008433E0">
      <w:pPr>
        <w:jc w:val="center"/>
      </w:pPr>
      <w:r>
        <w:rPr>
          <w:rFonts w:ascii="Times New Roman" w:eastAsia="宋体" w:hAnsi="Times New Roman"/>
          <w:color w:val="000000"/>
          <w:sz w:val="20"/>
          <w:szCs w:val="20"/>
        </w:rPr>
        <w:t>38</w:t>
      </w:r>
    </w:p>
    <w:p w14:paraId="07DCF571" w14:textId="77777777" w:rsidR="00AE727E" w:rsidRDefault="00AE727E">
      <w:pPr>
        <w:jc w:val="center"/>
      </w:pPr>
    </w:p>
    <w:p w14:paraId="07DCF572" w14:textId="77777777" w:rsidR="00AE727E" w:rsidRDefault="008433E0">
      <w:r>
        <w:pict w14:anchorId="07DD18F6">
          <v:rect id="_x0000_i1062" style="width:415.3pt;height:1.5pt" o:hralign="center" o:hrstd="t" o:hr="t" fillcolor="#a0a0a0" stroked="f"/>
        </w:pict>
      </w:r>
    </w:p>
    <w:p w14:paraId="07DCF573" w14:textId="77777777" w:rsidR="00AE727E" w:rsidRDefault="008433E0">
      <w:hyperlink r:id="rId163" w:anchor="i1c8279be622a460ea19600488436f115_10" w:history="1">
        <w:r>
          <w:rPr>
            <w:rStyle w:val="a5"/>
            <w:rFonts w:ascii="Times New Roman" w:eastAsia="宋体" w:hAnsi="Times New Roman"/>
            <w:sz w:val="20"/>
            <w:szCs w:val="20"/>
          </w:rPr>
          <w:t>Table of Contents</w:t>
        </w:r>
      </w:hyperlink>
    </w:p>
    <w:p w14:paraId="07DCF57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57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57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577" w14:textId="77777777" w:rsidR="00AE727E" w:rsidRDefault="00AE727E">
      <w:pPr>
        <w:jc w:val="center"/>
      </w:pPr>
    </w:p>
    <w:p w14:paraId="07DCF578" w14:textId="77777777" w:rsidR="00AE727E" w:rsidRDefault="008433E0">
      <w:r>
        <w:rPr>
          <w:rFonts w:ascii="Times New Roman" w:eastAsia="宋体" w:hAnsi="Times New Roman"/>
          <w:b/>
          <w:bCs/>
          <w:color w:val="000000"/>
          <w:sz w:val="20"/>
          <w:szCs w:val="20"/>
        </w:rPr>
        <w:t xml:space="preserve">NOTE 7 — GOODWILL AND INTANGIBLE ASSETS </w:t>
      </w:r>
    </w:p>
    <w:p w14:paraId="07DCF579" w14:textId="77777777" w:rsidR="00AE727E" w:rsidRDefault="00AE727E"/>
    <w:p w14:paraId="07DCF57A" w14:textId="77777777" w:rsidR="00AE727E" w:rsidRDefault="008433E0">
      <w:r>
        <w:rPr>
          <w:rFonts w:ascii="Times New Roman" w:eastAsia="宋体" w:hAnsi="Times New Roman"/>
          <w:b/>
          <w:bCs/>
          <w:color w:val="000000"/>
          <w:sz w:val="20"/>
          <w:szCs w:val="20"/>
        </w:rPr>
        <w:t>Goodwill</w:t>
      </w:r>
    </w:p>
    <w:p w14:paraId="07DCF57B" w14:textId="77777777" w:rsidR="00AE727E" w:rsidRDefault="00AE727E"/>
    <w:p w14:paraId="07DCF57C" w14:textId="77777777" w:rsidR="00AE727E" w:rsidRDefault="008433E0">
      <w:r>
        <w:rPr>
          <w:rFonts w:ascii="Times New Roman" w:eastAsia="宋体" w:hAnsi="Times New Roman"/>
          <w:color w:val="000000"/>
          <w:sz w:val="20"/>
          <w:szCs w:val="20"/>
        </w:rPr>
        <w:t xml:space="preserve">The Infrastructure Solutions Group, Client Solutions Group, and VMware reporting units are consistent with the reportable segments identified in Note 16 of the Notes to the Condensed </w:t>
      </w:r>
      <w:r>
        <w:rPr>
          <w:rFonts w:ascii="Times New Roman" w:eastAsia="宋体" w:hAnsi="Times New Roman"/>
          <w:color w:val="000000"/>
          <w:sz w:val="20"/>
          <w:szCs w:val="20"/>
        </w:rPr>
        <w:t xml:space="preserve">Consolidated Financial Statements. Other businesses consists of Secureworks and Virtustream which each represent separate reporting units. </w:t>
      </w:r>
    </w:p>
    <w:p w14:paraId="07DCF57D" w14:textId="77777777" w:rsidR="00AE727E" w:rsidRDefault="00AE727E"/>
    <w:p w14:paraId="07DCF57E" w14:textId="77777777" w:rsidR="00AE727E" w:rsidRDefault="008433E0">
      <w:pPr>
        <w:spacing w:after="60"/>
      </w:pPr>
      <w:r>
        <w:rPr>
          <w:rFonts w:ascii="Times New Roman" w:eastAsia="宋体" w:hAnsi="Times New Roman"/>
          <w:color w:val="000000"/>
          <w:sz w:val="20"/>
          <w:szCs w:val="20"/>
        </w:rPr>
        <w:t>The following table presents goodwill allocated to the Company’s reportable segments and changes in the carrying am</w:t>
      </w:r>
      <w:r>
        <w:rPr>
          <w:rFonts w:ascii="Times New Roman" w:eastAsia="宋体" w:hAnsi="Times New Roman"/>
          <w:color w:val="000000"/>
          <w:sz w:val="20"/>
          <w:szCs w:val="20"/>
        </w:rPr>
        <w:t>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679"/>
        <w:gridCol w:w="38"/>
        <w:gridCol w:w="121"/>
        <w:gridCol w:w="1169"/>
        <w:gridCol w:w="36"/>
        <w:gridCol w:w="36"/>
        <w:gridCol w:w="36"/>
        <w:gridCol w:w="36"/>
        <w:gridCol w:w="121"/>
        <w:gridCol w:w="808"/>
        <w:gridCol w:w="36"/>
        <w:gridCol w:w="36"/>
        <w:gridCol w:w="36"/>
        <w:gridCol w:w="36"/>
        <w:gridCol w:w="121"/>
        <w:gridCol w:w="808"/>
        <w:gridCol w:w="36"/>
        <w:gridCol w:w="36"/>
        <w:gridCol w:w="36"/>
        <w:gridCol w:w="36"/>
        <w:gridCol w:w="121"/>
        <w:gridCol w:w="860"/>
        <w:gridCol w:w="36"/>
        <w:gridCol w:w="36"/>
        <w:gridCol w:w="36"/>
        <w:gridCol w:w="36"/>
        <w:gridCol w:w="120"/>
        <w:gridCol w:w="719"/>
        <w:gridCol w:w="36"/>
      </w:tblGrid>
      <w:tr w:rsidR="00AE727E" w14:paraId="07DCF59D" w14:textId="77777777">
        <w:trPr>
          <w:jc w:val="center"/>
        </w:trPr>
        <w:tc>
          <w:tcPr>
            <w:tcW w:w="50" w:type="pct"/>
            <w:shd w:val="clear" w:color="auto" w:fill="auto"/>
            <w:vAlign w:val="bottom"/>
          </w:tcPr>
          <w:p w14:paraId="07DCF57F" w14:textId="77777777" w:rsidR="00AE727E" w:rsidRDefault="00AE727E">
            <w:pPr>
              <w:rPr>
                <w:rFonts w:ascii="宋体"/>
              </w:rPr>
            </w:pPr>
          </w:p>
        </w:tc>
        <w:tc>
          <w:tcPr>
            <w:tcW w:w="1728" w:type="pct"/>
            <w:shd w:val="clear" w:color="auto" w:fill="auto"/>
            <w:vAlign w:val="bottom"/>
          </w:tcPr>
          <w:p w14:paraId="07DCF580" w14:textId="77777777" w:rsidR="00AE727E" w:rsidRDefault="00AE727E">
            <w:pPr>
              <w:rPr>
                <w:rFonts w:ascii="宋体"/>
              </w:rPr>
            </w:pPr>
          </w:p>
        </w:tc>
        <w:tc>
          <w:tcPr>
            <w:tcW w:w="5" w:type="pct"/>
            <w:shd w:val="clear" w:color="auto" w:fill="auto"/>
            <w:vAlign w:val="bottom"/>
          </w:tcPr>
          <w:p w14:paraId="07DCF581" w14:textId="77777777" w:rsidR="00AE727E" w:rsidRDefault="00AE727E">
            <w:pPr>
              <w:rPr>
                <w:rFonts w:ascii="宋体"/>
              </w:rPr>
            </w:pPr>
          </w:p>
        </w:tc>
        <w:tc>
          <w:tcPr>
            <w:tcW w:w="50" w:type="pct"/>
            <w:shd w:val="clear" w:color="auto" w:fill="auto"/>
            <w:vAlign w:val="bottom"/>
          </w:tcPr>
          <w:p w14:paraId="07DCF582" w14:textId="77777777" w:rsidR="00AE727E" w:rsidRDefault="00AE727E">
            <w:pPr>
              <w:rPr>
                <w:rFonts w:ascii="宋体"/>
              </w:rPr>
            </w:pPr>
          </w:p>
        </w:tc>
        <w:tc>
          <w:tcPr>
            <w:tcW w:w="610" w:type="pct"/>
            <w:shd w:val="clear" w:color="auto" w:fill="auto"/>
            <w:vAlign w:val="bottom"/>
          </w:tcPr>
          <w:p w14:paraId="07DCF583" w14:textId="77777777" w:rsidR="00AE727E" w:rsidRDefault="00AE727E">
            <w:pPr>
              <w:rPr>
                <w:rFonts w:ascii="宋体"/>
              </w:rPr>
            </w:pPr>
          </w:p>
        </w:tc>
        <w:tc>
          <w:tcPr>
            <w:tcW w:w="5" w:type="pct"/>
            <w:shd w:val="clear" w:color="auto" w:fill="auto"/>
            <w:vAlign w:val="bottom"/>
          </w:tcPr>
          <w:p w14:paraId="07DCF584" w14:textId="77777777" w:rsidR="00AE727E" w:rsidRDefault="00AE727E">
            <w:pPr>
              <w:rPr>
                <w:rFonts w:ascii="宋体"/>
              </w:rPr>
            </w:pPr>
          </w:p>
        </w:tc>
        <w:tc>
          <w:tcPr>
            <w:tcW w:w="5" w:type="pct"/>
            <w:shd w:val="clear" w:color="auto" w:fill="auto"/>
            <w:vAlign w:val="bottom"/>
          </w:tcPr>
          <w:p w14:paraId="07DCF585" w14:textId="77777777" w:rsidR="00AE727E" w:rsidRDefault="00AE727E">
            <w:pPr>
              <w:rPr>
                <w:rFonts w:ascii="宋体"/>
              </w:rPr>
            </w:pPr>
          </w:p>
        </w:tc>
        <w:tc>
          <w:tcPr>
            <w:tcW w:w="19" w:type="pct"/>
            <w:shd w:val="clear" w:color="auto" w:fill="auto"/>
            <w:vAlign w:val="bottom"/>
          </w:tcPr>
          <w:p w14:paraId="07DCF586" w14:textId="77777777" w:rsidR="00AE727E" w:rsidRDefault="00AE727E">
            <w:pPr>
              <w:rPr>
                <w:rFonts w:ascii="宋体"/>
              </w:rPr>
            </w:pPr>
          </w:p>
        </w:tc>
        <w:tc>
          <w:tcPr>
            <w:tcW w:w="5" w:type="pct"/>
            <w:shd w:val="clear" w:color="auto" w:fill="auto"/>
            <w:vAlign w:val="bottom"/>
          </w:tcPr>
          <w:p w14:paraId="07DCF587" w14:textId="77777777" w:rsidR="00AE727E" w:rsidRDefault="00AE727E">
            <w:pPr>
              <w:rPr>
                <w:rFonts w:ascii="宋体"/>
              </w:rPr>
            </w:pPr>
          </w:p>
        </w:tc>
        <w:tc>
          <w:tcPr>
            <w:tcW w:w="50" w:type="pct"/>
            <w:shd w:val="clear" w:color="auto" w:fill="auto"/>
            <w:vAlign w:val="bottom"/>
          </w:tcPr>
          <w:p w14:paraId="07DCF588" w14:textId="77777777" w:rsidR="00AE727E" w:rsidRDefault="00AE727E">
            <w:pPr>
              <w:rPr>
                <w:rFonts w:ascii="宋体"/>
              </w:rPr>
            </w:pPr>
          </w:p>
        </w:tc>
        <w:tc>
          <w:tcPr>
            <w:tcW w:w="559" w:type="pct"/>
            <w:shd w:val="clear" w:color="auto" w:fill="auto"/>
            <w:vAlign w:val="bottom"/>
          </w:tcPr>
          <w:p w14:paraId="07DCF589" w14:textId="77777777" w:rsidR="00AE727E" w:rsidRDefault="00AE727E">
            <w:pPr>
              <w:rPr>
                <w:rFonts w:ascii="宋体"/>
              </w:rPr>
            </w:pPr>
          </w:p>
        </w:tc>
        <w:tc>
          <w:tcPr>
            <w:tcW w:w="5" w:type="pct"/>
            <w:shd w:val="clear" w:color="auto" w:fill="auto"/>
            <w:vAlign w:val="bottom"/>
          </w:tcPr>
          <w:p w14:paraId="07DCF58A" w14:textId="77777777" w:rsidR="00AE727E" w:rsidRDefault="00AE727E">
            <w:pPr>
              <w:rPr>
                <w:rFonts w:ascii="宋体"/>
              </w:rPr>
            </w:pPr>
          </w:p>
        </w:tc>
        <w:tc>
          <w:tcPr>
            <w:tcW w:w="5" w:type="pct"/>
            <w:shd w:val="clear" w:color="auto" w:fill="auto"/>
            <w:vAlign w:val="bottom"/>
          </w:tcPr>
          <w:p w14:paraId="07DCF58B" w14:textId="77777777" w:rsidR="00AE727E" w:rsidRDefault="00AE727E">
            <w:pPr>
              <w:rPr>
                <w:rFonts w:ascii="宋体"/>
              </w:rPr>
            </w:pPr>
          </w:p>
        </w:tc>
        <w:tc>
          <w:tcPr>
            <w:tcW w:w="19" w:type="pct"/>
            <w:shd w:val="clear" w:color="auto" w:fill="auto"/>
            <w:vAlign w:val="bottom"/>
          </w:tcPr>
          <w:p w14:paraId="07DCF58C" w14:textId="77777777" w:rsidR="00AE727E" w:rsidRDefault="00AE727E">
            <w:pPr>
              <w:rPr>
                <w:rFonts w:ascii="宋体"/>
              </w:rPr>
            </w:pPr>
          </w:p>
        </w:tc>
        <w:tc>
          <w:tcPr>
            <w:tcW w:w="5" w:type="pct"/>
            <w:shd w:val="clear" w:color="auto" w:fill="auto"/>
            <w:vAlign w:val="bottom"/>
          </w:tcPr>
          <w:p w14:paraId="07DCF58D" w14:textId="77777777" w:rsidR="00AE727E" w:rsidRDefault="00AE727E">
            <w:pPr>
              <w:rPr>
                <w:rFonts w:ascii="宋体"/>
              </w:rPr>
            </w:pPr>
          </w:p>
        </w:tc>
        <w:tc>
          <w:tcPr>
            <w:tcW w:w="50" w:type="pct"/>
            <w:shd w:val="clear" w:color="auto" w:fill="auto"/>
            <w:vAlign w:val="bottom"/>
          </w:tcPr>
          <w:p w14:paraId="07DCF58E" w14:textId="77777777" w:rsidR="00AE727E" w:rsidRDefault="00AE727E">
            <w:pPr>
              <w:rPr>
                <w:rFonts w:ascii="宋体"/>
              </w:rPr>
            </w:pPr>
          </w:p>
        </w:tc>
        <w:tc>
          <w:tcPr>
            <w:tcW w:w="559" w:type="pct"/>
            <w:shd w:val="clear" w:color="auto" w:fill="auto"/>
            <w:vAlign w:val="bottom"/>
          </w:tcPr>
          <w:p w14:paraId="07DCF58F" w14:textId="77777777" w:rsidR="00AE727E" w:rsidRDefault="00AE727E">
            <w:pPr>
              <w:rPr>
                <w:rFonts w:ascii="宋体"/>
              </w:rPr>
            </w:pPr>
          </w:p>
        </w:tc>
        <w:tc>
          <w:tcPr>
            <w:tcW w:w="5" w:type="pct"/>
            <w:shd w:val="clear" w:color="auto" w:fill="auto"/>
            <w:vAlign w:val="bottom"/>
          </w:tcPr>
          <w:p w14:paraId="07DCF590" w14:textId="77777777" w:rsidR="00AE727E" w:rsidRDefault="00AE727E">
            <w:pPr>
              <w:rPr>
                <w:rFonts w:ascii="宋体"/>
              </w:rPr>
            </w:pPr>
          </w:p>
        </w:tc>
        <w:tc>
          <w:tcPr>
            <w:tcW w:w="5" w:type="pct"/>
            <w:shd w:val="clear" w:color="auto" w:fill="auto"/>
            <w:vAlign w:val="bottom"/>
          </w:tcPr>
          <w:p w14:paraId="07DCF591" w14:textId="77777777" w:rsidR="00AE727E" w:rsidRDefault="00AE727E">
            <w:pPr>
              <w:rPr>
                <w:rFonts w:ascii="宋体"/>
              </w:rPr>
            </w:pPr>
          </w:p>
        </w:tc>
        <w:tc>
          <w:tcPr>
            <w:tcW w:w="19" w:type="pct"/>
            <w:shd w:val="clear" w:color="auto" w:fill="auto"/>
            <w:vAlign w:val="bottom"/>
          </w:tcPr>
          <w:p w14:paraId="07DCF592" w14:textId="77777777" w:rsidR="00AE727E" w:rsidRDefault="00AE727E">
            <w:pPr>
              <w:rPr>
                <w:rFonts w:ascii="宋体"/>
              </w:rPr>
            </w:pPr>
          </w:p>
        </w:tc>
        <w:tc>
          <w:tcPr>
            <w:tcW w:w="5" w:type="pct"/>
            <w:shd w:val="clear" w:color="auto" w:fill="auto"/>
            <w:vAlign w:val="bottom"/>
          </w:tcPr>
          <w:p w14:paraId="07DCF593" w14:textId="77777777" w:rsidR="00AE727E" w:rsidRDefault="00AE727E">
            <w:pPr>
              <w:rPr>
                <w:rFonts w:ascii="宋体"/>
              </w:rPr>
            </w:pPr>
          </w:p>
        </w:tc>
        <w:tc>
          <w:tcPr>
            <w:tcW w:w="50" w:type="pct"/>
            <w:shd w:val="clear" w:color="auto" w:fill="auto"/>
            <w:vAlign w:val="bottom"/>
          </w:tcPr>
          <w:p w14:paraId="07DCF594" w14:textId="77777777" w:rsidR="00AE727E" w:rsidRDefault="00AE727E">
            <w:pPr>
              <w:rPr>
                <w:rFonts w:ascii="宋体"/>
              </w:rPr>
            </w:pPr>
          </w:p>
        </w:tc>
        <w:tc>
          <w:tcPr>
            <w:tcW w:w="588" w:type="pct"/>
            <w:shd w:val="clear" w:color="auto" w:fill="auto"/>
            <w:vAlign w:val="bottom"/>
          </w:tcPr>
          <w:p w14:paraId="07DCF595" w14:textId="77777777" w:rsidR="00AE727E" w:rsidRDefault="00AE727E">
            <w:pPr>
              <w:rPr>
                <w:rFonts w:ascii="宋体"/>
              </w:rPr>
            </w:pPr>
          </w:p>
        </w:tc>
        <w:tc>
          <w:tcPr>
            <w:tcW w:w="5" w:type="pct"/>
            <w:shd w:val="clear" w:color="auto" w:fill="auto"/>
            <w:vAlign w:val="bottom"/>
          </w:tcPr>
          <w:p w14:paraId="07DCF596" w14:textId="77777777" w:rsidR="00AE727E" w:rsidRDefault="00AE727E">
            <w:pPr>
              <w:rPr>
                <w:rFonts w:ascii="宋体"/>
              </w:rPr>
            </w:pPr>
          </w:p>
        </w:tc>
        <w:tc>
          <w:tcPr>
            <w:tcW w:w="5" w:type="pct"/>
            <w:shd w:val="clear" w:color="auto" w:fill="auto"/>
            <w:vAlign w:val="bottom"/>
          </w:tcPr>
          <w:p w14:paraId="07DCF597" w14:textId="77777777" w:rsidR="00AE727E" w:rsidRDefault="00AE727E">
            <w:pPr>
              <w:rPr>
                <w:rFonts w:ascii="宋体"/>
              </w:rPr>
            </w:pPr>
          </w:p>
        </w:tc>
        <w:tc>
          <w:tcPr>
            <w:tcW w:w="19" w:type="pct"/>
            <w:shd w:val="clear" w:color="auto" w:fill="auto"/>
            <w:vAlign w:val="bottom"/>
          </w:tcPr>
          <w:p w14:paraId="07DCF598" w14:textId="77777777" w:rsidR="00AE727E" w:rsidRDefault="00AE727E">
            <w:pPr>
              <w:rPr>
                <w:rFonts w:ascii="宋体"/>
              </w:rPr>
            </w:pPr>
          </w:p>
        </w:tc>
        <w:tc>
          <w:tcPr>
            <w:tcW w:w="5" w:type="pct"/>
            <w:shd w:val="clear" w:color="auto" w:fill="auto"/>
            <w:vAlign w:val="bottom"/>
          </w:tcPr>
          <w:p w14:paraId="07DCF599" w14:textId="77777777" w:rsidR="00AE727E" w:rsidRDefault="00AE727E">
            <w:pPr>
              <w:rPr>
                <w:rFonts w:ascii="宋体"/>
              </w:rPr>
            </w:pPr>
          </w:p>
        </w:tc>
        <w:tc>
          <w:tcPr>
            <w:tcW w:w="50" w:type="pct"/>
            <w:shd w:val="clear" w:color="auto" w:fill="auto"/>
            <w:vAlign w:val="bottom"/>
          </w:tcPr>
          <w:p w14:paraId="07DCF59A" w14:textId="77777777" w:rsidR="00AE727E" w:rsidRDefault="00AE727E">
            <w:pPr>
              <w:rPr>
                <w:rFonts w:ascii="宋体"/>
              </w:rPr>
            </w:pPr>
          </w:p>
        </w:tc>
        <w:tc>
          <w:tcPr>
            <w:tcW w:w="508" w:type="pct"/>
            <w:shd w:val="clear" w:color="auto" w:fill="auto"/>
            <w:vAlign w:val="bottom"/>
          </w:tcPr>
          <w:p w14:paraId="07DCF59B" w14:textId="77777777" w:rsidR="00AE727E" w:rsidRDefault="00AE727E">
            <w:pPr>
              <w:rPr>
                <w:rFonts w:ascii="宋体"/>
              </w:rPr>
            </w:pPr>
          </w:p>
        </w:tc>
        <w:tc>
          <w:tcPr>
            <w:tcW w:w="5" w:type="pct"/>
            <w:shd w:val="clear" w:color="auto" w:fill="auto"/>
            <w:vAlign w:val="bottom"/>
          </w:tcPr>
          <w:p w14:paraId="07DCF59C" w14:textId="77777777" w:rsidR="00AE727E" w:rsidRDefault="00AE727E">
            <w:pPr>
              <w:rPr>
                <w:rFonts w:ascii="宋体"/>
              </w:rPr>
            </w:pPr>
          </w:p>
        </w:tc>
      </w:tr>
      <w:tr w:rsidR="00AE727E" w14:paraId="07DCF5A8" w14:textId="77777777">
        <w:trPr>
          <w:jc w:val="center"/>
        </w:trPr>
        <w:tc>
          <w:tcPr>
            <w:tcW w:w="0" w:type="auto"/>
            <w:gridSpan w:val="3"/>
            <w:shd w:val="clear" w:color="auto" w:fill="auto"/>
            <w:tcMar>
              <w:top w:w="40" w:type="dxa"/>
              <w:left w:w="20" w:type="dxa"/>
              <w:bottom w:w="40" w:type="dxa"/>
              <w:right w:w="20" w:type="dxa"/>
            </w:tcMar>
            <w:vAlign w:val="bottom"/>
          </w:tcPr>
          <w:p w14:paraId="07DCF59E" w14:textId="77777777" w:rsidR="00AE727E" w:rsidRDefault="008433E0">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7DCF59F" w14:textId="77777777" w:rsidR="00AE727E" w:rsidRDefault="008433E0">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vAlign w:val="bottom"/>
          </w:tcPr>
          <w:p w14:paraId="07DCF5A0"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5A1" w14:textId="77777777" w:rsidR="00AE727E" w:rsidRDefault="008433E0">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vAlign w:val="bottom"/>
          </w:tcPr>
          <w:p w14:paraId="07DCF5A2"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5A3" w14:textId="77777777" w:rsidR="00AE727E" w:rsidRDefault="008433E0">
            <w:pPr>
              <w:jc w:val="center"/>
              <w:textAlignment w:val="bottom"/>
            </w:pPr>
            <w:r>
              <w:rPr>
                <w:rFonts w:ascii="Times New Roman" w:eastAsia="宋体" w:hAnsi="Times New Roman"/>
                <w:b/>
                <w:bCs/>
                <w:color w:val="000000"/>
                <w:sz w:val="20"/>
                <w:szCs w:val="20"/>
              </w:rPr>
              <w:t>VMware</w:t>
            </w:r>
          </w:p>
        </w:tc>
        <w:tc>
          <w:tcPr>
            <w:tcW w:w="0" w:type="auto"/>
            <w:gridSpan w:val="3"/>
            <w:shd w:val="clear" w:color="auto" w:fill="auto"/>
            <w:tcMar>
              <w:top w:w="0" w:type="dxa"/>
              <w:left w:w="20" w:type="dxa"/>
              <w:bottom w:w="0" w:type="dxa"/>
              <w:right w:w="20" w:type="dxa"/>
            </w:tcMar>
            <w:vAlign w:val="bottom"/>
          </w:tcPr>
          <w:p w14:paraId="07DCF5A4"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5A5" w14:textId="77777777" w:rsidR="00AE727E" w:rsidRDefault="008433E0">
            <w:pPr>
              <w:jc w:val="center"/>
              <w:textAlignment w:val="bottom"/>
            </w:pPr>
            <w:r>
              <w:rPr>
                <w:rFonts w:ascii="Times New Roman" w:eastAsia="宋体" w:hAnsi="Times New Roman"/>
                <w:b/>
                <w:bCs/>
                <w:color w:val="000000"/>
                <w:sz w:val="20"/>
                <w:szCs w:val="20"/>
              </w:rPr>
              <w:t>Other Businesses</w:t>
            </w:r>
          </w:p>
        </w:tc>
        <w:tc>
          <w:tcPr>
            <w:tcW w:w="0" w:type="auto"/>
            <w:gridSpan w:val="3"/>
            <w:shd w:val="clear" w:color="auto" w:fill="auto"/>
            <w:tcMar>
              <w:top w:w="0" w:type="dxa"/>
              <w:left w:w="20" w:type="dxa"/>
              <w:bottom w:w="0" w:type="dxa"/>
              <w:right w:w="20" w:type="dxa"/>
            </w:tcMar>
            <w:vAlign w:val="bottom"/>
          </w:tcPr>
          <w:p w14:paraId="07DCF5A6"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5A7"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F5AB" w14:textId="77777777">
        <w:trPr>
          <w:jc w:val="center"/>
        </w:trPr>
        <w:tc>
          <w:tcPr>
            <w:tcW w:w="0" w:type="auto"/>
            <w:gridSpan w:val="3"/>
            <w:shd w:val="clear" w:color="auto" w:fill="auto"/>
            <w:tcMar>
              <w:top w:w="0" w:type="dxa"/>
              <w:left w:w="20" w:type="dxa"/>
              <w:bottom w:w="0" w:type="dxa"/>
              <w:right w:w="20" w:type="dxa"/>
            </w:tcMar>
            <w:vAlign w:val="bottom"/>
          </w:tcPr>
          <w:p w14:paraId="07DCF5A9" w14:textId="77777777" w:rsidR="00AE727E" w:rsidRDefault="00AE727E">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07DCF5AA"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5C0" w14:textId="77777777">
        <w:trPr>
          <w:jc w:val="center"/>
        </w:trPr>
        <w:tc>
          <w:tcPr>
            <w:tcW w:w="0" w:type="auto"/>
            <w:gridSpan w:val="3"/>
            <w:shd w:val="clear" w:color="auto" w:fill="CCEEFF"/>
            <w:tcMar>
              <w:top w:w="40" w:type="dxa"/>
              <w:left w:w="20" w:type="dxa"/>
              <w:bottom w:w="40" w:type="dxa"/>
              <w:right w:w="20" w:type="dxa"/>
            </w:tcMar>
            <w:vAlign w:val="bottom"/>
          </w:tcPr>
          <w:p w14:paraId="07DCF5AC" w14:textId="77777777" w:rsidR="00AE727E" w:rsidRDefault="008433E0">
            <w:pPr>
              <w:textAlignment w:val="bottom"/>
            </w:pPr>
            <w:r>
              <w:rPr>
                <w:rFonts w:ascii="Times New Roman" w:eastAsia="宋体" w:hAnsi="Times New Roman"/>
                <w:i/>
                <w:iCs/>
                <w:color w:val="000000"/>
                <w:sz w:val="20"/>
                <w:szCs w:val="20"/>
              </w:rPr>
              <w:t>Balance as of January 29, 2021</w:t>
            </w:r>
          </w:p>
        </w:tc>
        <w:tc>
          <w:tcPr>
            <w:tcW w:w="0" w:type="auto"/>
            <w:shd w:val="clear" w:color="auto" w:fill="CCEEFF"/>
            <w:tcMar>
              <w:top w:w="40" w:type="dxa"/>
              <w:left w:w="20" w:type="dxa"/>
              <w:bottom w:w="40" w:type="dxa"/>
              <w:right w:w="0" w:type="dxa"/>
            </w:tcMar>
            <w:vAlign w:val="bottom"/>
          </w:tcPr>
          <w:p w14:paraId="07DCF5A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5AE" w14:textId="77777777" w:rsidR="00AE727E" w:rsidRDefault="008433E0">
            <w:pPr>
              <w:jc w:val="right"/>
              <w:textAlignment w:val="bottom"/>
            </w:pPr>
            <w:r>
              <w:rPr>
                <w:rFonts w:ascii="Times New Roman" w:eastAsia="宋体" w:hAnsi="Times New Roman"/>
                <w:color w:val="000000"/>
                <w:sz w:val="20"/>
                <w:szCs w:val="20"/>
              </w:rPr>
              <w:t>15,324 </w:t>
            </w:r>
          </w:p>
        </w:tc>
        <w:tc>
          <w:tcPr>
            <w:tcW w:w="0" w:type="auto"/>
            <w:shd w:val="clear" w:color="auto" w:fill="CCEEFF"/>
            <w:tcMar>
              <w:top w:w="40" w:type="dxa"/>
              <w:left w:w="0" w:type="dxa"/>
              <w:bottom w:w="40" w:type="dxa"/>
              <w:right w:w="20" w:type="dxa"/>
            </w:tcMar>
            <w:vAlign w:val="bottom"/>
          </w:tcPr>
          <w:p w14:paraId="07DCF5A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B0"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5B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5B2" w14:textId="77777777" w:rsidR="00AE727E" w:rsidRDefault="008433E0">
            <w:pPr>
              <w:jc w:val="right"/>
              <w:textAlignment w:val="bottom"/>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bottom"/>
          </w:tcPr>
          <w:p w14:paraId="07DCF5B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B4"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5B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5B6" w14:textId="77777777" w:rsidR="00AE727E" w:rsidRDefault="008433E0">
            <w:pPr>
              <w:jc w:val="right"/>
              <w:textAlignment w:val="bottom"/>
            </w:pPr>
            <w:r>
              <w:rPr>
                <w:rFonts w:ascii="Times New Roman" w:eastAsia="宋体" w:hAnsi="Times New Roman"/>
                <w:color w:val="000000"/>
                <w:sz w:val="20"/>
                <w:szCs w:val="20"/>
              </w:rPr>
              <w:t>20,802 </w:t>
            </w:r>
          </w:p>
        </w:tc>
        <w:tc>
          <w:tcPr>
            <w:tcW w:w="0" w:type="auto"/>
            <w:shd w:val="clear" w:color="auto" w:fill="CCEEFF"/>
            <w:tcMar>
              <w:top w:w="40" w:type="dxa"/>
              <w:left w:w="0" w:type="dxa"/>
              <w:bottom w:w="40" w:type="dxa"/>
              <w:right w:w="20" w:type="dxa"/>
            </w:tcMar>
            <w:vAlign w:val="bottom"/>
          </w:tcPr>
          <w:p w14:paraId="07DCF5B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B8"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5B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5BA" w14:textId="77777777" w:rsidR="00AE727E" w:rsidRDefault="008433E0">
            <w:pPr>
              <w:jc w:val="right"/>
              <w:textAlignment w:val="bottom"/>
            </w:pPr>
            <w:r>
              <w:rPr>
                <w:rFonts w:ascii="Times New Roman" w:eastAsia="宋体" w:hAnsi="Times New Roman"/>
                <w:color w:val="000000"/>
                <w:sz w:val="20"/>
                <w:szCs w:val="20"/>
              </w:rPr>
              <w:t>466 </w:t>
            </w:r>
          </w:p>
        </w:tc>
        <w:tc>
          <w:tcPr>
            <w:tcW w:w="0" w:type="auto"/>
            <w:shd w:val="clear" w:color="auto" w:fill="CCEEFF"/>
            <w:tcMar>
              <w:top w:w="40" w:type="dxa"/>
              <w:left w:w="0" w:type="dxa"/>
              <w:bottom w:w="40" w:type="dxa"/>
              <w:right w:w="20" w:type="dxa"/>
            </w:tcMar>
            <w:vAlign w:val="bottom"/>
          </w:tcPr>
          <w:p w14:paraId="07DCF5B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BC"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5B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5BE" w14:textId="77777777" w:rsidR="00AE727E" w:rsidRDefault="008433E0">
            <w:pPr>
              <w:jc w:val="right"/>
              <w:textAlignment w:val="bottom"/>
            </w:pPr>
            <w:r>
              <w:rPr>
                <w:rFonts w:ascii="Times New Roman" w:eastAsia="宋体" w:hAnsi="Times New Roman"/>
                <w:color w:val="000000"/>
                <w:sz w:val="20"/>
                <w:szCs w:val="20"/>
              </w:rPr>
              <w:t>40,829 </w:t>
            </w:r>
          </w:p>
        </w:tc>
        <w:tc>
          <w:tcPr>
            <w:tcW w:w="0" w:type="auto"/>
            <w:shd w:val="clear" w:color="auto" w:fill="CCEEFF"/>
            <w:tcMar>
              <w:top w:w="40" w:type="dxa"/>
              <w:left w:w="0" w:type="dxa"/>
              <w:bottom w:w="40" w:type="dxa"/>
              <w:right w:w="20" w:type="dxa"/>
            </w:tcMar>
            <w:vAlign w:val="bottom"/>
          </w:tcPr>
          <w:p w14:paraId="07DCF5BF" w14:textId="77777777" w:rsidR="00AE727E" w:rsidRDefault="00AE727E">
            <w:pPr>
              <w:jc w:val="right"/>
              <w:rPr>
                <w:rFonts w:ascii="宋体"/>
              </w:rPr>
            </w:pPr>
          </w:p>
        </w:tc>
      </w:tr>
      <w:tr w:rsidR="00AE727E" w14:paraId="07DCF5D0" w14:textId="77777777">
        <w:trPr>
          <w:jc w:val="center"/>
        </w:trPr>
        <w:tc>
          <w:tcPr>
            <w:tcW w:w="0" w:type="auto"/>
            <w:gridSpan w:val="3"/>
            <w:shd w:val="clear" w:color="auto" w:fill="FFFFFF"/>
            <w:tcMar>
              <w:top w:w="40" w:type="dxa"/>
              <w:left w:w="155" w:type="dxa"/>
              <w:bottom w:w="40" w:type="dxa"/>
              <w:right w:w="20" w:type="dxa"/>
            </w:tcMar>
            <w:vAlign w:val="bottom"/>
          </w:tcPr>
          <w:p w14:paraId="07DCF5C1" w14:textId="77777777" w:rsidR="00AE727E" w:rsidRDefault="008433E0">
            <w:pPr>
              <w:textAlignment w:val="bottom"/>
            </w:pPr>
            <w:r>
              <w:rPr>
                <w:rFonts w:ascii="Times New Roman" w:eastAsia="宋体" w:hAnsi="Times New Roman"/>
                <w:color w:val="000000"/>
                <w:sz w:val="20"/>
                <w:szCs w:val="20"/>
              </w:rPr>
              <w:t>Goodwill acquired</w:t>
            </w:r>
          </w:p>
        </w:tc>
        <w:tc>
          <w:tcPr>
            <w:tcW w:w="0" w:type="auto"/>
            <w:gridSpan w:val="2"/>
            <w:shd w:val="clear" w:color="auto" w:fill="FFFFFF"/>
            <w:tcMar>
              <w:top w:w="40" w:type="dxa"/>
              <w:left w:w="20" w:type="dxa"/>
              <w:bottom w:w="40" w:type="dxa"/>
              <w:right w:w="0" w:type="dxa"/>
            </w:tcMar>
            <w:vAlign w:val="bottom"/>
          </w:tcPr>
          <w:p w14:paraId="07DCF5C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C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C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C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C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C8" w14:textId="77777777" w:rsidR="00AE727E" w:rsidRDefault="008433E0">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7DCF5C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C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C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C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CE" w14:textId="77777777" w:rsidR="00AE727E" w:rsidRDefault="008433E0">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7DCF5CF" w14:textId="77777777" w:rsidR="00AE727E" w:rsidRDefault="00AE727E">
            <w:pPr>
              <w:jc w:val="right"/>
              <w:rPr>
                <w:rFonts w:ascii="宋体"/>
              </w:rPr>
            </w:pPr>
          </w:p>
        </w:tc>
      </w:tr>
      <w:tr w:rsidR="00AE727E" w14:paraId="07DCF5E0" w14:textId="77777777">
        <w:trPr>
          <w:jc w:val="center"/>
        </w:trPr>
        <w:tc>
          <w:tcPr>
            <w:tcW w:w="0" w:type="auto"/>
            <w:gridSpan w:val="3"/>
            <w:shd w:val="clear" w:color="auto" w:fill="CCEEFF"/>
            <w:tcMar>
              <w:top w:w="40" w:type="dxa"/>
              <w:left w:w="155" w:type="dxa"/>
              <w:bottom w:w="40" w:type="dxa"/>
              <w:right w:w="20" w:type="dxa"/>
            </w:tcMar>
            <w:vAlign w:val="bottom"/>
          </w:tcPr>
          <w:p w14:paraId="07DCF5D1" w14:textId="77777777" w:rsidR="00AE727E" w:rsidRDefault="008433E0">
            <w:pPr>
              <w:textAlignment w:val="bottom"/>
            </w:pPr>
            <w:r>
              <w:rPr>
                <w:rFonts w:ascii="Times New Roman" w:eastAsia="宋体" w:hAnsi="Times New Roman"/>
                <w:color w:val="000000"/>
                <w:sz w:val="20"/>
                <w:szCs w:val="20"/>
              </w:rPr>
              <w:t>Impact of foreign currency translation</w:t>
            </w:r>
          </w:p>
        </w:tc>
        <w:tc>
          <w:tcPr>
            <w:tcW w:w="0" w:type="auto"/>
            <w:gridSpan w:val="2"/>
            <w:shd w:val="clear" w:color="auto" w:fill="CCEEFF"/>
            <w:tcMar>
              <w:top w:w="40" w:type="dxa"/>
              <w:left w:w="20" w:type="dxa"/>
              <w:bottom w:w="40" w:type="dxa"/>
              <w:right w:w="0" w:type="dxa"/>
            </w:tcMar>
            <w:vAlign w:val="bottom"/>
          </w:tcPr>
          <w:p w14:paraId="07DCF5D2" w14:textId="77777777" w:rsidR="00AE727E" w:rsidRDefault="008433E0">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07DCF5D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D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D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5D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D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D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5D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D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D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5D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5D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5DE" w14:textId="77777777" w:rsidR="00AE727E" w:rsidRDefault="008433E0">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07DCF5DF" w14:textId="77777777" w:rsidR="00AE727E" w:rsidRDefault="00AE727E">
            <w:pPr>
              <w:jc w:val="right"/>
              <w:rPr>
                <w:rFonts w:ascii="宋体"/>
              </w:rPr>
            </w:pPr>
          </w:p>
        </w:tc>
      </w:tr>
      <w:tr w:rsidR="00AE727E" w14:paraId="07DCF5F0" w14:textId="77777777">
        <w:trPr>
          <w:jc w:val="center"/>
        </w:trPr>
        <w:tc>
          <w:tcPr>
            <w:tcW w:w="0" w:type="auto"/>
            <w:gridSpan w:val="3"/>
            <w:shd w:val="clear" w:color="auto" w:fill="FFFFFF"/>
            <w:tcMar>
              <w:top w:w="40" w:type="dxa"/>
              <w:left w:w="155" w:type="dxa"/>
              <w:bottom w:w="40" w:type="dxa"/>
              <w:right w:w="20" w:type="dxa"/>
            </w:tcMar>
            <w:vAlign w:val="bottom"/>
          </w:tcPr>
          <w:p w14:paraId="07DCF5E1" w14:textId="77777777" w:rsidR="00AE727E" w:rsidRDefault="008433E0">
            <w:pPr>
              <w:textAlignment w:val="bottom"/>
            </w:pPr>
            <w:r>
              <w:rPr>
                <w:rFonts w:ascii="Times New Roman" w:eastAsia="宋体" w:hAnsi="Times New Roman"/>
                <w:color w:val="000000"/>
                <w:sz w:val="20"/>
                <w:szCs w:val="20"/>
              </w:rPr>
              <w:t>Goodwill divested (a)</w:t>
            </w:r>
          </w:p>
        </w:tc>
        <w:tc>
          <w:tcPr>
            <w:tcW w:w="0" w:type="auto"/>
            <w:gridSpan w:val="2"/>
            <w:shd w:val="clear" w:color="auto" w:fill="FFFFFF"/>
            <w:tcMar>
              <w:top w:w="40" w:type="dxa"/>
              <w:left w:w="20" w:type="dxa"/>
              <w:bottom w:w="40" w:type="dxa"/>
              <w:right w:w="0" w:type="dxa"/>
            </w:tcMar>
            <w:vAlign w:val="bottom"/>
          </w:tcPr>
          <w:p w14:paraId="07DCF5E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E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E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E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E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E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E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CF5E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E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EB" w14:textId="77777777" w:rsidR="00AE727E" w:rsidRDefault="008433E0">
            <w:pPr>
              <w:jc w:val="right"/>
              <w:textAlignment w:val="bottom"/>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bottom"/>
          </w:tcPr>
          <w:p w14:paraId="07DCF5E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5E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5EE" w14:textId="77777777" w:rsidR="00AE727E" w:rsidRDefault="008433E0">
            <w:pPr>
              <w:jc w:val="right"/>
              <w:textAlignment w:val="bottom"/>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bottom"/>
          </w:tcPr>
          <w:p w14:paraId="07DCF5EF" w14:textId="77777777" w:rsidR="00AE727E" w:rsidRDefault="00AE727E">
            <w:pPr>
              <w:jc w:val="right"/>
              <w:rPr>
                <w:rFonts w:ascii="宋体"/>
              </w:rPr>
            </w:pPr>
          </w:p>
        </w:tc>
      </w:tr>
      <w:tr w:rsidR="00AE727E" w14:paraId="07DCF5FB" w14:textId="77777777">
        <w:trPr>
          <w:jc w:val="center"/>
          <w:hidden/>
        </w:trPr>
        <w:tc>
          <w:tcPr>
            <w:tcW w:w="0" w:type="auto"/>
            <w:gridSpan w:val="3"/>
            <w:shd w:val="clear" w:color="auto" w:fill="auto"/>
            <w:vAlign w:val="bottom"/>
          </w:tcPr>
          <w:p w14:paraId="07DCF5F1" w14:textId="77777777" w:rsidR="00AE727E" w:rsidRDefault="00AE727E">
            <w:pPr>
              <w:rPr>
                <w:rFonts w:ascii="宋体"/>
                <w:vanish/>
              </w:rPr>
            </w:pPr>
          </w:p>
        </w:tc>
        <w:tc>
          <w:tcPr>
            <w:tcW w:w="0" w:type="auto"/>
            <w:gridSpan w:val="3"/>
            <w:shd w:val="clear" w:color="auto" w:fill="auto"/>
            <w:vAlign w:val="bottom"/>
          </w:tcPr>
          <w:p w14:paraId="07DCF5F2" w14:textId="77777777" w:rsidR="00AE727E" w:rsidRDefault="00AE727E">
            <w:pPr>
              <w:rPr>
                <w:rFonts w:ascii="宋体"/>
                <w:vanish/>
              </w:rPr>
            </w:pPr>
          </w:p>
        </w:tc>
        <w:tc>
          <w:tcPr>
            <w:tcW w:w="0" w:type="auto"/>
            <w:gridSpan w:val="3"/>
            <w:shd w:val="clear" w:color="auto" w:fill="auto"/>
            <w:vAlign w:val="bottom"/>
          </w:tcPr>
          <w:p w14:paraId="07DCF5F3" w14:textId="77777777" w:rsidR="00AE727E" w:rsidRDefault="00AE727E">
            <w:pPr>
              <w:rPr>
                <w:rFonts w:ascii="宋体"/>
                <w:vanish/>
              </w:rPr>
            </w:pPr>
          </w:p>
        </w:tc>
        <w:tc>
          <w:tcPr>
            <w:tcW w:w="0" w:type="auto"/>
            <w:gridSpan w:val="3"/>
            <w:shd w:val="clear" w:color="auto" w:fill="auto"/>
            <w:vAlign w:val="bottom"/>
          </w:tcPr>
          <w:p w14:paraId="07DCF5F4" w14:textId="77777777" w:rsidR="00AE727E" w:rsidRDefault="00AE727E">
            <w:pPr>
              <w:rPr>
                <w:rFonts w:ascii="宋体"/>
                <w:vanish/>
              </w:rPr>
            </w:pPr>
          </w:p>
        </w:tc>
        <w:tc>
          <w:tcPr>
            <w:tcW w:w="0" w:type="auto"/>
            <w:gridSpan w:val="3"/>
            <w:shd w:val="clear" w:color="auto" w:fill="auto"/>
            <w:vAlign w:val="bottom"/>
          </w:tcPr>
          <w:p w14:paraId="07DCF5F5" w14:textId="77777777" w:rsidR="00AE727E" w:rsidRDefault="00AE727E">
            <w:pPr>
              <w:rPr>
                <w:rFonts w:ascii="宋体"/>
                <w:vanish/>
              </w:rPr>
            </w:pPr>
          </w:p>
        </w:tc>
        <w:tc>
          <w:tcPr>
            <w:tcW w:w="0" w:type="auto"/>
            <w:gridSpan w:val="3"/>
            <w:shd w:val="clear" w:color="auto" w:fill="auto"/>
            <w:vAlign w:val="bottom"/>
          </w:tcPr>
          <w:p w14:paraId="07DCF5F6" w14:textId="77777777" w:rsidR="00AE727E" w:rsidRDefault="00AE727E">
            <w:pPr>
              <w:rPr>
                <w:rFonts w:ascii="宋体"/>
                <w:vanish/>
              </w:rPr>
            </w:pPr>
          </w:p>
        </w:tc>
        <w:tc>
          <w:tcPr>
            <w:tcW w:w="0" w:type="auto"/>
            <w:gridSpan w:val="3"/>
            <w:shd w:val="clear" w:color="auto" w:fill="auto"/>
            <w:vAlign w:val="bottom"/>
          </w:tcPr>
          <w:p w14:paraId="07DCF5F7" w14:textId="77777777" w:rsidR="00AE727E" w:rsidRDefault="00AE727E">
            <w:pPr>
              <w:rPr>
                <w:rFonts w:ascii="宋体"/>
                <w:vanish/>
              </w:rPr>
            </w:pPr>
          </w:p>
        </w:tc>
        <w:tc>
          <w:tcPr>
            <w:tcW w:w="0" w:type="auto"/>
            <w:gridSpan w:val="3"/>
            <w:shd w:val="clear" w:color="auto" w:fill="auto"/>
            <w:vAlign w:val="bottom"/>
          </w:tcPr>
          <w:p w14:paraId="07DCF5F8" w14:textId="77777777" w:rsidR="00AE727E" w:rsidRDefault="00AE727E">
            <w:pPr>
              <w:rPr>
                <w:rFonts w:ascii="宋体"/>
                <w:vanish/>
              </w:rPr>
            </w:pPr>
          </w:p>
        </w:tc>
        <w:tc>
          <w:tcPr>
            <w:tcW w:w="0" w:type="auto"/>
            <w:gridSpan w:val="3"/>
            <w:shd w:val="clear" w:color="auto" w:fill="auto"/>
            <w:vAlign w:val="bottom"/>
          </w:tcPr>
          <w:p w14:paraId="07DCF5F9" w14:textId="77777777" w:rsidR="00AE727E" w:rsidRDefault="00AE727E">
            <w:pPr>
              <w:rPr>
                <w:rFonts w:ascii="宋体"/>
                <w:vanish/>
              </w:rPr>
            </w:pPr>
          </w:p>
        </w:tc>
        <w:tc>
          <w:tcPr>
            <w:tcW w:w="0" w:type="auto"/>
            <w:gridSpan w:val="3"/>
            <w:shd w:val="clear" w:color="auto" w:fill="auto"/>
            <w:vAlign w:val="bottom"/>
          </w:tcPr>
          <w:p w14:paraId="07DCF5FA" w14:textId="77777777" w:rsidR="00AE727E" w:rsidRDefault="00AE727E">
            <w:pPr>
              <w:rPr>
                <w:rFonts w:ascii="宋体"/>
                <w:vanish/>
              </w:rPr>
            </w:pPr>
          </w:p>
        </w:tc>
      </w:tr>
      <w:tr w:rsidR="00AE727E" w14:paraId="07DCF606" w14:textId="77777777">
        <w:trPr>
          <w:jc w:val="center"/>
          <w:hidden/>
        </w:trPr>
        <w:tc>
          <w:tcPr>
            <w:tcW w:w="0" w:type="auto"/>
            <w:gridSpan w:val="3"/>
            <w:shd w:val="clear" w:color="auto" w:fill="auto"/>
            <w:vAlign w:val="bottom"/>
          </w:tcPr>
          <w:p w14:paraId="07DCF5FC" w14:textId="77777777" w:rsidR="00AE727E" w:rsidRDefault="00AE727E">
            <w:pPr>
              <w:rPr>
                <w:rFonts w:ascii="宋体"/>
                <w:vanish/>
              </w:rPr>
            </w:pPr>
          </w:p>
        </w:tc>
        <w:tc>
          <w:tcPr>
            <w:tcW w:w="0" w:type="auto"/>
            <w:gridSpan w:val="3"/>
            <w:shd w:val="clear" w:color="auto" w:fill="auto"/>
            <w:vAlign w:val="bottom"/>
          </w:tcPr>
          <w:p w14:paraId="07DCF5FD" w14:textId="77777777" w:rsidR="00AE727E" w:rsidRDefault="00AE727E">
            <w:pPr>
              <w:rPr>
                <w:rFonts w:ascii="宋体"/>
                <w:vanish/>
              </w:rPr>
            </w:pPr>
          </w:p>
        </w:tc>
        <w:tc>
          <w:tcPr>
            <w:tcW w:w="0" w:type="auto"/>
            <w:gridSpan w:val="3"/>
            <w:shd w:val="clear" w:color="auto" w:fill="auto"/>
            <w:vAlign w:val="bottom"/>
          </w:tcPr>
          <w:p w14:paraId="07DCF5FE" w14:textId="77777777" w:rsidR="00AE727E" w:rsidRDefault="00AE727E">
            <w:pPr>
              <w:rPr>
                <w:rFonts w:ascii="宋体"/>
                <w:vanish/>
              </w:rPr>
            </w:pPr>
          </w:p>
        </w:tc>
        <w:tc>
          <w:tcPr>
            <w:tcW w:w="0" w:type="auto"/>
            <w:gridSpan w:val="3"/>
            <w:shd w:val="clear" w:color="auto" w:fill="auto"/>
            <w:vAlign w:val="bottom"/>
          </w:tcPr>
          <w:p w14:paraId="07DCF5FF" w14:textId="77777777" w:rsidR="00AE727E" w:rsidRDefault="00AE727E">
            <w:pPr>
              <w:rPr>
                <w:rFonts w:ascii="宋体"/>
                <w:vanish/>
              </w:rPr>
            </w:pPr>
          </w:p>
        </w:tc>
        <w:tc>
          <w:tcPr>
            <w:tcW w:w="0" w:type="auto"/>
            <w:gridSpan w:val="3"/>
            <w:shd w:val="clear" w:color="auto" w:fill="auto"/>
            <w:vAlign w:val="bottom"/>
          </w:tcPr>
          <w:p w14:paraId="07DCF600" w14:textId="77777777" w:rsidR="00AE727E" w:rsidRDefault="00AE727E">
            <w:pPr>
              <w:rPr>
                <w:rFonts w:ascii="宋体"/>
                <w:vanish/>
              </w:rPr>
            </w:pPr>
          </w:p>
        </w:tc>
        <w:tc>
          <w:tcPr>
            <w:tcW w:w="0" w:type="auto"/>
            <w:gridSpan w:val="3"/>
            <w:shd w:val="clear" w:color="auto" w:fill="auto"/>
            <w:vAlign w:val="bottom"/>
          </w:tcPr>
          <w:p w14:paraId="07DCF601" w14:textId="77777777" w:rsidR="00AE727E" w:rsidRDefault="00AE727E">
            <w:pPr>
              <w:rPr>
                <w:rFonts w:ascii="宋体"/>
                <w:vanish/>
              </w:rPr>
            </w:pPr>
          </w:p>
        </w:tc>
        <w:tc>
          <w:tcPr>
            <w:tcW w:w="0" w:type="auto"/>
            <w:gridSpan w:val="3"/>
            <w:shd w:val="clear" w:color="auto" w:fill="auto"/>
            <w:vAlign w:val="bottom"/>
          </w:tcPr>
          <w:p w14:paraId="07DCF602" w14:textId="77777777" w:rsidR="00AE727E" w:rsidRDefault="00AE727E">
            <w:pPr>
              <w:rPr>
                <w:rFonts w:ascii="宋体"/>
                <w:vanish/>
              </w:rPr>
            </w:pPr>
          </w:p>
        </w:tc>
        <w:tc>
          <w:tcPr>
            <w:tcW w:w="0" w:type="auto"/>
            <w:gridSpan w:val="3"/>
            <w:shd w:val="clear" w:color="auto" w:fill="auto"/>
            <w:vAlign w:val="bottom"/>
          </w:tcPr>
          <w:p w14:paraId="07DCF603" w14:textId="77777777" w:rsidR="00AE727E" w:rsidRDefault="00AE727E">
            <w:pPr>
              <w:rPr>
                <w:rFonts w:ascii="宋体"/>
                <w:vanish/>
              </w:rPr>
            </w:pPr>
          </w:p>
        </w:tc>
        <w:tc>
          <w:tcPr>
            <w:tcW w:w="0" w:type="auto"/>
            <w:gridSpan w:val="3"/>
            <w:shd w:val="clear" w:color="auto" w:fill="auto"/>
            <w:vAlign w:val="bottom"/>
          </w:tcPr>
          <w:p w14:paraId="07DCF604" w14:textId="77777777" w:rsidR="00AE727E" w:rsidRDefault="00AE727E">
            <w:pPr>
              <w:rPr>
                <w:rFonts w:ascii="宋体"/>
                <w:vanish/>
              </w:rPr>
            </w:pPr>
          </w:p>
        </w:tc>
        <w:tc>
          <w:tcPr>
            <w:tcW w:w="0" w:type="auto"/>
            <w:gridSpan w:val="3"/>
            <w:shd w:val="clear" w:color="auto" w:fill="auto"/>
            <w:vAlign w:val="bottom"/>
          </w:tcPr>
          <w:p w14:paraId="07DCF605" w14:textId="77777777" w:rsidR="00AE727E" w:rsidRDefault="00AE727E">
            <w:pPr>
              <w:rPr>
                <w:rFonts w:ascii="宋体"/>
                <w:vanish/>
              </w:rPr>
            </w:pPr>
          </w:p>
        </w:tc>
      </w:tr>
      <w:tr w:rsidR="00AE727E" w14:paraId="07DCF61B" w14:textId="77777777">
        <w:trPr>
          <w:jc w:val="center"/>
        </w:trPr>
        <w:tc>
          <w:tcPr>
            <w:tcW w:w="0" w:type="auto"/>
            <w:gridSpan w:val="3"/>
            <w:shd w:val="clear" w:color="auto" w:fill="CCEEFF"/>
            <w:tcMar>
              <w:top w:w="40" w:type="dxa"/>
              <w:left w:w="20" w:type="dxa"/>
              <w:bottom w:w="40" w:type="dxa"/>
              <w:right w:w="20" w:type="dxa"/>
            </w:tcMar>
            <w:vAlign w:val="bottom"/>
          </w:tcPr>
          <w:p w14:paraId="07DCF607" w14:textId="77777777" w:rsidR="00AE727E" w:rsidRDefault="008433E0">
            <w:pPr>
              <w:textAlignment w:val="bottom"/>
            </w:pPr>
            <w:r>
              <w:rPr>
                <w:rFonts w:ascii="Times New Roman" w:eastAsia="宋体" w:hAnsi="Times New Roman"/>
                <w:i/>
                <w:iCs/>
                <w:color w:val="000000"/>
                <w:sz w:val="20"/>
                <w:szCs w:val="20"/>
              </w:rPr>
              <w:t>Balance as of October 29,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60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609" w14:textId="77777777" w:rsidR="00AE727E" w:rsidRDefault="008433E0">
            <w:pPr>
              <w:jc w:val="right"/>
              <w:textAlignment w:val="bottom"/>
            </w:pPr>
            <w:r>
              <w:rPr>
                <w:rFonts w:ascii="Times New Roman" w:eastAsia="宋体" w:hAnsi="Times New Roman"/>
                <w:color w:val="000000"/>
                <w:sz w:val="20"/>
                <w:szCs w:val="20"/>
              </w:rPr>
              <w:t>15,236 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60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0B"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60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60D" w14:textId="77777777" w:rsidR="00AE727E" w:rsidRDefault="008433E0">
            <w:pPr>
              <w:jc w:val="right"/>
              <w:textAlignment w:val="bottom"/>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60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0F"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61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611" w14:textId="77777777" w:rsidR="00AE727E" w:rsidRDefault="008433E0">
            <w:pPr>
              <w:jc w:val="right"/>
              <w:textAlignment w:val="bottom"/>
            </w:pPr>
            <w:r>
              <w:rPr>
                <w:rFonts w:ascii="Times New Roman" w:eastAsia="宋体" w:hAnsi="Times New Roman"/>
                <w:color w:val="000000"/>
                <w:sz w:val="20"/>
                <w:szCs w:val="20"/>
              </w:rPr>
              <w:t>20,801 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6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13"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61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615" w14:textId="77777777" w:rsidR="00AE727E" w:rsidRDefault="008433E0">
            <w:pPr>
              <w:jc w:val="right"/>
              <w:textAlignment w:val="bottom"/>
            </w:pPr>
            <w:r>
              <w:rPr>
                <w:rFonts w:ascii="Times New Roman" w:eastAsia="宋体" w:hAnsi="Times New Roman"/>
                <w:color w:val="000000"/>
                <w:sz w:val="20"/>
                <w:szCs w:val="20"/>
              </w:rPr>
              <w:t>427 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61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17"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61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619" w14:textId="77777777" w:rsidR="00AE727E" w:rsidRDefault="008433E0">
            <w:pPr>
              <w:jc w:val="right"/>
              <w:textAlignment w:val="bottom"/>
            </w:pPr>
            <w:r>
              <w:rPr>
                <w:rFonts w:ascii="Times New Roman" w:eastAsia="宋体" w:hAnsi="Times New Roman"/>
                <w:color w:val="000000"/>
                <w:sz w:val="20"/>
                <w:szCs w:val="20"/>
              </w:rPr>
              <w:t>40,701 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61A" w14:textId="77777777" w:rsidR="00AE727E" w:rsidRDefault="00AE727E">
            <w:pPr>
              <w:jc w:val="right"/>
              <w:rPr>
                <w:rFonts w:ascii="宋体"/>
              </w:rPr>
            </w:pPr>
          </w:p>
        </w:tc>
      </w:tr>
    </w:tbl>
    <w:p w14:paraId="07DCF61C" w14:textId="77777777" w:rsidR="00AE727E" w:rsidRDefault="008433E0">
      <w:r>
        <w:rPr>
          <w:rFonts w:ascii="Times New Roman" w:eastAsia="宋体" w:hAnsi="Times New Roman"/>
          <w:color w:val="000000"/>
          <w:sz w:val="20"/>
          <w:szCs w:val="20"/>
        </w:rPr>
        <w:t>__________________</w:t>
      </w:r>
      <w:r>
        <w:rPr>
          <w:rFonts w:ascii="Times New Roman" w:eastAsia="宋体" w:hAnsi="Times New Roman"/>
          <w:color w:val="000000"/>
          <w:sz w:val="20"/>
          <w:szCs w:val="20"/>
        </w:rPr>
        <w:t>__</w:t>
      </w:r>
    </w:p>
    <w:p w14:paraId="07DCF61D" w14:textId="77777777" w:rsidR="00AE727E" w:rsidRDefault="008433E0">
      <w:pPr>
        <w:ind w:hanging="360"/>
      </w:pPr>
      <w:r>
        <w:rPr>
          <w:rFonts w:ascii="Times New Roman" w:eastAsia="宋体" w:hAnsi="Times New Roman"/>
          <w:color w:val="000000"/>
          <w:sz w:val="20"/>
          <w:szCs w:val="20"/>
        </w:rPr>
        <w:t>(a)    During the three months ended October 29, 2021, Dell Technologies completed its sale of Boomi. Prior to the divestiture, Boomi was included within Other businesses. See Note 1 of the Notes to the Condensed Consolidated Financial Statements for ad</w:t>
      </w:r>
      <w:r>
        <w:rPr>
          <w:rFonts w:ascii="Times New Roman" w:eastAsia="宋体" w:hAnsi="Times New Roman"/>
          <w:color w:val="000000"/>
          <w:sz w:val="20"/>
          <w:szCs w:val="20"/>
        </w:rPr>
        <w:t>ditional information about the divestiture of Boomi.</w:t>
      </w:r>
    </w:p>
    <w:p w14:paraId="07DCF61E" w14:textId="77777777" w:rsidR="00AE727E" w:rsidRDefault="00AE727E">
      <w:pPr>
        <w:ind w:hanging="360"/>
      </w:pPr>
    </w:p>
    <w:p w14:paraId="07DCF61F" w14:textId="77777777" w:rsidR="00AE727E" w:rsidRDefault="008433E0">
      <w:r>
        <w:rPr>
          <w:rFonts w:ascii="Times New Roman" w:eastAsia="宋体" w:hAnsi="Times New Roman"/>
          <w:b/>
          <w:bCs/>
          <w:color w:val="000000"/>
          <w:sz w:val="20"/>
          <w:szCs w:val="20"/>
        </w:rPr>
        <w:t>Intangible Assets</w:t>
      </w:r>
    </w:p>
    <w:p w14:paraId="07DCF620" w14:textId="77777777" w:rsidR="00AE727E" w:rsidRDefault="00AE727E"/>
    <w:p w14:paraId="07DCF621" w14:textId="77777777" w:rsidR="00AE727E" w:rsidRDefault="008433E0">
      <w:pPr>
        <w:spacing w:after="60"/>
      </w:pPr>
      <w:r>
        <w:rPr>
          <w:rFonts w:ascii="Times New Roman" w:eastAsia="宋体" w:hAnsi="Times New Roman"/>
          <w:color w:val="000000"/>
          <w:sz w:val="20"/>
          <w:szCs w:val="20"/>
        </w:rPr>
        <w:t xml:space="preserve">The following table presents the Company’s intangible assets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7"/>
        <w:gridCol w:w="2064"/>
        <w:gridCol w:w="37"/>
        <w:gridCol w:w="120"/>
        <w:gridCol w:w="643"/>
        <w:gridCol w:w="36"/>
        <w:gridCol w:w="36"/>
        <w:gridCol w:w="36"/>
        <w:gridCol w:w="36"/>
        <w:gridCol w:w="121"/>
        <w:gridCol w:w="1100"/>
        <w:gridCol w:w="36"/>
        <w:gridCol w:w="36"/>
        <w:gridCol w:w="36"/>
        <w:gridCol w:w="36"/>
        <w:gridCol w:w="120"/>
        <w:gridCol w:w="629"/>
        <w:gridCol w:w="36"/>
        <w:gridCol w:w="36"/>
        <w:gridCol w:w="36"/>
        <w:gridCol w:w="36"/>
        <w:gridCol w:w="120"/>
        <w:gridCol w:w="643"/>
        <w:gridCol w:w="36"/>
        <w:gridCol w:w="36"/>
        <w:gridCol w:w="36"/>
        <w:gridCol w:w="36"/>
        <w:gridCol w:w="121"/>
        <w:gridCol w:w="1095"/>
        <w:gridCol w:w="36"/>
        <w:gridCol w:w="36"/>
        <w:gridCol w:w="36"/>
        <w:gridCol w:w="36"/>
        <w:gridCol w:w="120"/>
        <w:gridCol w:w="600"/>
        <w:gridCol w:w="36"/>
      </w:tblGrid>
      <w:tr w:rsidR="00AE727E" w14:paraId="07DCF646" w14:textId="77777777">
        <w:tc>
          <w:tcPr>
            <w:tcW w:w="50" w:type="pct"/>
            <w:shd w:val="clear" w:color="auto" w:fill="auto"/>
            <w:vAlign w:val="bottom"/>
          </w:tcPr>
          <w:p w14:paraId="07DCF622" w14:textId="77777777" w:rsidR="00AE727E" w:rsidRDefault="00AE727E">
            <w:pPr>
              <w:rPr>
                <w:rFonts w:ascii="宋体"/>
              </w:rPr>
            </w:pPr>
          </w:p>
        </w:tc>
        <w:tc>
          <w:tcPr>
            <w:tcW w:w="1326" w:type="pct"/>
            <w:shd w:val="clear" w:color="auto" w:fill="auto"/>
            <w:vAlign w:val="bottom"/>
          </w:tcPr>
          <w:p w14:paraId="07DCF623" w14:textId="77777777" w:rsidR="00AE727E" w:rsidRDefault="00AE727E">
            <w:pPr>
              <w:rPr>
                <w:rFonts w:ascii="宋体"/>
              </w:rPr>
            </w:pPr>
          </w:p>
        </w:tc>
        <w:tc>
          <w:tcPr>
            <w:tcW w:w="5" w:type="pct"/>
            <w:shd w:val="clear" w:color="auto" w:fill="auto"/>
            <w:vAlign w:val="bottom"/>
          </w:tcPr>
          <w:p w14:paraId="07DCF624" w14:textId="77777777" w:rsidR="00AE727E" w:rsidRDefault="00AE727E">
            <w:pPr>
              <w:rPr>
                <w:rFonts w:ascii="宋体"/>
              </w:rPr>
            </w:pPr>
          </w:p>
        </w:tc>
        <w:tc>
          <w:tcPr>
            <w:tcW w:w="50" w:type="pct"/>
            <w:shd w:val="clear" w:color="auto" w:fill="auto"/>
            <w:vAlign w:val="bottom"/>
          </w:tcPr>
          <w:p w14:paraId="07DCF625" w14:textId="77777777" w:rsidR="00AE727E" w:rsidRDefault="00AE727E">
            <w:pPr>
              <w:rPr>
                <w:rFonts w:ascii="宋体"/>
              </w:rPr>
            </w:pPr>
          </w:p>
        </w:tc>
        <w:tc>
          <w:tcPr>
            <w:tcW w:w="442" w:type="pct"/>
            <w:shd w:val="clear" w:color="auto" w:fill="auto"/>
            <w:vAlign w:val="bottom"/>
          </w:tcPr>
          <w:p w14:paraId="07DCF626" w14:textId="77777777" w:rsidR="00AE727E" w:rsidRDefault="00AE727E">
            <w:pPr>
              <w:rPr>
                <w:rFonts w:ascii="宋体"/>
              </w:rPr>
            </w:pPr>
          </w:p>
        </w:tc>
        <w:tc>
          <w:tcPr>
            <w:tcW w:w="5" w:type="pct"/>
            <w:shd w:val="clear" w:color="auto" w:fill="auto"/>
            <w:vAlign w:val="bottom"/>
          </w:tcPr>
          <w:p w14:paraId="07DCF627" w14:textId="77777777" w:rsidR="00AE727E" w:rsidRDefault="00AE727E">
            <w:pPr>
              <w:rPr>
                <w:rFonts w:ascii="宋体"/>
              </w:rPr>
            </w:pPr>
          </w:p>
        </w:tc>
        <w:tc>
          <w:tcPr>
            <w:tcW w:w="5" w:type="pct"/>
            <w:shd w:val="clear" w:color="auto" w:fill="auto"/>
            <w:vAlign w:val="bottom"/>
          </w:tcPr>
          <w:p w14:paraId="07DCF628" w14:textId="77777777" w:rsidR="00AE727E" w:rsidRDefault="00AE727E">
            <w:pPr>
              <w:rPr>
                <w:rFonts w:ascii="宋体"/>
              </w:rPr>
            </w:pPr>
          </w:p>
        </w:tc>
        <w:tc>
          <w:tcPr>
            <w:tcW w:w="19" w:type="pct"/>
            <w:shd w:val="clear" w:color="auto" w:fill="auto"/>
            <w:vAlign w:val="bottom"/>
          </w:tcPr>
          <w:p w14:paraId="07DCF629" w14:textId="77777777" w:rsidR="00AE727E" w:rsidRDefault="00AE727E">
            <w:pPr>
              <w:rPr>
                <w:rFonts w:ascii="宋体"/>
              </w:rPr>
            </w:pPr>
          </w:p>
        </w:tc>
        <w:tc>
          <w:tcPr>
            <w:tcW w:w="5" w:type="pct"/>
            <w:shd w:val="clear" w:color="auto" w:fill="auto"/>
            <w:vAlign w:val="bottom"/>
          </w:tcPr>
          <w:p w14:paraId="07DCF62A" w14:textId="77777777" w:rsidR="00AE727E" w:rsidRDefault="00AE727E">
            <w:pPr>
              <w:rPr>
                <w:rFonts w:ascii="宋体"/>
              </w:rPr>
            </w:pPr>
          </w:p>
        </w:tc>
        <w:tc>
          <w:tcPr>
            <w:tcW w:w="50" w:type="pct"/>
            <w:shd w:val="clear" w:color="auto" w:fill="auto"/>
            <w:vAlign w:val="bottom"/>
          </w:tcPr>
          <w:p w14:paraId="07DCF62B" w14:textId="77777777" w:rsidR="00AE727E" w:rsidRDefault="00AE727E">
            <w:pPr>
              <w:rPr>
                <w:rFonts w:ascii="宋体"/>
              </w:rPr>
            </w:pPr>
          </w:p>
        </w:tc>
        <w:tc>
          <w:tcPr>
            <w:tcW w:w="705" w:type="pct"/>
            <w:shd w:val="clear" w:color="auto" w:fill="auto"/>
            <w:vAlign w:val="bottom"/>
          </w:tcPr>
          <w:p w14:paraId="07DCF62C" w14:textId="77777777" w:rsidR="00AE727E" w:rsidRDefault="00AE727E">
            <w:pPr>
              <w:rPr>
                <w:rFonts w:ascii="宋体"/>
              </w:rPr>
            </w:pPr>
          </w:p>
        </w:tc>
        <w:tc>
          <w:tcPr>
            <w:tcW w:w="5" w:type="pct"/>
            <w:shd w:val="clear" w:color="auto" w:fill="auto"/>
            <w:vAlign w:val="bottom"/>
          </w:tcPr>
          <w:p w14:paraId="07DCF62D" w14:textId="77777777" w:rsidR="00AE727E" w:rsidRDefault="00AE727E">
            <w:pPr>
              <w:rPr>
                <w:rFonts w:ascii="宋体"/>
              </w:rPr>
            </w:pPr>
          </w:p>
        </w:tc>
        <w:tc>
          <w:tcPr>
            <w:tcW w:w="5" w:type="pct"/>
            <w:shd w:val="clear" w:color="auto" w:fill="auto"/>
            <w:vAlign w:val="bottom"/>
          </w:tcPr>
          <w:p w14:paraId="07DCF62E" w14:textId="77777777" w:rsidR="00AE727E" w:rsidRDefault="00AE727E">
            <w:pPr>
              <w:rPr>
                <w:rFonts w:ascii="宋体"/>
              </w:rPr>
            </w:pPr>
          </w:p>
        </w:tc>
        <w:tc>
          <w:tcPr>
            <w:tcW w:w="19" w:type="pct"/>
            <w:shd w:val="clear" w:color="auto" w:fill="auto"/>
            <w:vAlign w:val="bottom"/>
          </w:tcPr>
          <w:p w14:paraId="07DCF62F" w14:textId="77777777" w:rsidR="00AE727E" w:rsidRDefault="00AE727E">
            <w:pPr>
              <w:rPr>
                <w:rFonts w:ascii="宋体"/>
              </w:rPr>
            </w:pPr>
          </w:p>
        </w:tc>
        <w:tc>
          <w:tcPr>
            <w:tcW w:w="5" w:type="pct"/>
            <w:shd w:val="clear" w:color="auto" w:fill="auto"/>
            <w:vAlign w:val="bottom"/>
          </w:tcPr>
          <w:p w14:paraId="07DCF630" w14:textId="77777777" w:rsidR="00AE727E" w:rsidRDefault="00AE727E">
            <w:pPr>
              <w:rPr>
                <w:rFonts w:ascii="宋体"/>
              </w:rPr>
            </w:pPr>
          </w:p>
        </w:tc>
        <w:tc>
          <w:tcPr>
            <w:tcW w:w="50" w:type="pct"/>
            <w:shd w:val="clear" w:color="auto" w:fill="auto"/>
            <w:vAlign w:val="bottom"/>
          </w:tcPr>
          <w:p w14:paraId="07DCF631" w14:textId="77777777" w:rsidR="00AE727E" w:rsidRDefault="00AE727E">
            <w:pPr>
              <w:rPr>
                <w:rFonts w:ascii="宋体"/>
              </w:rPr>
            </w:pPr>
          </w:p>
        </w:tc>
        <w:tc>
          <w:tcPr>
            <w:tcW w:w="442" w:type="pct"/>
            <w:shd w:val="clear" w:color="auto" w:fill="auto"/>
            <w:vAlign w:val="bottom"/>
          </w:tcPr>
          <w:p w14:paraId="07DCF632" w14:textId="77777777" w:rsidR="00AE727E" w:rsidRDefault="00AE727E">
            <w:pPr>
              <w:rPr>
                <w:rFonts w:ascii="宋体"/>
              </w:rPr>
            </w:pPr>
          </w:p>
        </w:tc>
        <w:tc>
          <w:tcPr>
            <w:tcW w:w="5" w:type="pct"/>
            <w:shd w:val="clear" w:color="auto" w:fill="auto"/>
            <w:vAlign w:val="bottom"/>
          </w:tcPr>
          <w:p w14:paraId="07DCF633" w14:textId="77777777" w:rsidR="00AE727E" w:rsidRDefault="00AE727E">
            <w:pPr>
              <w:rPr>
                <w:rFonts w:ascii="宋体"/>
              </w:rPr>
            </w:pPr>
          </w:p>
        </w:tc>
        <w:tc>
          <w:tcPr>
            <w:tcW w:w="5" w:type="pct"/>
            <w:shd w:val="clear" w:color="auto" w:fill="auto"/>
            <w:vAlign w:val="bottom"/>
          </w:tcPr>
          <w:p w14:paraId="07DCF634" w14:textId="77777777" w:rsidR="00AE727E" w:rsidRDefault="00AE727E">
            <w:pPr>
              <w:rPr>
                <w:rFonts w:ascii="宋体"/>
              </w:rPr>
            </w:pPr>
          </w:p>
        </w:tc>
        <w:tc>
          <w:tcPr>
            <w:tcW w:w="19" w:type="pct"/>
            <w:shd w:val="clear" w:color="auto" w:fill="auto"/>
            <w:vAlign w:val="bottom"/>
          </w:tcPr>
          <w:p w14:paraId="07DCF635" w14:textId="77777777" w:rsidR="00AE727E" w:rsidRDefault="00AE727E">
            <w:pPr>
              <w:rPr>
                <w:rFonts w:ascii="宋体"/>
              </w:rPr>
            </w:pPr>
          </w:p>
        </w:tc>
        <w:tc>
          <w:tcPr>
            <w:tcW w:w="5" w:type="pct"/>
            <w:shd w:val="clear" w:color="auto" w:fill="auto"/>
            <w:vAlign w:val="bottom"/>
          </w:tcPr>
          <w:p w14:paraId="07DCF636" w14:textId="77777777" w:rsidR="00AE727E" w:rsidRDefault="00AE727E">
            <w:pPr>
              <w:rPr>
                <w:rFonts w:ascii="宋体"/>
              </w:rPr>
            </w:pPr>
          </w:p>
        </w:tc>
        <w:tc>
          <w:tcPr>
            <w:tcW w:w="50" w:type="pct"/>
            <w:shd w:val="clear" w:color="auto" w:fill="auto"/>
            <w:vAlign w:val="bottom"/>
          </w:tcPr>
          <w:p w14:paraId="07DCF637" w14:textId="77777777" w:rsidR="00AE727E" w:rsidRDefault="00AE727E">
            <w:pPr>
              <w:rPr>
                <w:rFonts w:ascii="宋体"/>
              </w:rPr>
            </w:pPr>
          </w:p>
        </w:tc>
        <w:tc>
          <w:tcPr>
            <w:tcW w:w="442" w:type="pct"/>
            <w:shd w:val="clear" w:color="auto" w:fill="auto"/>
            <w:vAlign w:val="bottom"/>
          </w:tcPr>
          <w:p w14:paraId="07DCF638" w14:textId="77777777" w:rsidR="00AE727E" w:rsidRDefault="00AE727E">
            <w:pPr>
              <w:rPr>
                <w:rFonts w:ascii="宋体"/>
              </w:rPr>
            </w:pPr>
          </w:p>
        </w:tc>
        <w:tc>
          <w:tcPr>
            <w:tcW w:w="5" w:type="pct"/>
            <w:shd w:val="clear" w:color="auto" w:fill="auto"/>
            <w:vAlign w:val="bottom"/>
          </w:tcPr>
          <w:p w14:paraId="07DCF639" w14:textId="77777777" w:rsidR="00AE727E" w:rsidRDefault="00AE727E">
            <w:pPr>
              <w:rPr>
                <w:rFonts w:ascii="宋体"/>
              </w:rPr>
            </w:pPr>
          </w:p>
        </w:tc>
        <w:tc>
          <w:tcPr>
            <w:tcW w:w="5" w:type="pct"/>
            <w:shd w:val="clear" w:color="auto" w:fill="auto"/>
            <w:vAlign w:val="bottom"/>
          </w:tcPr>
          <w:p w14:paraId="07DCF63A" w14:textId="77777777" w:rsidR="00AE727E" w:rsidRDefault="00AE727E">
            <w:pPr>
              <w:rPr>
                <w:rFonts w:ascii="宋体"/>
              </w:rPr>
            </w:pPr>
          </w:p>
        </w:tc>
        <w:tc>
          <w:tcPr>
            <w:tcW w:w="19" w:type="pct"/>
            <w:shd w:val="clear" w:color="auto" w:fill="auto"/>
            <w:vAlign w:val="bottom"/>
          </w:tcPr>
          <w:p w14:paraId="07DCF63B" w14:textId="77777777" w:rsidR="00AE727E" w:rsidRDefault="00AE727E">
            <w:pPr>
              <w:rPr>
                <w:rFonts w:ascii="宋体"/>
              </w:rPr>
            </w:pPr>
          </w:p>
        </w:tc>
        <w:tc>
          <w:tcPr>
            <w:tcW w:w="5" w:type="pct"/>
            <w:shd w:val="clear" w:color="auto" w:fill="auto"/>
            <w:vAlign w:val="bottom"/>
          </w:tcPr>
          <w:p w14:paraId="07DCF63C" w14:textId="77777777" w:rsidR="00AE727E" w:rsidRDefault="00AE727E">
            <w:pPr>
              <w:rPr>
                <w:rFonts w:ascii="宋体"/>
              </w:rPr>
            </w:pPr>
          </w:p>
        </w:tc>
        <w:tc>
          <w:tcPr>
            <w:tcW w:w="50" w:type="pct"/>
            <w:shd w:val="clear" w:color="auto" w:fill="auto"/>
            <w:vAlign w:val="bottom"/>
          </w:tcPr>
          <w:p w14:paraId="07DCF63D" w14:textId="77777777" w:rsidR="00AE727E" w:rsidRDefault="00AE727E">
            <w:pPr>
              <w:rPr>
                <w:rFonts w:ascii="宋体"/>
              </w:rPr>
            </w:pPr>
          </w:p>
        </w:tc>
        <w:tc>
          <w:tcPr>
            <w:tcW w:w="668" w:type="pct"/>
            <w:shd w:val="clear" w:color="auto" w:fill="auto"/>
            <w:vAlign w:val="bottom"/>
          </w:tcPr>
          <w:p w14:paraId="07DCF63E" w14:textId="77777777" w:rsidR="00AE727E" w:rsidRDefault="00AE727E">
            <w:pPr>
              <w:rPr>
                <w:rFonts w:ascii="宋体"/>
              </w:rPr>
            </w:pPr>
          </w:p>
        </w:tc>
        <w:tc>
          <w:tcPr>
            <w:tcW w:w="5" w:type="pct"/>
            <w:shd w:val="clear" w:color="auto" w:fill="auto"/>
            <w:vAlign w:val="bottom"/>
          </w:tcPr>
          <w:p w14:paraId="07DCF63F" w14:textId="77777777" w:rsidR="00AE727E" w:rsidRDefault="00AE727E">
            <w:pPr>
              <w:rPr>
                <w:rFonts w:ascii="宋体"/>
              </w:rPr>
            </w:pPr>
          </w:p>
        </w:tc>
        <w:tc>
          <w:tcPr>
            <w:tcW w:w="5" w:type="pct"/>
            <w:shd w:val="clear" w:color="auto" w:fill="auto"/>
            <w:vAlign w:val="bottom"/>
          </w:tcPr>
          <w:p w14:paraId="07DCF640" w14:textId="77777777" w:rsidR="00AE727E" w:rsidRDefault="00AE727E">
            <w:pPr>
              <w:rPr>
                <w:rFonts w:ascii="宋体"/>
              </w:rPr>
            </w:pPr>
          </w:p>
        </w:tc>
        <w:tc>
          <w:tcPr>
            <w:tcW w:w="19" w:type="pct"/>
            <w:shd w:val="clear" w:color="auto" w:fill="auto"/>
            <w:vAlign w:val="bottom"/>
          </w:tcPr>
          <w:p w14:paraId="07DCF641" w14:textId="77777777" w:rsidR="00AE727E" w:rsidRDefault="00AE727E">
            <w:pPr>
              <w:rPr>
                <w:rFonts w:ascii="宋体"/>
              </w:rPr>
            </w:pPr>
          </w:p>
        </w:tc>
        <w:tc>
          <w:tcPr>
            <w:tcW w:w="5" w:type="pct"/>
            <w:shd w:val="clear" w:color="auto" w:fill="auto"/>
            <w:vAlign w:val="bottom"/>
          </w:tcPr>
          <w:p w14:paraId="07DCF642" w14:textId="77777777" w:rsidR="00AE727E" w:rsidRDefault="00AE727E">
            <w:pPr>
              <w:rPr>
                <w:rFonts w:ascii="宋体"/>
              </w:rPr>
            </w:pPr>
          </w:p>
        </w:tc>
        <w:tc>
          <w:tcPr>
            <w:tcW w:w="50" w:type="pct"/>
            <w:shd w:val="clear" w:color="auto" w:fill="auto"/>
            <w:vAlign w:val="bottom"/>
          </w:tcPr>
          <w:p w14:paraId="07DCF643" w14:textId="77777777" w:rsidR="00AE727E" w:rsidRDefault="00AE727E">
            <w:pPr>
              <w:rPr>
                <w:rFonts w:ascii="宋体"/>
              </w:rPr>
            </w:pPr>
          </w:p>
        </w:tc>
        <w:tc>
          <w:tcPr>
            <w:tcW w:w="442" w:type="pct"/>
            <w:shd w:val="clear" w:color="auto" w:fill="auto"/>
            <w:vAlign w:val="bottom"/>
          </w:tcPr>
          <w:p w14:paraId="07DCF644" w14:textId="77777777" w:rsidR="00AE727E" w:rsidRDefault="00AE727E">
            <w:pPr>
              <w:rPr>
                <w:rFonts w:ascii="宋体"/>
              </w:rPr>
            </w:pPr>
          </w:p>
        </w:tc>
        <w:tc>
          <w:tcPr>
            <w:tcW w:w="5" w:type="pct"/>
            <w:shd w:val="clear" w:color="auto" w:fill="auto"/>
            <w:vAlign w:val="bottom"/>
          </w:tcPr>
          <w:p w14:paraId="07DCF645" w14:textId="77777777" w:rsidR="00AE727E" w:rsidRDefault="00AE727E">
            <w:pPr>
              <w:rPr>
                <w:rFonts w:ascii="宋体"/>
              </w:rPr>
            </w:pPr>
          </w:p>
        </w:tc>
      </w:tr>
      <w:tr w:rsidR="00AE727E" w14:paraId="07DCF64B" w14:textId="77777777">
        <w:tc>
          <w:tcPr>
            <w:tcW w:w="0" w:type="auto"/>
            <w:gridSpan w:val="3"/>
            <w:shd w:val="clear" w:color="auto" w:fill="auto"/>
            <w:tcMar>
              <w:top w:w="40" w:type="dxa"/>
              <w:left w:w="20" w:type="dxa"/>
              <w:bottom w:w="40" w:type="dxa"/>
              <w:right w:w="20" w:type="dxa"/>
            </w:tcMar>
            <w:vAlign w:val="bottom"/>
          </w:tcPr>
          <w:p w14:paraId="07DCF647"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7DCF64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F649"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CF64A"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658" w14:textId="77777777">
        <w:tc>
          <w:tcPr>
            <w:tcW w:w="0" w:type="auto"/>
            <w:gridSpan w:val="3"/>
            <w:shd w:val="clear" w:color="auto" w:fill="auto"/>
            <w:tcMar>
              <w:top w:w="40" w:type="dxa"/>
              <w:left w:w="20" w:type="dxa"/>
              <w:bottom w:w="40" w:type="dxa"/>
              <w:right w:w="20" w:type="dxa"/>
            </w:tcMar>
            <w:vAlign w:val="bottom"/>
          </w:tcPr>
          <w:p w14:paraId="07DCF64C" w14:textId="77777777" w:rsidR="00AE727E" w:rsidRDefault="008433E0">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64D" w14:textId="77777777" w:rsidR="00AE727E" w:rsidRDefault="008433E0">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64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64F" w14:textId="77777777" w:rsidR="00AE727E" w:rsidRDefault="008433E0">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65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651" w14:textId="77777777" w:rsidR="00AE727E" w:rsidRDefault="008433E0">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vAlign w:val="bottom"/>
          </w:tcPr>
          <w:p w14:paraId="07DCF65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653" w14:textId="77777777" w:rsidR="00AE727E" w:rsidRDefault="008433E0">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65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655" w14:textId="77777777" w:rsidR="00AE727E" w:rsidRDefault="008433E0">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65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657" w14:textId="77777777" w:rsidR="00AE727E" w:rsidRDefault="008433E0">
            <w:pPr>
              <w:jc w:val="center"/>
              <w:textAlignment w:val="bottom"/>
            </w:pPr>
            <w:r>
              <w:rPr>
                <w:rFonts w:ascii="Times New Roman" w:eastAsia="宋体" w:hAnsi="Times New Roman"/>
                <w:b/>
                <w:bCs/>
                <w:color w:val="000000"/>
                <w:sz w:val="20"/>
                <w:szCs w:val="20"/>
              </w:rPr>
              <w:t>Net</w:t>
            </w:r>
          </w:p>
        </w:tc>
      </w:tr>
      <w:tr w:rsidR="00AE727E" w14:paraId="07DCF65B" w14:textId="77777777">
        <w:tc>
          <w:tcPr>
            <w:tcW w:w="0" w:type="auto"/>
            <w:gridSpan w:val="3"/>
            <w:shd w:val="clear" w:color="auto" w:fill="auto"/>
            <w:tcMar>
              <w:top w:w="40" w:type="dxa"/>
              <w:left w:w="20" w:type="dxa"/>
              <w:bottom w:w="40" w:type="dxa"/>
              <w:right w:w="20" w:type="dxa"/>
            </w:tcMar>
            <w:vAlign w:val="center"/>
          </w:tcPr>
          <w:p w14:paraId="07DCF659"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CF65A"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674" w14:textId="77777777">
        <w:tc>
          <w:tcPr>
            <w:tcW w:w="0" w:type="auto"/>
            <w:gridSpan w:val="3"/>
            <w:shd w:val="clear" w:color="auto" w:fill="CCEEFF"/>
            <w:tcMar>
              <w:top w:w="40" w:type="dxa"/>
              <w:left w:w="20" w:type="dxa"/>
              <w:bottom w:w="40" w:type="dxa"/>
              <w:right w:w="20" w:type="dxa"/>
            </w:tcMar>
            <w:vAlign w:val="center"/>
          </w:tcPr>
          <w:p w14:paraId="07DCF65C" w14:textId="77777777" w:rsidR="00AE727E" w:rsidRDefault="008433E0">
            <w:pPr>
              <w:textAlignment w:val="center"/>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center"/>
          </w:tcPr>
          <w:p w14:paraId="07DCF65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5E" w14:textId="77777777" w:rsidR="00AE727E" w:rsidRDefault="008433E0">
            <w:pPr>
              <w:jc w:val="right"/>
              <w:textAlignment w:val="center"/>
            </w:pPr>
            <w:r>
              <w:rPr>
                <w:rFonts w:ascii="Times New Roman" w:eastAsia="宋体" w:hAnsi="Times New Roman"/>
                <w:color w:val="000000"/>
                <w:sz w:val="20"/>
                <w:szCs w:val="20"/>
              </w:rPr>
              <w:t>22,387 </w:t>
            </w:r>
          </w:p>
        </w:tc>
        <w:tc>
          <w:tcPr>
            <w:tcW w:w="0" w:type="auto"/>
            <w:shd w:val="clear" w:color="auto" w:fill="CCEEFF"/>
            <w:tcMar>
              <w:top w:w="40" w:type="dxa"/>
              <w:left w:w="0" w:type="dxa"/>
              <w:bottom w:w="40" w:type="dxa"/>
              <w:right w:w="20" w:type="dxa"/>
            </w:tcMar>
            <w:vAlign w:val="center"/>
          </w:tcPr>
          <w:p w14:paraId="07DCF65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6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66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62" w14:textId="77777777" w:rsidR="00AE727E" w:rsidRDefault="008433E0">
            <w:pPr>
              <w:jc w:val="right"/>
              <w:textAlignment w:val="center"/>
            </w:pPr>
            <w:r>
              <w:rPr>
                <w:rFonts w:ascii="Times New Roman" w:eastAsia="宋体" w:hAnsi="Times New Roman"/>
                <w:color w:val="000000"/>
                <w:sz w:val="20"/>
                <w:szCs w:val="20"/>
              </w:rPr>
              <w:t>(16,672)</w:t>
            </w:r>
          </w:p>
        </w:tc>
        <w:tc>
          <w:tcPr>
            <w:tcW w:w="0" w:type="auto"/>
            <w:shd w:val="clear" w:color="auto" w:fill="CCEEFF"/>
            <w:tcMar>
              <w:top w:w="40" w:type="dxa"/>
              <w:left w:w="0" w:type="dxa"/>
              <w:bottom w:w="40" w:type="dxa"/>
              <w:right w:w="20" w:type="dxa"/>
            </w:tcMar>
            <w:vAlign w:val="center"/>
          </w:tcPr>
          <w:p w14:paraId="07DCF6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6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66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66" w14:textId="77777777" w:rsidR="00AE727E" w:rsidRDefault="008433E0">
            <w:pPr>
              <w:jc w:val="right"/>
              <w:textAlignment w:val="center"/>
            </w:pPr>
            <w:r>
              <w:rPr>
                <w:rFonts w:ascii="Times New Roman" w:eastAsia="宋体" w:hAnsi="Times New Roman"/>
                <w:color w:val="000000"/>
                <w:sz w:val="20"/>
                <w:szCs w:val="20"/>
              </w:rPr>
              <w:t>5,715 </w:t>
            </w:r>
          </w:p>
        </w:tc>
        <w:tc>
          <w:tcPr>
            <w:tcW w:w="0" w:type="auto"/>
            <w:shd w:val="clear" w:color="auto" w:fill="CCEEFF"/>
            <w:tcMar>
              <w:top w:w="40" w:type="dxa"/>
              <w:left w:w="0" w:type="dxa"/>
              <w:bottom w:w="40" w:type="dxa"/>
              <w:right w:w="20" w:type="dxa"/>
            </w:tcMar>
            <w:vAlign w:val="center"/>
          </w:tcPr>
          <w:p w14:paraId="07DCF66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6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66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6A" w14:textId="77777777" w:rsidR="00AE727E" w:rsidRDefault="008433E0">
            <w:pPr>
              <w:jc w:val="right"/>
              <w:textAlignment w:val="center"/>
            </w:pPr>
            <w:r>
              <w:rPr>
                <w:rFonts w:ascii="Times New Roman" w:eastAsia="宋体" w:hAnsi="Times New Roman"/>
                <w:color w:val="000000"/>
                <w:sz w:val="20"/>
                <w:szCs w:val="20"/>
              </w:rPr>
              <w:t>22,394 </w:t>
            </w:r>
          </w:p>
        </w:tc>
        <w:tc>
          <w:tcPr>
            <w:tcW w:w="0" w:type="auto"/>
            <w:shd w:val="clear" w:color="auto" w:fill="CCEEFF"/>
            <w:tcMar>
              <w:top w:w="40" w:type="dxa"/>
              <w:left w:w="0" w:type="dxa"/>
              <w:bottom w:w="40" w:type="dxa"/>
              <w:right w:w="20" w:type="dxa"/>
            </w:tcMar>
            <w:vAlign w:val="center"/>
          </w:tcPr>
          <w:p w14:paraId="07DCF66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6C"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66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6E" w14:textId="77777777" w:rsidR="00AE727E" w:rsidRDefault="008433E0">
            <w:pPr>
              <w:jc w:val="right"/>
              <w:textAlignment w:val="center"/>
            </w:pPr>
            <w:r>
              <w:rPr>
                <w:rFonts w:ascii="Times New Roman" w:eastAsia="宋体" w:hAnsi="Times New Roman"/>
                <w:color w:val="000000"/>
                <w:sz w:val="20"/>
                <w:szCs w:val="20"/>
              </w:rPr>
              <w:t>(15,448)</w:t>
            </w:r>
          </w:p>
        </w:tc>
        <w:tc>
          <w:tcPr>
            <w:tcW w:w="0" w:type="auto"/>
            <w:shd w:val="clear" w:color="auto" w:fill="CCEEFF"/>
            <w:tcMar>
              <w:top w:w="40" w:type="dxa"/>
              <w:left w:w="0" w:type="dxa"/>
              <w:bottom w:w="40" w:type="dxa"/>
              <w:right w:w="20" w:type="dxa"/>
            </w:tcMar>
            <w:vAlign w:val="center"/>
          </w:tcPr>
          <w:p w14:paraId="07DCF66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7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67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672" w14:textId="77777777" w:rsidR="00AE727E" w:rsidRDefault="008433E0">
            <w:pPr>
              <w:jc w:val="right"/>
              <w:textAlignment w:val="center"/>
            </w:pPr>
            <w:r>
              <w:rPr>
                <w:rFonts w:ascii="Times New Roman" w:eastAsia="宋体" w:hAnsi="Times New Roman"/>
                <w:color w:val="000000"/>
                <w:sz w:val="20"/>
                <w:szCs w:val="20"/>
              </w:rPr>
              <w:t>6,946 </w:t>
            </w:r>
          </w:p>
        </w:tc>
        <w:tc>
          <w:tcPr>
            <w:tcW w:w="0" w:type="auto"/>
            <w:shd w:val="clear" w:color="auto" w:fill="CCEEFF"/>
            <w:tcMar>
              <w:top w:w="40" w:type="dxa"/>
              <w:left w:w="0" w:type="dxa"/>
              <w:bottom w:w="40" w:type="dxa"/>
              <w:right w:w="20" w:type="dxa"/>
            </w:tcMar>
            <w:vAlign w:val="center"/>
          </w:tcPr>
          <w:p w14:paraId="07DCF673" w14:textId="77777777" w:rsidR="00AE727E" w:rsidRDefault="00AE727E">
            <w:pPr>
              <w:jc w:val="right"/>
              <w:rPr>
                <w:rFonts w:ascii="宋体"/>
              </w:rPr>
            </w:pPr>
          </w:p>
        </w:tc>
      </w:tr>
      <w:tr w:rsidR="00AE727E" w14:paraId="07DCF687" w14:textId="77777777">
        <w:tc>
          <w:tcPr>
            <w:tcW w:w="0" w:type="auto"/>
            <w:gridSpan w:val="3"/>
            <w:shd w:val="clear" w:color="auto" w:fill="FFFFFF"/>
            <w:tcMar>
              <w:top w:w="40" w:type="dxa"/>
              <w:left w:w="20" w:type="dxa"/>
              <w:bottom w:w="40" w:type="dxa"/>
              <w:right w:w="20" w:type="dxa"/>
            </w:tcMar>
            <w:vAlign w:val="center"/>
          </w:tcPr>
          <w:p w14:paraId="07DCF675" w14:textId="77777777" w:rsidR="00AE727E" w:rsidRDefault="008433E0">
            <w:pPr>
              <w:textAlignment w:val="center"/>
            </w:pPr>
            <w:r>
              <w:rPr>
                <w:rFonts w:ascii="Times New Roman" w:eastAsia="宋体" w:hAnsi="Times New Roman"/>
                <w:color w:val="000000"/>
                <w:sz w:val="20"/>
                <w:szCs w:val="20"/>
              </w:rPr>
              <w:t>Developed technology</w:t>
            </w:r>
          </w:p>
        </w:tc>
        <w:tc>
          <w:tcPr>
            <w:tcW w:w="0" w:type="auto"/>
            <w:gridSpan w:val="2"/>
            <w:shd w:val="clear" w:color="auto" w:fill="FFFFFF"/>
            <w:tcMar>
              <w:top w:w="40" w:type="dxa"/>
              <w:left w:w="20" w:type="dxa"/>
              <w:bottom w:w="40" w:type="dxa"/>
              <w:right w:w="0" w:type="dxa"/>
            </w:tcMar>
            <w:vAlign w:val="center"/>
          </w:tcPr>
          <w:p w14:paraId="07DCF676" w14:textId="77777777" w:rsidR="00AE727E" w:rsidRDefault="008433E0">
            <w:pPr>
              <w:jc w:val="right"/>
              <w:textAlignment w:val="center"/>
            </w:pPr>
            <w:r>
              <w:rPr>
                <w:rFonts w:ascii="Times New Roman" w:eastAsia="宋体" w:hAnsi="Times New Roman"/>
                <w:color w:val="000000"/>
                <w:sz w:val="20"/>
                <w:szCs w:val="20"/>
              </w:rPr>
              <w:t>15,479 </w:t>
            </w:r>
          </w:p>
        </w:tc>
        <w:tc>
          <w:tcPr>
            <w:tcW w:w="0" w:type="auto"/>
            <w:shd w:val="clear" w:color="auto" w:fill="FFFFFF"/>
            <w:tcMar>
              <w:top w:w="40" w:type="dxa"/>
              <w:left w:w="0" w:type="dxa"/>
              <w:bottom w:w="40" w:type="dxa"/>
              <w:right w:w="20" w:type="dxa"/>
            </w:tcMar>
            <w:vAlign w:val="center"/>
          </w:tcPr>
          <w:p w14:paraId="07DCF6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7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679" w14:textId="77777777" w:rsidR="00AE727E" w:rsidRDefault="008433E0">
            <w:pPr>
              <w:jc w:val="right"/>
              <w:textAlignment w:val="center"/>
            </w:pPr>
            <w:r>
              <w:rPr>
                <w:rFonts w:ascii="Times New Roman" w:eastAsia="宋体" w:hAnsi="Times New Roman"/>
                <w:color w:val="000000"/>
                <w:sz w:val="20"/>
                <w:szCs w:val="20"/>
              </w:rPr>
              <w:t>(12,939)</w:t>
            </w:r>
          </w:p>
        </w:tc>
        <w:tc>
          <w:tcPr>
            <w:tcW w:w="0" w:type="auto"/>
            <w:shd w:val="clear" w:color="auto" w:fill="FFFFFF"/>
            <w:tcMar>
              <w:top w:w="40" w:type="dxa"/>
              <w:left w:w="0" w:type="dxa"/>
              <w:bottom w:w="40" w:type="dxa"/>
              <w:right w:w="20" w:type="dxa"/>
            </w:tcMar>
            <w:vAlign w:val="center"/>
          </w:tcPr>
          <w:p w14:paraId="07DCF67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7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67C" w14:textId="77777777" w:rsidR="00AE727E" w:rsidRDefault="008433E0">
            <w:pPr>
              <w:jc w:val="right"/>
              <w:textAlignment w:val="center"/>
            </w:pPr>
            <w:r>
              <w:rPr>
                <w:rFonts w:ascii="Times New Roman" w:eastAsia="宋体" w:hAnsi="Times New Roman"/>
                <w:color w:val="000000"/>
                <w:sz w:val="20"/>
                <w:szCs w:val="20"/>
              </w:rPr>
              <w:t>2,540 </w:t>
            </w:r>
          </w:p>
        </w:tc>
        <w:tc>
          <w:tcPr>
            <w:tcW w:w="0" w:type="auto"/>
            <w:shd w:val="clear" w:color="auto" w:fill="FFFFFF"/>
            <w:tcMar>
              <w:top w:w="40" w:type="dxa"/>
              <w:left w:w="0" w:type="dxa"/>
              <w:bottom w:w="40" w:type="dxa"/>
              <w:right w:w="20" w:type="dxa"/>
            </w:tcMar>
            <w:vAlign w:val="center"/>
          </w:tcPr>
          <w:p w14:paraId="07DCF67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7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67F" w14:textId="77777777" w:rsidR="00AE727E" w:rsidRDefault="008433E0">
            <w:pPr>
              <w:jc w:val="right"/>
              <w:textAlignment w:val="center"/>
            </w:pPr>
            <w:r>
              <w:rPr>
                <w:rFonts w:ascii="Times New Roman" w:eastAsia="宋体" w:hAnsi="Times New Roman"/>
                <w:color w:val="000000"/>
                <w:sz w:val="20"/>
                <w:szCs w:val="20"/>
              </w:rPr>
              <w:t>15,488 </w:t>
            </w:r>
          </w:p>
        </w:tc>
        <w:tc>
          <w:tcPr>
            <w:tcW w:w="0" w:type="auto"/>
            <w:shd w:val="clear" w:color="auto" w:fill="FFFFFF"/>
            <w:tcMar>
              <w:top w:w="40" w:type="dxa"/>
              <w:left w:w="0" w:type="dxa"/>
              <w:bottom w:w="40" w:type="dxa"/>
              <w:right w:w="20" w:type="dxa"/>
            </w:tcMar>
            <w:vAlign w:val="center"/>
          </w:tcPr>
          <w:p w14:paraId="07DCF68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8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682" w14:textId="77777777" w:rsidR="00AE727E" w:rsidRDefault="008433E0">
            <w:pPr>
              <w:jc w:val="right"/>
              <w:textAlignment w:val="center"/>
            </w:pPr>
            <w:r>
              <w:rPr>
                <w:rFonts w:ascii="Times New Roman" w:eastAsia="宋体" w:hAnsi="Times New Roman"/>
                <w:color w:val="000000"/>
                <w:sz w:val="20"/>
                <w:szCs w:val="20"/>
              </w:rPr>
              <w:t>(12,136)</w:t>
            </w:r>
          </w:p>
        </w:tc>
        <w:tc>
          <w:tcPr>
            <w:tcW w:w="0" w:type="auto"/>
            <w:shd w:val="clear" w:color="auto" w:fill="FFFFFF"/>
            <w:tcMar>
              <w:top w:w="40" w:type="dxa"/>
              <w:left w:w="0" w:type="dxa"/>
              <w:bottom w:w="40" w:type="dxa"/>
              <w:right w:w="20" w:type="dxa"/>
            </w:tcMar>
            <w:vAlign w:val="center"/>
          </w:tcPr>
          <w:p w14:paraId="07DCF68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8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685" w14:textId="77777777" w:rsidR="00AE727E" w:rsidRDefault="008433E0">
            <w:pPr>
              <w:jc w:val="right"/>
              <w:textAlignment w:val="center"/>
            </w:pPr>
            <w:r>
              <w:rPr>
                <w:rFonts w:ascii="Times New Roman" w:eastAsia="宋体" w:hAnsi="Times New Roman"/>
                <w:color w:val="000000"/>
                <w:sz w:val="20"/>
                <w:szCs w:val="20"/>
              </w:rPr>
              <w:t>3,352 </w:t>
            </w:r>
          </w:p>
        </w:tc>
        <w:tc>
          <w:tcPr>
            <w:tcW w:w="0" w:type="auto"/>
            <w:shd w:val="clear" w:color="auto" w:fill="FFFFFF"/>
            <w:tcMar>
              <w:top w:w="40" w:type="dxa"/>
              <w:left w:w="0" w:type="dxa"/>
              <w:bottom w:w="40" w:type="dxa"/>
              <w:right w:w="20" w:type="dxa"/>
            </w:tcMar>
            <w:vAlign w:val="center"/>
          </w:tcPr>
          <w:p w14:paraId="07DCF686" w14:textId="77777777" w:rsidR="00AE727E" w:rsidRDefault="00AE727E">
            <w:pPr>
              <w:jc w:val="right"/>
              <w:rPr>
                <w:rFonts w:ascii="宋体"/>
              </w:rPr>
            </w:pPr>
          </w:p>
        </w:tc>
      </w:tr>
      <w:tr w:rsidR="00AE727E" w14:paraId="07DCF69A" w14:textId="77777777">
        <w:tc>
          <w:tcPr>
            <w:tcW w:w="0" w:type="auto"/>
            <w:gridSpan w:val="3"/>
            <w:shd w:val="clear" w:color="auto" w:fill="CCEEFF"/>
            <w:tcMar>
              <w:top w:w="40" w:type="dxa"/>
              <w:left w:w="20" w:type="dxa"/>
              <w:bottom w:w="40" w:type="dxa"/>
              <w:right w:w="20" w:type="dxa"/>
            </w:tcMar>
            <w:vAlign w:val="center"/>
          </w:tcPr>
          <w:p w14:paraId="07DCF688" w14:textId="77777777" w:rsidR="00AE727E" w:rsidRDefault="008433E0">
            <w:pPr>
              <w:textAlignment w:val="center"/>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center"/>
          </w:tcPr>
          <w:p w14:paraId="07DCF689" w14:textId="77777777" w:rsidR="00AE727E" w:rsidRDefault="008433E0">
            <w:pPr>
              <w:jc w:val="right"/>
              <w:textAlignment w:val="center"/>
            </w:pPr>
            <w:r>
              <w:rPr>
                <w:rFonts w:ascii="Times New Roman" w:eastAsia="宋体" w:hAnsi="Times New Roman"/>
                <w:color w:val="000000"/>
                <w:sz w:val="20"/>
                <w:szCs w:val="20"/>
              </w:rPr>
              <w:t>1,286 </w:t>
            </w:r>
          </w:p>
        </w:tc>
        <w:tc>
          <w:tcPr>
            <w:tcW w:w="0" w:type="auto"/>
            <w:shd w:val="clear" w:color="auto" w:fill="CCEEFF"/>
            <w:tcMar>
              <w:top w:w="40" w:type="dxa"/>
              <w:left w:w="0" w:type="dxa"/>
              <w:bottom w:w="40" w:type="dxa"/>
              <w:right w:w="20" w:type="dxa"/>
            </w:tcMar>
            <w:vAlign w:val="center"/>
          </w:tcPr>
          <w:p w14:paraId="07DCF6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8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8C" w14:textId="77777777" w:rsidR="00AE727E" w:rsidRDefault="008433E0">
            <w:pPr>
              <w:jc w:val="right"/>
              <w:textAlignment w:val="center"/>
            </w:pPr>
            <w:r>
              <w:rPr>
                <w:rFonts w:ascii="Times New Roman" w:eastAsia="宋体" w:hAnsi="Times New Roman"/>
                <w:color w:val="000000"/>
                <w:sz w:val="20"/>
                <w:szCs w:val="20"/>
              </w:rPr>
              <w:t>(977)</w:t>
            </w:r>
          </w:p>
        </w:tc>
        <w:tc>
          <w:tcPr>
            <w:tcW w:w="0" w:type="auto"/>
            <w:shd w:val="clear" w:color="auto" w:fill="CCEEFF"/>
            <w:tcMar>
              <w:top w:w="40" w:type="dxa"/>
              <w:left w:w="0" w:type="dxa"/>
              <w:bottom w:w="40" w:type="dxa"/>
              <w:right w:w="20" w:type="dxa"/>
            </w:tcMar>
            <w:vAlign w:val="center"/>
          </w:tcPr>
          <w:p w14:paraId="07DCF68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8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8F" w14:textId="77777777" w:rsidR="00AE727E" w:rsidRDefault="008433E0">
            <w:pPr>
              <w:jc w:val="right"/>
              <w:textAlignment w:val="center"/>
            </w:pPr>
            <w:r>
              <w:rPr>
                <w:rFonts w:ascii="Times New Roman" w:eastAsia="宋体" w:hAnsi="Times New Roman"/>
                <w:color w:val="000000"/>
                <w:sz w:val="20"/>
                <w:szCs w:val="20"/>
              </w:rPr>
              <w:t>309 </w:t>
            </w:r>
          </w:p>
        </w:tc>
        <w:tc>
          <w:tcPr>
            <w:tcW w:w="0" w:type="auto"/>
            <w:shd w:val="clear" w:color="auto" w:fill="CCEEFF"/>
            <w:tcMar>
              <w:top w:w="40" w:type="dxa"/>
              <w:left w:w="0" w:type="dxa"/>
              <w:bottom w:w="40" w:type="dxa"/>
              <w:right w:w="20" w:type="dxa"/>
            </w:tcMar>
            <w:vAlign w:val="center"/>
          </w:tcPr>
          <w:p w14:paraId="07DCF6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9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92" w14:textId="77777777" w:rsidR="00AE727E" w:rsidRDefault="008433E0">
            <w:pPr>
              <w:jc w:val="right"/>
              <w:textAlignment w:val="center"/>
            </w:pPr>
            <w:r>
              <w:rPr>
                <w:rFonts w:ascii="Times New Roman" w:eastAsia="宋体" w:hAnsi="Times New Roman"/>
                <w:color w:val="000000"/>
                <w:sz w:val="20"/>
                <w:szCs w:val="20"/>
              </w:rPr>
              <w:t>1,285 </w:t>
            </w:r>
          </w:p>
        </w:tc>
        <w:tc>
          <w:tcPr>
            <w:tcW w:w="0" w:type="auto"/>
            <w:shd w:val="clear" w:color="auto" w:fill="CCEEFF"/>
            <w:tcMar>
              <w:top w:w="40" w:type="dxa"/>
              <w:left w:w="0" w:type="dxa"/>
              <w:bottom w:w="40" w:type="dxa"/>
              <w:right w:w="20" w:type="dxa"/>
            </w:tcMar>
            <w:vAlign w:val="center"/>
          </w:tcPr>
          <w:p w14:paraId="07DCF6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9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95" w14:textId="77777777" w:rsidR="00AE727E" w:rsidRDefault="008433E0">
            <w:pPr>
              <w:jc w:val="right"/>
              <w:textAlignment w:val="center"/>
            </w:pPr>
            <w:r>
              <w:rPr>
                <w:rFonts w:ascii="Times New Roman" w:eastAsia="宋体" w:hAnsi="Times New Roman"/>
                <w:color w:val="000000"/>
                <w:sz w:val="20"/>
                <w:szCs w:val="20"/>
              </w:rPr>
              <w:t>(909)</w:t>
            </w:r>
          </w:p>
        </w:tc>
        <w:tc>
          <w:tcPr>
            <w:tcW w:w="0" w:type="auto"/>
            <w:shd w:val="clear" w:color="auto" w:fill="CCEEFF"/>
            <w:tcMar>
              <w:top w:w="40" w:type="dxa"/>
              <w:left w:w="0" w:type="dxa"/>
              <w:bottom w:w="40" w:type="dxa"/>
              <w:right w:w="20" w:type="dxa"/>
            </w:tcMar>
            <w:vAlign w:val="center"/>
          </w:tcPr>
          <w:p w14:paraId="07DCF69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9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98" w14:textId="77777777" w:rsidR="00AE727E" w:rsidRDefault="008433E0">
            <w:pPr>
              <w:jc w:val="right"/>
              <w:textAlignment w:val="center"/>
            </w:pPr>
            <w:r>
              <w:rPr>
                <w:rFonts w:ascii="Times New Roman" w:eastAsia="宋体" w:hAnsi="Times New Roman"/>
                <w:color w:val="000000"/>
                <w:sz w:val="20"/>
                <w:szCs w:val="20"/>
              </w:rPr>
              <w:t>376 </w:t>
            </w:r>
          </w:p>
        </w:tc>
        <w:tc>
          <w:tcPr>
            <w:tcW w:w="0" w:type="auto"/>
            <w:shd w:val="clear" w:color="auto" w:fill="CCEEFF"/>
            <w:tcMar>
              <w:top w:w="40" w:type="dxa"/>
              <w:left w:w="0" w:type="dxa"/>
              <w:bottom w:w="40" w:type="dxa"/>
              <w:right w:w="20" w:type="dxa"/>
            </w:tcMar>
            <w:vAlign w:val="center"/>
          </w:tcPr>
          <w:p w14:paraId="07DCF699" w14:textId="77777777" w:rsidR="00AE727E" w:rsidRDefault="00AE727E">
            <w:pPr>
              <w:jc w:val="right"/>
              <w:rPr>
                <w:rFonts w:ascii="宋体"/>
              </w:rPr>
            </w:pPr>
          </w:p>
        </w:tc>
      </w:tr>
      <w:tr w:rsidR="00AE727E" w14:paraId="07DCF6AD" w14:textId="77777777">
        <w:tc>
          <w:tcPr>
            <w:tcW w:w="0" w:type="auto"/>
            <w:gridSpan w:val="3"/>
            <w:shd w:val="clear" w:color="auto" w:fill="FFFFFF"/>
            <w:tcMar>
              <w:top w:w="40" w:type="dxa"/>
              <w:left w:w="155" w:type="dxa"/>
              <w:bottom w:w="40" w:type="dxa"/>
              <w:right w:w="20" w:type="dxa"/>
            </w:tcMar>
            <w:vAlign w:val="center"/>
          </w:tcPr>
          <w:p w14:paraId="07DCF69B" w14:textId="77777777" w:rsidR="00AE727E" w:rsidRDefault="008433E0">
            <w:pPr>
              <w:textAlignment w:val="center"/>
            </w:pPr>
            <w:r>
              <w:rPr>
                <w:rFonts w:ascii="Times New Roman" w:eastAsia="宋体" w:hAnsi="Times New Roman"/>
                <w:color w:val="000000"/>
                <w:sz w:val="20"/>
                <w:szCs w:val="20"/>
              </w:rPr>
              <w:t>Definite-lived intangible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9C" w14:textId="77777777" w:rsidR="00AE727E" w:rsidRDefault="008433E0">
            <w:pPr>
              <w:jc w:val="right"/>
              <w:textAlignment w:val="center"/>
            </w:pPr>
            <w:r>
              <w:rPr>
                <w:rFonts w:ascii="Times New Roman" w:eastAsia="宋体" w:hAnsi="Times New Roman"/>
                <w:color w:val="000000"/>
                <w:sz w:val="20"/>
                <w:szCs w:val="20"/>
              </w:rPr>
              <w:t>39,152 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9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9E"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9F" w14:textId="77777777" w:rsidR="00AE727E" w:rsidRDefault="008433E0">
            <w:pPr>
              <w:jc w:val="right"/>
              <w:textAlignment w:val="center"/>
            </w:pPr>
            <w:r>
              <w:rPr>
                <w:rFonts w:ascii="Times New Roman" w:eastAsia="宋体" w:hAnsi="Times New Roman"/>
                <w:color w:val="000000"/>
                <w:sz w:val="20"/>
                <w:szCs w:val="20"/>
              </w:rPr>
              <w:t>(30,588)</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A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A1"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A2" w14:textId="77777777" w:rsidR="00AE727E" w:rsidRDefault="008433E0">
            <w:pPr>
              <w:jc w:val="right"/>
              <w:textAlignment w:val="center"/>
            </w:pPr>
            <w:r>
              <w:rPr>
                <w:rFonts w:ascii="Times New Roman" w:eastAsia="宋体" w:hAnsi="Times New Roman"/>
                <w:color w:val="000000"/>
                <w:sz w:val="20"/>
                <w:szCs w:val="20"/>
              </w:rPr>
              <w:t>8,564 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A4"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A5" w14:textId="77777777" w:rsidR="00AE727E" w:rsidRDefault="008433E0">
            <w:pPr>
              <w:jc w:val="right"/>
              <w:textAlignment w:val="center"/>
            </w:pPr>
            <w:r>
              <w:rPr>
                <w:rFonts w:ascii="Times New Roman" w:eastAsia="宋体" w:hAnsi="Times New Roman"/>
                <w:color w:val="000000"/>
                <w:sz w:val="20"/>
                <w:szCs w:val="20"/>
              </w:rPr>
              <w:t>39,167 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A7"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A8" w14:textId="77777777" w:rsidR="00AE727E" w:rsidRDefault="008433E0">
            <w:pPr>
              <w:jc w:val="right"/>
              <w:textAlignment w:val="center"/>
            </w:pPr>
            <w:r>
              <w:rPr>
                <w:rFonts w:ascii="Times New Roman" w:eastAsia="宋体" w:hAnsi="Times New Roman"/>
                <w:color w:val="000000"/>
                <w:sz w:val="20"/>
                <w:szCs w:val="20"/>
              </w:rPr>
              <w:t>(28,493)</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A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AA"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CF6AB" w14:textId="77777777" w:rsidR="00AE727E" w:rsidRDefault="008433E0">
            <w:pPr>
              <w:jc w:val="right"/>
              <w:textAlignment w:val="center"/>
            </w:pPr>
            <w:r>
              <w:rPr>
                <w:rFonts w:ascii="Times New Roman" w:eastAsia="宋体" w:hAnsi="Times New Roman"/>
                <w:color w:val="000000"/>
                <w:sz w:val="20"/>
                <w:szCs w:val="20"/>
              </w:rPr>
              <w:t>10,674 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CF6AC" w14:textId="77777777" w:rsidR="00AE727E" w:rsidRDefault="00AE727E">
            <w:pPr>
              <w:jc w:val="right"/>
              <w:rPr>
                <w:rFonts w:ascii="宋体"/>
              </w:rPr>
            </w:pPr>
          </w:p>
        </w:tc>
      </w:tr>
      <w:tr w:rsidR="00AE727E" w14:paraId="07DCF6C0" w14:textId="77777777">
        <w:tc>
          <w:tcPr>
            <w:tcW w:w="0" w:type="auto"/>
            <w:gridSpan w:val="3"/>
            <w:shd w:val="clear" w:color="auto" w:fill="CCEEFF"/>
            <w:tcMar>
              <w:top w:w="40" w:type="dxa"/>
              <w:left w:w="20" w:type="dxa"/>
              <w:bottom w:w="40" w:type="dxa"/>
              <w:right w:w="20" w:type="dxa"/>
            </w:tcMar>
            <w:vAlign w:val="center"/>
          </w:tcPr>
          <w:p w14:paraId="07DCF6AE" w14:textId="77777777" w:rsidR="00AE727E" w:rsidRDefault="008433E0">
            <w:pPr>
              <w:textAlignment w:val="center"/>
            </w:pPr>
            <w:r>
              <w:rPr>
                <w:rFonts w:ascii="Times New Roman" w:eastAsia="宋体" w:hAnsi="Times New Roman"/>
                <w:color w:val="000000"/>
                <w:sz w:val="20"/>
                <w:szCs w:val="20"/>
              </w:rPr>
              <w:t>Indefinite-lived t</w:t>
            </w:r>
            <w:r>
              <w:rPr>
                <w:rFonts w:ascii="Times New Roman" w:eastAsia="宋体" w:hAnsi="Times New Roman"/>
                <w:color w:val="000000"/>
                <w:sz w:val="20"/>
                <w:szCs w:val="20"/>
              </w:rPr>
              <w:t>rade names</w:t>
            </w:r>
          </w:p>
        </w:tc>
        <w:tc>
          <w:tcPr>
            <w:tcW w:w="0" w:type="auto"/>
            <w:gridSpan w:val="2"/>
            <w:shd w:val="clear" w:color="auto" w:fill="CCEEFF"/>
            <w:tcMar>
              <w:top w:w="40" w:type="dxa"/>
              <w:left w:w="20" w:type="dxa"/>
              <w:bottom w:w="40" w:type="dxa"/>
              <w:right w:w="0" w:type="dxa"/>
            </w:tcMar>
            <w:vAlign w:val="center"/>
          </w:tcPr>
          <w:p w14:paraId="07DCF6AF" w14:textId="77777777" w:rsidR="00AE727E" w:rsidRDefault="008433E0">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07DCF6B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B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B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6B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B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B5" w14:textId="77777777" w:rsidR="00AE727E" w:rsidRDefault="008433E0">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07DCF6B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B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B8" w14:textId="77777777" w:rsidR="00AE727E" w:rsidRDefault="008433E0">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07DCF6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B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6B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6B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6BE" w14:textId="77777777" w:rsidR="00AE727E" w:rsidRDefault="008433E0">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07DCF6BF" w14:textId="77777777" w:rsidR="00AE727E" w:rsidRDefault="00AE727E">
            <w:pPr>
              <w:jc w:val="right"/>
              <w:rPr>
                <w:rFonts w:ascii="宋体"/>
              </w:rPr>
            </w:pPr>
          </w:p>
        </w:tc>
      </w:tr>
      <w:tr w:rsidR="00AE727E" w14:paraId="07DCF6D9" w14:textId="77777777">
        <w:tc>
          <w:tcPr>
            <w:tcW w:w="0" w:type="auto"/>
            <w:gridSpan w:val="3"/>
            <w:shd w:val="clear" w:color="auto" w:fill="FFFFFF"/>
            <w:tcMar>
              <w:top w:w="40" w:type="dxa"/>
              <w:left w:w="245" w:type="dxa"/>
              <w:bottom w:w="40" w:type="dxa"/>
              <w:right w:w="20" w:type="dxa"/>
            </w:tcMar>
            <w:vAlign w:val="center"/>
          </w:tcPr>
          <w:p w14:paraId="07DCF6C1" w14:textId="77777777" w:rsidR="00AE727E" w:rsidRDefault="008433E0">
            <w:pPr>
              <w:textAlignment w:val="center"/>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C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C3" w14:textId="77777777" w:rsidR="00AE727E" w:rsidRDefault="008433E0">
            <w:pPr>
              <w:jc w:val="right"/>
              <w:textAlignment w:val="center"/>
            </w:pPr>
            <w:r>
              <w:rPr>
                <w:rFonts w:ascii="Times New Roman" w:eastAsia="宋体" w:hAnsi="Times New Roman"/>
                <w:color w:val="000000"/>
                <w:sz w:val="20"/>
                <w:szCs w:val="20"/>
              </w:rPr>
              <w:t>42,907 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C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C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C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C7" w14:textId="77777777" w:rsidR="00AE727E" w:rsidRDefault="008433E0">
            <w:pPr>
              <w:jc w:val="right"/>
              <w:textAlignment w:val="center"/>
            </w:pPr>
            <w:r>
              <w:rPr>
                <w:rFonts w:ascii="Times New Roman" w:eastAsia="宋体" w:hAnsi="Times New Roman"/>
                <w:color w:val="000000"/>
                <w:sz w:val="20"/>
                <w:szCs w:val="20"/>
              </w:rPr>
              <w:t>(30,588)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C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C9"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C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CB" w14:textId="77777777" w:rsidR="00AE727E" w:rsidRDefault="008433E0">
            <w:pPr>
              <w:jc w:val="right"/>
              <w:textAlignment w:val="center"/>
            </w:pPr>
            <w:r>
              <w:rPr>
                <w:rFonts w:ascii="Times New Roman" w:eastAsia="宋体" w:hAnsi="Times New Roman"/>
                <w:color w:val="000000"/>
                <w:sz w:val="20"/>
                <w:szCs w:val="20"/>
              </w:rPr>
              <w:t>12,319 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C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C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CF" w14:textId="77777777" w:rsidR="00AE727E" w:rsidRDefault="008433E0">
            <w:pPr>
              <w:jc w:val="right"/>
              <w:textAlignment w:val="center"/>
            </w:pPr>
            <w:r>
              <w:rPr>
                <w:rFonts w:ascii="Times New Roman" w:eastAsia="宋体" w:hAnsi="Times New Roman"/>
                <w:color w:val="000000"/>
                <w:sz w:val="20"/>
                <w:szCs w:val="20"/>
              </w:rPr>
              <w:t>42,922 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D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D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D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D3" w14:textId="77777777" w:rsidR="00AE727E" w:rsidRDefault="008433E0">
            <w:pPr>
              <w:jc w:val="right"/>
              <w:textAlignment w:val="center"/>
            </w:pPr>
            <w:r>
              <w:rPr>
                <w:rFonts w:ascii="Times New Roman" w:eastAsia="宋体" w:hAnsi="Times New Roman"/>
                <w:color w:val="000000"/>
                <w:sz w:val="20"/>
                <w:szCs w:val="20"/>
              </w:rPr>
              <w:t>(28,493)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D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6D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6D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6D7" w14:textId="77777777" w:rsidR="00AE727E" w:rsidRDefault="008433E0">
            <w:pPr>
              <w:jc w:val="right"/>
              <w:textAlignment w:val="center"/>
            </w:pPr>
            <w:r>
              <w:rPr>
                <w:rFonts w:ascii="Times New Roman" w:eastAsia="宋体" w:hAnsi="Times New Roman"/>
                <w:color w:val="000000"/>
                <w:sz w:val="20"/>
                <w:szCs w:val="20"/>
              </w:rPr>
              <w:t>14,429 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6D8" w14:textId="77777777" w:rsidR="00AE727E" w:rsidRDefault="00AE727E">
            <w:pPr>
              <w:jc w:val="right"/>
              <w:rPr>
                <w:rFonts w:ascii="宋体"/>
              </w:rPr>
            </w:pPr>
          </w:p>
        </w:tc>
      </w:tr>
    </w:tbl>
    <w:p w14:paraId="07DCF6DA" w14:textId="77777777" w:rsidR="00AE727E" w:rsidRDefault="00AE727E"/>
    <w:p w14:paraId="07DCF6DB" w14:textId="77777777" w:rsidR="00AE727E" w:rsidRDefault="008433E0">
      <w:r>
        <w:rPr>
          <w:rFonts w:ascii="Times New Roman" w:eastAsia="宋体" w:hAnsi="Times New Roman"/>
          <w:color w:val="000000"/>
          <w:sz w:val="20"/>
          <w:szCs w:val="20"/>
        </w:rPr>
        <w:t>Amortization expense related to definite-lived intangible assets was approximately $0.7 billion and $0.8 billion for the three</w:t>
      </w:r>
      <w:r>
        <w:rPr>
          <w:rFonts w:ascii="Times New Roman" w:eastAsia="宋体" w:hAnsi="Times New Roman"/>
          <w:color w:val="000000"/>
          <w:sz w:val="20"/>
          <w:szCs w:val="20"/>
        </w:rPr>
        <w:t xml:space="preserve"> months ended October 29, 2021 and October 30, 2020, respectively, and $2.1 billion and $2.5 billion for the nine months ended October 29, 2021 and October 30, 2020, respectively. There were no material impairment charges related to intangible assets durin</w:t>
      </w:r>
      <w:r>
        <w:rPr>
          <w:rFonts w:ascii="Times New Roman" w:eastAsia="宋体" w:hAnsi="Times New Roman"/>
          <w:color w:val="000000"/>
          <w:sz w:val="20"/>
          <w:szCs w:val="20"/>
        </w:rPr>
        <w:t>g the three and nine months ended October 29, 2021 or October 30, 2020.</w:t>
      </w:r>
    </w:p>
    <w:p w14:paraId="07DCF6DC" w14:textId="77777777" w:rsidR="00AE727E" w:rsidRDefault="00AE727E"/>
    <w:p w14:paraId="07DCF6DD" w14:textId="77777777" w:rsidR="00AE727E" w:rsidRDefault="008433E0">
      <w:r>
        <w:rPr>
          <w:rFonts w:ascii="Times New Roman" w:eastAsia="宋体" w:hAnsi="Times New Roman"/>
          <w:color w:val="000000"/>
          <w:sz w:val="20"/>
          <w:szCs w:val="20"/>
        </w:rPr>
        <w:t>During the three months ended May 1, 2020, the Company recognized proceeds and a gain of $120 million from the sale of certain internally developed intellectual property assets.</w:t>
      </w:r>
    </w:p>
    <w:p w14:paraId="07DCF6DE" w14:textId="77777777" w:rsidR="00AE727E" w:rsidRDefault="00AE727E"/>
    <w:p w14:paraId="07DCF6DF" w14:textId="77777777" w:rsidR="00AE727E" w:rsidRDefault="00AE727E">
      <w:pPr>
        <w:jc w:val="center"/>
      </w:pPr>
    </w:p>
    <w:p w14:paraId="07DCF6E0" w14:textId="77777777" w:rsidR="00AE727E" w:rsidRDefault="008433E0">
      <w:pPr>
        <w:jc w:val="center"/>
      </w:pPr>
      <w:r>
        <w:rPr>
          <w:rFonts w:ascii="Times New Roman" w:eastAsia="宋体" w:hAnsi="Times New Roman"/>
          <w:color w:val="000000"/>
          <w:sz w:val="20"/>
          <w:szCs w:val="20"/>
        </w:rPr>
        <w:t>39</w:t>
      </w:r>
    </w:p>
    <w:p w14:paraId="07DCF6E1" w14:textId="77777777" w:rsidR="00AE727E" w:rsidRDefault="00AE727E">
      <w:pPr>
        <w:jc w:val="center"/>
      </w:pPr>
    </w:p>
    <w:p w14:paraId="07DCF6E2" w14:textId="77777777" w:rsidR="00AE727E" w:rsidRDefault="008433E0">
      <w:r>
        <w:pict w14:anchorId="07DD18F7">
          <v:rect id="_x0000_i1063" style="width:415.3pt;height:1.5pt" o:hralign="center" o:hrstd="t" o:hr="t" fillcolor="#a0a0a0" stroked="f"/>
        </w:pict>
      </w:r>
    </w:p>
    <w:p w14:paraId="07DCF6E3" w14:textId="77777777" w:rsidR="00AE727E" w:rsidRDefault="008433E0">
      <w:hyperlink r:id="rId164" w:anchor="i1c8279be622a460ea19600488436f115_10" w:history="1">
        <w:r>
          <w:rPr>
            <w:rStyle w:val="a5"/>
            <w:rFonts w:ascii="Times New Roman" w:eastAsia="宋体" w:hAnsi="Times New Roman"/>
            <w:sz w:val="20"/>
            <w:szCs w:val="20"/>
          </w:rPr>
          <w:t>Table of Contents</w:t>
        </w:r>
      </w:hyperlink>
    </w:p>
    <w:p w14:paraId="07DCF6E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6E5"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w:t>
      </w:r>
      <w:r>
        <w:rPr>
          <w:rFonts w:ascii="Times New Roman" w:eastAsia="宋体" w:hAnsi="Times New Roman"/>
          <w:b/>
          <w:bCs/>
          <w:color w:val="000000"/>
          <w:sz w:val="20"/>
          <w:szCs w:val="20"/>
          <w:shd w:val="clear" w:color="auto" w:fill="FFFFFF"/>
        </w:rPr>
        <w:t>Continued)</w:t>
      </w:r>
    </w:p>
    <w:p w14:paraId="07DCF6E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6E7" w14:textId="77777777" w:rsidR="00AE727E" w:rsidRDefault="00AE727E">
      <w:pPr>
        <w:jc w:val="center"/>
      </w:pPr>
    </w:p>
    <w:p w14:paraId="07DCF6E8" w14:textId="77777777" w:rsidR="00AE727E" w:rsidRDefault="008433E0">
      <w:pPr>
        <w:spacing w:after="60"/>
      </w:pPr>
      <w:r>
        <w:rPr>
          <w:rFonts w:ascii="Times New Roman" w:eastAsia="宋体" w:hAnsi="Times New Roman"/>
          <w:color w:val="000000"/>
          <w:sz w:val="20"/>
          <w:szCs w:val="20"/>
        </w:rPr>
        <w:t>The following table presents the estimated future annual pre-tax amortization expense of definite-lived intangible assets as of the date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6593"/>
        <w:gridCol w:w="36"/>
        <w:gridCol w:w="121"/>
        <w:gridCol w:w="1498"/>
        <w:gridCol w:w="36"/>
      </w:tblGrid>
      <w:tr w:rsidR="00AE727E" w14:paraId="07DCF6EF" w14:textId="77777777">
        <w:tc>
          <w:tcPr>
            <w:tcW w:w="50" w:type="pct"/>
            <w:shd w:val="clear" w:color="auto" w:fill="auto"/>
            <w:vAlign w:val="bottom"/>
          </w:tcPr>
          <w:p w14:paraId="07DCF6E9" w14:textId="77777777" w:rsidR="00AE727E" w:rsidRDefault="00AE727E">
            <w:pPr>
              <w:rPr>
                <w:rFonts w:ascii="宋体"/>
              </w:rPr>
            </w:pPr>
          </w:p>
        </w:tc>
        <w:tc>
          <w:tcPr>
            <w:tcW w:w="3972" w:type="pct"/>
            <w:shd w:val="clear" w:color="auto" w:fill="auto"/>
            <w:vAlign w:val="bottom"/>
          </w:tcPr>
          <w:p w14:paraId="07DCF6EA" w14:textId="77777777" w:rsidR="00AE727E" w:rsidRDefault="00AE727E">
            <w:pPr>
              <w:rPr>
                <w:rFonts w:ascii="宋体"/>
              </w:rPr>
            </w:pPr>
          </w:p>
        </w:tc>
        <w:tc>
          <w:tcPr>
            <w:tcW w:w="5" w:type="pct"/>
            <w:shd w:val="clear" w:color="auto" w:fill="auto"/>
            <w:vAlign w:val="bottom"/>
          </w:tcPr>
          <w:p w14:paraId="07DCF6EB" w14:textId="77777777" w:rsidR="00AE727E" w:rsidRDefault="00AE727E">
            <w:pPr>
              <w:rPr>
                <w:rFonts w:ascii="宋体"/>
              </w:rPr>
            </w:pPr>
          </w:p>
        </w:tc>
        <w:tc>
          <w:tcPr>
            <w:tcW w:w="50" w:type="pct"/>
            <w:shd w:val="clear" w:color="auto" w:fill="auto"/>
            <w:vAlign w:val="bottom"/>
          </w:tcPr>
          <w:p w14:paraId="07DCF6EC" w14:textId="77777777" w:rsidR="00AE727E" w:rsidRDefault="00AE727E">
            <w:pPr>
              <w:rPr>
                <w:rFonts w:ascii="宋体"/>
              </w:rPr>
            </w:pPr>
          </w:p>
        </w:tc>
        <w:tc>
          <w:tcPr>
            <w:tcW w:w="917" w:type="pct"/>
            <w:shd w:val="clear" w:color="auto" w:fill="auto"/>
            <w:vAlign w:val="bottom"/>
          </w:tcPr>
          <w:p w14:paraId="07DCF6ED" w14:textId="77777777" w:rsidR="00AE727E" w:rsidRDefault="00AE727E">
            <w:pPr>
              <w:rPr>
                <w:rFonts w:ascii="宋体"/>
              </w:rPr>
            </w:pPr>
          </w:p>
        </w:tc>
        <w:tc>
          <w:tcPr>
            <w:tcW w:w="5" w:type="pct"/>
            <w:shd w:val="clear" w:color="auto" w:fill="auto"/>
            <w:vAlign w:val="bottom"/>
          </w:tcPr>
          <w:p w14:paraId="07DCF6EE" w14:textId="77777777" w:rsidR="00AE727E" w:rsidRDefault="00AE727E">
            <w:pPr>
              <w:rPr>
                <w:rFonts w:ascii="宋体"/>
              </w:rPr>
            </w:pPr>
          </w:p>
        </w:tc>
      </w:tr>
      <w:tr w:rsidR="00AE727E" w14:paraId="07DCF6F2" w14:textId="77777777">
        <w:tc>
          <w:tcPr>
            <w:tcW w:w="0" w:type="auto"/>
            <w:gridSpan w:val="3"/>
            <w:shd w:val="clear" w:color="auto" w:fill="auto"/>
            <w:tcMar>
              <w:top w:w="0" w:type="dxa"/>
              <w:left w:w="20" w:type="dxa"/>
              <w:bottom w:w="0" w:type="dxa"/>
              <w:right w:w="20" w:type="dxa"/>
            </w:tcMar>
            <w:vAlign w:val="bottom"/>
          </w:tcPr>
          <w:p w14:paraId="07DCF6F0"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6F1"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CF6F5" w14:textId="77777777">
        <w:tc>
          <w:tcPr>
            <w:tcW w:w="0" w:type="auto"/>
            <w:gridSpan w:val="3"/>
            <w:shd w:val="clear" w:color="auto" w:fill="auto"/>
            <w:tcMar>
              <w:top w:w="0" w:type="dxa"/>
              <w:left w:w="20" w:type="dxa"/>
              <w:bottom w:w="0" w:type="dxa"/>
              <w:right w:w="20" w:type="dxa"/>
            </w:tcMar>
            <w:vAlign w:val="bottom"/>
          </w:tcPr>
          <w:p w14:paraId="07DCF6F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6F4"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6FA" w14:textId="77777777">
        <w:tc>
          <w:tcPr>
            <w:tcW w:w="0" w:type="auto"/>
            <w:gridSpan w:val="3"/>
            <w:shd w:val="clear" w:color="auto" w:fill="CCEEFF"/>
            <w:tcMar>
              <w:top w:w="40" w:type="dxa"/>
              <w:left w:w="20" w:type="dxa"/>
              <w:bottom w:w="40" w:type="dxa"/>
              <w:right w:w="20" w:type="dxa"/>
            </w:tcMar>
            <w:vAlign w:val="bottom"/>
          </w:tcPr>
          <w:p w14:paraId="07DCF6F6" w14:textId="77777777" w:rsidR="00AE727E" w:rsidRDefault="008433E0">
            <w:pPr>
              <w:textAlignment w:val="bottom"/>
            </w:pPr>
            <w:r>
              <w:rPr>
                <w:rFonts w:ascii="Times New Roman" w:eastAsia="宋体" w:hAnsi="Times New Roman"/>
                <w:color w:val="000000"/>
                <w:sz w:val="20"/>
                <w:szCs w:val="20"/>
              </w:rPr>
              <w:t xml:space="preserve">Fiscal 2022 (remaining three </w:t>
            </w:r>
            <w:r>
              <w:rPr>
                <w:rFonts w:ascii="Times New Roman" w:eastAsia="宋体" w:hAnsi="Times New Roman"/>
                <w:color w:val="000000"/>
                <w:sz w:val="20"/>
                <w:szCs w:val="20"/>
              </w:rPr>
              <w:t>months)</w:t>
            </w:r>
          </w:p>
        </w:tc>
        <w:tc>
          <w:tcPr>
            <w:tcW w:w="0" w:type="auto"/>
            <w:shd w:val="clear" w:color="auto" w:fill="CCEEFF"/>
            <w:tcMar>
              <w:top w:w="40" w:type="dxa"/>
              <w:left w:w="20" w:type="dxa"/>
              <w:bottom w:w="40" w:type="dxa"/>
              <w:right w:w="0" w:type="dxa"/>
            </w:tcMar>
            <w:vAlign w:val="bottom"/>
          </w:tcPr>
          <w:p w14:paraId="07DCF6F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6F8" w14:textId="77777777" w:rsidR="00AE727E" w:rsidRDefault="008433E0">
            <w:pPr>
              <w:jc w:val="right"/>
              <w:textAlignment w:val="bottom"/>
            </w:pPr>
            <w:r>
              <w:rPr>
                <w:rFonts w:ascii="Times New Roman" w:eastAsia="宋体" w:hAnsi="Times New Roman"/>
                <w:color w:val="000000"/>
                <w:sz w:val="20"/>
                <w:szCs w:val="20"/>
              </w:rPr>
              <w:t>589 </w:t>
            </w:r>
          </w:p>
        </w:tc>
        <w:tc>
          <w:tcPr>
            <w:tcW w:w="0" w:type="auto"/>
            <w:shd w:val="clear" w:color="auto" w:fill="CCEEFF"/>
            <w:tcMar>
              <w:top w:w="40" w:type="dxa"/>
              <w:left w:w="0" w:type="dxa"/>
              <w:bottom w:w="40" w:type="dxa"/>
              <w:right w:w="20" w:type="dxa"/>
            </w:tcMar>
            <w:vAlign w:val="bottom"/>
          </w:tcPr>
          <w:p w14:paraId="07DCF6F9" w14:textId="77777777" w:rsidR="00AE727E" w:rsidRDefault="00AE727E">
            <w:pPr>
              <w:jc w:val="right"/>
              <w:rPr>
                <w:rFonts w:ascii="宋体"/>
              </w:rPr>
            </w:pPr>
          </w:p>
        </w:tc>
      </w:tr>
      <w:tr w:rsidR="00AE727E" w14:paraId="07DCF6FE" w14:textId="77777777">
        <w:tc>
          <w:tcPr>
            <w:tcW w:w="0" w:type="auto"/>
            <w:gridSpan w:val="3"/>
            <w:shd w:val="clear" w:color="auto" w:fill="FFFFFF"/>
            <w:tcMar>
              <w:top w:w="40" w:type="dxa"/>
              <w:left w:w="20" w:type="dxa"/>
              <w:bottom w:w="40" w:type="dxa"/>
              <w:right w:w="20" w:type="dxa"/>
            </w:tcMar>
            <w:vAlign w:val="bottom"/>
          </w:tcPr>
          <w:p w14:paraId="07DCF6FB" w14:textId="77777777" w:rsidR="00AE727E" w:rsidRDefault="008433E0">
            <w:pPr>
              <w:textAlignment w:val="bottom"/>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bottom"/>
          </w:tcPr>
          <w:p w14:paraId="07DCF6FC" w14:textId="77777777" w:rsidR="00AE727E" w:rsidRDefault="008433E0">
            <w:pPr>
              <w:jc w:val="right"/>
              <w:textAlignment w:val="bottom"/>
            </w:pPr>
            <w:r>
              <w:rPr>
                <w:rFonts w:ascii="Times New Roman" w:eastAsia="宋体" w:hAnsi="Times New Roman"/>
                <w:color w:val="000000"/>
                <w:sz w:val="20"/>
                <w:szCs w:val="20"/>
              </w:rPr>
              <w:t>1,826 </w:t>
            </w:r>
          </w:p>
        </w:tc>
        <w:tc>
          <w:tcPr>
            <w:tcW w:w="0" w:type="auto"/>
            <w:shd w:val="clear" w:color="auto" w:fill="FFFFFF"/>
            <w:tcMar>
              <w:top w:w="40" w:type="dxa"/>
              <w:left w:w="0" w:type="dxa"/>
              <w:bottom w:w="40" w:type="dxa"/>
              <w:right w:w="20" w:type="dxa"/>
            </w:tcMar>
            <w:vAlign w:val="bottom"/>
          </w:tcPr>
          <w:p w14:paraId="07DCF6FD" w14:textId="77777777" w:rsidR="00AE727E" w:rsidRDefault="00AE727E">
            <w:pPr>
              <w:jc w:val="right"/>
              <w:rPr>
                <w:rFonts w:ascii="宋体"/>
              </w:rPr>
            </w:pPr>
          </w:p>
        </w:tc>
      </w:tr>
      <w:tr w:rsidR="00AE727E" w14:paraId="07DCF702" w14:textId="77777777">
        <w:tc>
          <w:tcPr>
            <w:tcW w:w="0" w:type="auto"/>
            <w:gridSpan w:val="3"/>
            <w:shd w:val="clear" w:color="auto" w:fill="CCEEFF"/>
            <w:tcMar>
              <w:top w:w="40" w:type="dxa"/>
              <w:left w:w="20" w:type="dxa"/>
              <w:bottom w:w="40" w:type="dxa"/>
              <w:right w:w="20" w:type="dxa"/>
            </w:tcMar>
            <w:vAlign w:val="bottom"/>
          </w:tcPr>
          <w:p w14:paraId="07DCF6FF" w14:textId="77777777" w:rsidR="00AE727E" w:rsidRDefault="008433E0">
            <w:pPr>
              <w:textAlignment w:val="bottom"/>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bottom"/>
          </w:tcPr>
          <w:p w14:paraId="07DCF700" w14:textId="77777777" w:rsidR="00AE727E" w:rsidRDefault="008433E0">
            <w:pPr>
              <w:jc w:val="right"/>
              <w:textAlignment w:val="bottom"/>
            </w:pPr>
            <w:r>
              <w:rPr>
                <w:rFonts w:ascii="Times New Roman" w:eastAsia="宋体" w:hAnsi="Times New Roman"/>
                <w:color w:val="000000"/>
                <w:sz w:val="20"/>
                <w:szCs w:val="20"/>
              </w:rPr>
              <w:t>1,458 </w:t>
            </w:r>
          </w:p>
        </w:tc>
        <w:tc>
          <w:tcPr>
            <w:tcW w:w="0" w:type="auto"/>
            <w:shd w:val="clear" w:color="auto" w:fill="CCEEFF"/>
            <w:tcMar>
              <w:top w:w="40" w:type="dxa"/>
              <w:left w:w="0" w:type="dxa"/>
              <w:bottom w:w="40" w:type="dxa"/>
              <w:right w:w="20" w:type="dxa"/>
            </w:tcMar>
            <w:vAlign w:val="bottom"/>
          </w:tcPr>
          <w:p w14:paraId="07DCF701" w14:textId="77777777" w:rsidR="00AE727E" w:rsidRDefault="00AE727E">
            <w:pPr>
              <w:jc w:val="right"/>
              <w:rPr>
                <w:rFonts w:ascii="宋体"/>
              </w:rPr>
            </w:pPr>
          </w:p>
        </w:tc>
      </w:tr>
      <w:tr w:rsidR="00AE727E" w14:paraId="07DCF706" w14:textId="77777777">
        <w:tc>
          <w:tcPr>
            <w:tcW w:w="0" w:type="auto"/>
            <w:gridSpan w:val="3"/>
            <w:shd w:val="clear" w:color="auto" w:fill="FFFFFF"/>
            <w:tcMar>
              <w:top w:w="40" w:type="dxa"/>
              <w:left w:w="20" w:type="dxa"/>
              <w:bottom w:w="40" w:type="dxa"/>
              <w:right w:w="20" w:type="dxa"/>
            </w:tcMar>
            <w:vAlign w:val="bottom"/>
          </w:tcPr>
          <w:p w14:paraId="07DCF703" w14:textId="77777777" w:rsidR="00AE727E" w:rsidRDefault="008433E0">
            <w:pPr>
              <w:textAlignment w:val="bottom"/>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bottom"/>
          </w:tcPr>
          <w:p w14:paraId="07DCF704" w14:textId="77777777" w:rsidR="00AE727E" w:rsidRDefault="008433E0">
            <w:pPr>
              <w:jc w:val="right"/>
              <w:textAlignment w:val="bottom"/>
            </w:pPr>
            <w:r>
              <w:rPr>
                <w:rFonts w:ascii="Times New Roman" w:eastAsia="宋体" w:hAnsi="Times New Roman"/>
                <w:color w:val="000000"/>
                <w:sz w:val="20"/>
                <w:szCs w:val="20"/>
              </w:rPr>
              <w:t>1,107 </w:t>
            </w:r>
          </w:p>
        </w:tc>
        <w:tc>
          <w:tcPr>
            <w:tcW w:w="0" w:type="auto"/>
            <w:shd w:val="clear" w:color="auto" w:fill="FFFFFF"/>
            <w:tcMar>
              <w:top w:w="40" w:type="dxa"/>
              <w:left w:w="0" w:type="dxa"/>
              <w:bottom w:w="40" w:type="dxa"/>
              <w:right w:w="20" w:type="dxa"/>
            </w:tcMar>
            <w:vAlign w:val="bottom"/>
          </w:tcPr>
          <w:p w14:paraId="07DCF705" w14:textId="77777777" w:rsidR="00AE727E" w:rsidRDefault="00AE727E">
            <w:pPr>
              <w:jc w:val="right"/>
              <w:rPr>
                <w:rFonts w:ascii="宋体"/>
              </w:rPr>
            </w:pPr>
          </w:p>
        </w:tc>
      </w:tr>
      <w:tr w:rsidR="00AE727E" w14:paraId="07DCF70A" w14:textId="77777777">
        <w:tc>
          <w:tcPr>
            <w:tcW w:w="0" w:type="auto"/>
            <w:gridSpan w:val="3"/>
            <w:shd w:val="clear" w:color="auto" w:fill="CCEEFF"/>
            <w:tcMar>
              <w:top w:w="40" w:type="dxa"/>
              <w:left w:w="20" w:type="dxa"/>
              <w:bottom w:w="40" w:type="dxa"/>
              <w:right w:w="20" w:type="dxa"/>
            </w:tcMar>
            <w:vAlign w:val="bottom"/>
          </w:tcPr>
          <w:p w14:paraId="07DCF707" w14:textId="77777777" w:rsidR="00AE727E" w:rsidRDefault="008433E0">
            <w:pPr>
              <w:textAlignment w:val="bottom"/>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bottom"/>
          </w:tcPr>
          <w:p w14:paraId="07DCF708" w14:textId="77777777" w:rsidR="00AE727E" w:rsidRDefault="008433E0">
            <w:pPr>
              <w:jc w:val="right"/>
              <w:textAlignment w:val="bottom"/>
            </w:pPr>
            <w:r>
              <w:rPr>
                <w:rFonts w:ascii="Times New Roman" w:eastAsia="宋体" w:hAnsi="Times New Roman"/>
                <w:color w:val="000000"/>
                <w:sz w:val="20"/>
                <w:szCs w:val="20"/>
              </w:rPr>
              <w:t>858 </w:t>
            </w:r>
          </w:p>
        </w:tc>
        <w:tc>
          <w:tcPr>
            <w:tcW w:w="0" w:type="auto"/>
            <w:shd w:val="clear" w:color="auto" w:fill="CCEEFF"/>
            <w:tcMar>
              <w:top w:w="40" w:type="dxa"/>
              <w:left w:w="0" w:type="dxa"/>
              <w:bottom w:w="40" w:type="dxa"/>
              <w:right w:w="20" w:type="dxa"/>
            </w:tcMar>
            <w:vAlign w:val="bottom"/>
          </w:tcPr>
          <w:p w14:paraId="07DCF709" w14:textId="77777777" w:rsidR="00AE727E" w:rsidRDefault="00AE727E">
            <w:pPr>
              <w:jc w:val="right"/>
              <w:rPr>
                <w:rFonts w:ascii="宋体"/>
              </w:rPr>
            </w:pPr>
          </w:p>
        </w:tc>
      </w:tr>
      <w:tr w:rsidR="00AE727E" w14:paraId="07DCF70E" w14:textId="77777777">
        <w:tc>
          <w:tcPr>
            <w:tcW w:w="0" w:type="auto"/>
            <w:gridSpan w:val="3"/>
            <w:shd w:val="clear" w:color="auto" w:fill="FFFFFF"/>
            <w:tcMar>
              <w:top w:w="40" w:type="dxa"/>
              <w:left w:w="20" w:type="dxa"/>
              <w:bottom w:w="40" w:type="dxa"/>
              <w:right w:w="20" w:type="dxa"/>
            </w:tcMar>
            <w:vAlign w:val="bottom"/>
          </w:tcPr>
          <w:p w14:paraId="07DCF70B" w14:textId="77777777" w:rsidR="00AE727E" w:rsidRDefault="008433E0">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7DCF70C" w14:textId="77777777" w:rsidR="00AE727E" w:rsidRDefault="008433E0">
            <w:pPr>
              <w:jc w:val="right"/>
              <w:textAlignment w:val="bottom"/>
            </w:pPr>
            <w:r>
              <w:rPr>
                <w:rFonts w:ascii="Times New Roman" w:eastAsia="宋体" w:hAnsi="Times New Roman"/>
                <w:color w:val="000000"/>
                <w:sz w:val="20"/>
                <w:szCs w:val="20"/>
              </w:rPr>
              <w:t>2,726 </w:t>
            </w:r>
          </w:p>
        </w:tc>
        <w:tc>
          <w:tcPr>
            <w:tcW w:w="0" w:type="auto"/>
            <w:shd w:val="clear" w:color="auto" w:fill="FFFFFF"/>
            <w:tcMar>
              <w:top w:w="40" w:type="dxa"/>
              <w:left w:w="0" w:type="dxa"/>
              <w:bottom w:w="40" w:type="dxa"/>
              <w:right w:w="20" w:type="dxa"/>
            </w:tcMar>
            <w:vAlign w:val="bottom"/>
          </w:tcPr>
          <w:p w14:paraId="07DCF70D" w14:textId="77777777" w:rsidR="00AE727E" w:rsidRDefault="00AE727E">
            <w:pPr>
              <w:jc w:val="right"/>
              <w:rPr>
                <w:rFonts w:ascii="宋体"/>
              </w:rPr>
            </w:pPr>
          </w:p>
        </w:tc>
      </w:tr>
      <w:tr w:rsidR="00AE727E" w14:paraId="07DCF713" w14:textId="77777777">
        <w:tc>
          <w:tcPr>
            <w:tcW w:w="0" w:type="auto"/>
            <w:gridSpan w:val="3"/>
            <w:shd w:val="clear" w:color="auto" w:fill="CCEEFF"/>
            <w:tcMar>
              <w:top w:w="40" w:type="dxa"/>
              <w:left w:w="155" w:type="dxa"/>
              <w:bottom w:w="40" w:type="dxa"/>
              <w:right w:w="20" w:type="dxa"/>
            </w:tcMar>
            <w:vAlign w:val="bottom"/>
          </w:tcPr>
          <w:p w14:paraId="07DCF70F" w14:textId="77777777" w:rsidR="00AE727E" w:rsidRDefault="008433E0">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71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711" w14:textId="77777777" w:rsidR="00AE727E" w:rsidRDefault="008433E0">
            <w:pPr>
              <w:jc w:val="right"/>
              <w:textAlignment w:val="bottom"/>
            </w:pPr>
            <w:r>
              <w:rPr>
                <w:rFonts w:ascii="Times New Roman" w:eastAsia="宋体" w:hAnsi="Times New Roman"/>
                <w:color w:val="000000"/>
                <w:sz w:val="20"/>
                <w:szCs w:val="20"/>
              </w:rPr>
              <w:t>8,564 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712" w14:textId="77777777" w:rsidR="00AE727E" w:rsidRDefault="00AE727E">
            <w:pPr>
              <w:jc w:val="right"/>
              <w:rPr>
                <w:rFonts w:ascii="宋体"/>
              </w:rPr>
            </w:pPr>
          </w:p>
        </w:tc>
      </w:tr>
    </w:tbl>
    <w:p w14:paraId="07DCF714" w14:textId="77777777" w:rsidR="00AE727E" w:rsidRDefault="008433E0">
      <w:r>
        <w:rPr>
          <w:rFonts w:ascii="Times New Roman" w:eastAsia="宋体" w:hAnsi="Times New Roman"/>
          <w:color w:val="000000"/>
          <w:sz w:val="20"/>
          <w:szCs w:val="20"/>
        </w:rPr>
        <w:br/>
      </w:r>
      <w:r>
        <w:rPr>
          <w:rFonts w:ascii="Times New Roman" w:eastAsia="宋体" w:hAnsi="Times New Roman"/>
          <w:color w:val="000000"/>
          <w:sz w:val="20"/>
          <w:szCs w:val="20"/>
        </w:rPr>
        <w:br/>
      </w:r>
      <w:r>
        <w:rPr>
          <w:rFonts w:ascii="Times New Roman" w:eastAsia="宋体" w:hAnsi="Times New Roman"/>
          <w:b/>
          <w:bCs/>
          <w:color w:val="000000"/>
          <w:sz w:val="20"/>
          <w:szCs w:val="20"/>
        </w:rPr>
        <w:t>Goodwill and Intangible Assets Impairment Testing</w:t>
      </w:r>
    </w:p>
    <w:p w14:paraId="07DCF715" w14:textId="77777777" w:rsidR="00AE727E" w:rsidRDefault="00AE727E"/>
    <w:p w14:paraId="07DCF716" w14:textId="77777777" w:rsidR="00AE727E" w:rsidRDefault="008433E0">
      <w:r>
        <w:rPr>
          <w:rFonts w:ascii="Times New Roman" w:eastAsia="宋体" w:hAnsi="Times New Roman"/>
          <w:color w:val="000000"/>
          <w:sz w:val="20"/>
          <w:szCs w:val="20"/>
        </w:rPr>
        <w:t xml:space="preserve">Goodwill and indefinite-lived intangible assets are tested for impairment annually during the third fiscal quarter and whenever events or circumstances may indicate that an impairment has occurred. </w:t>
      </w:r>
    </w:p>
    <w:p w14:paraId="07DCF717" w14:textId="77777777" w:rsidR="00AE727E" w:rsidRDefault="00AE727E"/>
    <w:p w14:paraId="07DCF718" w14:textId="77777777" w:rsidR="00AE727E" w:rsidRDefault="008433E0">
      <w:r>
        <w:rPr>
          <w:rFonts w:ascii="Times New Roman" w:eastAsia="宋体" w:hAnsi="Times New Roman"/>
          <w:color w:val="000000"/>
          <w:sz w:val="20"/>
          <w:szCs w:val="20"/>
        </w:rPr>
        <w:t>For the annual impairment review in the third quarter of</w:t>
      </w:r>
      <w:r>
        <w:rPr>
          <w:rFonts w:ascii="Times New Roman" w:eastAsia="宋体" w:hAnsi="Times New Roman"/>
          <w:color w:val="000000"/>
          <w:sz w:val="20"/>
          <w:szCs w:val="20"/>
        </w:rPr>
        <w:t xml:space="preserve"> Fiscal 2022, the Company elected to bypass the assessment of qualitative factors to determine whether it was more likely than not that the fair value of a reporting unit was less than its carrying amount, including goodwill. In electing to bypass the qual</w:t>
      </w:r>
      <w:r>
        <w:rPr>
          <w:rFonts w:ascii="Times New Roman" w:eastAsia="宋体" w:hAnsi="Times New Roman"/>
          <w:color w:val="000000"/>
          <w:sz w:val="20"/>
          <w:szCs w:val="20"/>
        </w:rPr>
        <w:t>itative assessment, the Company proceeded directly to performing a quantitative goodwill impairment test to measure the fair value of each goodwill reporting unit relative to its carrying amount, and to determine the amount of goodwill impairment loss to b</w:t>
      </w:r>
      <w:r>
        <w:rPr>
          <w:rFonts w:ascii="Times New Roman" w:eastAsia="宋体" w:hAnsi="Times New Roman"/>
          <w:color w:val="000000"/>
          <w:sz w:val="20"/>
          <w:szCs w:val="20"/>
        </w:rPr>
        <w:t>e recognized, if any.</w:t>
      </w:r>
    </w:p>
    <w:p w14:paraId="07DCF719" w14:textId="77777777" w:rsidR="00AE727E" w:rsidRDefault="00AE727E"/>
    <w:p w14:paraId="07DCF71A" w14:textId="77777777" w:rsidR="00AE727E" w:rsidRDefault="008433E0">
      <w:r>
        <w:rPr>
          <w:rFonts w:ascii="Times New Roman" w:eastAsia="宋体" w:hAnsi="Times New Roman"/>
          <w:color w:val="000000"/>
          <w:sz w:val="20"/>
          <w:szCs w:val="20"/>
        </w:rPr>
        <w:t>Management exercised significant judgment related to the above assessment, including the identification of goodwill reporting units, assignment of assets and liabilities to goodwill reporting units, assignment of goodwill to reportin</w:t>
      </w:r>
      <w:r>
        <w:rPr>
          <w:rFonts w:ascii="Times New Roman" w:eastAsia="宋体" w:hAnsi="Times New Roman"/>
          <w:color w:val="000000"/>
          <w:sz w:val="20"/>
          <w:szCs w:val="20"/>
        </w:rPr>
        <w:t>g units, and determination of the fair value of each goodwill reporting unit. The fair value of each goodwill reporting unit is generally estimated using a combination of public company multiples and discounted cash flow methodologies, unless the reporting</w:t>
      </w:r>
      <w:r>
        <w:rPr>
          <w:rFonts w:ascii="Times New Roman" w:eastAsia="宋体" w:hAnsi="Times New Roman"/>
          <w:color w:val="000000"/>
          <w:sz w:val="20"/>
          <w:szCs w:val="20"/>
        </w:rPr>
        <w:t xml:space="preserve"> unit relates to a publicly-traded entity (VMware, Inc. or Secureworks), in which case the fair value is determined based primarily on the public company market valuation. The discounted cash flow and public company multiples methodologies require signific</w:t>
      </w:r>
      <w:r>
        <w:rPr>
          <w:rFonts w:ascii="Times New Roman" w:eastAsia="宋体" w:hAnsi="Times New Roman"/>
          <w:color w:val="000000"/>
          <w:sz w:val="20"/>
          <w:szCs w:val="20"/>
        </w:rPr>
        <w:t>ant judgment, including estimation of future revenues, gross margins, and operating expenses, which are dependent on internal forecasts, current and anticipated economic conditions and trends, selection of market multiples through assessment of the reporti</w:t>
      </w:r>
      <w:r>
        <w:rPr>
          <w:rFonts w:ascii="Times New Roman" w:eastAsia="宋体" w:hAnsi="Times New Roman"/>
          <w:color w:val="000000"/>
          <w:sz w:val="20"/>
          <w:szCs w:val="20"/>
        </w:rPr>
        <w:t>ng unit’s performance relative to peer competitors, the estimation of the long-term revenue growth rate and discount rate of the Company’s business, and the determination of the Company’s weighted average cost of capital. Changes in these estimates and ass</w:t>
      </w:r>
      <w:r>
        <w:rPr>
          <w:rFonts w:ascii="Times New Roman" w:eastAsia="宋体" w:hAnsi="Times New Roman"/>
          <w:color w:val="000000"/>
          <w:sz w:val="20"/>
          <w:szCs w:val="20"/>
        </w:rPr>
        <w:t>umptions could materially affect the fair value of the goodwill reporting unit, potentially resulting in a non-cash impairment charge.</w:t>
      </w:r>
    </w:p>
    <w:p w14:paraId="07DCF71B" w14:textId="77777777" w:rsidR="00AE727E" w:rsidRDefault="00AE727E"/>
    <w:p w14:paraId="07DCF71C" w14:textId="77777777" w:rsidR="00AE727E" w:rsidRDefault="008433E0">
      <w:r>
        <w:rPr>
          <w:rFonts w:ascii="Times New Roman" w:eastAsia="宋体" w:hAnsi="Times New Roman"/>
          <w:color w:val="000000"/>
          <w:sz w:val="20"/>
          <w:szCs w:val="20"/>
        </w:rPr>
        <w:t xml:space="preserve">The fair value of the indefinite-lived trade names is generally estimated using discounted cash flow methodologies. The </w:t>
      </w:r>
      <w:r>
        <w:rPr>
          <w:rFonts w:ascii="Times New Roman" w:eastAsia="宋体" w:hAnsi="Times New Roman"/>
          <w:color w:val="000000"/>
          <w:sz w:val="20"/>
          <w:szCs w:val="20"/>
        </w:rPr>
        <w:t>discounted cash flow methodology requires significant judgment, including estimation of future revenue, the estimation of the long-term revenue growth rate of the Company’s business and the determination of the Company’s weighted average cost of capital an</w:t>
      </w:r>
      <w:r>
        <w:rPr>
          <w:rFonts w:ascii="Times New Roman" w:eastAsia="宋体" w:hAnsi="Times New Roman"/>
          <w:color w:val="000000"/>
          <w:sz w:val="20"/>
          <w:szCs w:val="20"/>
        </w:rPr>
        <w:t>d royalty rates. Changes in these estimates and assumptions could materially affect the fair value of the indefinite-lived intangible assets, potentially resulting in a non-cash impairment charge.</w:t>
      </w:r>
    </w:p>
    <w:p w14:paraId="07DCF71D" w14:textId="77777777" w:rsidR="00AE727E" w:rsidRDefault="00AE727E"/>
    <w:p w14:paraId="07DCF71E" w14:textId="77777777" w:rsidR="00AE727E" w:rsidRDefault="008433E0">
      <w:r>
        <w:rPr>
          <w:rFonts w:ascii="Times New Roman" w:eastAsia="宋体" w:hAnsi="Times New Roman"/>
          <w:color w:val="000000"/>
          <w:sz w:val="20"/>
          <w:szCs w:val="20"/>
        </w:rPr>
        <w:t>Based on the results of the annual impairment test perform</w:t>
      </w:r>
      <w:r>
        <w:rPr>
          <w:rFonts w:ascii="Times New Roman" w:eastAsia="宋体" w:hAnsi="Times New Roman"/>
          <w:color w:val="000000"/>
          <w:sz w:val="20"/>
          <w:szCs w:val="20"/>
        </w:rPr>
        <w:t>ed during the three months ended October 29, 2021, the fair values of each of the reporting units exceeded their carrying values. No impairment test was performed during the nine months ended October 29, 2021 other than the Company’s annual impairment revi</w:t>
      </w:r>
      <w:r>
        <w:rPr>
          <w:rFonts w:ascii="Times New Roman" w:eastAsia="宋体" w:hAnsi="Times New Roman"/>
          <w:color w:val="000000"/>
          <w:sz w:val="20"/>
          <w:szCs w:val="20"/>
        </w:rPr>
        <w:t>ew.</w:t>
      </w:r>
    </w:p>
    <w:p w14:paraId="07DCF71F" w14:textId="77777777" w:rsidR="00AE727E" w:rsidRDefault="00AE727E">
      <w:pPr>
        <w:jc w:val="center"/>
      </w:pPr>
    </w:p>
    <w:p w14:paraId="07DCF720" w14:textId="77777777" w:rsidR="00AE727E" w:rsidRDefault="008433E0">
      <w:pPr>
        <w:jc w:val="center"/>
      </w:pPr>
      <w:r>
        <w:rPr>
          <w:rFonts w:ascii="Times New Roman" w:eastAsia="宋体" w:hAnsi="Times New Roman"/>
          <w:color w:val="000000"/>
          <w:sz w:val="20"/>
          <w:szCs w:val="20"/>
        </w:rPr>
        <w:t>40</w:t>
      </w:r>
    </w:p>
    <w:p w14:paraId="07DCF721" w14:textId="77777777" w:rsidR="00AE727E" w:rsidRDefault="00AE727E">
      <w:pPr>
        <w:jc w:val="center"/>
      </w:pPr>
    </w:p>
    <w:p w14:paraId="07DCF722" w14:textId="77777777" w:rsidR="00AE727E" w:rsidRDefault="008433E0">
      <w:r>
        <w:pict w14:anchorId="07DD18F8">
          <v:rect id="_x0000_i1064" style="width:415.3pt;height:1.5pt" o:hralign="center" o:hrstd="t" o:hr="t" fillcolor="#a0a0a0" stroked="f"/>
        </w:pict>
      </w:r>
    </w:p>
    <w:p w14:paraId="07DCF723" w14:textId="77777777" w:rsidR="00AE727E" w:rsidRDefault="008433E0">
      <w:hyperlink r:id="rId165" w:anchor="i1c8279be622a460ea19600488436f115_10" w:history="1">
        <w:r>
          <w:rPr>
            <w:rStyle w:val="a5"/>
            <w:rFonts w:ascii="Times New Roman" w:eastAsia="宋体" w:hAnsi="Times New Roman"/>
            <w:sz w:val="20"/>
            <w:szCs w:val="20"/>
          </w:rPr>
          <w:t>Table of Contents</w:t>
        </w:r>
      </w:hyperlink>
    </w:p>
    <w:p w14:paraId="07DCF72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725"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F72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727" w14:textId="77777777" w:rsidR="00AE727E" w:rsidRDefault="00AE727E">
      <w:pPr>
        <w:jc w:val="center"/>
      </w:pPr>
    </w:p>
    <w:p w14:paraId="07DCF728" w14:textId="77777777" w:rsidR="00AE727E" w:rsidRDefault="008433E0">
      <w:r>
        <w:rPr>
          <w:rFonts w:ascii="Times New Roman" w:eastAsia="宋体" w:hAnsi="Times New Roman"/>
          <w:b/>
          <w:bCs/>
          <w:color w:val="000000"/>
          <w:sz w:val="20"/>
          <w:szCs w:val="20"/>
        </w:rPr>
        <w:t xml:space="preserve">NOTE 8 — DEFERRED REVENUE </w:t>
      </w:r>
    </w:p>
    <w:p w14:paraId="07DCF729" w14:textId="77777777" w:rsidR="00AE727E" w:rsidRDefault="00AE727E"/>
    <w:p w14:paraId="07DCF72A" w14:textId="77777777" w:rsidR="00AE727E" w:rsidRDefault="008433E0">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is recorded for support and deployment services, software maintenance, professional services, training, and software-as-a-service when the Company has a rig</w:t>
      </w:r>
      <w:r>
        <w:rPr>
          <w:rFonts w:ascii="Times New Roman" w:eastAsia="宋体" w:hAnsi="Times New Roman"/>
          <w:color w:val="000000"/>
          <w:sz w:val="20"/>
          <w:szCs w:val="20"/>
        </w:rPr>
        <w:t>ht to invoice or payments have been received for undelivered products or services where transfer of control has not occurred. Revenue is recognized on these items when the revenue recognition criteria are met, generally resulting in ratable recognition ove</w:t>
      </w:r>
      <w:r>
        <w:rPr>
          <w:rFonts w:ascii="Times New Roman" w:eastAsia="宋体" w:hAnsi="Times New Roman"/>
          <w:color w:val="000000"/>
          <w:sz w:val="20"/>
          <w:szCs w:val="20"/>
        </w:rPr>
        <w:t>r the contract term. The Company also has deferred revenue related to undelivered hardware and professional services, consisting of installations and consulting engagements, which are recognized as the Company’s performance obligations under the contract a</w:t>
      </w:r>
      <w:r>
        <w:rPr>
          <w:rFonts w:ascii="Times New Roman" w:eastAsia="宋体" w:hAnsi="Times New Roman"/>
          <w:color w:val="000000"/>
          <w:sz w:val="20"/>
          <w:szCs w:val="20"/>
        </w:rPr>
        <w:t>re completed.</w:t>
      </w:r>
    </w:p>
    <w:p w14:paraId="07DCF72B" w14:textId="77777777" w:rsidR="00AE727E" w:rsidRDefault="00AE727E"/>
    <w:p w14:paraId="07DCF72C" w14:textId="77777777" w:rsidR="00AE727E" w:rsidRDefault="008433E0">
      <w:pPr>
        <w:spacing w:after="60"/>
      </w:pPr>
      <w:r>
        <w:rPr>
          <w:rFonts w:ascii="Times New Roman" w:eastAsia="宋体" w:hAnsi="Times New Roman"/>
          <w:color w:val="000000"/>
          <w:sz w:val="20"/>
          <w:szCs w:val="20"/>
        </w:rPr>
        <w:t>The following table presents the changes in the Company’s deferred revenue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527"/>
        <w:gridCol w:w="38"/>
        <w:gridCol w:w="120"/>
        <w:gridCol w:w="1196"/>
        <w:gridCol w:w="36"/>
        <w:gridCol w:w="36"/>
        <w:gridCol w:w="36"/>
        <w:gridCol w:w="36"/>
        <w:gridCol w:w="120"/>
        <w:gridCol w:w="1196"/>
        <w:gridCol w:w="36"/>
        <w:gridCol w:w="36"/>
        <w:gridCol w:w="36"/>
        <w:gridCol w:w="36"/>
        <w:gridCol w:w="120"/>
        <w:gridCol w:w="1196"/>
        <w:gridCol w:w="36"/>
        <w:gridCol w:w="36"/>
        <w:gridCol w:w="36"/>
        <w:gridCol w:w="36"/>
        <w:gridCol w:w="120"/>
        <w:gridCol w:w="1196"/>
        <w:gridCol w:w="36"/>
      </w:tblGrid>
      <w:tr w:rsidR="00AE727E" w14:paraId="07DCF745" w14:textId="77777777">
        <w:tc>
          <w:tcPr>
            <w:tcW w:w="50" w:type="pct"/>
            <w:shd w:val="clear" w:color="auto" w:fill="auto"/>
            <w:vAlign w:val="bottom"/>
          </w:tcPr>
          <w:p w14:paraId="07DCF72D" w14:textId="77777777" w:rsidR="00AE727E" w:rsidRDefault="00AE727E">
            <w:pPr>
              <w:rPr>
                <w:rFonts w:ascii="宋体"/>
              </w:rPr>
            </w:pPr>
          </w:p>
        </w:tc>
        <w:tc>
          <w:tcPr>
            <w:tcW w:w="1582" w:type="pct"/>
            <w:shd w:val="clear" w:color="auto" w:fill="auto"/>
            <w:vAlign w:val="bottom"/>
          </w:tcPr>
          <w:p w14:paraId="07DCF72E" w14:textId="77777777" w:rsidR="00AE727E" w:rsidRDefault="00AE727E">
            <w:pPr>
              <w:rPr>
                <w:rFonts w:ascii="宋体"/>
              </w:rPr>
            </w:pPr>
          </w:p>
        </w:tc>
        <w:tc>
          <w:tcPr>
            <w:tcW w:w="5" w:type="pct"/>
            <w:shd w:val="clear" w:color="auto" w:fill="auto"/>
            <w:vAlign w:val="bottom"/>
          </w:tcPr>
          <w:p w14:paraId="07DCF72F" w14:textId="77777777" w:rsidR="00AE727E" w:rsidRDefault="00AE727E">
            <w:pPr>
              <w:rPr>
                <w:rFonts w:ascii="宋体"/>
              </w:rPr>
            </w:pPr>
          </w:p>
        </w:tc>
        <w:tc>
          <w:tcPr>
            <w:tcW w:w="50" w:type="pct"/>
            <w:shd w:val="clear" w:color="auto" w:fill="auto"/>
            <w:vAlign w:val="bottom"/>
          </w:tcPr>
          <w:p w14:paraId="07DCF730" w14:textId="77777777" w:rsidR="00AE727E" w:rsidRDefault="00AE727E">
            <w:pPr>
              <w:rPr>
                <w:rFonts w:ascii="宋体"/>
              </w:rPr>
            </w:pPr>
          </w:p>
        </w:tc>
        <w:tc>
          <w:tcPr>
            <w:tcW w:w="763" w:type="pct"/>
            <w:shd w:val="clear" w:color="auto" w:fill="auto"/>
            <w:vAlign w:val="bottom"/>
          </w:tcPr>
          <w:p w14:paraId="07DCF731" w14:textId="77777777" w:rsidR="00AE727E" w:rsidRDefault="00AE727E">
            <w:pPr>
              <w:rPr>
                <w:rFonts w:ascii="宋体"/>
              </w:rPr>
            </w:pPr>
          </w:p>
        </w:tc>
        <w:tc>
          <w:tcPr>
            <w:tcW w:w="5" w:type="pct"/>
            <w:shd w:val="clear" w:color="auto" w:fill="auto"/>
            <w:vAlign w:val="bottom"/>
          </w:tcPr>
          <w:p w14:paraId="07DCF732" w14:textId="77777777" w:rsidR="00AE727E" w:rsidRDefault="00AE727E">
            <w:pPr>
              <w:rPr>
                <w:rFonts w:ascii="宋体"/>
              </w:rPr>
            </w:pPr>
          </w:p>
        </w:tc>
        <w:tc>
          <w:tcPr>
            <w:tcW w:w="5" w:type="pct"/>
            <w:shd w:val="clear" w:color="auto" w:fill="auto"/>
            <w:vAlign w:val="bottom"/>
          </w:tcPr>
          <w:p w14:paraId="07DCF733" w14:textId="77777777" w:rsidR="00AE727E" w:rsidRDefault="00AE727E">
            <w:pPr>
              <w:rPr>
                <w:rFonts w:ascii="宋体"/>
              </w:rPr>
            </w:pPr>
          </w:p>
        </w:tc>
        <w:tc>
          <w:tcPr>
            <w:tcW w:w="19" w:type="pct"/>
            <w:shd w:val="clear" w:color="auto" w:fill="auto"/>
            <w:vAlign w:val="bottom"/>
          </w:tcPr>
          <w:p w14:paraId="07DCF734" w14:textId="77777777" w:rsidR="00AE727E" w:rsidRDefault="00AE727E">
            <w:pPr>
              <w:rPr>
                <w:rFonts w:ascii="宋体"/>
              </w:rPr>
            </w:pPr>
          </w:p>
        </w:tc>
        <w:tc>
          <w:tcPr>
            <w:tcW w:w="5" w:type="pct"/>
            <w:shd w:val="clear" w:color="auto" w:fill="auto"/>
            <w:vAlign w:val="bottom"/>
          </w:tcPr>
          <w:p w14:paraId="07DCF735" w14:textId="77777777" w:rsidR="00AE727E" w:rsidRDefault="00AE727E">
            <w:pPr>
              <w:rPr>
                <w:rFonts w:ascii="宋体"/>
              </w:rPr>
            </w:pPr>
          </w:p>
        </w:tc>
        <w:tc>
          <w:tcPr>
            <w:tcW w:w="50" w:type="pct"/>
            <w:shd w:val="clear" w:color="auto" w:fill="auto"/>
            <w:vAlign w:val="bottom"/>
          </w:tcPr>
          <w:p w14:paraId="07DCF736" w14:textId="77777777" w:rsidR="00AE727E" w:rsidRDefault="00AE727E">
            <w:pPr>
              <w:rPr>
                <w:rFonts w:ascii="宋体"/>
              </w:rPr>
            </w:pPr>
          </w:p>
        </w:tc>
        <w:tc>
          <w:tcPr>
            <w:tcW w:w="763" w:type="pct"/>
            <w:shd w:val="clear" w:color="auto" w:fill="auto"/>
            <w:vAlign w:val="bottom"/>
          </w:tcPr>
          <w:p w14:paraId="07DCF737" w14:textId="77777777" w:rsidR="00AE727E" w:rsidRDefault="00AE727E">
            <w:pPr>
              <w:rPr>
                <w:rFonts w:ascii="宋体"/>
              </w:rPr>
            </w:pPr>
          </w:p>
        </w:tc>
        <w:tc>
          <w:tcPr>
            <w:tcW w:w="5" w:type="pct"/>
            <w:shd w:val="clear" w:color="auto" w:fill="auto"/>
            <w:vAlign w:val="bottom"/>
          </w:tcPr>
          <w:p w14:paraId="07DCF738" w14:textId="77777777" w:rsidR="00AE727E" w:rsidRDefault="00AE727E">
            <w:pPr>
              <w:rPr>
                <w:rFonts w:ascii="宋体"/>
              </w:rPr>
            </w:pPr>
          </w:p>
        </w:tc>
        <w:tc>
          <w:tcPr>
            <w:tcW w:w="5" w:type="pct"/>
            <w:shd w:val="clear" w:color="auto" w:fill="auto"/>
            <w:vAlign w:val="bottom"/>
          </w:tcPr>
          <w:p w14:paraId="07DCF739" w14:textId="77777777" w:rsidR="00AE727E" w:rsidRDefault="00AE727E">
            <w:pPr>
              <w:rPr>
                <w:rFonts w:ascii="宋体"/>
              </w:rPr>
            </w:pPr>
          </w:p>
        </w:tc>
        <w:tc>
          <w:tcPr>
            <w:tcW w:w="19" w:type="pct"/>
            <w:shd w:val="clear" w:color="auto" w:fill="auto"/>
            <w:vAlign w:val="bottom"/>
          </w:tcPr>
          <w:p w14:paraId="07DCF73A" w14:textId="77777777" w:rsidR="00AE727E" w:rsidRDefault="00AE727E">
            <w:pPr>
              <w:rPr>
                <w:rFonts w:ascii="宋体"/>
              </w:rPr>
            </w:pPr>
          </w:p>
        </w:tc>
        <w:tc>
          <w:tcPr>
            <w:tcW w:w="5" w:type="pct"/>
            <w:shd w:val="clear" w:color="auto" w:fill="auto"/>
            <w:vAlign w:val="bottom"/>
          </w:tcPr>
          <w:p w14:paraId="07DCF73B" w14:textId="77777777" w:rsidR="00AE727E" w:rsidRDefault="00AE727E">
            <w:pPr>
              <w:rPr>
                <w:rFonts w:ascii="宋体"/>
              </w:rPr>
            </w:pPr>
          </w:p>
        </w:tc>
        <w:tc>
          <w:tcPr>
            <w:tcW w:w="50" w:type="pct"/>
            <w:shd w:val="clear" w:color="auto" w:fill="auto"/>
            <w:vAlign w:val="bottom"/>
          </w:tcPr>
          <w:p w14:paraId="07DCF73C" w14:textId="77777777" w:rsidR="00AE727E" w:rsidRDefault="00AE727E">
            <w:pPr>
              <w:rPr>
                <w:rFonts w:ascii="宋体"/>
              </w:rPr>
            </w:pPr>
          </w:p>
        </w:tc>
        <w:tc>
          <w:tcPr>
            <w:tcW w:w="763" w:type="pct"/>
            <w:shd w:val="clear" w:color="auto" w:fill="auto"/>
            <w:vAlign w:val="bottom"/>
          </w:tcPr>
          <w:p w14:paraId="07DCF73D" w14:textId="77777777" w:rsidR="00AE727E" w:rsidRDefault="00AE727E">
            <w:pPr>
              <w:rPr>
                <w:rFonts w:ascii="宋体"/>
              </w:rPr>
            </w:pPr>
          </w:p>
        </w:tc>
        <w:tc>
          <w:tcPr>
            <w:tcW w:w="5" w:type="pct"/>
            <w:shd w:val="clear" w:color="auto" w:fill="auto"/>
            <w:vAlign w:val="bottom"/>
          </w:tcPr>
          <w:p w14:paraId="07DCF73E" w14:textId="77777777" w:rsidR="00AE727E" w:rsidRDefault="00AE727E">
            <w:pPr>
              <w:rPr>
                <w:rFonts w:ascii="宋体"/>
              </w:rPr>
            </w:pPr>
          </w:p>
        </w:tc>
        <w:tc>
          <w:tcPr>
            <w:tcW w:w="5" w:type="pct"/>
            <w:shd w:val="clear" w:color="auto" w:fill="auto"/>
            <w:vAlign w:val="bottom"/>
          </w:tcPr>
          <w:p w14:paraId="07DCF73F" w14:textId="77777777" w:rsidR="00AE727E" w:rsidRDefault="00AE727E">
            <w:pPr>
              <w:rPr>
                <w:rFonts w:ascii="宋体"/>
              </w:rPr>
            </w:pPr>
          </w:p>
        </w:tc>
        <w:tc>
          <w:tcPr>
            <w:tcW w:w="19" w:type="pct"/>
            <w:shd w:val="clear" w:color="auto" w:fill="auto"/>
            <w:vAlign w:val="bottom"/>
          </w:tcPr>
          <w:p w14:paraId="07DCF740" w14:textId="77777777" w:rsidR="00AE727E" w:rsidRDefault="00AE727E">
            <w:pPr>
              <w:rPr>
                <w:rFonts w:ascii="宋体"/>
              </w:rPr>
            </w:pPr>
          </w:p>
        </w:tc>
        <w:tc>
          <w:tcPr>
            <w:tcW w:w="5" w:type="pct"/>
            <w:shd w:val="clear" w:color="auto" w:fill="auto"/>
            <w:vAlign w:val="bottom"/>
          </w:tcPr>
          <w:p w14:paraId="07DCF741" w14:textId="77777777" w:rsidR="00AE727E" w:rsidRDefault="00AE727E">
            <w:pPr>
              <w:rPr>
                <w:rFonts w:ascii="宋体"/>
              </w:rPr>
            </w:pPr>
          </w:p>
        </w:tc>
        <w:tc>
          <w:tcPr>
            <w:tcW w:w="50" w:type="pct"/>
            <w:shd w:val="clear" w:color="auto" w:fill="auto"/>
            <w:vAlign w:val="bottom"/>
          </w:tcPr>
          <w:p w14:paraId="07DCF742" w14:textId="77777777" w:rsidR="00AE727E" w:rsidRDefault="00AE727E">
            <w:pPr>
              <w:rPr>
                <w:rFonts w:ascii="宋体"/>
              </w:rPr>
            </w:pPr>
          </w:p>
        </w:tc>
        <w:tc>
          <w:tcPr>
            <w:tcW w:w="763" w:type="pct"/>
            <w:shd w:val="clear" w:color="auto" w:fill="auto"/>
            <w:vAlign w:val="bottom"/>
          </w:tcPr>
          <w:p w14:paraId="07DCF743" w14:textId="77777777" w:rsidR="00AE727E" w:rsidRDefault="00AE727E">
            <w:pPr>
              <w:rPr>
                <w:rFonts w:ascii="宋体"/>
              </w:rPr>
            </w:pPr>
          </w:p>
        </w:tc>
        <w:tc>
          <w:tcPr>
            <w:tcW w:w="5" w:type="pct"/>
            <w:shd w:val="clear" w:color="auto" w:fill="auto"/>
            <w:vAlign w:val="bottom"/>
          </w:tcPr>
          <w:p w14:paraId="07DCF744" w14:textId="77777777" w:rsidR="00AE727E" w:rsidRDefault="00AE727E">
            <w:pPr>
              <w:rPr>
                <w:rFonts w:ascii="宋体"/>
              </w:rPr>
            </w:pPr>
          </w:p>
        </w:tc>
      </w:tr>
      <w:tr w:rsidR="00AE727E" w14:paraId="07DCF74A" w14:textId="77777777">
        <w:tc>
          <w:tcPr>
            <w:tcW w:w="0" w:type="auto"/>
            <w:gridSpan w:val="3"/>
            <w:shd w:val="clear" w:color="auto" w:fill="auto"/>
            <w:tcMar>
              <w:top w:w="0" w:type="dxa"/>
              <w:left w:w="20" w:type="dxa"/>
              <w:bottom w:w="0" w:type="dxa"/>
              <w:right w:w="20" w:type="dxa"/>
            </w:tcMar>
            <w:vAlign w:val="bottom"/>
          </w:tcPr>
          <w:p w14:paraId="07DCF746"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747"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748"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749"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F753" w14:textId="77777777">
        <w:tc>
          <w:tcPr>
            <w:tcW w:w="0" w:type="auto"/>
            <w:gridSpan w:val="3"/>
            <w:shd w:val="clear" w:color="auto" w:fill="auto"/>
            <w:tcMar>
              <w:top w:w="0" w:type="dxa"/>
              <w:left w:w="20" w:type="dxa"/>
              <w:bottom w:w="0" w:type="dxa"/>
              <w:right w:w="20" w:type="dxa"/>
            </w:tcMar>
            <w:vAlign w:val="bottom"/>
          </w:tcPr>
          <w:p w14:paraId="07DCF74B"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74C"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74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74E"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74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75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75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752"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756" w14:textId="77777777">
        <w:tc>
          <w:tcPr>
            <w:tcW w:w="0" w:type="auto"/>
            <w:gridSpan w:val="3"/>
            <w:shd w:val="clear" w:color="auto" w:fill="auto"/>
            <w:tcMar>
              <w:top w:w="0" w:type="dxa"/>
              <w:left w:w="20" w:type="dxa"/>
              <w:bottom w:w="0" w:type="dxa"/>
              <w:right w:w="20" w:type="dxa"/>
            </w:tcMar>
            <w:vAlign w:val="bottom"/>
          </w:tcPr>
          <w:p w14:paraId="07DCF754"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7DCF755"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75F" w14:textId="77777777">
        <w:tc>
          <w:tcPr>
            <w:tcW w:w="0" w:type="auto"/>
            <w:gridSpan w:val="3"/>
            <w:shd w:val="clear" w:color="auto" w:fill="CCEEFF"/>
            <w:tcMar>
              <w:top w:w="40" w:type="dxa"/>
              <w:left w:w="20" w:type="dxa"/>
              <w:bottom w:w="40" w:type="dxa"/>
              <w:right w:w="20" w:type="dxa"/>
            </w:tcMar>
            <w:vAlign w:val="bottom"/>
          </w:tcPr>
          <w:p w14:paraId="07DCF757" w14:textId="77777777" w:rsidR="00AE727E" w:rsidRDefault="008433E0">
            <w:pPr>
              <w:textAlignment w:val="bottom"/>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07DCF75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75E" w14:textId="77777777" w:rsidR="00AE727E" w:rsidRDefault="00AE727E">
            <w:pPr>
              <w:rPr>
                <w:rFonts w:ascii="宋体"/>
              </w:rPr>
            </w:pPr>
          </w:p>
        </w:tc>
      </w:tr>
      <w:tr w:rsidR="00AE727E" w14:paraId="07DCF770" w14:textId="77777777">
        <w:tc>
          <w:tcPr>
            <w:tcW w:w="0" w:type="auto"/>
            <w:gridSpan w:val="3"/>
            <w:shd w:val="clear" w:color="auto" w:fill="FFFFFF"/>
            <w:tcMar>
              <w:top w:w="40" w:type="dxa"/>
              <w:left w:w="20" w:type="dxa"/>
              <w:bottom w:w="40" w:type="dxa"/>
              <w:right w:w="20" w:type="dxa"/>
            </w:tcMar>
            <w:vAlign w:val="bottom"/>
          </w:tcPr>
          <w:p w14:paraId="07DCF760" w14:textId="77777777" w:rsidR="00AE727E" w:rsidRDefault="008433E0">
            <w:pPr>
              <w:textAlignment w:val="bottom"/>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bottom"/>
          </w:tcPr>
          <w:p w14:paraId="07DCF76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62" w14:textId="77777777" w:rsidR="00AE727E" w:rsidRDefault="008433E0">
            <w:pPr>
              <w:jc w:val="right"/>
              <w:textAlignment w:val="bottom"/>
            </w:pPr>
            <w:r>
              <w:rPr>
                <w:rFonts w:ascii="Times New Roman" w:eastAsia="宋体" w:hAnsi="Times New Roman"/>
                <w:color w:val="000000"/>
                <w:sz w:val="20"/>
                <w:szCs w:val="20"/>
              </w:rPr>
              <w:t>31,843 </w:t>
            </w:r>
          </w:p>
        </w:tc>
        <w:tc>
          <w:tcPr>
            <w:tcW w:w="0" w:type="auto"/>
            <w:shd w:val="clear" w:color="auto" w:fill="FFFFFF"/>
            <w:tcMar>
              <w:top w:w="40" w:type="dxa"/>
              <w:left w:w="0" w:type="dxa"/>
              <w:bottom w:w="40" w:type="dxa"/>
              <w:right w:w="20" w:type="dxa"/>
            </w:tcMar>
            <w:vAlign w:val="bottom"/>
          </w:tcPr>
          <w:p w14:paraId="07DCF76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6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6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66" w14:textId="77777777" w:rsidR="00AE727E" w:rsidRDefault="008433E0">
            <w:pPr>
              <w:jc w:val="right"/>
              <w:textAlignment w:val="bottom"/>
            </w:pPr>
            <w:r>
              <w:rPr>
                <w:rFonts w:ascii="Times New Roman" w:eastAsia="宋体" w:hAnsi="Times New Roman"/>
                <w:color w:val="000000"/>
                <w:sz w:val="20"/>
                <w:szCs w:val="20"/>
              </w:rPr>
              <w:t>28,791 </w:t>
            </w:r>
          </w:p>
        </w:tc>
        <w:tc>
          <w:tcPr>
            <w:tcW w:w="0" w:type="auto"/>
            <w:shd w:val="clear" w:color="auto" w:fill="FFFFFF"/>
            <w:tcMar>
              <w:top w:w="40" w:type="dxa"/>
              <w:left w:w="0" w:type="dxa"/>
              <w:bottom w:w="40" w:type="dxa"/>
              <w:right w:w="20" w:type="dxa"/>
            </w:tcMar>
            <w:vAlign w:val="bottom"/>
          </w:tcPr>
          <w:p w14:paraId="07DCF76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6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6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6A" w14:textId="77777777" w:rsidR="00AE727E" w:rsidRDefault="008433E0">
            <w:pPr>
              <w:jc w:val="right"/>
              <w:textAlignment w:val="bottom"/>
            </w:pPr>
            <w:r>
              <w:rPr>
                <w:rFonts w:ascii="Times New Roman" w:eastAsia="宋体" w:hAnsi="Times New Roman"/>
                <w:color w:val="000000"/>
                <w:sz w:val="20"/>
                <w:szCs w:val="20"/>
              </w:rPr>
              <w:t>30,801 </w:t>
            </w:r>
          </w:p>
        </w:tc>
        <w:tc>
          <w:tcPr>
            <w:tcW w:w="0" w:type="auto"/>
            <w:shd w:val="clear" w:color="auto" w:fill="FFFFFF"/>
            <w:tcMar>
              <w:top w:w="40" w:type="dxa"/>
              <w:left w:w="0" w:type="dxa"/>
              <w:bottom w:w="40" w:type="dxa"/>
              <w:right w:w="20" w:type="dxa"/>
            </w:tcMar>
            <w:vAlign w:val="bottom"/>
          </w:tcPr>
          <w:p w14:paraId="07DCF76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6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6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6E" w14:textId="77777777" w:rsidR="00AE727E" w:rsidRDefault="008433E0">
            <w:pPr>
              <w:jc w:val="right"/>
              <w:textAlignment w:val="bottom"/>
            </w:pPr>
            <w:r>
              <w:rPr>
                <w:rFonts w:ascii="Times New Roman" w:eastAsia="宋体" w:hAnsi="Times New Roman"/>
                <w:color w:val="000000"/>
                <w:sz w:val="20"/>
                <w:szCs w:val="20"/>
              </w:rPr>
              <w:t>27,800 </w:t>
            </w:r>
          </w:p>
        </w:tc>
        <w:tc>
          <w:tcPr>
            <w:tcW w:w="0" w:type="auto"/>
            <w:shd w:val="clear" w:color="auto" w:fill="FFFFFF"/>
            <w:tcMar>
              <w:top w:w="40" w:type="dxa"/>
              <w:left w:w="0" w:type="dxa"/>
              <w:bottom w:w="40" w:type="dxa"/>
              <w:right w:w="20" w:type="dxa"/>
            </w:tcMar>
            <w:vAlign w:val="bottom"/>
          </w:tcPr>
          <w:p w14:paraId="07DCF76F" w14:textId="77777777" w:rsidR="00AE727E" w:rsidRDefault="00AE727E">
            <w:pPr>
              <w:jc w:val="right"/>
              <w:rPr>
                <w:rFonts w:ascii="宋体"/>
              </w:rPr>
            </w:pPr>
          </w:p>
        </w:tc>
      </w:tr>
      <w:tr w:rsidR="00AE727E" w14:paraId="07DCF77D" w14:textId="77777777">
        <w:tc>
          <w:tcPr>
            <w:tcW w:w="0" w:type="auto"/>
            <w:gridSpan w:val="3"/>
            <w:shd w:val="clear" w:color="auto" w:fill="CCEEFF"/>
            <w:tcMar>
              <w:top w:w="40" w:type="dxa"/>
              <w:left w:w="140" w:type="dxa"/>
              <w:bottom w:w="40" w:type="dxa"/>
              <w:right w:w="20" w:type="dxa"/>
            </w:tcMar>
            <w:vAlign w:val="bottom"/>
          </w:tcPr>
          <w:p w14:paraId="07DCF771" w14:textId="77777777" w:rsidR="00AE727E" w:rsidRDefault="008433E0">
            <w:pPr>
              <w:textAlignment w:val="bottom"/>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bottom"/>
          </w:tcPr>
          <w:p w14:paraId="07DCF772" w14:textId="77777777" w:rsidR="00AE727E" w:rsidRDefault="008433E0">
            <w:pPr>
              <w:jc w:val="right"/>
              <w:textAlignment w:val="bottom"/>
            </w:pPr>
            <w:r>
              <w:rPr>
                <w:rFonts w:ascii="Times New Roman" w:eastAsia="宋体" w:hAnsi="Times New Roman"/>
                <w:color w:val="000000"/>
                <w:sz w:val="20"/>
                <w:szCs w:val="20"/>
              </w:rPr>
              <w:t>5,706 </w:t>
            </w:r>
          </w:p>
        </w:tc>
        <w:tc>
          <w:tcPr>
            <w:tcW w:w="0" w:type="auto"/>
            <w:shd w:val="clear" w:color="auto" w:fill="CCEEFF"/>
            <w:tcMar>
              <w:top w:w="40" w:type="dxa"/>
              <w:left w:w="0" w:type="dxa"/>
              <w:bottom w:w="40" w:type="dxa"/>
              <w:right w:w="20" w:type="dxa"/>
            </w:tcMar>
            <w:vAlign w:val="bottom"/>
          </w:tcPr>
          <w:p w14:paraId="07DCF77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7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75" w14:textId="77777777" w:rsidR="00AE727E" w:rsidRDefault="008433E0">
            <w:pPr>
              <w:jc w:val="right"/>
              <w:textAlignment w:val="bottom"/>
            </w:pPr>
            <w:r>
              <w:rPr>
                <w:rFonts w:ascii="Times New Roman" w:eastAsia="宋体" w:hAnsi="Times New Roman"/>
                <w:color w:val="000000"/>
                <w:sz w:val="20"/>
                <w:szCs w:val="20"/>
              </w:rPr>
              <w:t>5,432 </w:t>
            </w:r>
          </w:p>
        </w:tc>
        <w:tc>
          <w:tcPr>
            <w:tcW w:w="0" w:type="auto"/>
            <w:shd w:val="clear" w:color="auto" w:fill="CCEEFF"/>
            <w:tcMar>
              <w:top w:w="40" w:type="dxa"/>
              <w:left w:w="0" w:type="dxa"/>
              <w:bottom w:w="40" w:type="dxa"/>
              <w:right w:w="20" w:type="dxa"/>
            </w:tcMar>
            <w:vAlign w:val="bottom"/>
          </w:tcPr>
          <w:p w14:paraId="07DCF77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7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78" w14:textId="77777777" w:rsidR="00AE727E" w:rsidRDefault="008433E0">
            <w:pPr>
              <w:jc w:val="right"/>
              <w:textAlignment w:val="bottom"/>
            </w:pPr>
            <w:r>
              <w:rPr>
                <w:rFonts w:ascii="Times New Roman" w:eastAsia="宋体" w:hAnsi="Times New Roman"/>
                <w:color w:val="000000"/>
                <w:sz w:val="20"/>
                <w:szCs w:val="20"/>
              </w:rPr>
              <w:t>18,889 </w:t>
            </w:r>
          </w:p>
        </w:tc>
        <w:tc>
          <w:tcPr>
            <w:tcW w:w="0" w:type="auto"/>
            <w:shd w:val="clear" w:color="auto" w:fill="CCEEFF"/>
            <w:tcMar>
              <w:top w:w="40" w:type="dxa"/>
              <w:left w:w="0" w:type="dxa"/>
              <w:bottom w:w="40" w:type="dxa"/>
              <w:right w:w="20" w:type="dxa"/>
            </w:tcMar>
            <w:vAlign w:val="bottom"/>
          </w:tcPr>
          <w:p w14:paraId="07DCF7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7B" w14:textId="77777777" w:rsidR="00AE727E" w:rsidRDefault="008433E0">
            <w:pPr>
              <w:jc w:val="right"/>
              <w:textAlignment w:val="bottom"/>
            </w:pPr>
            <w:r>
              <w:rPr>
                <w:rFonts w:ascii="Times New Roman" w:eastAsia="宋体" w:hAnsi="Times New Roman"/>
                <w:color w:val="000000"/>
                <w:sz w:val="20"/>
                <w:szCs w:val="20"/>
              </w:rPr>
              <w:t>17,560 </w:t>
            </w:r>
          </w:p>
        </w:tc>
        <w:tc>
          <w:tcPr>
            <w:tcW w:w="0" w:type="auto"/>
            <w:shd w:val="clear" w:color="auto" w:fill="CCEEFF"/>
            <w:tcMar>
              <w:top w:w="40" w:type="dxa"/>
              <w:left w:w="0" w:type="dxa"/>
              <w:bottom w:w="40" w:type="dxa"/>
              <w:right w:w="20" w:type="dxa"/>
            </w:tcMar>
            <w:vAlign w:val="bottom"/>
          </w:tcPr>
          <w:p w14:paraId="07DCF77C" w14:textId="77777777" w:rsidR="00AE727E" w:rsidRDefault="00AE727E">
            <w:pPr>
              <w:jc w:val="right"/>
              <w:rPr>
                <w:rFonts w:ascii="宋体"/>
              </w:rPr>
            </w:pPr>
          </w:p>
        </w:tc>
      </w:tr>
      <w:tr w:rsidR="00AE727E" w14:paraId="07DCF78A" w14:textId="77777777">
        <w:tc>
          <w:tcPr>
            <w:tcW w:w="0" w:type="auto"/>
            <w:gridSpan w:val="3"/>
            <w:shd w:val="clear" w:color="auto" w:fill="FFFFFF"/>
            <w:tcMar>
              <w:top w:w="40" w:type="dxa"/>
              <w:left w:w="140" w:type="dxa"/>
              <w:bottom w:w="40" w:type="dxa"/>
              <w:right w:w="20" w:type="dxa"/>
            </w:tcMar>
            <w:vAlign w:val="bottom"/>
          </w:tcPr>
          <w:p w14:paraId="07DCF77E" w14:textId="77777777" w:rsidR="00AE727E" w:rsidRDefault="008433E0">
            <w:pPr>
              <w:textAlignment w:val="bottom"/>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bottom"/>
          </w:tcPr>
          <w:p w14:paraId="07DCF77F" w14:textId="77777777" w:rsidR="00AE727E" w:rsidRDefault="008433E0">
            <w:pPr>
              <w:jc w:val="right"/>
              <w:textAlignment w:val="bottom"/>
            </w:pPr>
            <w:r>
              <w:rPr>
                <w:rFonts w:ascii="Times New Roman" w:eastAsia="宋体" w:hAnsi="Times New Roman"/>
                <w:color w:val="000000"/>
                <w:sz w:val="20"/>
                <w:szCs w:val="20"/>
              </w:rPr>
              <w:t>(6,095)</w:t>
            </w:r>
          </w:p>
        </w:tc>
        <w:tc>
          <w:tcPr>
            <w:tcW w:w="0" w:type="auto"/>
            <w:shd w:val="clear" w:color="auto" w:fill="FFFFFF"/>
            <w:tcMar>
              <w:top w:w="40" w:type="dxa"/>
              <w:left w:w="0" w:type="dxa"/>
              <w:bottom w:w="40" w:type="dxa"/>
              <w:right w:w="20" w:type="dxa"/>
            </w:tcMar>
            <w:vAlign w:val="bottom"/>
          </w:tcPr>
          <w:p w14:paraId="07DCF78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8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782" w14:textId="77777777" w:rsidR="00AE727E" w:rsidRDefault="008433E0">
            <w:pPr>
              <w:jc w:val="right"/>
              <w:textAlignment w:val="bottom"/>
            </w:pPr>
            <w:r>
              <w:rPr>
                <w:rFonts w:ascii="Times New Roman" w:eastAsia="宋体" w:hAnsi="Times New Roman"/>
                <w:color w:val="000000"/>
                <w:sz w:val="20"/>
                <w:szCs w:val="20"/>
              </w:rPr>
              <w:t>(5,542)</w:t>
            </w:r>
          </w:p>
        </w:tc>
        <w:tc>
          <w:tcPr>
            <w:tcW w:w="0" w:type="auto"/>
            <w:shd w:val="clear" w:color="auto" w:fill="FFFFFF"/>
            <w:tcMar>
              <w:top w:w="40" w:type="dxa"/>
              <w:left w:w="0" w:type="dxa"/>
              <w:bottom w:w="40" w:type="dxa"/>
              <w:right w:w="20" w:type="dxa"/>
            </w:tcMar>
            <w:vAlign w:val="bottom"/>
          </w:tcPr>
          <w:p w14:paraId="07DCF78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8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785" w14:textId="77777777" w:rsidR="00AE727E" w:rsidRDefault="008433E0">
            <w:pPr>
              <w:jc w:val="right"/>
              <w:textAlignment w:val="bottom"/>
            </w:pPr>
            <w:r>
              <w:rPr>
                <w:rFonts w:ascii="Times New Roman" w:eastAsia="宋体" w:hAnsi="Times New Roman"/>
                <w:color w:val="000000"/>
                <w:sz w:val="20"/>
                <w:szCs w:val="20"/>
              </w:rPr>
              <w:t>(18,092)</w:t>
            </w:r>
          </w:p>
        </w:tc>
        <w:tc>
          <w:tcPr>
            <w:tcW w:w="0" w:type="auto"/>
            <w:shd w:val="clear" w:color="auto" w:fill="FFFFFF"/>
            <w:tcMar>
              <w:top w:w="40" w:type="dxa"/>
              <w:left w:w="0" w:type="dxa"/>
              <w:bottom w:w="40" w:type="dxa"/>
              <w:right w:w="20" w:type="dxa"/>
            </w:tcMar>
            <w:vAlign w:val="bottom"/>
          </w:tcPr>
          <w:p w14:paraId="07DCF78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8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788" w14:textId="77777777" w:rsidR="00AE727E" w:rsidRDefault="008433E0">
            <w:pPr>
              <w:jc w:val="right"/>
              <w:textAlignment w:val="bottom"/>
            </w:pPr>
            <w:r>
              <w:rPr>
                <w:rFonts w:ascii="Times New Roman" w:eastAsia="宋体" w:hAnsi="Times New Roman"/>
                <w:color w:val="000000"/>
                <w:sz w:val="20"/>
                <w:szCs w:val="20"/>
              </w:rPr>
              <w:t>(16,418)</w:t>
            </w:r>
          </w:p>
        </w:tc>
        <w:tc>
          <w:tcPr>
            <w:tcW w:w="0" w:type="auto"/>
            <w:shd w:val="clear" w:color="auto" w:fill="FFFFFF"/>
            <w:tcMar>
              <w:top w:w="40" w:type="dxa"/>
              <w:left w:w="0" w:type="dxa"/>
              <w:bottom w:w="40" w:type="dxa"/>
              <w:right w:w="20" w:type="dxa"/>
            </w:tcMar>
            <w:vAlign w:val="bottom"/>
          </w:tcPr>
          <w:p w14:paraId="07DCF789" w14:textId="77777777" w:rsidR="00AE727E" w:rsidRDefault="00AE727E">
            <w:pPr>
              <w:jc w:val="right"/>
              <w:rPr>
                <w:rFonts w:ascii="宋体"/>
              </w:rPr>
            </w:pPr>
          </w:p>
        </w:tc>
      </w:tr>
      <w:tr w:rsidR="00AE727E" w14:paraId="07DCF797" w14:textId="77777777">
        <w:tc>
          <w:tcPr>
            <w:tcW w:w="0" w:type="auto"/>
            <w:gridSpan w:val="3"/>
            <w:shd w:val="clear" w:color="auto" w:fill="CCEEFF"/>
            <w:tcMar>
              <w:top w:w="40" w:type="dxa"/>
              <w:left w:w="140" w:type="dxa"/>
              <w:bottom w:w="40" w:type="dxa"/>
              <w:right w:w="20" w:type="dxa"/>
            </w:tcMar>
            <w:vAlign w:val="bottom"/>
          </w:tcPr>
          <w:p w14:paraId="07DCF78B" w14:textId="77777777" w:rsidR="00AE727E" w:rsidRDefault="008433E0">
            <w:pPr>
              <w:textAlignment w:val="bottom"/>
            </w:pPr>
            <w:r>
              <w:rPr>
                <w:rFonts w:ascii="Times New Roman" w:eastAsia="宋体" w:hAnsi="Times New Roman"/>
                <w:color w:val="000000"/>
                <w:sz w:val="20"/>
                <w:szCs w:val="20"/>
              </w:rPr>
              <w:t>Other (a)</w:t>
            </w:r>
          </w:p>
        </w:tc>
        <w:tc>
          <w:tcPr>
            <w:tcW w:w="0" w:type="auto"/>
            <w:gridSpan w:val="2"/>
            <w:shd w:val="clear" w:color="auto" w:fill="CCEEFF"/>
            <w:tcMar>
              <w:top w:w="40" w:type="dxa"/>
              <w:left w:w="20" w:type="dxa"/>
              <w:bottom w:w="40" w:type="dxa"/>
              <w:right w:w="0" w:type="dxa"/>
            </w:tcMar>
            <w:vAlign w:val="bottom"/>
          </w:tcPr>
          <w:p w14:paraId="07DCF78C"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78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8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8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7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9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92" w14:textId="77777777" w:rsidR="00AE727E" w:rsidRDefault="008433E0">
            <w:pPr>
              <w:jc w:val="right"/>
              <w:textAlignment w:val="bottom"/>
            </w:pPr>
            <w:r>
              <w:rPr>
                <w:rFonts w:ascii="Times New Roman" w:eastAsia="宋体" w:hAnsi="Times New Roman"/>
                <w:color w:val="000000"/>
                <w:sz w:val="20"/>
                <w:szCs w:val="20"/>
              </w:rPr>
              <w:t>(144)</w:t>
            </w:r>
          </w:p>
        </w:tc>
        <w:tc>
          <w:tcPr>
            <w:tcW w:w="0" w:type="auto"/>
            <w:shd w:val="clear" w:color="auto" w:fill="CCEEFF"/>
            <w:tcMar>
              <w:top w:w="40" w:type="dxa"/>
              <w:left w:w="0" w:type="dxa"/>
              <w:bottom w:w="40" w:type="dxa"/>
              <w:right w:w="20" w:type="dxa"/>
            </w:tcMar>
            <w:vAlign w:val="bottom"/>
          </w:tcPr>
          <w:p w14:paraId="07DCF7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9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795" w14:textId="77777777" w:rsidR="00AE727E" w:rsidRDefault="008433E0">
            <w:pPr>
              <w:jc w:val="right"/>
              <w:textAlignment w:val="bottom"/>
            </w:pPr>
            <w:r>
              <w:rPr>
                <w:rFonts w:ascii="Times New Roman" w:eastAsia="宋体" w:hAnsi="Times New Roman"/>
                <w:color w:val="000000"/>
                <w:sz w:val="20"/>
                <w:szCs w:val="20"/>
              </w:rPr>
              <w:t>(261)</w:t>
            </w:r>
          </w:p>
        </w:tc>
        <w:tc>
          <w:tcPr>
            <w:tcW w:w="0" w:type="auto"/>
            <w:shd w:val="clear" w:color="auto" w:fill="CCEEFF"/>
            <w:tcMar>
              <w:top w:w="40" w:type="dxa"/>
              <w:left w:w="0" w:type="dxa"/>
              <w:bottom w:w="40" w:type="dxa"/>
              <w:right w:w="20" w:type="dxa"/>
            </w:tcMar>
            <w:vAlign w:val="bottom"/>
          </w:tcPr>
          <w:p w14:paraId="07DCF796" w14:textId="77777777" w:rsidR="00AE727E" w:rsidRDefault="00AE727E">
            <w:pPr>
              <w:jc w:val="right"/>
              <w:rPr>
                <w:rFonts w:ascii="宋体"/>
              </w:rPr>
            </w:pPr>
          </w:p>
        </w:tc>
      </w:tr>
      <w:tr w:rsidR="00AE727E" w14:paraId="07DCF7A8" w14:textId="77777777">
        <w:tc>
          <w:tcPr>
            <w:tcW w:w="0" w:type="auto"/>
            <w:gridSpan w:val="3"/>
            <w:shd w:val="clear" w:color="auto" w:fill="FFFFFF"/>
            <w:tcMar>
              <w:top w:w="40" w:type="dxa"/>
              <w:left w:w="20" w:type="dxa"/>
              <w:bottom w:w="40" w:type="dxa"/>
              <w:right w:w="20" w:type="dxa"/>
            </w:tcMar>
            <w:vAlign w:val="bottom"/>
          </w:tcPr>
          <w:p w14:paraId="07DCF798" w14:textId="77777777" w:rsidR="00AE727E" w:rsidRDefault="008433E0">
            <w:pPr>
              <w:textAlignment w:val="bottom"/>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F79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79A" w14:textId="77777777" w:rsidR="00AE727E" w:rsidRDefault="008433E0">
            <w:pPr>
              <w:jc w:val="right"/>
              <w:textAlignment w:val="bottom"/>
            </w:pPr>
            <w:r>
              <w:rPr>
                <w:rFonts w:ascii="Times New Roman" w:eastAsia="宋体" w:hAnsi="Times New Roman"/>
                <w:color w:val="000000"/>
                <w:sz w:val="20"/>
                <w:szCs w:val="20"/>
              </w:rPr>
              <w:t>31,454 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7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9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79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79E" w14:textId="77777777" w:rsidR="00AE727E" w:rsidRDefault="008433E0">
            <w:pPr>
              <w:jc w:val="right"/>
              <w:textAlignment w:val="bottom"/>
            </w:pPr>
            <w:r>
              <w:rPr>
                <w:rFonts w:ascii="Times New Roman" w:eastAsia="宋体" w:hAnsi="Times New Roman"/>
                <w:color w:val="000000"/>
                <w:sz w:val="20"/>
                <w:szCs w:val="20"/>
              </w:rPr>
              <w:t>28,681 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79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A0"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7A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7A2" w14:textId="77777777" w:rsidR="00AE727E" w:rsidRDefault="008433E0">
            <w:pPr>
              <w:jc w:val="right"/>
              <w:textAlignment w:val="bottom"/>
            </w:pPr>
            <w:r>
              <w:rPr>
                <w:rFonts w:ascii="Times New Roman" w:eastAsia="宋体" w:hAnsi="Times New Roman"/>
                <w:color w:val="000000"/>
                <w:sz w:val="20"/>
                <w:szCs w:val="20"/>
              </w:rPr>
              <w:t>31,454 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7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A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7A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7A6" w14:textId="77777777" w:rsidR="00AE727E" w:rsidRDefault="008433E0">
            <w:pPr>
              <w:jc w:val="right"/>
              <w:textAlignment w:val="bottom"/>
            </w:pPr>
            <w:r>
              <w:rPr>
                <w:rFonts w:ascii="Times New Roman" w:eastAsia="宋体" w:hAnsi="Times New Roman"/>
                <w:color w:val="000000"/>
                <w:sz w:val="20"/>
                <w:szCs w:val="20"/>
              </w:rPr>
              <w:t>28,681 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7A7" w14:textId="77777777" w:rsidR="00AE727E" w:rsidRDefault="00AE727E">
            <w:pPr>
              <w:jc w:val="right"/>
              <w:rPr>
                <w:rFonts w:ascii="宋体"/>
              </w:rPr>
            </w:pPr>
          </w:p>
        </w:tc>
      </w:tr>
      <w:tr w:rsidR="00AE727E" w14:paraId="07DCF7B9" w14:textId="77777777">
        <w:tc>
          <w:tcPr>
            <w:tcW w:w="0" w:type="auto"/>
            <w:gridSpan w:val="3"/>
            <w:shd w:val="clear" w:color="auto" w:fill="CCEEFF"/>
            <w:tcMar>
              <w:top w:w="40" w:type="dxa"/>
              <w:left w:w="155" w:type="dxa"/>
              <w:bottom w:w="40" w:type="dxa"/>
              <w:right w:w="20" w:type="dxa"/>
            </w:tcMar>
            <w:vAlign w:val="bottom"/>
          </w:tcPr>
          <w:p w14:paraId="07DCF7A9" w14:textId="77777777" w:rsidR="00AE727E" w:rsidRDefault="008433E0">
            <w:pPr>
              <w:textAlignment w:val="bottom"/>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right w:w="0" w:type="dxa"/>
            </w:tcMar>
            <w:vAlign w:val="bottom"/>
          </w:tcPr>
          <w:p w14:paraId="07DCF7A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DCF7AB" w14:textId="77777777" w:rsidR="00AE727E" w:rsidRDefault="008433E0">
            <w:pPr>
              <w:jc w:val="right"/>
              <w:textAlignment w:val="bottom"/>
            </w:pPr>
            <w:r>
              <w:rPr>
                <w:rFonts w:ascii="Times New Roman" w:eastAsia="宋体" w:hAnsi="Times New Roman"/>
                <w:color w:val="000000"/>
                <w:sz w:val="20"/>
                <w:szCs w:val="20"/>
              </w:rPr>
              <w:t>16,569 </w:t>
            </w:r>
          </w:p>
        </w:tc>
        <w:tc>
          <w:tcPr>
            <w:tcW w:w="0" w:type="auto"/>
            <w:tcBorders>
              <w:top w:val="double" w:sz="6" w:space="0" w:color="000000"/>
            </w:tcBorders>
            <w:shd w:val="clear" w:color="auto" w:fill="CCEEFF"/>
            <w:tcMar>
              <w:top w:w="40" w:type="dxa"/>
              <w:left w:w="0" w:type="dxa"/>
              <w:bottom w:w="40" w:type="dxa"/>
              <w:right w:w="20" w:type="dxa"/>
            </w:tcMar>
            <w:vAlign w:val="bottom"/>
          </w:tcPr>
          <w:p w14:paraId="07DCF7A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AD"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DCF7A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DCF7AF" w14:textId="77777777" w:rsidR="00AE727E" w:rsidRDefault="008433E0">
            <w:pPr>
              <w:jc w:val="right"/>
              <w:textAlignment w:val="bottom"/>
            </w:pPr>
            <w:r>
              <w:rPr>
                <w:rFonts w:ascii="Times New Roman" w:eastAsia="宋体" w:hAnsi="Times New Roman"/>
                <w:color w:val="000000"/>
                <w:sz w:val="20"/>
                <w:szCs w:val="20"/>
              </w:rPr>
              <w:t>15,259 </w:t>
            </w:r>
          </w:p>
        </w:tc>
        <w:tc>
          <w:tcPr>
            <w:tcW w:w="0" w:type="auto"/>
            <w:tcBorders>
              <w:top w:val="double" w:sz="6" w:space="0" w:color="000000"/>
            </w:tcBorders>
            <w:shd w:val="clear" w:color="auto" w:fill="CCEEFF"/>
            <w:tcMar>
              <w:top w:w="40" w:type="dxa"/>
              <w:left w:w="0" w:type="dxa"/>
              <w:bottom w:w="40" w:type="dxa"/>
              <w:right w:w="20" w:type="dxa"/>
            </w:tcMar>
            <w:vAlign w:val="bottom"/>
          </w:tcPr>
          <w:p w14:paraId="07DCF7B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B1"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DCF7B2"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DCF7B3" w14:textId="77777777" w:rsidR="00AE727E" w:rsidRDefault="008433E0">
            <w:pPr>
              <w:jc w:val="right"/>
              <w:textAlignment w:val="bottom"/>
            </w:pPr>
            <w:r>
              <w:rPr>
                <w:rFonts w:ascii="Times New Roman" w:eastAsia="宋体" w:hAnsi="Times New Roman"/>
                <w:color w:val="000000"/>
                <w:sz w:val="20"/>
                <w:szCs w:val="20"/>
              </w:rPr>
              <w:t>16,569 </w:t>
            </w:r>
          </w:p>
        </w:tc>
        <w:tc>
          <w:tcPr>
            <w:tcW w:w="0" w:type="auto"/>
            <w:tcBorders>
              <w:top w:val="double" w:sz="6" w:space="0" w:color="000000"/>
            </w:tcBorders>
            <w:shd w:val="clear" w:color="auto" w:fill="CCEEFF"/>
            <w:tcMar>
              <w:top w:w="40" w:type="dxa"/>
              <w:left w:w="0" w:type="dxa"/>
              <w:bottom w:w="40" w:type="dxa"/>
              <w:right w:w="20" w:type="dxa"/>
            </w:tcMar>
            <w:vAlign w:val="bottom"/>
          </w:tcPr>
          <w:p w14:paraId="07DCF7B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7B5" w14:textId="77777777" w:rsidR="00AE727E" w:rsidRDefault="00AE727E">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DCF7B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DCF7B7" w14:textId="77777777" w:rsidR="00AE727E" w:rsidRDefault="008433E0">
            <w:pPr>
              <w:jc w:val="right"/>
              <w:textAlignment w:val="bottom"/>
            </w:pPr>
            <w:r>
              <w:rPr>
                <w:rFonts w:ascii="Times New Roman" w:eastAsia="宋体" w:hAnsi="Times New Roman"/>
                <w:color w:val="000000"/>
                <w:sz w:val="20"/>
                <w:szCs w:val="20"/>
              </w:rPr>
              <w:t>15,259 </w:t>
            </w:r>
          </w:p>
        </w:tc>
        <w:tc>
          <w:tcPr>
            <w:tcW w:w="0" w:type="auto"/>
            <w:tcBorders>
              <w:top w:val="double" w:sz="6" w:space="0" w:color="000000"/>
            </w:tcBorders>
            <w:shd w:val="clear" w:color="auto" w:fill="CCEEFF"/>
            <w:tcMar>
              <w:top w:w="40" w:type="dxa"/>
              <w:left w:w="0" w:type="dxa"/>
              <w:bottom w:w="40" w:type="dxa"/>
              <w:right w:w="20" w:type="dxa"/>
            </w:tcMar>
            <w:vAlign w:val="bottom"/>
          </w:tcPr>
          <w:p w14:paraId="07DCF7B8" w14:textId="77777777" w:rsidR="00AE727E" w:rsidRDefault="00AE727E">
            <w:pPr>
              <w:jc w:val="right"/>
              <w:rPr>
                <w:rFonts w:ascii="宋体"/>
              </w:rPr>
            </w:pPr>
          </w:p>
        </w:tc>
      </w:tr>
      <w:tr w:rsidR="00AE727E" w14:paraId="07DCF7CA" w14:textId="77777777">
        <w:tc>
          <w:tcPr>
            <w:tcW w:w="0" w:type="auto"/>
            <w:gridSpan w:val="3"/>
            <w:shd w:val="clear" w:color="auto" w:fill="FFFFFF"/>
            <w:tcMar>
              <w:top w:w="40" w:type="dxa"/>
              <w:left w:w="155" w:type="dxa"/>
              <w:bottom w:w="40" w:type="dxa"/>
              <w:right w:w="20" w:type="dxa"/>
            </w:tcMar>
            <w:vAlign w:val="bottom"/>
          </w:tcPr>
          <w:p w14:paraId="07DCF7BA" w14:textId="77777777" w:rsidR="00AE727E" w:rsidRDefault="008433E0">
            <w:pPr>
              <w:textAlignment w:val="bottom"/>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bottom"/>
          </w:tcPr>
          <w:p w14:paraId="07DCF7B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BC" w14:textId="77777777" w:rsidR="00AE727E" w:rsidRDefault="008433E0">
            <w:pPr>
              <w:jc w:val="right"/>
              <w:textAlignment w:val="bottom"/>
            </w:pPr>
            <w:r>
              <w:rPr>
                <w:rFonts w:ascii="Times New Roman" w:eastAsia="宋体" w:hAnsi="Times New Roman"/>
                <w:color w:val="000000"/>
                <w:sz w:val="20"/>
                <w:szCs w:val="20"/>
              </w:rPr>
              <w:t>14,885 </w:t>
            </w:r>
          </w:p>
        </w:tc>
        <w:tc>
          <w:tcPr>
            <w:tcW w:w="0" w:type="auto"/>
            <w:shd w:val="clear" w:color="auto" w:fill="FFFFFF"/>
            <w:tcMar>
              <w:top w:w="40" w:type="dxa"/>
              <w:left w:w="0" w:type="dxa"/>
              <w:bottom w:w="40" w:type="dxa"/>
              <w:right w:w="20" w:type="dxa"/>
            </w:tcMar>
            <w:vAlign w:val="bottom"/>
          </w:tcPr>
          <w:p w14:paraId="07DCF7B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B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B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C0" w14:textId="77777777" w:rsidR="00AE727E" w:rsidRDefault="008433E0">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left w:w="0" w:type="dxa"/>
              <w:bottom w:w="40" w:type="dxa"/>
              <w:right w:w="20" w:type="dxa"/>
            </w:tcMar>
            <w:vAlign w:val="bottom"/>
          </w:tcPr>
          <w:p w14:paraId="07DCF7C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C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C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C4" w14:textId="77777777" w:rsidR="00AE727E" w:rsidRDefault="008433E0">
            <w:pPr>
              <w:jc w:val="right"/>
              <w:textAlignment w:val="bottom"/>
            </w:pPr>
            <w:r>
              <w:rPr>
                <w:rFonts w:ascii="Times New Roman" w:eastAsia="宋体" w:hAnsi="Times New Roman"/>
                <w:color w:val="000000"/>
                <w:sz w:val="20"/>
                <w:szCs w:val="20"/>
              </w:rPr>
              <w:t>14,885 </w:t>
            </w:r>
          </w:p>
        </w:tc>
        <w:tc>
          <w:tcPr>
            <w:tcW w:w="0" w:type="auto"/>
            <w:shd w:val="clear" w:color="auto" w:fill="FFFFFF"/>
            <w:tcMar>
              <w:top w:w="40" w:type="dxa"/>
              <w:left w:w="0" w:type="dxa"/>
              <w:bottom w:w="40" w:type="dxa"/>
              <w:right w:w="20" w:type="dxa"/>
            </w:tcMar>
            <w:vAlign w:val="bottom"/>
          </w:tcPr>
          <w:p w14:paraId="07DCF7C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7C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7C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7C8" w14:textId="77777777" w:rsidR="00AE727E" w:rsidRDefault="008433E0">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left w:w="0" w:type="dxa"/>
              <w:bottom w:w="40" w:type="dxa"/>
              <w:right w:w="20" w:type="dxa"/>
            </w:tcMar>
            <w:vAlign w:val="bottom"/>
          </w:tcPr>
          <w:p w14:paraId="07DCF7C9" w14:textId="77777777" w:rsidR="00AE727E" w:rsidRDefault="00AE727E">
            <w:pPr>
              <w:jc w:val="right"/>
              <w:rPr>
                <w:rFonts w:ascii="宋体"/>
              </w:rPr>
            </w:pPr>
          </w:p>
        </w:tc>
      </w:tr>
    </w:tbl>
    <w:p w14:paraId="07DCF7CB" w14:textId="77777777" w:rsidR="00AE727E" w:rsidRDefault="008433E0">
      <w:r>
        <w:rPr>
          <w:rFonts w:ascii="Times New Roman" w:eastAsia="宋体" w:hAnsi="Times New Roman"/>
          <w:color w:val="000000"/>
          <w:sz w:val="20"/>
          <w:szCs w:val="20"/>
        </w:rPr>
        <w:t>____________________</w:t>
      </w:r>
    </w:p>
    <w:p w14:paraId="07DCF7CC" w14:textId="77777777" w:rsidR="00AE727E" w:rsidRDefault="008433E0">
      <w:pPr>
        <w:ind w:hanging="270"/>
      </w:pPr>
      <w:r>
        <w:rPr>
          <w:rFonts w:ascii="Times New Roman" w:eastAsia="宋体" w:hAnsi="Times New Roman"/>
          <w:color w:val="000000"/>
          <w:sz w:val="20"/>
          <w:szCs w:val="20"/>
        </w:rPr>
        <w:t>(a) For the nine months ended October 29, 2021, Other consists of divested deferred revenue from the sale of Boomi. For the nine months ended</w:t>
      </w:r>
      <w:r>
        <w:rPr>
          <w:rFonts w:ascii="Times New Roman" w:eastAsia="宋体" w:hAnsi="Times New Roman"/>
          <w:color w:val="000000"/>
          <w:sz w:val="20"/>
          <w:szCs w:val="20"/>
        </w:rPr>
        <w:t xml:space="preserve"> October 30, 2020, Other consists of divested deferred revenue from the sale of RSA Security. See Note 1 of the Notes to the Condensed Consolidated Financial Statements for more information about the divestitures of Boomi and of RSA Security. There was no </w:t>
      </w:r>
      <w:r>
        <w:rPr>
          <w:rFonts w:ascii="Times New Roman" w:eastAsia="宋体" w:hAnsi="Times New Roman"/>
          <w:color w:val="000000"/>
          <w:sz w:val="20"/>
          <w:szCs w:val="20"/>
        </w:rPr>
        <w:t xml:space="preserve">impact to deferred revenue for the three months ended October 29, 2021 or October 30, 2020 as liabilities in both instances were previously classified as held for sale. </w:t>
      </w:r>
    </w:p>
    <w:p w14:paraId="07DCF7CD" w14:textId="77777777" w:rsidR="00AE727E" w:rsidRDefault="00AE727E"/>
    <w:p w14:paraId="07DCF7CE" w14:textId="77777777" w:rsidR="00AE727E" w:rsidRDefault="008433E0">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Remaining performance obligations represent the a</w:t>
      </w:r>
      <w:r>
        <w:rPr>
          <w:rFonts w:ascii="Times New Roman" w:eastAsia="宋体" w:hAnsi="Times New Roman"/>
          <w:color w:val="000000"/>
          <w:sz w:val="20"/>
          <w:szCs w:val="20"/>
        </w:rPr>
        <w:t xml:space="preserve">ggregate amount of the transaction price allocated to performance obligations not delivered, or partially undelivered, as of the end of the reporting period. Remaining performance obligations include deferred revenue plus unbilled amounts not yet recorded </w:t>
      </w:r>
      <w:r>
        <w:rPr>
          <w:rFonts w:ascii="Times New Roman" w:eastAsia="宋体" w:hAnsi="Times New Roman"/>
          <w:color w:val="000000"/>
          <w:sz w:val="20"/>
          <w:szCs w:val="20"/>
        </w:rPr>
        <w:t xml:space="preserve">in deferred revenue. The value of the transaction price allocated to remaining performance obligations as of October 29, 2021 was approximately $47 billion. The Company expects to recognize approximately 62% of remaining performance obligations as revenue </w:t>
      </w:r>
      <w:r>
        <w:rPr>
          <w:rFonts w:ascii="Times New Roman" w:eastAsia="宋体" w:hAnsi="Times New Roman"/>
          <w:color w:val="000000"/>
          <w:sz w:val="20"/>
          <w:szCs w:val="20"/>
        </w:rPr>
        <w:t>in the next twelve months, and the remainder thereafter.</w:t>
      </w:r>
    </w:p>
    <w:p w14:paraId="07DCF7CF" w14:textId="77777777" w:rsidR="00AE727E" w:rsidRDefault="00AE727E"/>
    <w:p w14:paraId="07DCF7D0" w14:textId="77777777" w:rsidR="00AE727E" w:rsidRDefault="008433E0">
      <w:r>
        <w:rPr>
          <w:rFonts w:ascii="Times New Roman" w:eastAsia="宋体" w:hAnsi="Times New Roman"/>
          <w:color w:val="000000"/>
          <w:sz w:val="20"/>
          <w:szCs w:val="20"/>
        </w:rPr>
        <w:t>The aggregate amount of the transaction price allocated to remaining performance obligations does not include amounts owed under cancellable contracts where there is no substantive termination penal</w:t>
      </w:r>
      <w:r>
        <w:rPr>
          <w:rFonts w:ascii="Times New Roman" w:eastAsia="宋体" w:hAnsi="Times New Roman"/>
          <w:color w:val="000000"/>
          <w:sz w:val="20"/>
          <w:szCs w:val="20"/>
        </w:rPr>
        <w:t xml:space="preserve">ty. The Company applied the practical expedient to exclude the value of remaining performance obligations for contracts for which revenue is recognized in the amount to which the Company has the right to invoice for services performed. </w:t>
      </w:r>
    </w:p>
    <w:p w14:paraId="07DCF7D1" w14:textId="77777777" w:rsidR="00AE727E" w:rsidRDefault="00AE727E"/>
    <w:p w14:paraId="07DCF7D2" w14:textId="77777777" w:rsidR="00AE727E" w:rsidRDefault="008433E0">
      <w:r>
        <w:rPr>
          <w:rFonts w:ascii="Times New Roman" w:eastAsia="宋体" w:hAnsi="Times New Roman"/>
          <w:color w:val="000000"/>
          <w:sz w:val="20"/>
          <w:szCs w:val="20"/>
        </w:rPr>
        <w:t>Remaining performa</w:t>
      </w:r>
      <w:r>
        <w:rPr>
          <w:rFonts w:ascii="Times New Roman" w:eastAsia="宋体" w:hAnsi="Times New Roman"/>
          <w:color w:val="000000"/>
          <w:sz w:val="20"/>
          <w:szCs w:val="20"/>
        </w:rPr>
        <w:t>nce obligation estimates are subject to change and are affected by several factors, including terminations, changes in the scope of contracts, periodic revalidation, adjustments for revenue that have not materialized, and adjustments for currency.</w:t>
      </w:r>
    </w:p>
    <w:p w14:paraId="07DCF7D3" w14:textId="77777777" w:rsidR="00AE727E" w:rsidRDefault="00AE727E"/>
    <w:p w14:paraId="07DCF7D4" w14:textId="77777777" w:rsidR="00AE727E" w:rsidRDefault="00AE727E">
      <w:pPr>
        <w:jc w:val="center"/>
      </w:pPr>
    </w:p>
    <w:p w14:paraId="07DCF7D5" w14:textId="77777777" w:rsidR="00AE727E" w:rsidRDefault="008433E0">
      <w:pPr>
        <w:jc w:val="center"/>
      </w:pPr>
      <w:r>
        <w:rPr>
          <w:rFonts w:ascii="Times New Roman" w:eastAsia="宋体" w:hAnsi="Times New Roman"/>
          <w:color w:val="000000"/>
          <w:sz w:val="20"/>
          <w:szCs w:val="20"/>
        </w:rPr>
        <w:t>41</w:t>
      </w:r>
    </w:p>
    <w:p w14:paraId="07DCF7D6" w14:textId="77777777" w:rsidR="00AE727E" w:rsidRDefault="00AE727E">
      <w:pPr>
        <w:jc w:val="center"/>
      </w:pPr>
    </w:p>
    <w:p w14:paraId="07DCF7D7" w14:textId="77777777" w:rsidR="00AE727E" w:rsidRDefault="008433E0">
      <w:r>
        <w:pict w14:anchorId="07DD18F9">
          <v:rect id="_x0000_i1065" style="width:415.3pt;height:1.5pt" o:hralign="center" o:hrstd="t" o:hr="t" fillcolor="#a0a0a0" stroked="f"/>
        </w:pict>
      </w:r>
    </w:p>
    <w:p w14:paraId="07DCF7D8" w14:textId="77777777" w:rsidR="00AE727E" w:rsidRDefault="008433E0">
      <w:hyperlink r:id="rId166" w:anchor="i1c8279be622a460ea19600488436f115_10" w:history="1">
        <w:r>
          <w:rPr>
            <w:rStyle w:val="a5"/>
            <w:rFonts w:ascii="Times New Roman" w:eastAsia="宋体" w:hAnsi="Times New Roman"/>
            <w:sz w:val="20"/>
            <w:szCs w:val="20"/>
          </w:rPr>
          <w:t>Table of Contents</w:t>
        </w:r>
      </w:hyperlink>
    </w:p>
    <w:p w14:paraId="07DCF7D9"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7DA"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F7DB"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7DC" w14:textId="77777777" w:rsidR="00AE727E" w:rsidRDefault="00AE727E">
      <w:pPr>
        <w:jc w:val="center"/>
      </w:pPr>
    </w:p>
    <w:p w14:paraId="07DCF7DD" w14:textId="77777777" w:rsidR="00AE727E" w:rsidRDefault="008433E0">
      <w:r>
        <w:rPr>
          <w:rFonts w:ascii="Times New Roman" w:eastAsia="宋体" w:hAnsi="Times New Roman"/>
          <w:b/>
          <w:bCs/>
          <w:color w:val="000000"/>
          <w:sz w:val="20"/>
          <w:szCs w:val="20"/>
        </w:rPr>
        <w:t xml:space="preserve">NOTE 9 — COMMITMENTS AND CONTINGENCIES </w:t>
      </w:r>
    </w:p>
    <w:p w14:paraId="07DCF7DE" w14:textId="77777777" w:rsidR="00AE727E" w:rsidRDefault="00AE727E"/>
    <w:p w14:paraId="07DCF7DF" w14:textId="77777777" w:rsidR="00AE727E" w:rsidRDefault="008433E0">
      <w:r>
        <w:rPr>
          <w:rFonts w:ascii="Times New Roman" w:eastAsia="宋体" w:hAnsi="Times New Roman"/>
          <w:b/>
          <w:bCs/>
          <w:color w:val="000000"/>
          <w:sz w:val="20"/>
          <w:szCs w:val="20"/>
        </w:rPr>
        <w:t>Purchase Obligations</w:t>
      </w:r>
    </w:p>
    <w:p w14:paraId="07DCF7E0" w14:textId="77777777" w:rsidR="00AE727E" w:rsidRDefault="00AE727E"/>
    <w:p w14:paraId="07DCF7E1" w14:textId="77777777" w:rsidR="00AE727E" w:rsidRDefault="008433E0">
      <w:r>
        <w:rPr>
          <w:rFonts w:ascii="Times New Roman" w:eastAsia="宋体" w:hAnsi="Times New Roman"/>
          <w:color w:val="000000"/>
          <w:sz w:val="20"/>
          <w:szCs w:val="20"/>
        </w:rPr>
        <w:t>The Company has contractual obligations to purchase goods or services, which specify significant terms, including fixed or minimum quantities to be purchased</w:t>
      </w:r>
      <w:r>
        <w:rPr>
          <w:rFonts w:ascii="Times New Roman" w:eastAsia="宋体" w:hAnsi="Times New Roman"/>
          <w:color w:val="000000"/>
          <w:sz w:val="20"/>
          <w:szCs w:val="20"/>
        </w:rPr>
        <w:t>; fixed, minimum, or variable price provisions; and the approximate timing of the transaction. As of October 29, 2021, purchase obligations were $5.2 billion, $0.7 billion, and $0.8 billion for the remaining three months of Fiscal 2022, for Fiscal 2023, an</w:t>
      </w:r>
      <w:r>
        <w:rPr>
          <w:rFonts w:ascii="Times New Roman" w:eastAsia="宋体" w:hAnsi="Times New Roman"/>
          <w:color w:val="000000"/>
          <w:sz w:val="20"/>
          <w:szCs w:val="20"/>
        </w:rPr>
        <w:t>d for Fiscal 2024 and thereafter, respectively.</w:t>
      </w:r>
    </w:p>
    <w:p w14:paraId="07DCF7E2" w14:textId="77777777" w:rsidR="00AE727E" w:rsidRDefault="00AE727E"/>
    <w:p w14:paraId="07DCF7E3" w14:textId="77777777" w:rsidR="00AE727E" w:rsidRDefault="008433E0">
      <w:r>
        <w:rPr>
          <w:rFonts w:ascii="Times New Roman" w:eastAsia="宋体" w:hAnsi="Times New Roman"/>
          <w:b/>
          <w:bCs/>
          <w:color w:val="000000"/>
          <w:sz w:val="20"/>
          <w:szCs w:val="20"/>
        </w:rPr>
        <w:t>Legal Matters</w:t>
      </w:r>
    </w:p>
    <w:p w14:paraId="07DCF7E4" w14:textId="77777777" w:rsidR="00AE727E" w:rsidRDefault="00AE727E"/>
    <w:p w14:paraId="07DCF7E5" w14:textId="77777777" w:rsidR="00AE727E" w:rsidRDefault="008433E0">
      <w:r>
        <w:rPr>
          <w:rFonts w:ascii="Times New Roman" w:eastAsia="宋体" w:hAnsi="Times New Roman"/>
          <w:color w:val="000000"/>
          <w:sz w:val="20"/>
          <w:szCs w:val="20"/>
        </w:rPr>
        <w:t>The Company is involved in various claims, suits, assessments, investigations, and legal proceedings that arise from time to time in the ordinary course of its business, including those identi</w:t>
      </w:r>
      <w:r>
        <w:rPr>
          <w:rFonts w:ascii="Times New Roman" w:eastAsia="宋体" w:hAnsi="Times New Roman"/>
          <w:color w:val="000000"/>
          <w:sz w:val="20"/>
          <w:szCs w:val="20"/>
        </w:rPr>
        <w:t xml:space="preserve">fied below, consisting of matters involving consumer, antitrust, tax, intellectual property, and other issues on a global basis. </w:t>
      </w:r>
    </w:p>
    <w:p w14:paraId="07DCF7E6" w14:textId="77777777" w:rsidR="00AE727E" w:rsidRDefault="00AE727E"/>
    <w:p w14:paraId="07DCF7E7" w14:textId="77777777" w:rsidR="00AE727E" w:rsidRDefault="008433E0">
      <w:r>
        <w:rPr>
          <w:rFonts w:ascii="Times New Roman" w:eastAsia="宋体" w:hAnsi="Times New Roman"/>
          <w:color w:val="000000"/>
          <w:sz w:val="20"/>
          <w:szCs w:val="20"/>
        </w:rPr>
        <w:t xml:space="preserve">The Company accrues a liability when it believes that it is both probable that a liability has been incurred and that it can </w:t>
      </w:r>
      <w:r>
        <w:rPr>
          <w:rFonts w:ascii="Times New Roman" w:eastAsia="宋体" w:hAnsi="Times New Roman"/>
          <w:color w:val="000000"/>
          <w:sz w:val="20"/>
          <w:szCs w:val="20"/>
        </w:rPr>
        <w:t xml:space="preserve">reasonably estimate the amount of the loss. The Company reviews these accruals at least quarterly and adjusts them to reflect ongoing negotiations, settlements, rulings, advice of legal counsel, and other relevant information. As additional information is </w:t>
      </w:r>
      <w:r>
        <w:rPr>
          <w:rFonts w:ascii="Times New Roman" w:eastAsia="宋体" w:hAnsi="Times New Roman"/>
          <w:color w:val="000000"/>
          <w:sz w:val="20"/>
          <w:szCs w:val="20"/>
        </w:rPr>
        <w:t>obtained and the Company’s views on the probable outcomes of claims, suits, assessments, investigations, or legal proceedings change, the Company would record related impacts to accrued liabilities in the period in which a determination is made. For some m</w:t>
      </w:r>
      <w:r>
        <w:rPr>
          <w:rFonts w:ascii="Times New Roman" w:eastAsia="宋体" w:hAnsi="Times New Roman"/>
          <w:color w:val="000000"/>
          <w:sz w:val="20"/>
          <w:szCs w:val="20"/>
        </w:rPr>
        <w:t xml:space="preserve">atters, the incurrence of a liability is not probable or the amount cannot be reasonably estimated and therefore accruals have not been made. </w:t>
      </w:r>
    </w:p>
    <w:p w14:paraId="07DCF7E8" w14:textId="77777777" w:rsidR="00AE727E" w:rsidRDefault="00AE727E"/>
    <w:p w14:paraId="07DCF7E9" w14:textId="77777777" w:rsidR="00AE727E" w:rsidRDefault="008433E0">
      <w:r>
        <w:rPr>
          <w:rFonts w:ascii="Times New Roman" w:eastAsia="宋体" w:hAnsi="Times New Roman"/>
          <w:color w:val="000000"/>
          <w:sz w:val="20"/>
          <w:szCs w:val="20"/>
        </w:rPr>
        <w:t>The following is a discussion of the Company’s significant legal matters and other proceedings:</w:t>
      </w:r>
    </w:p>
    <w:p w14:paraId="07DCF7EA" w14:textId="77777777" w:rsidR="00AE727E" w:rsidRDefault="00AE727E"/>
    <w:p w14:paraId="07DCF7EB" w14:textId="77777777" w:rsidR="00AE727E" w:rsidRDefault="008433E0">
      <w:r>
        <w:rPr>
          <w:rFonts w:ascii="Times New Roman" w:eastAsia="宋体" w:hAnsi="Times New Roman"/>
          <w:i/>
          <w:iCs/>
          <w:color w:val="000000"/>
          <w:sz w:val="20"/>
          <w:szCs w:val="20"/>
        </w:rPr>
        <w:t>Class Actions R</w:t>
      </w:r>
      <w:r>
        <w:rPr>
          <w:rFonts w:ascii="Times New Roman" w:eastAsia="宋体" w:hAnsi="Times New Roman"/>
          <w:i/>
          <w:iCs/>
          <w:color w:val="000000"/>
          <w:sz w:val="20"/>
          <w:szCs w:val="20"/>
        </w:rPr>
        <w:t>elated to the Class V Transaction</w:t>
      </w:r>
      <w:r>
        <w:rPr>
          <w:rFonts w:ascii="Times New Roman" w:eastAsia="宋体" w:hAnsi="Times New Roman"/>
          <w:color w:val="000000"/>
          <w:sz w:val="20"/>
          <w:szCs w:val="20"/>
        </w:rPr>
        <w:t xml:space="preserve"> — Four purported stockholders brought putative class action complaints arising out of the Class V transaction described in Note 1 of the Notes to the Condensed Consolidated Financial Statements. The actions were captioned </w:t>
      </w:r>
      <w:r>
        <w:rPr>
          <w:rFonts w:ascii="Times New Roman" w:eastAsia="宋体" w:hAnsi="Times New Roman"/>
          <w:color w:val="000000"/>
          <w:sz w:val="20"/>
          <w:szCs w:val="20"/>
        </w:rPr>
        <w:t>Hallandale Beach Police and Fire Retirement Plan v. Michael Dell et al. (Civil Action No. 2018-0816-JTL), Howard Karp v. Michael Dell et al. (Civil Action No. 2019-0032-JTL), Miramar Police Officers’ Retirement Plan v. Michael Dell et al. (Civil Action No.</w:t>
      </w:r>
      <w:r>
        <w:rPr>
          <w:rFonts w:ascii="Times New Roman" w:eastAsia="宋体" w:hAnsi="Times New Roman"/>
          <w:color w:val="000000"/>
          <w:sz w:val="20"/>
          <w:szCs w:val="20"/>
        </w:rPr>
        <w:t xml:space="preserve"> 2019-0049-JTL), and Steamfitters Local 449 Pension Plan v. Michael Dell et al. (Civil Action No. 2019-0115-JTL). The four actions were consolidated in the Delaware Chancery Court into In Re Dell Class V Litigation (Consol. C.A. No. 2018-0816-JTL), which n</w:t>
      </w:r>
      <w:r>
        <w:rPr>
          <w:rFonts w:ascii="Times New Roman" w:eastAsia="宋体" w:hAnsi="Times New Roman"/>
          <w:color w:val="000000"/>
          <w:sz w:val="20"/>
          <w:szCs w:val="20"/>
        </w:rPr>
        <w:t>ames as defendants the Company’s board of directors, Goldman Sachs &amp; Co. LLC, and certain stockholders of the Company, including Michael S. Dell. The plaintiffs generally allege that the defendants breached their fiduciary duties to the former holders of C</w:t>
      </w:r>
      <w:r>
        <w:rPr>
          <w:rFonts w:ascii="Times New Roman" w:eastAsia="宋体" w:hAnsi="Times New Roman"/>
          <w:color w:val="000000"/>
          <w:sz w:val="20"/>
          <w:szCs w:val="20"/>
        </w:rPr>
        <w:t>lass V Common Stock in connection with the Class V transaction by allegedly causing the Company to enter into a transaction that favored the interests of the controlling stockholders at the expense of such former stockholders. The plaintiffs seek, among ot</w:t>
      </w:r>
      <w:r>
        <w:rPr>
          <w:rFonts w:ascii="Times New Roman" w:eastAsia="宋体" w:hAnsi="Times New Roman"/>
          <w:color w:val="000000"/>
          <w:sz w:val="20"/>
          <w:szCs w:val="20"/>
        </w:rPr>
        <w:t>her remedies, a judicial declaration that the defendants breached their fiduciary duties and an award of damages, fees, and costs. The plaintiffs filed an amended complaint in August 2019 making substantially similar allegations to those described above. T</w:t>
      </w:r>
      <w:r>
        <w:rPr>
          <w:rFonts w:ascii="Times New Roman" w:eastAsia="宋体" w:hAnsi="Times New Roman"/>
          <w:color w:val="000000"/>
          <w:sz w:val="20"/>
          <w:szCs w:val="20"/>
        </w:rPr>
        <w:t>he defendants filed a motion to dismiss the action in September 2019. The court denied the motion in June 2020 and the case is currently in the discovery phase. Trial is currently scheduled to begin on December 5, 2022.</w:t>
      </w:r>
    </w:p>
    <w:p w14:paraId="07DCF7EC" w14:textId="77777777" w:rsidR="00AE727E" w:rsidRDefault="00AE727E"/>
    <w:p w14:paraId="07DCF7ED" w14:textId="77777777" w:rsidR="00AE727E" w:rsidRDefault="008433E0">
      <w:r>
        <w:rPr>
          <w:rFonts w:ascii="Times New Roman" w:eastAsia="宋体" w:hAnsi="Times New Roman"/>
          <w:i/>
          <w:iCs/>
          <w:color w:val="000000"/>
          <w:sz w:val="20"/>
          <w:szCs w:val="20"/>
        </w:rPr>
        <w:t>Patent Litigation</w:t>
      </w:r>
      <w:r>
        <w:rPr>
          <w:rFonts w:ascii="Times New Roman" w:eastAsia="宋体" w:hAnsi="Times New Roman"/>
          <w:color w:val="000000"/>
          <w:sz w:val="20"/>
          <w:szCs w:val="20"/>
        </w:rPr>
        <w:t xml:space="preserve"> — On April 25, 20</w:t>
      </w:r>
      <w:r>
        <w:rPr>
          <w:rFonts w:ascii="Times New Roman" w:eastAsia="宋体" w:hAnsi="Times New Roman"/>
          <w:color w:val="000000"/>
          <w:sz w:val="20"/>
          <w:szCs w:val="20"/>
        </w:rPr>
        <w:t>19, Cirba Inc. and Cirba IP, Inc. (collectively, “Cirba”) filed a lawsuit against VMware, Inc. in the United States District Court for the District of Delaware (the “Delaware Court”), alleging two patent infringement claims and three trademark infringement</w:t>
      </w:r>
      <w:r>
        <w:rPr>
          <w:rFonts w:ascii="Times New Roman" w:eastAsia="宋体" w:hAnsi="Times New Roman"/>
          <w:color w:val="000000"/>
          <w:sz w:val="20"/>
          <w:szCs w:val="20"/>
        </w:rPr>
        <w:t>-related claims (the “First Action”).  Following a hearing on August 6, 2019, the Delaware Court denied Cirba’s preliminary injunction motion. On August 20, 2019, VMware, Inc. filed counterclaims against Cirba, asserting among other claims that Cirba is in</w:t>
      </w:r>
      <w:r>
        <w:rPr>
          <w:rFonts w:ascii="Times New Roman" w:eastAsia="宋体" w:hAnsi="Times New Roman"/>
          <w:color w:val="000000"/>
          <w:sz w:val="20"/>
          <w:szCs w:val="20"/>
        </w:rPr>
        <w:t>fringing four VMware, Inc. patents.  The Delaware Court severed those claims from the January 2020 trial on Cirba’s claims. On January 24, 2020, a jury returned a verdict that VMware, Inc. had willfully infringed Cirba’s two patents and awarded approximate</w:t>
      </w:r>
      <w:r>
        <w:rPr>
          <w:rFonts w:ascii="Times New Roman" w:eastAsia="宋体" w:hAnsi="Times New Roman"/>
          <w:color w:val="000000"/>
          <w:sz w:val="20"/>
          <w:szCs w:val="20"/>
        </w:rPr>
        <w:t xml:space="preserve">ly $237 million in damages. As to Cirba’s trademark-related claims, the jury found that VMware, Inc. was not liable. A total of $237 million was accrued for the First Action as of January 31, 2020, which reflected the estimated losses that were considered </w:t>
      </w:r>
      <w:r>
        <w:rPr>
          <w:rFonts w:ascii="Times New Roman" w:eastAsia="宋体" w:hAnsi="Times New Roman"/>
          <w:color w:val="000000"/>
          <w:sz w:val="20"/>
          <w:szCs w:val="20"/>
        </w:rPr>
        <w:t>both probable and reasonably estimable at that time. The amount accrued for this matter was included in Accrued and other in the Consolidated Statements of Financial Position as of January 31, 2020, and the charge was classified in Selling, general and adm</w:t>
      </w:r>
      <w:r>
        <w:rPr>
          <w:rFonts w:ascii="Times New Roman" w:eastAsia="宋体" w:hAnsi="Times New Roman"/>
          <w:color w:val="000000"/>
          <w:sz w:val="20"/>
          <w:szCs w:val="20"/>
        </w:rPr>
        <w:t xml:space="preserve">inistrative in the Consolidated Statements of Income (Loss) for the fiscal year ended January 31, 2020. On March 9, 2020, the parties filed post-trial motions in the First Action. On December 21, 2020, the Delaware Court granted VMware, Inc.’s request for </w:t>
      </w:r>
      <w:r>
        <w:rPr>
          <w:rFonts w:ascii="Times New Roman" w:eastAsia="宋体" w:hAnsi="Times New Roman"/>
          <w:color w:val="000000"/>
          <w:sz w:val="20"/>
          <w:szCs w:val="20"/>
        </w:rPr>
        <w:t>a new trial based, in part, on Cirba’s Inc.’s lack of standing, set aside the verdict and damages award, and denied Cirba’s post-trial motions (the “Post-Trial Order”).</w:t>
      </w:r>
    </w:p>
    <w:p w14:paraId="07DCF7EE" w14:textId="77777777" w:rsidR="00AE727E" w:rsidRDefault="00AE727E"/>
    <w:p w14:paraId="07DCF7EF" w14:textId="77777777" w:rsidR="00AE727E" w:rsidRDefault="00AE727E">
      <w:pPr>
        <w:jc w:val="center"/>
      </w:pPr>
    </w:p>
    <w:p w14:paraId="07DCF7F0" w14:textId="77777777" w:rsidR="00AE727E" w:rsidRDefault="008433E0">
      <w:pPr>
        <w:jc w:val="center"/>
      </w:pPr>
      <w:r>
        <w:rPr>
          <w:rFonts w:ascii="Times New Roman" w:eastAsia="宋体" w:hAnsi="Times New Roman"/>
          <w:color w:val="000000"/>
          <w:sz w:val="20"/>
          <w:szCs w:val="20"/>
        </w:rPr>
        <w:t>42</w:t>
      </w:r>
    </w:p>
    <w:p w14:paraId="07DCF7F1" w14:textId="77777777" w:rsidR="00AE727E" w:rsidRDefault="00AE727E">
      <w:pPr>
        <w:jc w:val="center"/>
      </w:pPr>
    </w:p>
    <w:p w14:paraId="07DCF7F2" w14:textId="77777777" w:rsidR="00AE727E" w:rsidRDefault="008433E0">
      <w:r>
        <w:pict w14:anchorId="07DD18FA">
          <v:rect id="_x0000_i1066" style="width:415.3pt;height:1.5pt" o:hralign="center" o:hrstd="t" o:hr="t" fillcolor="#a0a0a0" stroked="f"/>
        </w:pict>
      </w:r>
    </w:p>
    <w:p w14:paraId="07DCF7F3" w14:textId="77777777" w:rsidR="00AE727E" w:rsidRDefault="008433E0">
      <w:hyperlink r:id="rId167" w:anchor="i1c8279be622a460ea19600488436f115_10" w:history="1">
        <w:r>
          <w:rPr>
            <w:rStyle w:val="a5"/>
            <w:rFonts w:ascii="Times New Roman" w:eastAsia="宋体" w:hAnsi="Times New Roman"/>
            <w:sz w:val="20"/>
            <w:szCs w:val="20"/>
          </w:rPr>
          <w:t>Table of Contents</w:t>
        </w:r>
      </w:hyperlink>
    </w:p>
    <w:p w14:paraId="07DCF7F4"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7F5"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F7F6"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7F7" w14:textId="77777777" w:rsidR="00AE727E" w:rsidRDefault="00AE727E">
      <w:pPr>
        <w:jc w:val="center"/>
      </w:pPr>
    </w:p>
    <w:p w14:paraId="07DCF7F8" w14:textId="77777777" w:rsidR="00AE727E" w:rsidRDefault="008433E0">
      <w:r>
        <w:rPr>
          <w:rFonts w:ascii="Times New Roman" w:eastAsia="宋体" w:hAnsi="Times New Roman"/>
          <w:color w:val="000000"/>
          <w:sz w:val="20"/>
          <w:szCs w:val="20"/>
        </w:rPr>
        <w:t>On October 22, 2019, VMware, Inc. filed a separate lawsuit against Cirba in the United States District Court for the Eastern District of Virginia alleging infringement of four additional VMware, Inc. patents (The “Second</w:t>
      </w:r>
      <w:r>
        <w:rPr>
          <w:rFonts w:ascii="Times New Roman" w:eastAsia="宋体" w:hAnsi="Times New Roman"/>
          <w:color w:val="000000"/>
          <w:sz w:val="20"/>
          <w:szCs w:val="20"/>
        </w:rPr>
        <w:t xml:space="preserve"> Action”). The Virginia court transferred the Second Action to the Delaware Court on February 25, 2020. On March 23, 2020, Cirba filed a counterclaim asserting one additional patent against VMware, Inc. The Delaware Court consolidated the First and Second </w:t>
      </w:r>
      <w:r>
        <w:rPr>
          <w:rFonts w:ascii="Times New Roman" w:eastAsia="宋体" w:hAnsi="Times New Roman"/>
          <w:color w:val="000000"/>
          <w:sz w:val="20"/>
          <w:szCs w:val="20"/>
        </w:rPr>
        <w:t>Actions and ordered a consolidated trial on all of the parties’ patent infringement claims and counterclaims. On May 3, 2021, the Court denied Cirba’s motion to certify the Post-Trial Order to enable an interlocutory appeal to the United States Court of Ap</w:t>
      </w:r>
      <w:r>
        <w:rPr>
          <w:rFonts w:ascii="Times New Roman" w:eastAsia="宋体" w:hAnsi="Times New Roman"/>
          <w:color w:val="000000"/>
          <w:sz w:val="20"/>
          <w:szCs w:val="20"/>
        </w:rPr>
        <w:t>peals for the Federal Circuit. Also, on May 3, 2021, the Court granted Cirba’s motion for leave to assert an additional patent against VMware, Inc. Separately, VMware has filed challenges with the United States Patent and Trademark Office against each of t</w:t>
      </w:r>
      <w:r>
        <w:rPr>
          <w:rFonts w:ascii="Times New Roman" w:eastAsia="宋体" w:hAnsi="Times New Roman"/>
          <w:color w:val="000000"/>
          <w:sz w:val="20"/>
          <w:szCs w:val="20"/>
        </w:rPr>
        <w:t xml:space="preserve">he four patents that are subject of Cirba’s allegation. To date, of the four challenges, two </w:t>
      </w:r>
      <w:r>
        <w:rPr>
          <w:rFonts w:ascii="Times New Roman" w:eastAsia="宋体" w:hAnsi="Times New Roman"/>
          <w:i/>
          <w:iCs/>
          <w:color w:val="000000"/>
          <w:sz w:val="20"/>
          <w:szCs w:val="20"/>
        </w:rPr>
        <w:t>ex parte</w:t>
      </w:r>
      <w:r>
        <w:rPr>
          <w:rFonts w:ascii="Times New Roman" w:eastAsia="宋体" w:hAnsi="Times New Roman"/>
          <w:color w:val="000000"/>
          <w:sz w:val="20"/>
          <w:szCs w:val="20"/>
        </w:rPr>
        <w:t xml:space="preserve"> reexams have been granted and one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xml:space="preserve"> Review has been instituted. As of January 29, 2021, VMware, Inc. reassessed its estimated loss accrual for </w:t>
      </w:r>
      <w:r>
        <w:rPr>
          <w:rFonts w:ascii="Times New Roman" w:eastAsia="宋体" w:hAnsi="Times New Roman"/>
          <w:color w:val="000000"/>
          <w:sz w:val="20"/>
          <w:szCs w:val="20"/>
        </w:rPr>
        <w:t>the First Action based on the Post-Trial Order and determined that a loss was no longer probable and reasonably estimable with respect to the consolidated First and Second Actions. Accordingly, the estimated loss accrual recognized during the fiscal year e</w:t>
      </w:r>
      <w:r>
        <w:rPr>
          <w:rFonts w:ascii="Times New Roman" w:eastAsia="宋体" w:hAnsi="Times New Roman"/>
          <w:color w:val="000000"/>
          <w:sz w:val="20"/>
          <w:szCs w:val="20"/>
        </w:rPr>
        <w:t>nded January 31, 2020 totaling $237 million was adjusted to $0 with the credit included in Selling, general, and administrative in the Consolidated Statements of Income (Loss) for the fiscal year ended January 29, 2021. VMware, Inc. has reported that it is</w:t>
      </w:r>
      <w:r>
        <w:rPr>
          <w:rFonts w:ascii="Times New Roman" w:eastAsia="宋体" w:hAnsi="Times New Roman"/>
          <w:color w:val="000000"/>
          <w:sz w:val="20"/>
          <w:szCs w:val="20"/>
        </w:rPr>
        <w:t xml:space="preserve"> unable at this time to assess whether, or to what extent, it may be found liable and, if found liable, the amount any damages that may be awarded. VMware, Inc. intends to vigorously defend itself in this matter.</w:t>
      </w:r>
    </w:p>
    <w:p w14:paraId="07DCF7F9" w14:textId="77777777" w:rsidR="00AE727E" w:rsidRDefault="00AE727E"/>
    <w:p w14:paraId="07DCF7FA" w14:textId="77777777" w:rsidR="00AE727E" w:rsidRDefault="008433E0">
      <w:r>
        <w:rPr>
          <w:rFonts w:ascii="Times New Roman" w:eastAsia="宋体" w:hAnsi="Times New Roman"/>
          <w:i/>
          <w:iCs/>
          <w:color w:val="000000"/>
          <w:sz w:val="20"/>
          <w:szCs w:val="20"/>
        </w:rPr>
        <w:t>Class Actions Related to VMware, Inc.’s Ac</w:t>
      </w:r>
      <w:r>
        <w:rPr>
          <w:rFonts w:ascii="Times New Roman" w:eastAsia="宋体" w:hAnsi="Times New Roman"/>
          <w:i/>
          <w:iCs/>
          <w:color w:val="000000"/>
          <w:sz w:val="20"/>
          <w:szCs w:val="20"/>
        </w:rPr>
        <w:t>quisition of Pivotal</w:t>
      </w:r>
      <w:r>
        <w:rPr>
          <w:rFonts w:ascii="Times New Roman" w:eastAsia="宋体" w:hAnsi="Times New Roman"/>
          <w:color w:val="000000"/>
          <w:sz w:val="20"/>
          <w:szCs w:val="20"/>
        </w:rPr>
        <w:t xml:space="preserve"> — Two purported stockholders brought putative class action complaints arising out of VMware, Inc.’s acquisition of Pivotal Software, Inc. on December 30, 2019 as described in Note 1 of the Notes to the Condensed Consolidated Financial </w:t>
      </w:r>
      <w:r>
        <w:rPr>
          <w:rFonts w:ascii="Times New Roman" w:eastAsia="宋体" w:hAnsi="Times New Roman"/>
          <w:color w:val="000000"/>
          <w:sz w:val="20"/>
          <w:szCs w:val="20"/>
        </w:rPr>
        <w:t>Statements. The two actions were consolidated in the Delaware Chancery Court into In re: Pivotal Software, Inc. Stockholders Litigation (Civil Action No. 2020-0440-KSJM). The complaint names as defendants the Company, VMware, Inc., Michael S. Dell, and cer</w:t>
      </w:r>
      <w:r>
        <w:rPr>
          <w:rFonts w:ascii="Times New Roman" w:eastAsia="宋体" w:hAnsi="Times New Roman"/>
          <w:color w:val="000000"/>
          <w:sz w:val="20"/>
          <w:szCs w:val="20"/>
        </w:rPr>
        <w:t>tain officers of Pivotal. The plaintiffs generally allege that the defendants breached their fiduciary duties to the former holders of Pivotal Class A common stock in connection with VMware, Inc.’s acquisition of Pivotal by allegedly causing Pivotal to ent</w:t>
      </w:r>
      <w:r>
        <w:rPr>
          <w:rFonts w:ascii="Times New Roman" w:eastAsia="宋体" w:hAnsi="Times New Roman"/>
          <w:color w:val="000000"/>
          <w:sz w:val="20"/>
          <w:szCs w:val="20"/>
        </w:rPr>
        <w:t xml:space="preserve">er into a transaction that favored the interests of Pivotal’s controlling stockholders at the expense of such former stockholders. The plaintiffs seek, among other remedies, a judicial declaration that the defendants breached their fiduciary duties and an </w:t>
      </w:r>
      <w:r>
        <w:rPr>
          <w:rFonts w:ascii="Times New Roman" w:eastAsia="宋体" w:hAnsi="Times New Roman"/>
          <w:color w:val="000000"/>
          <w:sz w:val="20"/>
          <w:szCs w:val="20"/>
        </w:rPr>
        <w:t>award of damages, fees, and costs. Trial is currently scheduled to begin on July 6, 2022.</w:t>
      </w:r>
    </w:p>
    <w:p w14:paraId="07DCF7FB" w14:textId="77777777" w:rsidR="00AE727E" w:rsidRDefault="00AE727E"/>
    <w:p w14:paraId="07DCF7FC" w14:textId="77777777" w:rsidR="00AE727E" w:rsidRDefault="008433E0">
      <w:r>
        <w:rPr>
          <w:rFonts w:ascii="Times New Roman" w:eastAsia="宋体" w:hAnsi="Times New Roman"/>
          <w:i/>
          <w:iCs/>
          <w:color w:val="000000"/>
          <w:sz w:val="20"/>
          <w:szCs w:val="20"/>
        </w:rPr>
        <w:t xml:space="preserve">Other Litigation </w:t>
      </w:r>
      <w:r>
        <w:rPr>
          <w:rFonts w:ascii="Times New Roman" w:eastAsia="宋体" w:hAnsi="Times New Roman"/>
          <w:color w:val="000000"/>
          <w:sz w:val="20"/>
          <w:szCs w:val="20"/>
        </w:rPr>
        <w:t>— Dell does not currently expect that any other proceedings or matters will have a material adverse effect on its business, financial condition, res</w:t>
      </w:r>
      <w:r>
        <w:rPr>
          <w:rFonts w:ascii="Times New Roman" w:eastAsia="宋体" w:hAnsi="Times New Roman"/>
          <w:color w:val="000000"/>
          <w:sz w:val="20"/>
          <w:szCs w:val="20"/>
        </w:rPr>
        <w:t>ults of operations, or cash flows.</w:t>
      </w:r>
    </w:p>
    <w:p w14:paraId="07DCF7FD" w14:textId="77777777" w:rsidR="00AE727E" w:rsidRDefault="00AE727E"/>
    <w:p w14:paraId="07DCF7FE" w14:textId="77777777" w:rsidR="00AE727E" w:rsidRDefault="008433E0">
      <w:r>
        <w:rPr>
          <w:rFonts w:ascii="Times New Roman" w:eastAsia="宋体" w:hAnsi="Times New Roman"/>
          <w:color w:val="000000"/>
          <w:sz w:val="20"/>
          <w:szCs w:val="20"/>
        </w:rPr>
        <w:t>In accordance with the relevant accounting guidance, the Company provides disclosures of matters where it is at least reasonably possible that the Company could experience a material loss exceeding the amounts already ac</w:t>
      </w:r>
      <w:r>
        <w:rPr>
          <w:rFonts w:ascii="Times New Roman" w:eastAsia="宋体" w:hAnsi="Times New Roman"/>
          <w:color w:val="000000"/>
          <w:sz w:val="20"/>
          <w:szCs w:val="20"/>
        </w:rPr>
        <w:t>crued for these or other proceedings or matters. In addition, the Company also discloses matters based on its consideration of other matters and qualitative factors, including the experience of other companies in the industry, and investor, customer, and e</w:t>
      </w:r>
      <w:r>
        <w:rPr>
          <w:rFonts w:ascii="Times New Roman" w:eastAsia="宋体" w:hAnsi="Times New Roman"/>
          <w:color w:val="000000"/>
          <w:sz w:val="20"/>
          <w:szCs w:val="20"/>
        </w:rPr>
        <w:t xml:space="preserve">mployee relations considerations. As of October 29, 2021, the Company does not believe there is a reasonable possibility that a material loss exceeding the amounts already accrued for these or other proceedings or matters has been incurred. However, since </w:t>
      </w:r>
      <w:r>
        <w:rPr>
          <w:rFonts w:ascii="Times New Roman" w:eastAsia="宋体" w:hAnsi="Times New Roman"/>
          <w:color w:val="000000"/>
          <w:sz w:val="20"/>
          <w:szCs w:val="20"/>
        </w:rPr>
        <w:t xml:space="preserve">the ultimate resolution of any such proceedings and matters is inherently unpredictable, the Company’s business, financial condition, results of operations, or cash flows could be materially affected in any particular period by unfavorable outcomes in one </w:t>
      </w:r>
      <w:r>
        <w:rPr>
          <w:rFonts w:ascii="Times New Roman" w:eastAsia="宋体" w:hAnsi="Times New Roman"/>
          <w:color w:val="000000"/>
          <w:sz w:val="20"/>
          <w:szCs w:val="20"/>
        </w:rPr>
        <w:t>or more of these proceedings or matters. Whether the outcome of any claim, suit, assessment, investigation, or legal proceeding, individually or collectively, could have a material adverse effect on the Company’s business, financial condition, results of o</w:t>
      </w:r>
      <w:r>
        <w:rPr>
          <w:rFonts w:ascii="Times New Roman" w:eastAsia="宋体" w:hAnsi="Times New Roman"/>
          <w:color w:val="000000"/>
          <w:sz w:val="20"/>
          <w:szCs w:val="20"/>
        </w:rPr>
        <w:t>perations, or cash flows will depend on a number of factors, including the nature, timing, and amount of any associated expenses, amounts paid in settlement, damages, or other remedies or consequences.</w:t>
      </w:r>
    </w:p>
    <w:p w14:paraId="07DCF7FF" w14:textId="77777777" w:rsidR="00AE727E" w:rsidRDefault="00AE727E"/>
    <w:p w14:paraId="07DCF800" w14:textId="77777777" w:rsidR="00AE727E" w:rsidRDefault="008433E0">
      <w:r>
        <w:rPr>
          <w:rFonts w:ascii="Times New Roman" w:eastAsia="宋体" w:hAnsi="Times New Roman"/>
          <w:b/>
          <w:bCs/>
          <w:color w:val="000000"/>
          <w:sz w:val="20"/>
          <w:szCs w:val="20"/>
        </w:rPr>
        <w:t>Indemnifications</w:t>
      </w:r>
    </w:p>
    <w:p w14:paraId="07DCF801" w14:textId="77777777" w:rsidR="00AE727E" w:rsidRDefault="00AE727E"/>
    <w:p w14:paraId="07DCF802" w14:textId="77777777" w:rsidR="00AE727E" w:rsidRDefault="008433E0">
      <w:r>
        <w:rPr>
          <w:rFonts w:ascii="Times New Roman" w:eastAsia="宋体" w:hAnsi="Times New Roman"/>
          <w:color w:val="000000"/>
          <w:sz w:val="20"/>
          <w:szCs w:val="20"/>
        </w:rPr>
        <w:t>In the ordinary course of business,</w:t>
      </w:r>
      <w:r>
        <w:rPr>
          <w:rFonts w:ascii="Times New Roman" w:eastAsia="宋体" w:hAnsi="Times New Roman"/>
          <w:color w:val="000000"/>
          <w:sz w:val="20"/>
          <w:szCs w:val="20"/>
        </w:rPr>
        <w:t xml:space="preserve"> the Company enters into contractual arrangements under which it may agree to indemnify other parties for losses incurred from certain events as defined in the relevant contract, such as litigation, regulatory penalties, or claims relating to past performa</w:t>
      </w:r>
      <w:r>
        <w:rPr>
          <w:rFonts w:ascii="Times New Roman" w:eastAsia="宋体" w:hAnsi="Times New Roman"/>
          <w:color w:val="000000"/>
          <w:sz w:val="20"/>
          <w:szCs w:val="20"/>
        </w:rPr>
        <w:t>nce. Such indemnification obligations may not be subject to maximum loss clauses. Historically, payments related to these indemnifications have not been material to the Company.</w:t>
      </w:r>
    </w:p>
    <w:p w14:paraId="07DCF803" w14:textId="77777777" w:rsidR="00AE727E" w:rsidRDefault="00AE727E"/>
    <w:p w14:paraId="07DCF804" w14:textId="77777777" w:rsidR="00AE727E" w:rsidRDefault="00AE727E">
      <w:pPr>
        <w:jc w:val="center"/>
      </w:pPr>
    </w:p>
    <w:p w14:paraId="07DCF805" w14:textId="77777777" w:rsidR="00AE727E" w:rsidRDefault="008433E0">
      <w:pPr>
        <w:jc w:val="center"/>
      </w:pPr>
      <w:r>
        <w:rPr>
          <w:rFonts w:ascii="Times New Roman" w:eastAsia="宋体" w:hAnsi="Times New Roman"/>
          <w:color w:val="000000"/>
          <w:sz w:val="20"/>
          <w:szCs w:val="20"/>
        </w:rPr>
        <w:t>43</w:t>
      </w:r>
    </w:p>
    <w:p w14:paraId="07DCF806" w14:textId="77777777" w:rsidR="00AE727E" w:rsidRDefault="00AE727E">
      <w:pPr>
        <w:jc w:val="center"/>
      </w:pPr>
    </w:p>
    <w:p w14:paraId="07DCF807" w14:textId="77777777" w:rsidR="00AE727E" w:rsidRDefault="008433E0">
      <w:r>
        <w:pict w14:anchorId="07DD18FB">
          <v:rect id="_x0000_i1067" style="width:415.3pt;height:1.5pt" o:hralign="center" o:hrstd="t" o:hr="t" fillcolor="#a0a0a0" stroked="f"/>
        </w:pict>
      </w:r>
    </w:p>
    <w:p w14:paraId="07DCF808" w14:textId="77777777" w:rsidR="00AE727E" w:rsidRDefault="008433E0">
      <w:hyperlink r:id="rId168" w:anchor="i1c8279be622a460ea19600488436f115_10" w:history="1">
        <w:r>
          <w:rPr>
            <w:rStyle w:val="a5"/>
            <w:rFonts w:ascii="Times New Roman" w:eastAsia="宋体" w:hAnsi="Times New Roman"/>
            <w:sz w:val="20"/>
            <w:szCs w:val="20"/>
          </w:rPr>
          <w:t>Table of Contents</w:t>
        </w:r>
      </w:hyperlink>
    </w:p>
    <w:p w14:paraId="07DCF809"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80A"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80B"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80C" w14:textId="77777777" w:rsidR="00AE727E" w:rsidRDefault="00AE727E">
      <w:pPr>
        <w:jc w:val="center"/>
      </w:pPr>
    </w:p>
    <w:p w14:paraId="07DCF80D" w14:textId="77777777" w:rsidR="00AE727E" w:rsidRDefault="008433E0">
      <w:r>
        <w:rPr>
          <w:rFonts w:ascii="Times New Roman" w:eastAsia="宋体" w:hAnsi="Times New Roman"/>
          <w:b/>
          <w:bCs/>
          <w:color w:val="000000"/>
          <w:sz w:val="20"/>
          <w:szCs w:val="20"/>
        </w:rPr>
        <w:t xml:space="preserve">NOTE 10 — INCOME AND OTHER TAXES </w:t>
      </w:r>
    </w:p>
    <w:p w14:paraId="07DCF80E" w14:textId="77777777" w:rsidR="00AE727E" w:rsidRDefault="00AE727E"/>
    <w:p w14:paraId="07DCF80F" w14:textId="77777777" w:rsidR="00AE727E" w:rsidRDefault="008433E0">
      <w:r>
        <w:rPr>
          <w:rFonts w:ascii="Times New Roman" w:eastAsia="宋体" w:hAnsi="Times New Roman"/>
          <w:color w:val="000000"/>
          <w:sz w:val="20"/>
          <w:szCs w:val="20"/>
        </w:rPr>
        <w:t>For the three months ended October 29, 2021 and October 30, 2020, the Company’s effective income tax rate was 18.7% and 37.2%, respectively, on pre-tax income of $4.8 billion and $1.4 billion, respectively. For the nine m</w:t>
      </w:r>
      <w:r>
        <w:rPr>
          <w:rFonts w:ascii="Times New Roman" w:eastAsia="宋体" w:hAnsi="Times New Roman"/>
          <w:color w:val="000000"/>
          <w:sz w:val="20"/>
          <w:szCs w:val="20"/>
        </w:rPr>
        <w:t xml:space="preserve">onths ended October 29, 2021 and October 30, 2020, the Company’s effective income tax rate was 15.9% and -6.1%, respectively, on pre-tax income of $6.8 billion and $2.0 billion, respectively. </w:t>
      </w:r>
    </w:p>
    <w:p w14:paraId="07DCF810" w14:textId="77777777" w:rsidR="00AE727E" w:rsidRDefault="00AE727E"/>
    <w:p w14:paraId="07DCF811" w14:textId="77777777" w:rsidR="00AE727E" w:rsidRDefault="008433E0">
      <w:r>
        <w:rPr>
          <w:rFonts w:ascii="Times New Roman" w:eastAsia="宋体" w:hAnsi="Times New Roman"/>
          <w:color w:val="000000"/>
          <w:sz w:val="20"/>
          <w:szCs w:val="20"/>
        </w:rPr>
        <w:t>For the three and nine months ended October 29, 2021, the Comp</w:t>
      </w:r>
      <w:r>
        <w:rPr>
          <w:rFonts w:ascii="Times New Roman" w:eastAsia="宋体" w:hAnsi="Times New Roman"/>
          <w:color w:val="000000"/>
          <w:sz w:val="20"/>
          <w:szCs w:val="20"/>
        </w:rPr>
        <w:t>any’s effective income tax rate includes tax expense of $1.0 billion related to the divestiture of Boomi during the period. In comparison, for the nine months ended October 30, 2020, the Company’s effective income tax rate includes discrete tax benefits of</w:t>
      </w:r>
      <w:r>
        <w:rPr>
          <w:rFonts w:ascii="Times New Roman" w:eastAsia="宋体" w:hAnsi="Times New Roman"/>
          <w:color w:val="000000"/>
          <w:sz w:val="20"/>
          <w:szCs w:val="20"/>
        </w:rPr>
        <w:t xml:space="preserve"> $746 million related to an audit settlement that was recorded in the second quarter of Fiscal 2021 and tax expenses of $359 million relating to the divestiture of RSA Security during the third quarter of Fiscal 2021. The Company’s effective income tax rat</w:t>
      </w:r>
      <w:r>
        <w:rPr>
          <w:rFonts w:ascii="Times New Roman" w:eastAsia="宋体" w:hAnsi="Times New Roman"/>
          <w:color w:val="000000"/>
          <w:sz w:val="20"/>
          <w:szCs w:val="20"/>
        </w:rPr>
        <w:t xml:space="preserve">es were also impacted by changes in the Company’s jurisdictional mix of income and lower overall taxes on foreign operations. </w:t>
      </w:r>
    </w:p>
    <w:p w14:paraId="07DCF812" w14:textId="77777777" w:rsidR="00AE727E" w:rsidRDefault="00AE727E"/>
    <w:p w14:paraId="07DCF813" w14:textId="77777777" w:rsidR="00AE727E" w:rsidRDefault="008433E0">
      <w:r>
        <w:rPr>
          <w:rFonts w:ascii="Times New Roman" w:eastAsia="宋体" w:hAnsi="Times New Roman"/>
          <w:color w:val="000000"/>
          <w:sz w:val="20"/>
          <w:szCs w:val="20"/>
        </w:rPr>
        <w:t>The differences between the estimated effective income tax rates and the U.S. federal statutory rate of 21% principally result f</w:t>
      </w:r>
      <w:r>
        <w:rPr>
          <w:rFonts w:ascii="Times New Roman" w:eastAsia="宋体" w:hAnsi="Times New Roman"/>
          <w:color w:val="000000"/>
          <w:sz w:val="20"/>
          <w:szCs w:val="20"/>
        </w:rPr>
        <w:t>rom the Company’s geographical distribution of income, differences between the book and tax treatment of certain items, and the discrete tax items discussed above. In certain jurisdictions, the Company’s tax rate is significantly less than the applicable s</w:t>
      </w:r>
      <w:r>
        <w:rPr>
          <w:rFonts w:ascii="Times New Roman" w:eastAsia="宋体" w:hAnsi="Times New Roman"/>
          <w:color w:val="000000"/>
          <w:sz w:val="20"/>
          <w:szCs w:val="20"/>
        </w:rPr>
        <w:t>tatutory rate as a result of tax holidays. The majority of the Company’s foreign income that is subject to these tax holidays and lower tax rates is attributable to Singapore and China. A significant portion of these income tax benefits relate to a tax hol</w:t>
      </w:r>
      <w:r>
        <w:rPr>
          <w:rFonts w:ascii="Times New Roman" w:eastAsia="宋体" w:hAnsi="Times New Roman"/>
          <w:color w:val="000000"/>
          <w:sz w:val="20"/>
          <w:szCs w:val="20"/>
        </w:rPr>
        <w:t xml:space="preserve">iday that will be effective until January 31, 2029. The Company’s other tax holidays will expire in whole or in part during fiscal years 2022 through 2030. Many of these tax holidays and reduced tax rates may be extended when certain conditions are met or </w:t>
      </w:r>
      <w:r>
        <w:rPr>
          <w:rFonts w:ascii="Times New Roman" w:eastAsia="宋体" w:hAnsi="Times New Roman"/>
          <w:color w:val="000000"/>
          <w:sz w:val="20"/>
          <w:szCs w:val="20"/>
        </w:rPr>
        <w:t xml:space="preserve">may be terminated early if certain conditions are not met. As of October 29, 2021, the Company was not aware of any matters of non-compliance related to these tax holidays. </w:t>
      </w:r>
    </w:p>
    <w:p w14:paraId="07DCF814" w14:textId="77777777" w:rsidR="00AE727E" w:rsidRDefault="00AE727E"/>
    <w:p w14:paraId="07DCF815" w14:textId="77777777" w:rsidR="00AE727E" w:rsidRDefault="008433E0">
      <w:r>
        <w:rPr>
          <w:rFonts w:ascii="Times New Roman" w:eastAsia="宋体" w:hAnsi="Times New Roman"/>
          <w:color w:val="000000"/>
          <w:sz w:val="20"/>
          <w:szCs w:val="20"/>
        </w:rPr>
        <w:t>The Internal Revenue Service is currently examining fiscal years 2015 through 201</w:t>
      </w:r>
      <w:r>
        <w:rPr>
          <w:rFonts w:ascii="Times New Roman" w:eastAsia="宋体" w:hAnsi="Times New Roman"/>
          <w:color w:val="000000"/>
          <w:sz w:val="20"/>
          <w:szCs w:val="20"/>
        </w:rPr>
        <w:t>9. The Company is also currently under income tax audits in various state and foreign jurisdictions. The Company is undergoing negotiations, and in some cases contested proceedings, relating to tax matters with the taxing authorities in these jurisdictions</w:t>
      </w:r>
      <w:r>
        <w:rPr>
          <w:rFonts w:ascii="Times New Roman" w:eastAsia="宋体" w:hAnsi="Times New Roman"/>
          <w:color w:val="000000"/>
          <w:sz w:val="20"/>
          <w:szCs w:val="20"/>
        </w:rPr>
        <w:t xml:space="preserve">. The Company believes that it has valid positions supporting its tax returns and that it has provided adequate reserves related to all matters contained in tax periods open to examination. Although the Company believes it has made adequate provisions for </w:t>
      </w:r>
      <w:r>
        <w:rPr>
          <w:rFonts w:ascii="Times New Roman" w:eastAsia="宋体" w:hAnsi="Times New Roman"/>
          <w:color w:val="000000"/>
          <w:sz w:val="20"/>
          <w:szCs w:val="20"/>
        </w:rPr>
        <w:t>the uncertainties surrounding these audits, should the Company experience unfavorable outcomes, such outcomes could have a material impact on its results of operations, financial position, and cash flows. With respect to major U.S., state and foreign taxin</w:t>
      </w:r>
      <w:r>
        <w:rPr>
          <w:rFonts w:ascii="Times New Roman" w:eastAsia="宋体" w:hAnsi="Times New Roman"/>
          <w:color w:val="000000"/>
          <w:sz w:val="20"/>
          <w:szCs w:val="20"/>
        </w:rPr>
        <w:t>g jurisdictions, the Company is generally not subject to tax examinations for years prior to the fiscal year ended January 29, 2010.</w:t>
      </w:r>
    </w:p>
    <w:p w14:paraId="07DCF816" w14:textId="77777777" w:rsidR="00AE727E" w:rsidRDefault="00AE727E"/>
    <w:p w14:paraId="07DCF817" w14:textId="77777777" w:rsidR="00AE727E" w:rsidRDefault="008433E0">
      <w:r>
        <w:rPr>
          <w:rFonts w:ascii="Times New Roman" w:eastAsia="宋体" w:hAnsi="Times New Roman"/>
          <w:color w:val="000000"/>
          <w:sz w:val="20"/>
          <w:szCs w:val="20"/>
        </w:rPr>
        <w:t>Judgment is required in evaluating the Company’s uncertain tax positions and determining the Company’s provision for incom</w:t>
      </w:r>
      <w:r>
        <w:rPr>
          <w:rFonts w:ascii="Times New Roman" w:eastAsia="宋体" w:hAnsi="Times New Roman"/>
          <w:color w:val="000000"/>
          <w:sz w:val="20"/>
          <w:szCs w:val="20"/>
        </w:rPr>
        <w:t>e taxes. The unrecognized tax benefits were $1.5 billion and $1.4 billion as of October 29, 2021 and January 29, 2021, respectively, and are included in Other non-current liabilities in the Condensed Consolidated Statements of Financial Position. The Compa</w:t>
      </w:r>
      <w:r>
        <w:rPr>
          <w:rFonts w:ascii="Times New Roman" w:eastAsia="宋体" w:hAnsi="Times New Roman"/>
          <w:color w:val="000000"/>
          <w:sz w:val="20"/>
          <w:szCs w:val="20"/>
        </w:rPr>
        <w:t>ny does not anticipate a significant change to the total amount of unrecognized tax benefits within the next twelve months.</w:t>
      </w:r>
    </w:p>
    <w:p w14:paraId="07DCF818" w14:textId="77777777" w:rsidR="00AE727E" w:rsidRDefault="00AE727E"/>
    <w:p w14:paraId="07DCF819" w14:textId="77777777" w:rsidR="00AE727E" w:rsidRDefault="008433E0">
      <w:r>
        <w:rPr>
          <w:rFonts w:ascii="Times New Roman" w:eastAsia="宋体" w:hAnsi="Times New Roman"/>
          <w:color w:val="000000"/>
          <w:sz w:val="20"/>
          <w:szCs w:val="20"/>
        </w:rPr>
        <w:t>The Company takes certain non-income tax positions in the jurisdictions in which it operates and has received certain non-income ta</w:t>
      </w:r>
      <w:r>
        <w:rPr>
          <w:rFonts w:ascii="Times New Roman" w:eastAsia="宋体" w:hAnsi="Times New Roman"/>
          <w:color w:val="000000"/>
          <w:sz w:val="20"/>
          <w:szCs w:val="20"/>
        </w:rPr>
        <w:t xml:space="preserve">x assessments from various jurisdictions. The Company believes that a material loss in these matters is not probable and that it is not reasonably possible that a material loss exceeding amounts already accrued has been incurred.  The Company believes its </w:t>
      </w:r>
      <w:r>
        <w:rPr>
          <w:rFonts w:ascii="Times New Roman" w:eastAsia="宋体" w:hAnsi="Times New Roman"/>
          <w:color w:val="000000"/>
          <w:sz w:val="20"/>
          <w:szCs w:val="20"/>
        </w:rPr>
        <w:t>positions in these non-income tax litigation matters are supportable and that it ultimately will prevail in the matters. In the normal course of business, the Company’s positions and conclusions related to its non-income taxes could be challenged and asses</w:t>
      </w:r>
      <w:r>
        <w:rPr>
          <w:rFonts w:ascii="Times New Roman" w:eastAsia="宋体" w:hAnsi="Times New Roman"/>
          <w:color w:val="000000"/>
          <w:sz w:val="20"/>
          <w:szCs w:val="20"/>
        </w:rPr>
        <w:t>sments may be made. To the extent new information is obtained and the Company’s views on its positions, probable outcomes of assessments, or litigation change, changes in estimates to the Company’s accrued liabilities would be recorded in the period in whi</w:t>
      </w:r>
      <w:r>
        <w:rPr>
          <w:rFonts w:ascii="Times New Roman" w:eastAsia="宋体" w:hAnsi="Times New Roman"/>
          <w:color w:val="000000"/>
          <w:sz w:val="20"/>
          <w:szCs w:val="20"/>
        </w:rPr>
        <w:t>ch such a determination is made. In the resolution process for income tax and non-income tax audits, the Company is required in certain situations to provide collateral guarantees or indemnification to regulators and tax authorities until the matter is res</w:t>
      </w:r>
      <w:r>
        <w:rPr>
          <w:rFonts w:ascii="Times New Roman" w:eastAsia="宋体" w:hAnsi="Times New Roman"/>
          <w:color w:val="000000"/>
          <w:sz w:val="20"/>
          <w:szCs w:val="20"/>
        </w:rPr>
        <w:t>olved.</w:t>
      </w:r>
    </w:p>
    <w:p w14:paraId="07DCF81A" w14:textId="77777777" w:rsidR="00AE727E" w:rsidRDefault="00AE727E"/>
    <w:p w14:paraId="07DCF81B" w14:textId="77777777" w:rsidR="00AE727E" w:rsidRDefault="00AE727E">
      <w:pPr>
        <w:jc w:val="center"/>
      </w:pPr>
    </w:p>
    <w:p w14:paraId="07DCF81C" w14:textId="77777777" w:rsidR="00AE727E" w:rsidRDefault="008433E0">
      <w:pPr>
        <w:jc w:val="center"/>
      </w:pPr>
      <w:r>
        <w:rPr>
          <w:rFonts w:ascii="Times New Roman" w:eastAsia="宋体" w:hAnsi="Times New Roman"/>
          <w:color w:val="000000"/>
          <w:sz w:val="20"/>
          <w:szCs w:val="20"/>
        </w:rPr>
        <w:t>44</w:t>
      </w:r>
    </w:p>
    <w:p w14:paraId="07DCF81D" w14:textId="77777777" w:rsidR="00AE727E" w:rsidRDefault="00AE727E">
      <w:pPr>
        <w:jc w:val="center"/>
      </w:pPr>
    </w:p>
    <w:p w14:paraId="07DCF81E" w14:textId="77777777" w:rsidR="00AE727E" w:rsidRDefault="008433E0">
      <w:r>
        <w:pict w14:anchorId="07DD18FC">
          <v:rect id="_x0000_i1068" style="width:415.3pt;height:1.5pt" o:hralign="center" o:hrstd="t" o:hr="t" fillcolor="#a0a0a0" stroked="f"/>
        </w:pict>
      </w:r>
    </w:p>
    <w:p w14:paraId="07DCF81F" w14:textId="77777777" w:rsidR="00AE727E" w:rsidRDefault="008433E0">
      <w:hyperlink r:id="rId169" w:anchor="i1c8279be622a460ea19600488436f115_10" w:history="1">
        <w:r>
          <w:rPr>
            <w:rStyle w:val="a5"/>
            <w:rFonts w:ascii="Times New Roman" w:eastAsia="宋体" w:hAnsi="Times New Roman"/>
            <w:sz w:val="20"/>
            <w:szCs w:val="20"/>
          </w:rPr>
          <w:t>Table of Contents</w:t>
        </w:r>
      </w:hyperlink>
    </w:p>
    <w:p w14:paraId="07DCF820"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821"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F822"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823" w14:textId="77777777" w:rsidR="00AE727E" w:rsidRDefault="00AE727E">
      <w:pPr>
        <w:jc w:val="center"/>
      </w:pPr>
    </w:p>
    <w:p w14:paraId="07DCF824" w14:textId="77777777" w:rsidR="00AE727E" w:rsidRDefault="008433E0">
      <w:r>
        <w:rPr>
          <w:rFonts w:ascii="Times New Roman" w:eastAsia="宋体" w:hAnsi="Times New Roman"/>
          <w:b/>
          <w:bCs/>
          <w:color w:val="000000"/>
          <w:sz w:val="20"/>
          <w:szCs w:val="20"/>
        </w:rPr>
        <w:t xml:space="preserve">NOTE 11 — ACCUMULATED OTHER COMPREHENSIVE INCOME (LOSS) </w:t>
      </w:r>
    </w:p>
    <w:p w14:paraId="07DCF825" w14:textId="77777777" w:rsidR="00AE727E" w:rsidRDefault="00AE727E"/>
    <w:p w14:paraId="07DCF826" w14:textId="77777777" w:rsidR="00AE727E" w:rsidRDefault="008433E0">
      <w:r>
        <w:rPr>
          <w:rFonts w:ascii="Times New Roman" w:eastAsia="宋体" w:hAnsi="Times New Roman"/>
          <w:color w:val="000000"/>
          <w:sz w:val="20"/>
          <w:szCs w:val="20"/>
        </w:rPr>
        <w:t>Accumulated other comprehensive income (loss) is presented in stockholders’ equity (deficit) in the Condensed Consolidated Statements of Financial Position and co</w:t>
      </w:r>
      <w:r>
        <w:rPr>
          <w:rFonts w:ascii="Times New Roman" w:eastAsia="宋体" w:hAnsi="Times New Roman"/>
          <w:color w:val="000000"/>
          <w:sz w:val="20"/>
          <w:szCs w:val="20"/>
        </w:rPr>
        <w:t>nsists of amounts related to foreign currency translation adjustments, unrealized net gains (losses) on cash flow hedges, and actuarial net gains (losses) from pension and other postretirement plans.</w:t>
      </w:r>
    </w:p>
    <w:p w14:paraId="07DCF827" w14:textId="77777777" w:rsidR="00AE727E" w:rsidRDefault="00AE727E"/>
    <w:p w14:paraId="07DCF828" w14:textId="77777777" w:rsidR="00AE727E" w:rsidRDefault="008433E0">
      <w:pPr>
        <w:spacing w:after="60"/>
      </w:pPr>
      <w:r>
        <w:rPr>
          <w:rFonts w:ascii="Times New Roman" w:eastAsia="宋体" w:hAnsi="Times New Roman"/>
          <w:color w:val="000000"/>
          <w:sz w:val="20"/>
          <w:szCs w:val="20"/>
        </w:rPr>
        <w:t>The following table presents changes in accumulated oth</w:t>
      </w:r>
      <w:r>
        <w:rPr>
          <w:rFonts w:ascii="Times New Roman" w:eastAsia="宋体" w:hAnsi="Times New Roman"/>
          <w:color w:val="000000"/>
          <w:sz w:val="20"/>
          <w:szCs w:val="20"/>
        </w:rPr>
        <w:t>er comprehensive income (loss), net of tax, by the following components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75"/>
        <w:gridCol w:w="37"/>
        <w:gridCol w:w="121"/>
        <w:gridCol w:w="1123"/>
        <w:gridCol w:w="36"/>
        <w:gridCol w:w="36"/>
        <w:gridCol w:w="36"/>
        <w:gridCol w:w="36"/>
        <w:gridCol w:w="36"/>
        <w:gridCol w:w="36"/>
        <w:gridCol w:w="121"/>
        <w:gridCol w:w="1124"/>
        <w:gridCol w:w="36"/>
        <w:gridCol w:w="36"/>
        <w:gridCol w:w="36"/>
        <w:gridCol w:w="36"/>
        <w:gridCol w:w="121"/>
        <w:gridCol w:w="1228"/>
        <w:gridCol w:w="36"/>
        <w:gridCol w:w="36"/>
        <w:gridCol w:w="36"/>
        <w:gridCol w:w="36"/>
        <w:gridCol w:w="121"/>
        <w:gridCol w:w="1281"/>
        <w:gridCol w:w="36"/>
      </w:tblGrid>
      <w:tr w:rsidR="00AE727E" w14:paraId="07DCF843" w14:textId="77777777">
        <w:trPr>
          <w:jc w:val="center"/>
        </w:trPr>
        <w:tc>
          <w:tcPr>
            <w:tcW w:w="50" w:type="pct"/>
            <w:shd w:val="clear" w:color="auto" w:fill="auto"/>
            <w:vAlign w:val="bottom"/>
          </w:tcPr>
          <w:p w14:paraId="07DCF829" w14:textId="77777777" w:rsidR="00AE727E" w:rsidRDefault="00AE727E">
            <w:pPr>
              <w:rPr>
                <w:rFonts w:ascii="宋体"/>
              </w:rPr>
            </w:pPr>
          </w:p>
        </w:tc>
        <w:tc>
          <w:tcPr>
            <w:tcW w:w="1611" w:type="pct"/>
            <w:shd w:val="clear" w:color="auto" w:fill="auto"/>
            <w:vAlign w:val="bottom"/>
          </w:tcPr>
          <w:p w14:paraId="07DCF82A" w14:textId="77777777" w:rsidR="00AE727E" w:rsidRDefault="00AE727E">
            <w:pPr>
              <w:rPr>
                <w:rFonts w:ascii="宋体"/>
              </w:rPr>
            </w:pPr>
          </w:p>
        </w:tc>
        <w:tc>
          <w:tcPr>
            <w:tcW w:w="5" w:type="pct"/>
            <w:shd w:val="clear" w:color="auto" w:fill="auto"/>
            <w:vAlign w:val="bottom"/>
          </w:tcPr>
          <w:p w14:paraId="07DCF82B" w14:textId="77777777" w:rsidR="00AE727E" w:rsidRDefault="00AE727E">
            <w:pPr>
              <w:rPr>
                <w:rFonts w:ascii="宋体"/>
              </w:rPr>
            </w:pPr>
          </w:p>
        </w:tc>
        <w:tc>
          <w:tcPr>
            <w:tcW w:w="50" w:type="pct"/>
            <w:shd w:val="clear" w:color="auto" w:fill="auto"/>
            <w:vAlign w:val="bottom"/>
          </w:tcPr>
          <w:p w14:paraId="07DCF82C" w14:textId="77777777" w:rsidR="00AE727E" w:rsidRDefault="00AE727E">
            <w:pPr>
              <w:rPr>
                <w:rFonts w:ascii="宋体"/>
              </w:rPr>
            </w:pPr>
          </w:p>
        </w:tc>
        <w:tc>
          <w:tcPr>
            <w:tcW w:w="756" w:type="pct"/>
            <w:shd w:val="clear" w:color="auto" w:fill="auto"/>
            <w:vAlign w:val="bottom"/>
          </w:tcPr>
          <w:p w14:paraId="07DCF82D" w14:textId="77777777" w:rsidR="00AE727E" w:rsidRDefault="00AE727E">
            <w:pPr>
              <w:rPr>
                <w:rFonts w:ascii="宋体"/>
              </w:rPr>
            </w:pPr>
          </w:p>
        </w:tc>
        <w:tc>
          <w:tcPr>
            <w:tcW w:w="5" w:type="pct"/>
            <w:shd w:val="clear" w:color="auto" w:fill="auto"/>
            <w:vAlign w:val="bottom"/>
          </w:tcPr>
          <w:p w14:paraId="07DCF82E" w14:textId="77777777" w:rsidR="00AE727E" w:rsidRDefault="00AE727E">
            <w:pPr>
              <w:rPr>
                <w:rFonts w:ascii="宋体"/>
              </w:rPr>
            </w:pPr>
          </w:p>
        </w:tc>
        <w:tc>
          <w:tcPr>
            <w:tcW w:w="5" w:type="pct"/>
            <w:shd w:val="clear" w:color="auto" w:fill="auto"/>
            <w:vAlign w:val="bottom"/>
          </w:tcPr>
          <w:p w14:paraId="07DCF82F" w14:textId="77777777" w:rsidR="00AE727E" w:rsidRDefault="00AE727E">
            <w:pPr>
              <w:rPr>
                <w:rFonts w:ascii="宋体"/>
              </w:rPr>
            </w:pPr>
          </w:p>
        </w:tc>
        <w:tc>
          <w:tcPr>
            <w:tcW w:w="19" w:type="pct"/>
            <w:shd w:val="clear" w:color="auto" w:fill="auto"/>
            <w:vAlign w:val="bottom"/>
          </w:tcPr>
          <w:p w14:paraId="07DCF830" w14:textId="77777777" w:rsidR="00AE727E" w:rsidRDefault="00AE727E">
            <w:pPr>
              <w:rPr>
                <w:rFonts w:ascii="宋体"/>
              </w:rPr>
            </w:pPr>
          </w:p>
        </w:tc>
        <w:tc>
          <w:tcPr>
            <w:tcW w:w="5" w:type="pct"/>
            <w:shd w:val="clear" w:color="auto" w:fill="auto"/>
            <w:vAlign w:val="bottom"/>
          </w:tcPr>
          <w:p w14:paraId="07DCF831" w14:textId="77777777" w:rsidR="00AE727E" w:rsidRDefault="00AE727E">
            <w:pPr>
              <w:rPr>
                <w:rFonts w:ascii="宋体"/>
              </w:rPr>
            </w:pPr>
          </w:p>
        </w:tc>
        <w:tc>
          <w:tcPr>
            <w:tcW w:w="0" w:type="auto"/>
            <w:shd w:val="clear" w:color="auto" w:fill="auto"/>
            <w:vAlign w:val="bottom"/>
          </w:tcPr>
          <w:p w14:paraId="07DCF832" w14:textId="77777777" w:rsidR="00AE727E" w:rsidRDefault="00AE727E">
            <w:pPr>
              <w:rPr>
                <w:rFonts w:ascii="宋体"/>
                <w:vanish/>
              </w:rPr>
            </w:pPr>
          </w:p>
        </w:tc>
        <w:tc>
          <w:tcPr>
            <w:tcW w:w="0" w:type="auto"/>
            <w:shd w:val="clear" w:color="auto" w:fill="auto"/>
            <w:vAlign w:val="bottom"/>
          </w:tcPr>
          <w:p w14:paraId="07DCF833" w14:textId="77777777" w:rsidR="00AE727E" w:rsidRDefault="00AE727E">
            <w:pPr>
              <w:rPr>
                <w:rFonts w:ascii="宋体"/>
                <w:vanish/>
              </w:rPr>
            </w:pPr>
          </w:p>
        </w:tc>
        <w:tc>
          <w:tcPr>
            <w:tcW w:w="50" w:type="pct"/>
            <w:shd w:val="clear" w:color="auto" w:fill="auto"/>
            <w:vAlign w:val="bottom"/>
          </w:tcPr>
          <w:p w14:paraId="07DCF834" w14:textId="77777777" w:rsidR="00AE727E" w:rsidRDefault="00AE727E">
            <w:pPr>
              <w:rPr>
                <w:rFonts w:ascii="宋体"/>
              </w:rPr>
            </w:pPr>
          </w:p>
        </w:tc>
        <w:tc>
          <w:tcPr>
            <w:tcW w:w="756" w:type="pct"/>
            <w:shd w:val="clear" w:color="auto" w:fill="auto"/>
            <w:vAlign w:val="bottom"/>
          </w:tcPr>
          <w:p w14:paraId="07DCF835" w14:textId="77777777" w:rsidR="00AE727E" w:rsidRDefault="00AE727E">
            <w:pPr>
              <w:rPr>
                <w:rFonts w:ascii="宋体"/>
              </w:rPr>
            </w:pPr>
          </w:p>
        </w:tc>
        <w:tc>
          <w:tcPr>
            <w:tcW w:w="5" w:type="pct"/>
            <w:shd w:val="clear" w:color="auto" w:fill="auto"/>
            <w:vAlign w:val="bottom"/>
          </w:tcPr>
          <w:p w14:paraId="07DCF836" w14:textId="77777777" w:rsidR="00AE727E" w:rsidRDefault="00AE727E">
            <w:pPr>
              <w:rPr>
                <w:rFonts w:ascii="宋体"/>
              </w:rPr>
            </w:pPr>
          </w:p>
        </w:tc>
        <w:tc>
          <w:tcPr>
            <w:tcW w:w="5" w:type="pct"/>
            <w:shd w:val="clear" w:color="auto" w:fill="auto"/>
            <w:vAlign w:val="bottom"/>
          </w:tcPr>
          <w:p w14:paraId="07DCF837" w14:textId="77777777" w:rsidR="00AE727E" w:rsidRDefault="00AE727E">
            <w:pPr>
              <w:rPr>
                <w:rFonts w:ascii="宋体"/>
              </w:rPr>
            </w:pPr>
          </w:p>
        </w:tc>
        <w:tc>
          <w:tcPr>
            <w:tcW w:w="19" w:type="pct"/>
            <w:shd w:val="clear" w:color="auto" w:fill="auto"/>
            <w:vAlign w:val="bottom"/>
          </w:tcPr>
          <w:p w14:paraId="07DCF838" w14:textId="77777777" w:rsidR="00AE727E" w:rsidRDefault="00AE727E">
            <w:pPr>
              <w:rPr>
                <w:rFonts w:ascii="宋体"/>
              </w:rPr>
            </w:pPr>
          </w:p>
        </w:tc>
        <w:tc>
          <w:tcPr>
            <w:tcW w:w="5" w:type="pct"/>
            <w:shd w:val="clear" w:color="auto" w:fill="auto"/>
            <w:vAlign w:val="bottom"/>
          </w:tcPr>
          <w:p w14:paraId="07DCF839" w14:textId="77777777" w:rsidR="00AE727E" w:rsidRDefault="00AE727E">
            <w:pPr>
              <w:rPr>
                <w:rFonts w:ascii="宋体"/>
              </w:rPr>
            </w:pPr>
          </w:p>
        </w:tc>
        <w:tc>
          <w:tcPr>
            <w:tcW w:w="50" w:type="pct"/>
            <w:shd w:val="clear" w:color="auto" w:fill="auto"/>
            <w:vAlign w:val="bottom"/>
          </w:tcPr>
          <w:p w14:paraId="07DCF83A" w14:textId="77777777" w:rsidR="00AE727E" w:rsidRDefault="00AE727E">
            <w:pPr>
              <w:rPr>
                <w:rFonts w:ascii="宋体"/>
              </w:rPr>
            </w:pPr>
          </w:p>
        </w:tc>
        <w:tc>
          <w:tcPr>
            <w:tcW w:w="756" w:type="pct"/>
            <w:shd w:val="clear" w:color="auto" w:fill="auto"/>
            <w:vAlign w:val="bottom"/>
          </w:tcPr>
          <w:p w14:paraId="07DCF83B" w14:textId="77777777" w:rsidR="00AE727E" w:rsidRDefault="00AE727E">
            <w:pPr>
              <w:rPr>
                <w:rFonts w:ascii="宋体"/>
              </w:rPr>
            </w:pPr>
          </w:p>
        </w:tc>
        <w:tc>
          <w:tcPr>
            <w:tcW w:w="5" w:type="pct"/>
            <w:shd w:val="clear" w:color="auto" w:fill="auto"/>
            <w:vAlign w:val="bottom"/>
          </w:tcPr>
          <w:p w14:paraId="07DCF83C" w14:textId="77777777" w:rsidR="00AE727E" w:rsidRDefault="00AE727E">
            <w:pPr>
              <w:rPr>
                <w:rFonts w:ascii="宋体"/>
              </w:rPr>
            </w:pPr>
          </w:p>
        </w:tc>
        <w:tc>
          <w:tcPr>
            <w:tcW w:w="5" w:type="pct"/>
            <w:shd w:val="clear" w:color="auto" w:fill="auto"/>
            <w:vAlign w:val="bottom"/>
          </w:tcPr>
          <w:p w14:paraId="07DCF83D" w14:textId="77777777" w:rsidR="00AE727E" w:rsidRDefault="00AE727E">
            <w:pPr>
              <w:rPr>
                <w:rFonts w:ascii="宋体"/>
              </w:rPr>
            </w:pPr>
          </w:p>
        </w:tc>
        <w:tc>
          <w:tcPr>
            <w:tcW w:w="19" w:type="pct"/>
            <w:shd w:val="clear" w:color="auto" w:fill="auto"/>
            <w:vAlign w:val="bottom"/>
          </w:tcPr>
          <w:p w14:paraId="07DCF83E" w14:textId="77777777" w:rsidR="00AE727E" w:rsidRDefault="00AE727E">
            <w:pPr>
              <w:rPr>
                <w:rFonts w:ascii="宋体"/>
              </w:rPr>
            </w:pPr>
          </w:p>
        </w:tc>
        <w:tc>
          <w:tcPr>
            <w:tcW w:w="5" w:type="pct"/>
            <w:shd w:val="clear" w:color="auto" w:fill="auto"/>
            <w:vAlign w:val="bottom"/>
          </w:tcPr>
          <w:p w14:paraId="07DCF83F" w14:textId="77777777" w:rsidR="00AE727E" w:rsidRDefault="00AE727E">
            <w:pPr>
              <w:rPr>
                <w:rFonts w:ascii="宋体"/>
              </w:rPr>
            </w:pPr>
          </w:p>
        </w:tc>
        <w:tc>
          <w:tcPr>
            <w:tcW w:w="50" w:type="pct"/>
            <w:shd w:val="clear" w:color="auto" w:fill="auto"/>
            <w:vAlign w:val="bottom"/>
          </w:tcPr>
          <w:p w14:paraId="07DCF840" w14:textId="77777777" w:rsidR="00AE727E" w:rsidRDefault="00AE727E">
            <w:pPr>
              <w:rPr>
                <w:rFonts w:ascii="宋体"/>
              </w:rPr>
            </w:pPr>
          </w:p>
        </w:tc>
        <w:tc>
          <w:tcPr>
            <w:tcW w:w="756" w:type="pct"/>
            <w:shd w:val="clear" w:color="auto" w:fill="auto"/>
            <w:vAlign w:val="bottom"/>
          </w:tcPr>
          <w:p w14:paraId="07DCF841" w14:textId="77777777" w:rsidR="00AE727E" w:rsidRDefault="00AE727E">
            <w:pPr>
              <w:rPr>
                <w:rFonts w:ascii="宋体"/>
              </w:rPr>
            </w:pPr>
          </w:p>
        </w:tc>
        <w:tc>
          <w:tcPr>
            <w:tcW w:w="5" w:type="pct"/>
            <w:shd w:val="clear" w:color="auto" w:fill="auto"/>
            <w:vAlign w:val="bottom"/>
          </w:tcPr>
          <w:p w14:paraId="07DCF842" w14:textId="77777777" w:rsidR="00AE727E" w:rsidRDefault="00AE727E">
            <w:pPr>
              <w:rPr>
                <w:rFonts w:ascii="宋体"/>
              </w:rPr>
            </w:pPr>
          </w:p>
        </w:tc>
      </w:tr>
      <w:tr w:rsidR="00AE727E" w14:paraId="07DCF84E" w14:textId="77777777">
        <w:trPr>
          <w:jc w:val="center"/>
        </w:trPr>
        <w:tc>
          <w:tcPr>
            <w:tcW w:w="0" w:type="auto"/>
            <w:gridSpan w:val="3"/>
            <w:shd w:val="clear" w:color="auto" w:fill="auto"/>
            <w:tcMar>
              <w:top w:w="0" w:type="dxa"/>
              <w:left w:w="20" w:type="dxa"/>
              <w:bottom w:w="0" w:type="dxa"/>
              <w:right w:w="20" w:type="dxa"/>
            </w:tcMar>
            <w:vAlign w:val="bottom"/>
          </w:tcPr>
          <w:p w14:paraId="07DCF844"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845" w14:textId="77777777" w:rsidR="00AE727E" w:rsidRDefault="008433E0">
            <w:pPr>
              <w:jc w:val="center"/>
              <w:textAlignment w:val="bottom"/>
            </w:pPr>
            <w:r>
              <w:rPr>
                <w:rFonts w:ascii="Times New Roman" w:eastAsia="宋体" w:hAnsi="Times New Roman"/>
                <w:b/>
                <w:bCs/>
                <w:color w:val="000000"/>
                <w:sz w:val="20"/>
                <w:szCs w:val="20"/>
              </w:rPr>
              <w:t>Foreign Currency Translation Adjustments</w:t>
            </w:r>
          </w:p>
        </w:tc>
        <w:tc>
          <w:tcPr>
            <w:tcW w:w="0" w:type="auto"/>
            <w:gridSpan w:val="3"/>
            <w:shd w:val="clear" w:color="auto" w:fill="auto"/>
            <w:tcMar>
              <w:top w:w="0" w:type="dxa"/>
              <w:left w:w="20" w:type="dxa"/>
              <w:bottom w:w="0" w:type="dxa"/>
              <w:right w:w="20" w:type="dxa"/>
            </w:tcMar>
            <w:vAlign w:val="bottom"/>
          </w:tcPr>
          <w:p w14:paraId="07DCF846" w14:textId="77777777" w:rsidR="00AE727E" w:rsidRDefault="00AE727E">
            <w:pPr>
              <w:rPr>
                <w:rFonts w:ascii="宋体"/>
              </w:rPr>
            </w:pPr>
          </w:p>
        </w:tc>
        <w:tc>
          <w:tcPr>
            <w:tcW w:w="0" w:type="auto"/>
            <w:shd w:val="clear" w:color="auto" w:fill="auto"/>
            <w:vAlign w:val="bottom"/>
          </w:tcPr>
          <w:p w14:paraId="07DCF847" w14:textId="77777777" w:rsidR="00AE727E" w:rsidRDefault="00AE727E">
            <w:pPr>
              <w:rPr>
                <w:rFonts w:ascii="宋体"/>
                <w:vanish/>
              </w:rPr>
            </w:pPr>
          </w:p>
        </w:tc>
        <w:tc>
          <w:tcPr>
            <w:tcW w:w="0" w:type="auto"/>
            <w:shd w:val="clear" w:color="auto" w:fill="auto"/>
            <w:vAlign w:val="bottom"/>
          </w:tcPr>
          <w:p w14:paraId="07DCF848" w14:textId="77777777" w:rsidR="00AE727E" w:rsidRDefault="00AE727E">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849" w14:textId="77777777" w:rsidR="00AE727E" w:rsidRDefault="008433E0">
            <w:pPr>
              <w:jc w:val="center"/>
              <w:textAlignment w:val="bottom"/>
            </w:pPr>
            <w:r>
              <w:rPr>
                <w:rFonts w:ascii="Times New Roman" w:eastAsia="宋体" w:hAnsi="Times New Roman"/>
                <w:b/>
                <w:bCs/>
                <w:color w:val="000000"/>
                <w:sz w:val="20"/>
                <w:szCs w:val="20"/>
              </w:rPr>
              <w:t>Cash Flow Hedges</w:t>
            </w:r>
          </w:p>
        </w:tc>
        <w:tc>
          <w:tcPr>
            <w:tcW w:w="0" w:type="auto"/>
            <w:gridSpan w:val="3"/>
            <w:shd w:val="clear" w:color="auto" w:fill="auto"/>
            <w:tcMar>
              <w:top w:w="0" w:type="dxa"/>
              <w:left w:w="20" w:type="dxa"/>
              <w:bottom w:w="0" w:type="dxa"/>
              <w:right w:w="20" w:type="dxa"/>
            </w:tcMar>
            <w:vAlign w:val="bottom"/>
          </w:tcPr>
          <w:p w14:paraId="07DCF84A"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84B" w14:textId="77777777" w:rsidR="00AE727E" w:rsidRDefault="008433E0">
            <w:pPr>
              <w:jc w:val="center"/>
              <w:textAlignment w:val="bottom"/>
            </w:pPr>
            <w:r>
              <w:rPr>
                <w:rFonts w:ascii="Times New Roman" w:eastAsia="宋体" w:hAnsi="Times New Roman"/>
                <w:b/>
                <w:bCs/>
                <w:color w:val="000000"/>
                <w:sz w:val="20"/>
                <w:szCs w:val="20"/>
              </w:rPr>
              <w:t>Pension and Other Postretirement Plans</w:t>
            </w:r>
          </w:p>
        </w:tc>
        <w:tc>
          <w:tcPr>
            <w:tcW w:w="0" w:type="auto"/>
            <w:gridSpan w:val="3"/>
            <w:shd w:val="clear" w:color="auto" w:fill="auto"/>
            <w:tcMar>
              <w:top w:w="0" w:type="dxa"/>
              <w:left w:w="20" w:type="dxa"/>
              <w:bottom w:w="0" w:type="dxa"/>
              <w:right w:w="20" w:type="dxa"/>
            </w:tcMar>
            <w:vAlign w:val="bottom"/>
          </w:tcPr>
          <w:p w14:paraId="07DCF84C"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84D" w14:textId="77777777" w:rsidR="00AE727E" w:rsidRDefault="008433E0">
            <w:pPr>
              <w:jc w:val="center"/>
              <w:textAlignment w:val="bottom"/>
            </w:pPr>
            <w:r>
              <w:rPr>
                <w:rFonts w:ascii="Times New Roman" w:eastAsia="宋体" w:hAnsi="Times New Roman"/>
                <w:b/>
                <w:bCs/>
                <w:color w:val="000000"/>
                <w:sz w:val="20"/>
                <w:szCs w:val="20"/>
              </w:rPr>
              <w:t>Accumulated Other Comprehensive Income (Loss)</w:t>
            </w:r>
          </w:p>
        </w:tc>
      </w:tr>
      <w:tr w:rsidR="00AE727E" w14:paraId="07DCF857" w14:textId="77777777">
        <w:trPr>
          <w:jc w:val="center"/>
        </w:trPr>
        <w:tc>
          <w:tcPr>
            <w:tcW w:w="0" w:type="auto"/>
            <w:gridSpan w:val="3"/>
            <w:shd w:val="clear" w:color="auto" w:fill="auto"/>
            <w:tcMar>
              <w:top w:w="0" w:type="dxa"/>
              <w:left w:w="20" w:type="dxa"/>
              <w:bottom w:w="0" w:type="dxa"/>
              <w:right w:w="20" w:type="dxa"/>
            </w:tcMar>
            <w:vAlign w:val="bottom"/>
          </w:tcPr>
          <w:p w14:paraId="07DCF84F" w14:textId="77777777" w:rsidR="00AE727E" w:rsidRDefault="00AE727E">
            <w:pPr>
              <w:rPr>
                <w:rFonts w:ascii="宋体"/>
              </w:rPr>
            </w:pPr>
          </w:p>
        </w:tc>
        <w:tc>
          <w:tcPr>
            <w:tcW w:w="0" w:type="auto"/>
            <w:gridSpan w:val="17"/>
            <w:tcBorders>
              <w:top w:val="single" w:sz="8" w:space="0" w:color="000000"/>
            </w:tcBorders>
            <w:shd w:val="clear" w:color="auto" w:fill="auto"/>
            <w:tcMar>
              <w:top w:w="40" w:type="dxa"/>
              <w:left w:w="20" w:type="dxa"/>
              <w:bottom w:w="40" w:type="dxa"/>
              <w:right w:w="20" w:type="dxa"/>
            </w:tcMar>
            <w:vAlign w:val="bottom"/>
          </w:tcPr>
          <w:p w14:paraId="07DCF850" w14:textId="77777777" w:rsidR="00AE727E" w:rsidRDefault="008433E0">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DCF851" w14:textId="77777777" w:rsidR="00AE727E" w:rsidRDefault="00AE727E">
            <w:pPr>
              <w:rPr>
                <w:rFonts w:ascii="宋体"/>
              </w:rPr>
            </w:pPr>
          </w:p>
        </w:tc>
        <w:tc>
          <w:tcPr>
            <w:tcW w:w="0" w:type="auto"/>
            <w:shd w:val="clear" w:color="auto" w:fill="auto"/>
            <w:vAlign w:val="bottom"/>
          </w:tcPr>
          <w:p w14:paraId="07DCF852" w14:textId="77777777" w:rsidR="00AE727E" w:rsidRDefault="00AE727E">
            <w:pPr>
              <w:rPr>
                <w:rFonts w:ascii="宋体"/>
              </w:rPr>
            </w:pPr>
          </w:p>
        </w:tc>
        <w:tc>
          <w:tcPr>
            <w:tcW w:w="0" w:type="auto"/>
            <w:shd w:val="clear" w:color="auto" w:fill="auto"/>
            <w:vAlign w:val="bottom"/>
          </w:tcPr>
          <w:p w14:paraId="07DCF853" w14:textId="77777777" w:rsidR="00AE727E" w:rsidRDefault="00AE727E">
            <w:pPr>
              <w:rPr>
                <w:rFonts w:ascii="宋体"/>
              </w:rPr>
            </w:pPr>
          </w:p>
        </w:tc>
        <w:tc>
          <w:tcPr>
            <w:tcW w:w="0" w:type="auto"/>
            <w:shd w:val="clear" w:color="auto" w:fill="auto"/>
            <w:vAlign w:val="bottom"/>
          </w:tcPr>
          <w:p w14:paraId="07DCF854" w14:textId="77777777" w:rsidR="00AE727E" w:rsidRDefault="00AE727E">
            <w:pPr>
              <w:rPr>
                <w:rFonts w:ascii="宋体"/>
              </w:rPr>
            </w:pPr>
          </w:p>
        </w:tc>
        <w:tc>
          <w:tcPr>
            <w:tcW w:w="0" w:type="auto"/>
            <w:shd w:val="clear" w:color="auto" w:fill="auto"/>
            <w:vAlign w:val="bottom"/>
          </w:tcPr>
          <w:p w14:paraId="07DCF855" w14:textId="77777777" w:rsidR="00AE727E" w:rsidRDefault="00AE727E">
            <w:pPr>
              <w:rPr>
                <w:rFonts w:ascii="宋体"/>
              </w:rPr>
            </w:pPr>
          </w:p>
        </w:tc>
        <w:tc>
          <w:tcPr>
            <w:tcW w:w="0" w:type="auto"/>
            <w:shd w:val="clear" w:color="auto" w:fill="auto"/>
            <w:vAlign w:val="bottom"/>
          </w:tcPr>
          <w:p w14:paraId="07DCF856" w14:textId="77777777" w:rsidR="00AE727E" w:rsidRDefault="00AE727E">
            <w:pPr>
              <w:rPr>
                <w:rFonts w:ascii="宋体"/>
              </w:rPr>
            </w:pPr>
          </w:p>
        </w:tc>
      </w:tr>
      <w:tr w:rsidR="00AE727E" w14:paraId="07DCF86A" w14:textId="77777777">
        <w:trPr>
          <w:jc w:val="center"/>
        </w:trPr>
        <w:tc>
          <w:tcPr>
            <w:tcW w:w="0" w:type="auto"/>
            <w:gridSpan w:val="3"/>
            <w:shd w:val="clear" w:color="auto" w:fill="CCEEFF"/>
            <w:tcMar>
              <w:top w:w="40" w:type="dxa"/>
              <w:left w:w="20" w:type="dxa"/>
              <w:bottom w:w="40" w:type="dxa"/>
              <w:right w:w="20" w:type="dxa"/>
            </w:tcMar>
            <w:vAlign w:val="bottom"/>
          </w:tcPr>
          <w:p w14:paraId="07DCF858" w14:textId="77777777" w:rsidR="00AE727E" w:rsidRDefault="008433E0">
            <w:pPr>
              <w:textAlignment w:val="bottom"/>
            </w:pPr>
            <w:r>
              <w:rPr>
                <w:rFonts w:ascii="Times New Roman" w:eastAsia="宋体" w:hAnsi="Times New Roman"/>
                <w:i/>
                <w:iCs/>
                <w:color w:val="000000"/>
                <w:sz w:val="20"/>
                <w:szCs w:val="20"/>
              </w:rPr>
              <w:t>Balances as of January 29, 2021</w:t>
            </w:r>
          </w:p>
        </w:tc>
        <w:tc>
          <w:tcPr>
            <w:tcW w:w="0" w:type="auto"/>
            <w:shd w:val="clear" w:color="auto" w:fill="CCEEFF"/>
            <w:tcMar>
              <w:top w:w="40" w:type="dxa"/>
              <w:left w:w="20" w:type="dxa"/>
              <w:bottom w:w="40" w:type="dxa"/>
              <w:right w:w="0" w:type="dxa"/>
            </w:tcMar>
            <w:vAlign w:val="bottom"/>
          </w:tcPr>
          <w:p w14:paraId="07DCF85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85A" w14:textId="77777777" w:rsidR="00AE727E" w:rsidRDefault="008433E0">
            <w:pPr>
              <w:jc w:val="right"/>
              <w:textAlignment w:val="bottom"/>
            </w:pPr>
            <w:r>
              <w:rPr>
                <w:rFonts w:ascii="Times New Roman" w:eastAsia="宋体" w:hAnsi="Times New Roman"/>
                <w:color w:val="000000"/>
                <w:sz w:val="20"/>
                <w:szCs w:val="20"/>
              </w:rPr>
              <w:t>(150)</w:t>
            </w:r>
          </w:p>
        </w:tc>
        <w:tc>
          <w:tcPr>
            <w:tcW w:w="0" w:type="auto"/>
            <w:shd w:val="clear" w:color="auto" w:fill="CCEEFF"/>
            <w:tcMar>
              <w:top w:w="40" w:type="dxa"/>
              <w:left w:w="0" w:type="dxa"/>
              <w:bottom w:w="40" w:type="dxa"/>
              <w:right w:w="20" w:type="dxa"/>
            </w:tcMar>
            <w:vAlign w:val="bottom"/>
          </w:tcPr>
          <w:p w14:paraId="07DCF85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5C" w14:textId="77777777" w:rsidR="00AE727E" w:rsidRDefault="00AE727E">
            <w:pPr>
              <w:rPr>
                <w:rFonts w:ascii="宋体"/>
              </w:rPr>
            </w:pPr>
          </w:p>
        </w:tc>
        <w:tc>
          <w:tcPr>
            <w:tcW w:w="0" w:type="auto"/>
            <w:shd w:val="clear" w:color="auto" w:fill="auto"/>
            <w:vAlign w:val="bottom"/>
          </w:tcPr>
          <w:p w14:paraId="07DCF85D" w14:textId="77777777" w:rsidR="00AE727E" w:rsidRDefault="00AE727E">
            <w:pPr>
              <w:rPr>
                <w:rFonts w:ascii="宋体"/>
                <w:vanish/>
              </w:rPr>
            </w:pPr>
          </w:p>
        </w:tc>
        <w:tc>
          <w:tcPr>
            <w:tcW w:w="0" w:type="auto"/>
            <w:shd w:val="clear" w:color="auto" w:fill="auto"/>
            <w:vAlign w:val="bottom"/>
          </w:tcPr>
          <w:p w14:paraId="07DCF85E" w14:textId="77777777" w:rsidR="00AE727E" w:rsidRDefault="00AE727E">
            <w:pPr>
              <w:rPr>
                <w:rFonts w:ascii="宋体"/>
                <w:vanish/>
              </w:rPr>
            </w:pPr>
          </w:p>
        </w:tc>
        <w:tc>
          <w:tcPr>
            <w:tcW w:w="0" w:type="auto"/>
            <w:shd w:val="clear" w:color="auto" w:fill="CCEEFF"/>
            <w:tcMar>
              <w:top w:w="40" w:type="dxa"/>
              <w:left w:w="20" w:type="dxa"/>
              <w:bottom w:w="40" w:type="dxa"/>
              <w:right w:w="0" w:type="dxa"/>
            </w:tcMar>
            <w:vAlign w:val="bottom"/>
          </w:tcPr>
          <w:p w14:paraId="07DCF85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860" w14:textId="77777777" w:rsidR="00AE727E" w:rsidRDefault="008433E0">
            <w:pPr>
              <w:jc w:val="right"/>
              <w:textAlignment w:val="bottom"/>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bottom"/>
          </w:tcPr>
          <w:p w14:paraId="07DCF8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62"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86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864" w14:textId="77777777" w:rsidR="00AE727E" w:rsidRDefault="008433E0">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07DCF8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66"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86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868" w14:textId="77777777" w:rsidR="00AE727E" w:rsidRDefault="008433E0">
            <w:pPr>
              <w:jc w:val="right"/>
              <w:textAlignment w:val="bottom"/>
            </w:pPr>
            <w:r>
              <w:rPr>
                <w:rFonts w:ascii="Times New Roman" w:eastAsia="宋体" w:hAnsi="Times New Roman"/>
                <w:color w:val="000000"/>
                <w:sz w:val="20"/>
                <w:szCs w:val="20"/>
              </w:rPr>
              <w:t>(314)</w:t>
            </w:r>
          </w:p>
        </w:tc>
        <w:tc>
          <w:tcPr>
            <w:tcW w:w="0" w:type="auto"/>
            <w:shd w:val="clear" w:color="auto" w:fill="CCEEFF"/>
            <w:tcMar>
              <w:top w:w="40" w:type="dxa"/>
              <w:left w:w="0" w:type="dxa"/>
              <w:bottom w:w="40" w:type="dxa"/>
              <w:right w:w="20" w:type="dxa"/>
            </w:tcMar>
            <w:vAlign w:val="bottom"/>
          </w:tcPr>
          <w:p w14:paraId="07DCF869" w14:textId="77777777" w:rsidR="00AE727E" w:rsidRDefault="00AE727E">
            <w:pPr>
              <w:jc w:val="right"/>
              <w:rPr>
                <w:rFonts w:ascii="宋体"/>
              </w:rPr>
            </w:pPr>
          </w:p>
        </w:tc>
      </w:tr>
      <w:tr w:rsidR="00AE727E" w14:paraId="07DCF875" w14:textId="77777777">
        <w:trPr>
          <w:jc w:val="center"/>
          <w:hidden/>
        </w:trPr>
        <w:tc>
          <w:tcPr>
            <w:tcW w:w="0" w:type="auto"/>
            <w:gridSpan w:val="3"/>
            <w:shd w:val="clear" w:color="auto" w:fill="auto"/>
            <w:vAlign w:val="bottom"/>
          </w:tcPr>
          <w:p w14:paraId="07DCF86B" w14:textId="77777777" w:rsidR="00AE727E" w:rsidRDefault="00AE727E">
            <w:pPr>
              <w:rPr>
                <w:rFonts w:ascii="宋体"/>
                <w:vanish/>
              </w:rPr>
            </w:pPr>
          </w:p>
        </w:tc>
        <w:tc>
          <w:tcPr>
            <w:tcW w:w="0" w:type="auto"/>
            <w:gridSpan w:val="3"/>
            <w:shd w:val="clear" w:color="auto" w:fill="auto"/>
            <w:vAlign w:val="bottom"/>
          </w:tcPr>
          <w:p w14:paraId="07DCF86C" w14:textId="77777777" w:rsidR="00AE727E" w:rsidRDefault="00AE727E">
            <w:pPr>
              <w:rPr>
                <w:rFonts w:ascii="宋体"/>
                <w:vanish/>
              </w:rPr>
            </w:pPr>
          </w:p>
        </w:tc>
        <w:tc>
          <w:tcPr>
            <w:tcW w:w="0" w:type="auto"/>
            <w:gridSpan w:val="3"/>
            <w:shd w:val="clear" w:color="auto" w:fill="auto"/>
            <w:vAlign w:val="bottom"/>
          </w:tcPr>
          <w:p w14:paraId="07DCF86D" w14:textId="77777777" w:rsidR="00AE727E" w:rsidRDefault="00AE727E">
            <w:pPr>
              <w:rPr>
                <w:rFonts w:ascii="宋体"/>
                <w:vanish/>
              </w:rPr>
            </w:pPr>
          </w:p>
        </w:tc>
        <w:tc>
          <w:tcPr>
            <w:tcW w:w="0" w:type="auto"/>
            <w:shd w:val="clear" w:color="auto" w:fill="auto"/>
            <w:vAlign w:val="bottom"/>
          </w:tcPr>
          <w:p w14:paraId="07DCF86E" w14:textId="77777777" w:rsidR="00AE727E" w:rsidRDefault="00AE727E">
            <w:pPr>
              <w:rPr>
                <w:rFonts w:ascii="宋体"/>
                <w:vanish/>
              </w:rPr>
            </w:pPr>
          </w:p>
        </w:tc>
        <w:tc>
          <w:tcPr>
            <w:tcW w:w="0" w:type="auto"/>
            <w:shd w:val="clear" w:color="auto" w:fill="auto"/>
            <w:vAlign w:val="bottom"/>
          </w:tcPr>
          <w:p w14:paraId="07DCF86F" w14:textId="77777777" w:rsidR="00AE727E" w:rsidRDefault="00AE727E">
            <w:pPr>
              <w:rPr>
                <w:rFonts w:ascii="宋体"/>
                <w:vanish/>
              </w:rPr>
            </w:pPr>
          </w:p>
        </w:tc>
        <w:tc>
          <w:tcPr>
            <w:tcW w:w="0" w:type="auto"/>
            <w:gridSpan w:val="3"/>
            <w:shd w:val="clear" w:color="auto" w:fill="auto"/>
            <w:vAlign w:val="bottom"/>
          </w:tcPr>
          <w:p w14:paraId="07DCF870" w14:textId="77777777" w:rsidR="00AE727E" w:rsidRDefault="00AE727E">
            <w:pPr>
              <w:rPr>
                <w:rFonts w:ascii="宋体"/>
                <w:vanish/>
              </w:rPr>
            </w:pPr>
          </w:p>
        </w:tc>
        <w:tc>
          <w:tcPr>
            <w:tcW w:w="0" w:type="auto"/>
            <w:gridSpan w:val="3"/>
            <w:shd w:val="clear" w:color="auto" w:fill="auto"/>
            <w:vAlign w:val="bottom"/>
          </w:tcPr>
          <w:p w14:paraId="07DCF871" w14:textId="77777777" w:rsidR="00AE727E" w:rsidRDefault="00AE727E">
            <w:pPr>
              <w:rPr>
                <w:rFonts w:ascii="宋体"/>
                <w:vanish/>
              </w:rPr>
            </w:pPr>
          </w:p>
        </w:tc>
        <w:tc>
          <w:tcPr>
            <w:tcW w:w="0" w:type="auto"/>
            <w:gridSpan w:val="3"/>
            <w:shd w:val="clear" w:color="auto" w:fill="auto"/>
            <w:vAlign w:val="bottom"/>
          </w:tcPr>
          <w:p w14:paraId="07DCF872" w14:textId="77777777" w:rsidR="00AE727E" w:rsidRDefault="00AE727E">
            <w:pPr>
              <w:rPr>
                <w:rFonts w:ascii="宋体"/>
                <w:vanish/>
              </w:rPr>
            </w:pPr>
          </w:p>
        </w:tc>
        <w:tc>
          <w:tcPr>
            <w:tcW w:w="0" w:type="auto"/>
            <w:gridSpan w:val="3"/>
            <w:shd w:val="clear" w:color="auto" w:fill="auto"/>
            <w:vAlign w:val="bottom"/>
          </w:tcPr>
          <w:p w14:paraId="07DCF873" w14:textId="77777777" w:rsidR="00AE727E" w:rsidRDefault="00AE727E">
            <w:pPr>
              <w:rPr>
                <w:rFonts w:ascii="宋体"/>
                <w:vanish/>
              </w:rPr>
            </w:pPr>
          </w:p>
        </w:tc>
        <w:tc>
          <w:tcPr>
            <w:tcW w:w="0" w:type="auto"/>
            <w:gridSpan w:val="3"/>
            <w:shd w:val="clear" w:color="auto" w:fill="auto"/>
            <w:vAlign w:val="bottom"/>
          </w:tcPr>
          <w:p w14:paraId="07DCF874" w14:textId="77777777" w:rsidR="00AE727E" w:rsidRDefault="00AE727E">
            <w:pPr>
              <w:rPr>
                <w:rFonts w:ascii="宋体"/>
                <w:vanish/>
              </w:rPr>
            </w:pPr>
          </w:p>
        </w:tc>
      </w:tr>
      <w:tr w:rsidR="00AE727E" w14:paraId="07DCF884" w14:textId="77777777">
        <w:trPr>
          <w:jc w:val="center"/>
        </w:trPr>
        <w:tc>
          <w:tcPr>
            <w:tcW w:w="0" w:type="auto"/>
            <w:gridSpan w:val="3"/>
            <w:shd w:val="clear" w:color="auto" w:fill="FFFFFF"/>
            <w:tcMar>
              <w:top w:w="40" w:type="dxa"/>
              <w:left w:w="125" w:type="dxa"/>
              <w:bottom w:w="40" w:type="dxa"/>
              <w:right w:w="20" w:type="dxa"/>
            </w:tcMar>
            <w:vAlign w:val="bottom"/>
          </w:tcPr>
          <w:p w14:paraId="07DCF876" w14:textId="77777777" w:rsidR="00AE727E" w:rsidRDefault="008433E0">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07DCF877" w14:textId="77777777" w:rsidR="00AE727E" w:rsidRDefault="008433E0">
            <w:pPr>
              <w:jc w:val="right"/>
              <w:textAlignment w:val="bottom"/>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bottom"/>
          </w:tcPr>
          <w:p w14:paraId="07DCF87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79" w14:textId="77777777" w:rsidR="00AE727E" w:rsidRDefault="00AE727E">
            <w:pPr>
              <w:rPr>
                <w:rFonts w:ascii="宋体"/>
              </w:rPr>
            </w:pPr>
          </w:p>
        </w:tc>
        <w:tc>
          <w:tcPr>
            <w:tcW w:w="0" w:type="auto"/>
            <w:shd w:val="clear" w:color="auto" w:fill="auto"/>
            <w:vAlign w:val="bottom"/>
          </w:tcPr>
          <w:p w14:paraId="07DCF87A" w14:textId="77777777" w:rsidR="00AE727E" w:rsidRDefault="00AE727E">
            <w:pPr>
              <w:rPr>
                <w:rFonts w:ascii="宋体"/>
                <w:vanish/>
              </w:rPr>
            </w:pPr>
          </w:p>
        </w:tc>
        <w:tc>
          <w:tcPr>
            <w:tcW w:w="0" w:type="auto"/>
            <w:shd w:val="clear" w:color="auto" w:fill="auto"/>
            <w:vAlign w:val="bottom"/>
          </w:tcPr>
          <w:p w14:paraId="07DCF87B" w14:textId="77777777" w:rsidR="00AE727E" w:rsidRDefault="00AE727E">
            <w:pPr>
              <w:rPr>
                <w:rFonts w:ascii="宋体"/>
                <w:vanish/>
              </w:rPr>
            </w:pPr>
          </w:p>
        </w:tc>
        <w:tc>
          <w:tcPr>
            <w:tcW w:w="0" w:type="auto"/>
            <w:gridSpan w:val="2"/>
            <w:shd w:val="clear" w:color="auto" w:fill="FFFFFF"/>
            <w:tcMar>
              <w:top w:w="40" w:type="dxa"/>
              <w:left w:w="20" w:type="dxa"/>
              <w:bottom w:w="40" w:type="dxa"/>
              <w:right w:w="0" w:type="dxa"/>
            </w:tcMar>
            <w:vAlign w:val="bottom"/>
          </w:tcPr>
          <w:p w14:paraId="07DCF87C" w14:textId="77777777" w:rsidR="00AE727E" w:rsidRDefault="008433E0">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07DCF87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7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87F" w14:textId="77777777" w:rsidR="00AE727E" w:rsidRDefault="008433E0">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DCF88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8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882" w14:textId="77777777" w:rsidR="00AE727E" w:rsidRDefault="008433E0">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07DCF883" w14:textId="77777777" w:rsidR="00AE727E" w:rsidRDefault="00AE727E">
            <w:pPr>
              <w:jc w:val="right"/>
              <w:rPr>
                <w:rFonts w:ascii="宋体"/>
              </w:rPr>
            </w:pPr>
          </w:p>
        </w:tc>
      </w:tr>
      <w:tr w:rsidR="00AE727E" w14:paraId="07DCF893" w14:textId="77777777">
        <w:trPr>
          <w:jc w:val="center"/>
        </w:trPr>
        <w:tc>
          <w:tcPr>
            <w:tcW w:w="0" w:type="auto"/>
            <w:gridSpan w:val="3"/>
            <w:shd w:val="clear" w:color="auto" w:fill="CCEEFF"/>
            <w:tcMar>
              <w:top w:w="40" w:type="dxa"/>
              <w:left w:w="125" w:type="dxa"/>
              <w:bottom w:w="40" w:type="dxa"/>
              <w:right w:w="20" w:type="dxa"/>
            </w:tcMar>
            <w:vAlign w:val="bottom"/>
          </w:tcPr>
          <w:p w14:paraId="07DCF885" w14:textId="77777777" w:rsidR="00AE727E" w:rsidRDefault="008433E0">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07DCF886"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88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88" w14:textId="77777777" w:rsidR="00AE727E" w:rsidRDefault="00AE727E">
            <w:pPr>
              <w:rPr>
                <w:rFonts w:ascii="宋体"/>
              </w:rPr>
            </w:pPr>
          </w:p>
        </w:tc>
        <w:tc>
          <w:tcPr>
            <w:tcW w:w="0" w:type="auto"/>
            <w:shd w:val="clear" w:color="auto" w:fill="auto"/>
            <w:vAlign w:val="bottom"/>
          </w:tcPr>
          <w:p w14:paraId="07DCF889" w14:textId="77777777" w:rsidR="00AE727E" w:rsidRDefault="00AE727E">
            <w:pPr>
              <w:rPr>
                <w:rFonts w:ascii="宋体"/>
                <w:vanish/>
              </w:rPr>
            </w:pPr>
          </w:p>
        </w:tc>
        <w:tc>
          <w:tcPr>
            <w:tcW w:w="0" w:type="auto"/>
            <w:shd w:val="clear" w:color="auto" w:fill="auto"/>
            <w:vAlign w:val="bottom"/>
          </w:tcPr>
          <w:p w14:paraId="07DCF88A"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bottom"/>
          </w:tcPr>
          <w:p w14:paraId="07DCF88B" w14:textId="77777777" w:rsidR="00AE727E" w:rsidRDefault="008433E0">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7DCF88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8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88E" w14:textId="77777777" w:rsidR="00AE727E" w:rsidRDefault="008433E0">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DCF88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9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891" w14:textId="77777777" w:rsidR="00AE727E" w:rsidRDefault="008433E0">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07DCF892" w14:textId="77777777" w:rsidR="00AE727E" w:rsidRDefault="00AE727E">
            <w:pPr>
              <w:jc w:val="right"/>
              <w:rPr>
                <w:rFonts w:ascii="宋体"/>
              </w:rPr>
            </w:pPr>
          </w:p>
        </w:tc>
      </w:tr>
      <w:tr w:rsidR="00AE727E" w14:paraId="07DCF8A2" w14:textId="77777777">
        <w:trPr>
          <w:jc w:val="center"/>
        </w:trPr>
        <w:tc>
          <w:tcPr>
            <w:tcW w:w="0" w:type="auto"/>
            <w:gridSpan w:val="3"/>
            <w:shd w:val="clear" w:color="auto" w:fill="FFFFFF"/>
            <w:tcMar>
              <w:top w:w="40" w:type="dxa"/>
              <w:left w:w="275" w:type="dxa"/>
              <w:bottom w:w="40" w:type="dxa"/>
              <w:right w:w="20" w:type="dxa"/>
            </w:tcMar>
            <w:vAlign w:val="bottom"/>
          </w:tcPr>
          <w:p w14:paraId="07DCF894" w14:textId="77777777" w:rsidR="00AE727E" w:rsidRDefault="008433E0">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895" w14:textId="77777777" w:rsidR="00AE727E" w:rsidRDefault="008433E0">
            <w:pPr>
              <w:jc w:val="right"/>
              <w:textAlignment w:val="bottom"/>
            </w:pPr>
            <w:r>
              <w:rPr>
                <w:rFonts w:ascii="Times New Roman" w:eastAsia="宋体" w:hAnsi="Times New Roman"/>
                <w:color w:val="000000"/>
                <w:sz w:val="20"/>
                <w:szCs w:val="20"/>
              </w:rPr>
              <w:t>(201)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89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97" w14:textId="77777777" w:rsidR="00AE727E" w:rsidRDefault="00AE727E">
            <w:pPr>
              <w:rPr>
                <w:rFonts w:ascii="宋体"/>
              </w:rPr>
            </w:pPr>
          </w:p>
        </w:tc>
        <w:tc>
          <w:tcPr>
            <w:tcW w:w="0" w:type="auto"/>
            <w:shd w:val="clear" w:color="auto" w:fill="auto"/>
            <w:vAlign w:val="bottom"/>
          </w:tcPr>
          <w:p w14:paraId="07DCF898" w14:textId="77777777" w:rsidR="00AE727E" w:rsidRDefault="00AE727E">
            <w:pPr>
              <w:rPr>
                <w:rFonts w:ascii="宋体"/>
                <w:vanish/>
              </w:rPr>
            </w:pPr>
          </w:p>
        </w:tc>
        <w:tc>
          <w:tcPr>
            <w:tcW w:w="0" w:type="auto"/>
            <w:shd w:val="clear" w:color="auto" w:fill="auto"/>
            <w:vAlign w:val="bottom"/>
          </w:tcPr>
          <w:p w14:paraId="07DCF899" w14:textId="77777777" w:rsidR="00AE727E" w:rsidRDefault="00AE727E">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89A" w14:textId="77777777" w:rsidR="00AE727E" w:rsidRDefault="008433E0">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8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9C"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89D" w14:textId="77777777" w:rsidR="00AE727E" w:rsidRDefault="008433E0">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8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9F"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8A0" w14:textId="77777777" w:rsidR="00AE727E" w:rsidRDefault="008433E0">
            <w:pPr>
              <w:jc w:val="right"/>
              <w:textAlignment w:val="bottom"/>
            </w:pPr>
            <w:r>
              <w:rPr>
                <w:rFonts w:ascii="Times New Roman" w:eastAsia="宋体" w:hAnsi="Times New Roman"/>
                <w:color w:val="000000"/>
                <w:sz w:val="20"/>
                <w:szCs w:val="20"/>
              </w:rPr>
              <w:t>(80)</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8A1" w14:textId="77777777" w:rsidR="00AE727E" w:rsidRDefault="00AE727E">
            <w:pPr>
              <w:jc w:val="right"/>
              <w:rPr>
                <w:rFonts w:ascii="宋体"/>
              </w:rPr>
            </w:pPr>
          </w:p>
        </w:tc>
      </w:tr>
      <w:tr w:rsidR="00AE727E" w14:paraId="07DCF8B1" w14:textId="77777777">
        <w:trPr>
          <w:jc w:val="center"/>
        </w:trPr>
        <w:tc>
          <w:tcPr>
            <w:tcW w:w="0" w:type="auto"/>
            <w:gridSpan w:val="3"/>
            <w:shd w:val="clear" w:color="auto" w:fill="CCEEFF"/>
            <w:tcMar>
              <w:top w:w="40" w:type="dxa"/>
              <w:left w:w="125" w:type="dxa"/>
              <w:bottom w:w="40" w:type="dxa"/>
              <w:right w:w="20" w:type="dxa"/>
            </w:tcMar>
            <w:vAlign w:val="bottom"/>
          </w:tcPr>
          <w:p w14:paraId="07DCF8A3" w14:textId="77777777" w:rsidR="00AE727E" w:rsidRDefault="008433E0">
            <w:pPr>
              <w:textAlignment w:val="bottom"/>
            </w:pPr>
            <w:r>
              <w:rPr>
                <w:rFonts w:ascii="Times New Roman" w:eastAsia="宋体" w:hAnsi="Times New Roman"/>
                <w:color w:val="000000"/>
                <w:sz w:val="20"/>
                <w:szCs w:val="20"/>
              </w:rPr>
              <w:t>Less: Change in comprehensive income (loss) attributable to non-controlling interests</w:t>
            </w:r>
          </w:p>
        </w:tc>
        <w:tc>
          <w:tcPr>
            <w:tcW w:w="0" w:type="auto"/>
            <w:gridSpan w:val="2"/>
            <w:shd w:val="clear" w:color="auto" w:fill="CCEEFF"/>
            <w:tcMar>
              <w:top w:w="40" w:type="dxa"/>
              <w:left w:w="20" w:type="dxa"/>
              <w:bottom w:w="40" w:type="dxa"/>
              <w:right w:w="0" w:type="dxa"/>
            </w:tcMar>
            <w:vAlign w:val="bottom"/>
          </w:tcPr>
          <w:p w14:paraId="07DCF8A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8A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A6" w14:textId="77777777" w:rsidR="00AE727E" w:rsidRDefault="00AE727E">
            <w:pPr>
              <w:rPr>
                <w:rFonts w:ascii="宋体"/>
              </w:rPr>
            </w:pPr>
          </w:p>
        </w:tc>
        <w:tc>
          <w:tcPr>
            <w:tcW w:w="0" w:type="auto"/>
            <w:shd w:val="clear" w:color="auto" w:fill="auto"/>
            <w:vAlign w:val="bottom"/>
          </w:tcPr>
          <w:p w14:paraId="07DCF8A7" w14:textId="77777777" w:rsidR="00AE727E" w:rsidRDefault="00AE727E">
            <w:pPr>
              <w:rPr>
                <w:rFonts w:ascii="宋体"/>
                <w:vanish/>
              </w:rPr>
            </w:pPr>
          </w:p>
        </w:tc>
        <w:tc>
          <w:tcPr>
            <w:tcW w:w="0" w:type="auto"/>
            <w:shd w:val="clear" w:color="auto" w:fill="auto"/>
            <w:vAlign w:val="bottom"/>
          </w:tcPr>
          <w:p w14:paraId="07DCF8A8"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bottom"/>
          </w:tcPr>
          <w:p w14:paraId="07DCF8A9"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8A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A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8AC"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8A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8A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8A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CF8B0" w14:textId="77777777" w:rsidR="00AE727E" w:rsidRDefault="00AE727E">
            <w:pPr>
              <w:jc w:val="right"/>
              <w:rPr>
                <w:rFonts w:ascii="宋体"/>
              </w:rPr>
            </w:pPr>
          </w:p>
        </w:tc>
      </w:tr>
      <w:tr w:rsidR="00AE727E" w14:paraId="07DCF8C4" w14:textId="77777777">
        <w:trPr>
          <w:jc w:val="center"/>
        </w:trPr>
        <w:tc>
          <w:tcPr>
            <w:tcW w:w="0" w:type="auto"/>
            <w:gridSpan w:val="3"/>
            <w:shd w:val="clear" w:color="auto" w:fill="FFFFFF"/>
            <w:tcMar>
              <w:top w:w="40" w:type="dxa"/>
              <w:left w:w="20" w:type="dxa"/>
              <w:bottom w:w="40" w:type="dxa"/>
              <w:right w:w="20" w:type="dxa"/>
            </w:tcMar>
            <w:vAlign w:val="bottom"/>
          </w:tcPr>
          <w:p w14:paraId="07DCF8B2" w14:textId="77777777" w:rsidR="00AE727E" w:rsidRDefault="008433E0">
            <w:pPr>
              <w:textAlignment w:val="bottom"/>
            </w:pPr>
            <w:r>
              <w:rPr>
                <w:rFonts w:ascii="Times New Roman" w:eastAsia="宋体" w:hAnsi="Times New Roman"/>
                <w:i/>
                <w:iCs/>
                <w:color w:val="000000"/>
                <w:sz w:val="20"/>
                <w:szCs w:val="20"/>
              </w:rPr>
              <w:t>Balances as of October 29,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8B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8B4" w14:textId="77777777" w:rsidR="00AE727E" w:rsidRDefault="008433E0">
            <w:pPr>
              <w:jc w:val="right"/>
              <w:textAlignment w:val="bottom"/>
            </w:pPr>
            <w:r>
              <w:rPr>
                <w:rFonts w:ascii="Times New Roman" w:eastAsia="宋体" w:hAnsi="Times New Roman"/>
                <w:color w:val="000000"/>
                <w:sz w:val="20"/>
                <w:szCs w:val="20"/>
              </w:rPr>
              <w:t>(351)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8B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B6" w14:textId="77777777" w:rsidR="00AE727E" w:rsidRDefault="00AE727E">
            <w:pPr>
              <w:rPr>
                <w:rFonts w:ascii="宋体"/>
              </w:rPr>
            </w:pPr>
          </w:p>
        </w:tc>
        <w:tc>
          <w:tcPr>
            <w:tcW w:w="0" w:type="auto"/>
            <w:shd w:val="clear" w:color="auto" w:fill="auto"/>
            <w:vAlign w:val="bottom"/>
          </w:tcPr>
          <w:p w14:paraId="07DCF8B7" w14:textId="77777777" w:rsidR="00AE727E" w:rsidRDefault="00AE727E">
            <w:pPr>
              <w:rPr>
                <w:rFonts w:ascii="宋体"/>
                <w:vanish/>
              </w:rPr>
            </w:pPr>
          </w:p>
        </w:tc>
        <w:tc>
          <w:tcPr>
            <w:tcW w:w="0" w:type="auto"/>
            <w:shd w:val="clear" w:color="auto" w:fill="auto"/>
            <w:vAlign w:val="bottom"/>
          </w:tcPr>
          <w:p w14:paraId="07DCF8B8" w14:textId="77777777" w:rsidR="00AE727E" w:rsidRDefault="00AE727E">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8B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8BA" w14:textId="77777777" w:rsidR="00AE727E" w:rsidRDefault="008433E0">
            <w:pPr>
              <w:jc w:val="right"/>
              <w:textAlignment w:val="bottom"/>
            </w:pPr>
            <w:r>
              <w:rPr>
                <w:rFonts w:ascii="Times New Roman" w:eastAsia="宋体" w:hAnsi="Times New Roman"/>
                <w:color w:val="000000"/>
                <w:sz w:val="20"/>
                <w:szCs w:val="20"/>
              </w:rPr>
              <w:t>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8B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B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8B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8BE" w14:textId="77777777" w:rsidR="00AE727E" w:rsidRDefault="008433E0">
            <w:pPr>
              <w:jc w:val="right"/>
              <w:textAlignment w:val="bottom"/>
            </w:pPr>
            <w:r>
              <w:rPr>
                <w:rFonts w:ascii="Times New Roman" w:eastAsia="宋体" w:hAnsi="Times New Roman"/>
                <w:color w:val="000000"/>
                <w:sz w:val="20"/>
                <w:szCs w:val="20"/>
              </w:rPr>
              <w:t>(73)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8B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8C0"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8C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8C2" w14:textId="77777777" w:rsidR="00AE727E" w:rsidRDefault="008433E0">
            <w:pPr>
              <w:jc w:val="right"/>
              <w:textAlignment w:val="bottom"/>
            </w:pPr>
            <w:r>
              <w:rPr>
                <w:rFonts w:ascii="Times New Roman" w:eastAsia="宋体" w:hAnsi="Times New Roman"/>
                <w:color w:val="000000"/>
                <w:sz w:val="20"/>
                <w:szCs w:val="20"/>
              </w:rPr>
              <w:t>(394)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8C3" w14:textId="77777777" w:rsidR="00AE727E" w:rsidRDefault="00AE727E">
            <w:pPr>
              <w:jc w:val="right"/>
              <w:rPr>
                <w:rFonts w:ascii="宋体"/>
              </w:rPr>
            </w:pPr>
          </w:p>
        </w:tc>
      </w:tr>
    </w:tbl>
    <w:p w14:paraId="07DCF8C5" w14:textId="77777777" w:rsidR="00AE727E" w:rsidRDefault="00AE727E"/>
    <w:p w14:paraId="07DCF8C6" w14:textId="77777777" w:rsidR="00AE727E" w:rsidRDefault="008433E0">
      <w:r>
        <w:rPr>
          <w:rFonts w:ascii="Times New Roman" w:eastAsia="宋体" w:hAnsi="Times New Roman"/>
          <w:color w:val="000000"/>
          <w:sz w:val="20"/>
          <w:szCs w:val="20"/>
        </w:rPr>
        <w:t>Amounts related to the Company’s cash flow hedges are reclassified to net income during the sam</w:t>
      </w:r>
      <w:r>
        <w:rPr>
          <w:rFonts w:ascii="Times New Roman" w:eastAsia="宋体" w:hAnsi="Times New Roman"/>
          <w:color w:val="000000"/>
          <w:sz w:val="20"/>
          <w:szCs w:val="20"/>
        </w:rPr>
        <w:t>e period in which the items being hedged are recognized in earnings. See Note 6 of the Notes to the Condensed Consolidated Financial Statements for more information on the Company’s derivative instruments.</w:t>
      </w:r>
    </w:p>
    <w:p w14:paraId="07DCF8C7" w14:textId="77777777" w:rsidR="00AE727E" w:rsidRDefault="00AE727E"/>
    <w:p w14:paraId="07DCF8C8" w14:textId="77777777" w:rsidR="00AE727E" w:rsidRDefault="00AE727E">
      <w:pPr>
        <w:jc w:val="center"/>
      </w:pPr>
    </w:p>
    <w:p w14:paraId="07DCF8C9" w14:textId="77777777" w:rsidR="00AE727E" w:rsidRDefault="008433E0">
      <w:pPr>
        <w:jc w:val="center"/>
      </w:pPr>
      <w:r>
        <w:rPr>
          <w:rFonts w:ascii="Times New Roman" w:eastAsia="宋体" w:hAnsi="Times New Roman"/>
          <w:color w:val="000000"/>
          <w:sz w:val="20"/>
          <w:szCs w:val="20"/>
        </w:rPr>
        <w:t>45</w:t>
      </w:r>
    </w:p>
    <w:p w14:paraId="07DCF8CA" w14:textId="77777777" w:rsidR="00AE727E" w:rsidRDefault="00AE727E">
      <w:pPr>
        <w:jc w:val="center"/>
      </w:pPr>
    </w:p>
    <w:p w14:paraId="07DCF8CB" w14:textId="77777777" w:rsidR="00AE727E" w:rsidRDefault="008433E0">
      <w:r>
        <w:pict w14:anchorId="07DD18FD">
          <v:rect id="_x0000_i1069" style="width:415.3pt;height:1.5pt" o:hralign="center" o:hrstd="t" o:hr="t" fillcolor="#a0a0a0" stroked="f"/>
        </w:pict>
      </w:r>
    </w:p>
    <w:p w14:paraId="07DCF8CC" w14:textId="77777777" w:rsidR="00AE727E" w:rsidRDefault="008433E0">
      <w:hyperlink r:id="rId170" w:anchor="i1c8279be622a460ea19600488436f115_10" w:history="1">
        <w:r>
          <w:rPr>
            <w:rStyle w:val="a5"/>
            <w:rFonts w:ascii="Times New Roman" w:eastAsia="宋体" w:hAnsi="Times New Roman"/>
            <w:sz w:val="20"/>
            <w:szCs w:val="20"/>
          </w:rPr>
          <w:t>Table of Contents</w:t>
        </w:r>
      </w:hyperlink>
    </w:p>
    <w:p w14:paraId="07DCF8CD"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8CE"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8CF"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8D0" w14:textId="77777777" w:rsidR="00AE727E" w:rsidRDefault="00AE727E">
      <w:pPr>
        <w:jc w:val="center"/>
      </w:pPr>
    </w:p>
    <w:p w14:paraId="07DCF8D1" w14:textId="77777777" w:rsidR="00AE727E" w:rsidRDefault="008433E0">
      <w:pPr>
        <w:spacing w:after="60"/>
      </w:pPr>
      <w:r>
        <w:rPr>
          <w:rFonts w:ascii="Times New Roman" w:eastAsia="宋体" w:hAnsi="Times New Roman"/>
          <w:color w:val="000000"/>
          <w:sz w:val="20"/>
          <w:szCs w:val="20"/>
        </w:rPr>
        <w:t>The following table presents reclassifications out of accumulated other comprehensive income (loss), net of tax, to net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1"/>
        <w:gridCol w:w="680"/>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AE727E" w14:paraId="07DCF8FA" w14:textId="77777777">
        <w:tc>
          <w:tcPr>
            <w:tcW w:w="50" w:type="pct"/>
            <w:shd w:val="clear" w:color="auto" w:fill="auto"/>
            <w:vAlign w:val="bottom"/>
          </w:tcPr>
          <w:p w14:paraId="07DCF8D2" w14:textId="77777777" w:rsidR="00AE727E" w:rsidRDefault="00AE727E">
            <w:pPr>
              <w:rPr>
                <w:rFonts w:ascii="宋体"/>
              </w:rPr>
            </w:pPr>
          </w:p>
        </w:tc>
        <w:tc>
          <w:tcPr>
            <w:tcW w:w="1597" w:type="pct"/>
            <w:shd w:val="clear" w:color="auto" w:fill="auto"/>
            <w:vAlign w:val="bottom"/>
          </w:tcPr>
          <w:p w14:paraId="07DCF8D3" w14:textId="77777777" w:rsidR="00AE727E" w:rsidRDefault="00AE727E">
            <w:pPr>
              <w:rPr>
                <w:rFonts w:ascii="宋体"/>
              </w:rPr>
            </w:pPr>
          </w:p>
        </w:tc>
        <w:tc>
          <w:tcPr>
            <w:tcW w:w="5" w:type="pct"/>
            <w:shd w:val="clear" w:color="auto" w:fill="auto"/>
            <w:vAlign w:val="bottom"/>
          </w:tcPr>
          <w:p w14:paraId="07DCF8D4" w14:textId="77777777" w:rsidR="00AE727E" w:rsidRDefault="00AE727E">
            <w:pPr>
              <w:rPr>
                <w:rFonts w:ascii="宋体"/>
              </w:rPr>
            </w:pPr>
          </w:p>
        </w:tc>
        <w:tc>
          <w:tcPr>
            <w:tcW w:w="0" w:type="auto"/>
            <w:shd w:val="clear" w:color="auto" w:fill="auto"/>
            <w:vAlign w:val="bottom"/>
          </w:tcPr>
          <w:p w14:paraId="07DCF8D5" w14:textId="77777777" w:rsidR="00AE727E" w:rsidRDefault="00AE727E">
            <w:pPr>
              <w:rPr>
                <w:rFonts w:ascii="宋体"/>
                <w:vanish/>
              </w:rPr>
            </w:pPr>
          </w:p>
        </w:tc>
        <w:tc>
          <w:tcPr>
            <w:tcW w:w="0" w:type="auto"/>
            <w:shd w:val="clear" w:color="auto" w:fill="auto"/>
            <w:vAlign w:val="bottom"/>
          </w:tcPr>
          <w:p w14:paraId="07DCF8D6" w14:textId="77777777" w:rsidR="00AE727E" w:rsidRDefault="00AE727E">
            <w:pPr>
              <w:rPr>
                <w:rFonts w:ascii="宋体"/>
                <w:vanish/>
              </w:rPr>
            </w:pPr>
          </w:p>
        </w:tc>
        <w:tc>
          <w:tcPr>
            <w:tcW w:w="50" w:type="pct"/>
            <w:shd w:val="clear" w:color="auto" w:fill="auto"/>
            <w:vAlign w:val="bottom"/>
          </w:tcPr>
          <w:p w14:paraId="07DCF8D7" w14:textId="77777777" w:rsidR="00AE727E" w:rsidRDefault="00AE727E">
            <w:pPr>
              <w:rPr>
                <w:rFonts w:ascii="宋体"/>
              </w:rPr>
            </w:pPr>
          </w:p>
        </w:tc>
        <w:tc>
          <w:tcPr>
            <w:tcW w:w="478" w:type="pct"/>
            <w:shd w:val="clear" w:color="auto" w:fill="auto"/>
            <w:vAlign w:val="bottom"/>
          </w:tcPr>
          <w:p w14:paraId="07DCF8D8" w14:textId="77777777" w:rsidR="00AE727E" w:rsidRDefault="00AE727E">
            <w:pPr>
              <w:rPr>
                <w:rFonts w:ascii="宋体"/>
              </w:rPr>
            </w:pPr>
          </w:p>
        </w:tc>
        <w:tc>
          <w:tcPr>
            <w:tcW w:w="5" w:type="pct"/>
            <w:shd w:val="clear" w:color="auto" w:fill="auto"/>
            <w:vAlign w:val="bottom"/>
          </w:tcPr>
          <w:p w14:paraId="07DCF8D9" w14:textId="77777777" w:rsidR="00AE727E" w:rsidRDefault="00AE727E">
            <w:pPr>
              <w:rPr>
                <w:rFonts w:ascii="宋体"/>
              </w:rPr>
            </w:pPr>
          </w:p>
        </w:tc>
        <w:tc>
          <w:tcPr>
            <w:tcW w:w="5" w:type="pct"/>
            <w:shd w:val="clear" w:color="auto" w:fill="auto"/>
            <w:vAlign w:val="bottom"/>
          </w:tcPr>
          <w:p w14:paraId="07DCF8DA" w14:textId="77777777" w:rsidR="00AE727E" w:rsidRDefault="00AE727E">
            <w:pPr>
              <w:rPr>
                <w:rFonts w:ascii="宋体"/>
              </w:rPr>
            </w:pPr>
          </w:p>
        </w:tc>
        <w:tc>
          <w:tcPr>
            <w:tcW w:w="19" w:type="pct"/>
            <w:shd w:val="clear" w:color="auto" w:fill="auto"/>
            <w:vAlign w:val="bottom"/>
          </w:tcPr>
          <w:p w14:paraId="07DCF8DB" w14:textId="77777777" w:rsidR="00AE727E" w:rsidRDefault="00AE727E">
            <w:pPr>
              <w:rPr>
                <w:rFonts w:ascii="宋体"/>
              </w:rPr>
            </w:pPr>
          </w:p>
        </w:tc>
        <w:tc>
          <w:tcPr>
            <w:tcW w:w="5" w:type="pct"/>
            <w:shd w:val="clear" w:color="auto" w:fill="auto"/>
            <w:vAlign w:val="bottom"/>
          </w:tcPr>
          <w:p w14:paraId="07DCF8DC" w14:textId="77777777" w:rsidR="00AE727E" w:rsidRDefault="00AE727E">
            <w:pPr>
              <w:rPr>
                <w:rFonts w:ascii="宋体"/>
              </w:rPr>
            </w:pPr>
          </w:p>
        </w:tc>
        <w:tc>
          <w:tcPr>
            <w:tcW w:w="50" w:type="pct"/>
            <w:shd w:val="clear" w:color="auto" w:fill="auto"/>
            <w:vAlign w:val="bottom"/>
          </w:tcPr>
          <w:p w14:paraId="07DCF8DD" w14:textId="77777777" w:rsidR="00AE727E" w:rsidRDefault="00AE727E">
            <w:pPr>
              <w:rPr>
                <w:rFonts w:ascii="宋体"/>
              </w:rPr>
            </w:pPr>
          </w:p>
        </w:tc>
        <w:tc>
          <w:tcPr>
            <w:tcW w:w="478" w:type="pct"/>
            <w:shd w:val="clear" w:color="auto" w:fill="auto"/>
            <w:vAlign w:val="bottom"/>
          </w:tcPr>
          <w:p w14:paraId="07DCF8DE" w14:textId="77777777" w:rsidR="00AE727E" w:rsidRDefault="00AE727E">
            <w:pPr>
              <w:rPr>
                <w:rFonts w:ascii="宋体"/>
              </w:rPr>
            </w:pPr>
          </w:p>
        </w:tc>
        <w:tc>
          <w:tcPr>
            <w:tcW w:w="5" w:type="pct"/>
            <w:shd w:val="clear" w:color="auto" w:fill="auto"/>
            <w:vAlign w:val="bottom"/>
          </w:tcPr>
          <w:p w14:paraId="07DCF8DF" w14:textId="77777777" w:rsidR="00AE727E" w:rsidRDefault="00AE727E">
            <w:pPr>
              <w:rPr>
                <w:rFonts w:ascii="宋体"/>
              </w:rPr>
            </w:pPr>
          </w:p>
        </w:tc>
        <w:tc>
          <w:tcPr>
            <w:tcW w:w="5" w:type="pct"/>
            <w:shd w:val="clear" w:color="auto" w:fill="auto"/>
            <w:vAlign w:val="bottom"/>
          </w:tcPr>
          <w:p w14:paraId="07DCF8E0" w14:textId="77777777" w:rsidR="00AE727E" w:rsidRDefault="00AE727E">
            <w:pPr>
              <w:rPr>
                <w:rFonts w:ascii="宋体"/>
              </w:rPr>
            </w:pPr>
          </w:p>
        </w:tc>
        <w:tc>
          <w:tcPr>
            <w:tcW w:w="19" w:type="pct"/>
            <w:shd w:val="clear" w:color="auto" w:fill="auto"/>
            <w:vAlign w:val="bottom"/>
          </w:tcPr>
          <w:p w14:paraId="07DCF8E1" w14:textId="77777777" w:rsidR="00AE727E" w:rsidRDefault="00AE727E">
            <w:pPr>
              <w:rPr>
                <w:rFonts w:ascii="宋体"/>
              </w:rPr>
            </w:pPr>
          </w:p>
        </w:tc>
        <w:tc>
          <w:tcPr>
            <w:tcW w:w="5" w:type="pct"/>
            <w:shd w:val="clear" w:color="auto" w:fill="auto"/>
            <w:vAlign w:val="bottom"/>
          </w:tcPr>
          <w:p w14:paraId="07DCF8E2" w14:textId="77777777" w:rsidR="00AE727E" w:rsidRDefault="00AE727E">
            <w:pPr>
              <w:rPr>
                <w:rFonts w:ascii="宋体"/>
              </w:rPr>
            </w:pPr>
          </w:p>
        </w:tc>
        <w:tc>
          <w:tcPr>
            <w:tcW w:w="50" w:type="pct"/>
            <w:shd w:val="clear" w:color="auto" w:fill="auto"/>
            <w:vAlign w:val="bottom"/>
          </w:tcPr>
          <w:p w14:paraId="07DCF8E3" w14:textId="77777777" w:rsidR="00AE727E" w:rsidRDefault="00AE727E">
            <w:pPr>
              <w:rPr>
                <w:rFonts w:ascii="宋体"/>
              </w:rPr>
            </w:pPr>
          </w:p>
        </w:tc>
        <w:tc>
          <w:tcPr>
            <w:tcW w:w="478" w:type="pct"/>
            <w:shd w:val="clear" w:color="auto" w:fill="auto"/>
            <w:vAlign w:val="bottom"/>
          </w:tcPr>
          <w:p w14:paraId="07DCF8E4" w14:textId="77777777" w:rsidR="00AE727E" w:rsidRDefault="00AE727E">
            <w:pPr>
              <w:rPr>
                <w:rFonts w:ascii="宋体"/>
              </w:rPr>
            </w:pPr>
          </w:p>
        </w:tc>
        <w:tc>
          <w:tcPr>
            <w:tcW w:w="5" w:type="pct"/>
            <w:shd w:val="clear" w:color="auto" w:fill="auto"/>
            <w:vAlign w:val="bottom"/>
          </w:tcPr>
          <w:p w14:paraId="07DCF8E5" w14:textId="77777777" w:rsidR="00AE727E" w:rsidRDefault="00AE727E">
            <w:pPr>
              <w:rPr>
                <w:rFonts w:ascii="宋体"/>
              </w:rPr>
            </w:pPr>
          </w:p>
        </w:tc>
        <w:tc>
          <w:tcPr>
            <w:tcW w:w="5" w:type="pct"/>
            <w:shd w:val="clear" w:color="auto" w:fill="auto"/>
            <w:vAlign w:val="bottom"/>
          </w:tcPr>
          <w:p w14:paraId="07DCF8E6" w14:textId="77777777" w:rsidR="00AE727E" w:rsidRDefault="00AE727E">
            <w:pPr>
              <w:rPr>
                <w:rFonts w:ascii="宋体"/>
              </w:rPr>
            </w:pPr>
          </w:p>
        </w:tc>
        <w:tc>
          <w:tcPr>
            <w:tcW w:w="19" w:type="pct"/>
            <w:shd w:val="clear" w:color="auto" w:fill="auto"/>
            <w:vAlign w:val="bottom"/>
          </w:tcPr>
          <w:p w14:paraId="07DCF8E7" w14:textId="77777777" w:rsidR="00AE727E" w:rsidRDefault="00AE727E">
            <w:pPr>
              <w:rPr>
                <w:rFonts w:ascii="宋体"/>
              </w:rPr>
            </w:pPr>
          </w:p>
        </w:tc>
        <w:tc>
          <w:tcPr>
            <w:tcW w:w="5" w:type="pct"/>
            <w:shd w:val="clear" w:color="auto" w:fill="auto"/>
            <w:vAlign w:val="bottom"/>
          </w:tcPr>
          <w:p w14:paraId="07DCF8E8" w14:textId="77777777" w:rsidR="00AE727E" w:rsidRDefault="00AE727E">
            <w:pPr>
              <w:rPr>
                <w:rFonts w:ascii="宋体"/>
              </w:rPr>
            </w:pPr>
          </w:p>
        </w:tc>
        <w:tc>
          <w:tcPr>
            <w:tcW w:w="0" w:type="auto"/>
            <w:shd w:val="clear" w:color="auto" w:fill="auto"/>
            <w:vAlign w:val="bottom"/>
          </w:tcPr>
          <w:p w14:paraId="07DCF8E9" w14:textId="77777777" w:rsidR="00AE727E" w:rsidRDefault="00AE727E">
            <w:pPr>
              <w:rPr>
                <w:rFonts w:ascii="宋体"/>
                <w:vanish/>
              </w:rPr>
            </w:pPr>
          </w:p>
        </w:tc>
        <w:tc>
          <w:tcPr>
            <w:tcW w:w="0" w:type="auto"/>
            <w:shd w:val="clear" w:color="auto" w:fill="auto"/>
            <w:vAlign w:val="bottom"/>
          </w:tcPr>
          <w:p w14:paraId="07DCF8EA" w14:textId="77777777" w:rsidR="00AE727E" w:rsidRDefault="00AE727E">
            <w:pPr>
              <w:rPr>
                <w:rFonts w:ascii="宋体"/>
                <w:vanish/>
              </w:rPr>
            </w:pPr>
          </w:p>
        </w:tc>
        <w:tc>
          <w:tcPr>
            <w:tcW w:w="50" w:type="pct"/>
            <w:shd w:val="clear" w:color="auto" w:fill="auto"/>
            <w:vAlign w:val="bottom"/>
          </w:tcPr>
          <w:p w14:paraId="07DCF8EB" w14:textId="77777777" w:rsidR="00AE727E" w:rsidRDefault="00AE727E">
            <w:pPr>
              <w:rPr>
                <w:rFonts w:ascii="宋体"/>
              </w:rPr>
            </w:pPr>
          </w:p>
        </w:tc>
        <w:tc>
          <w:tcPr>
            <w:tcW w:w="478" w:type="pct"/>
            <w:shd w:val="clear" w:color="auto" w:fill="auto"/>
            <w:vAlign w:val="bottom"/>
          </w:tcPr>
          <w:p w14:paraId="07DCF8EC" w14:textId="77777777" w:rsidR="00AE727E" w:rsidRDefault="00AE727E">
            <w:pPr>
              <w:rPr>
                <w:rFonts w:ascii="宋体"/>
              </w:rPr>
            </w:pPr>
          </w:p>
        </w:tc>
        <w:tc>
          <w:tcPr>
            <w:tcW w:w="5" w:type="pct"/>
            <w:shd w:val="clear" w:color="auto" w:fill="auto"/>
            <w:vAlign w:val="bottom"/>
          </w:tcPr>
          <w:p w14:paraId="07DCF8ED" w14:textId="77777777" w:rsidR="00AE727E" w:rsidRDefault="00AE727E">
            <w:pPr>
              <w:rPr>
                <w:rFonts w:ascii="宋体"/>
              </w:rPr>
            </w:pPr>
          </w:p>
        </w:tc>
        <w:tc>
          <w:tcPr>
            <w:tcW w:w="5" w:type="pct"/>
            <w:shd w:val="clear" w:color="auto" w:fill="auto"/>
            <w:vAlign w:val="bottom"/>
          </w:tcPr>
          <w:p w14:paraId="07DCF8EE" w14:textId="77777777" w:rsidR="00AE727E" w:rsidRDefault="00AE727E">
            <w:pPr>
              <w:rPr>
                <w:rFonts w:ascii="宋体"/>
              </w:rPr>
            </w:pPr>
          </w:p>
        </w:tc>
        <w:tc>
          <w:tcPr>
            <w:tcW w:w="19" w:type="pct"/>
            <w:shd w:val="clear" w:color="auto" w:fill="auto"/>
            <w:vAlign w:val="bottom"/>
          </w:tcPr>
          <w:p w14:paraId="07DCF8EF" w14:textId="77777777" w:rsidR="00AE727E" w:rsidRDefault="00AE727E">
            <w:pPr>
              <w:rPr>
                <w:rFonts w:ascii="宋体"/>
              </w:rPr>
            </w:pPr>
          </w:p>
        </w:tc>
        <w:tc>
          <w:tcPr>
            <w:tcW w:w="5" w:type="pct"/>
            <w:shd w:val="clear" w:color="auto" w:fill="auto"/>
            <w:vAlign w:val="bottom"/>
          </w:tcPr>
          <w:p w14:paraId="07DCF8F0" w14:textId="77777777" w:rsidR="00AE727E" w:rsidRDefault="00AE727E">
            <w:pPr>
              <w:rPr>
                <w:rFonts w:ascii="宋体"/>
              </w:rPr>
            </w:pPr>
          </w:p>
        </w:tc>
        <w:tc>
          <w:tcPr>
            <w:tcW w:w="50" w:type="pct"/>
            <w:shd w:val="clear" w:color="auto" w:fill="auto"/>
            <w:vAlign w:val="bottom"/>
          </w:tcPr>
          <w:p w14:paraId="07DCF8F1" w14:textId="77777777" w:rsidR="00AE727E" w:rsidRDefault="00AE727E">
            <w:pPr>
              <w:rPr>
                <w:rFonts w:ascii="宋体"/>
              </w:rPr>
            </w:pPr>
          </w:p>
        </w:tc>
        <w:tc>
          <w:tcPr>
            <w:tcW w:w="478" w:type="pct"/>
            <w:shd w:val="clear" w:color="auto" w:fill="auto"/>
            <w:vAlign w:val="bottom"/>
          </w:tcPr>
          <w:p w14:paraId="07DCF8F2" w14:textId="77777777" w:rsidR="00AE727E" w:rsidRDefault="00AE727E">
            <w:pPr>
              <w:rPr>
                <w:rFonts w:ascii="宋体"/>
              </w:rPr>
            </w:pPr>
          </w:p>
        </w:tc>
        <w:tc>
          <w:tcPr>
            <w:tcW w:w="5" w:type="pct"/>
            <w:shd w:val="clear" w:color="auto" w:fill="auto"/>
            <w:vAlign w:val="bottom"/>
          </w:tcPr>
          <w:p w14:paraId="07DCF8F3" w14:textId="77777777" w:rsidR="00AE727E" w:rsidRDefault="00AE727E">
            <w:pPr>
              <w:rPr>
                <w:rFonts w:ascii="宋体"/>
              </w:rPr>
            </w:pPr>
          </w:p>
        </w:tc>
        <w:tc>
          <w:tcPr>
            <w:tcW w:w="5" w:type="pct"/>
            <w:shd w:val="clear" w:color="auto" w:fill="auto"/>
            <w:vAlign w:val="bottom"/>
          </w:tcPr>
          <w:p w14:paraId="07DCF8F4" w14:textId="77777777" w:rsidR="00AE727E" w:rsidRDefault="00AE727E">
            <w:pPr>
              <w:rPr>
                <w:rFonts w:ascii="宋体"/>
              </w:rPr>
            </w:pPr>
          </w:p>
        </w:tc>
        <w:tc>
          <w:tcPr>
            <w:tcW w:w="19" w:type="pct"/>
            <w:shd w:val="clear" w:color="auto" w:fill="auto"/>
            <w:vAlign w:val="bottom"/>
          </w:tcPr>
          <w:p w14:paraId="07DCF8F5" w14:textId="77777777" w:rsidR="00AE727E" w:rsidRDefault="00AE727E">
            <w:pPr>
              <w:rPr>
                <w:rFonts w:ascii="宋体"/>
              </w:rPr>
            </w:pPr>
          </w:p>
        </w:tc>
        <w:tc>
          <w:tcPr>
            <w:tcW w:w="5" w:type="pct"/>
            <w:shd w:val="clear" w:color="auto" w:fill="auto"/>
            <w:vAlign w:val="bottom"/>
          </w:tcPr>
          <w:p w14:paraId="07DCF8F6" w14:textId="77777777" w:rsidR="00AE727E" w:rsidRDefault="00AE727E">
            <w:pPr>
              <w:rPr>
                <w:rFonts w:ascii="宋体"/>
              </w:rPr>
            </w:pPr>
          </w:p>
        </w:tc>
        <w:tc>
          <w:tcPr>
            <w:tcW w:w="50" w:type="pct"/>
            <w:shd w:val="clear" w:color="auto" w:fill="auto"/>
            <w:vAlign w:val="bottom"/>
          </w:tcPr>
          <w:p w14:paraId="07DCF8F7" w14:textId="77777777" w:rsidR="00AE727E" w:rsidRDefault="00AE727E">
            <w:pPr>
              <w:rPr>
                <w:rFonts w:ascii="宋体"/>
              </w:rPr>
            </w:pPr>
          </w:p>
        </w:tc>
        <w:tc>
          <w:tcPr>
            <w:tcW w:w="479" w:type="pct"/>
            <w:shd w:val="clear" w:color="auto" w:fill="auto"/>
            <w:vAlign w:val="bottom"/>
          </w:tcPr>
          <w:p w14:paraId="07DCF8F8" w14:textId="77777777" w:rsidR="00AE727E" w:rsidRDefault="00AE727E">
            <w:pPr>
              <w:rPr>
                <w:rFonts w:ascii="宋体"/>
              </w:rPr>
            </w:pPr>
          </w:p>
        </w:tc>
        <w:tc>
          <w:tcPr>
            <w:tcW w:w="5" w:type="pct"/>
            <w:shd w:val="clear" w:color="auto" w:fill="auto"/>
            <w:vAlign w:val="bottom"/>
          </w:tcPr>
          <w:p w14:paraId="07DCF8F9" w14:textId="77777777" w:rsidR="00AE727E" w:rsidRDefault="00AE727E">
            <w:pPr>
              <w:rPr>
                <w:rFonts w:ascii="宋体"/>
              </w:rPr>
            </w:pPr>
          </w:p>
        </w:tc>
      </w:tr>
      <w:tr w:rsidR="00AE727E" w14:paraId="07DCF905" w14:textId="77777777">
        <w:tc>
          <w:tcPr>
            <w:tcW w:w="0" w:type="auto"/>
            <w:gridSpan w:val="3"/>
            <w:shd w:val="clear" w:color="auto" w:fill="auto"/>
            <w:tcMar>
              <w:top w:w="0" w:type="dxa"/>
              <w:left w:w="20" w:type="dxa"/>
              <w:bottom w:w="0" w:type="dxa"/>
              <w:right w:w="20" w:type="dxa"/>
            </w:tcMar>
            <w:vAlign w:val="bottom"/>
          </w:tcPr>
          <w:p w14:paraId="07DCF8FB" w14:textId="77777777" w:rsidR="00AE727E" w:rsidRDefault="00AE727E">
            <w:pPr>
              <w:rPr>
                <w:rFonts w:ascii="宋体"/>
              </w:rPr>
            </w:pPr>
          </w:p>
        </w:tc>
        <w:tc>
          <w:tcPr>
            <w:tcW w:w="0" w:type="auto"/>
            <w:shd w:val="clear" w:color="auto" w:fill="auto"/>
            <w:vAlign w:val="bottom"/>
          </w:tcPr>
          <w:p w14:paraId="07DCF8FC" w14:textId="77777777" w:rsidR="00AE727E" w:rsidRDefault="00AE727E">
            <w:pPr>
              <w:rPr>
                <w:rFonts w:ascii="宋体"/>
                <w:vanish/>
              </w:rPr>
            </w:pPr>
          </w:p>
        </w:tc>
        <w:tc>
          <w:tcPr>
            <w:tcW w:w="0" w:type="auto"/>
            <w:shd w:val="clear" w:color="auto" w:fill="auto"/>
            <w:vAlign w:val="bottom"/>
          </w:tcPr>
          <w:p w14:paraId="07DCF8FD" w14:textId="77777777" w:rsidR="00AE727E" w:rsidRDefault="00AE727E">
            <w:pPr>
              <w:rPr>
                <w:rFonts w:ascii="宋体"/>
                <w:vanish/>
              </w:rPr>
            </w:pPr>
          </w:p>
        </w:tc>
        <w:tc>
          <w:tcPr>
            <w:tcW w:w="0" w:type="auto"/>
            <w:gridSpan w:val="29"/>
            <w:shd w:val="clear" w:color="auto" w:fill="auto"/>
            <w:tcMar>
              <w:top w:w="40" w:type="dxa"/>
              <w:left w:w="20" w:type="dxa"/>
              <w:bottom w:w="40" w:type="dxa"/>
              <w:right w:w="20" w:type="dxa"/>
            </w:tcMar>
            <w:vAlign w:val="bottom"/>
          </w:tcPr>
          <w:p w14:paraId="07DCF8FE"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07DCF8FF" w14:textId="77777777" w:rsidR="00AE727E" w:rsidRDefault="00AE727E">
            <w:pPr>
              <w:rPr>
                <w:rFonts w:ascii="宋体"/>
              </w:rPr>
            </w:pPr>
          </w:p>
        </w:tc>
        <w:tc>
          <w:tcPr>
            <w:tcW w:w="0" w:type="auto"/>
            <w:shd w:val="clear" w:color="auto" w:fill="auto"/>
            <w:vAlign w:val="bottom"/>
          </w:tcPr>
          <w:p w14:paraId="07DCF900" w14:textId="77777777" w:rsidR="00AE727E" w:rsidRDefault="00AE727E">
            <w:pPr>
              <w:rPr>
                <w:rFonts w:ascii="宋体"/>
              </w:rPr>
            </w:pPr>
          </w:p>
        </w:tc>
        <w:tc>
          <w:tcPr>
            <w:tcW w:w="0" w:type="auto"/>
            <w:shd w:val="clear" w:color="auto" w:fill="auto"/>
            <w:vAlign w:val="bottom"/>
          </w:tcPr>
          <w:p w14:paraId="07DCF901" w14:textId="77777777" w:rsidR="00AE727E" w:rsidRDefault="00AE727E">
            <w:pPr>
              <w:rPr>
                <w:rFonts w:ascii="宋体"/>
              </w:rPr>
            </w:pPr>
          </w:p>
        </w:tc>
        <w:tc>
          <w:tcPr>
            <w:tcW w:w="0" w:type="auto"/>
            <w:shd w:val="clear" w:color="auto" w:fill="auto"/>
            <w:vAlign w:val="bottom"/>
          </w:tcPr>
          <w:p w14:paraId="07DCF902" w14:textId="77777777" w:rsidR="00AE727E" w:rsidRDefault="00AE727E">
            <w:pPr>
              <w:rPr>
                <w:rFonts w:ascii="宋体"/>
              </w:rPr>
            </w:pPr>
          </w:p>
        </w:tc>
        <w:tc>
          <w:tcPr>
            <w:tcW w:w="0" w:type="auto"/>
            <w:shd w:val="clear" w:color="auto" w:fill="auto"/>
            <w:vAlign w:val="bottom"/>
          </w:tcPr>
          <w:p w14:paraId="07DCF903" w14:textId="77777777" w:rsidR="00AE727E" w:rsidRDefault="00AE727E">
            <w:pPr>
              <w:rPr>
                <w:rFonts w:ascii="宋体"/>
              </w:rPr>
            </w:pPr>
          </w:p>
        </w:tc>
        <w:tc>
          <w:tcPr>
            <w:tcW w:w="0" w:type="auto"/>
            <w:shd w:val="clear" w:color="auto" w:fill="auto"/>
            <w:vAlign w:val="bottom"/>
          </w:tcPr>
          <w:p w14:paraId="07DCF904" w14:textId="77777777" w:rsidR="00AE727E" w:rsidRDefault="00AE727E">
            <w:pPr>
              <w:rPr>
                <w:rFonts w:ascii="宋体"/>
              </w:rPr>
            </w:pPr>
          </w:p>
        </w:tc>
      </w:tr>
      <w:tr w:rsidR="00AE727E" w14:paraId="07DCF90E" w14:textId="77777777">
        <w:tc>
          <w:tcPr>
            <w:tcW w:w="0" w:type="auto"/>
            <w:gridSpan w:val="3"/>
            <w:shd w:val="clear" w:color="auto" w:fill="auto"/>
            <w:tcMar>
              <w:top w:w="0" w:type="dxa"/>
              <w:left w:w="20" w:type="dxa"/>
              <w:bottom w:w="0" w:type="dxa"/>
              <w:right w:w="20" w:type="dxa"/>
            </w:tcMar>
            <w:vAlign w:val="bottom"/>
          </w:tcPr>
          <w:p w14:paraId="07DCF906" w14:textId="77777777" w:rsidR="00AE727E" w:rsidRDefault="00AE727E">
            <w:pPr>
              <w:rPr>
                <w:rFonts w:ascii="宋体"/>
              </w:rPr>
            </w:pPr>
          </w:p>
        </w:tc>
        <w:tc>
          <w:tcPr>
            <w:tcW w:w="0" w:type="auto"/>
            <w:shd w:val="clear" w:color="auto" w:fill="auto"/>
            <w:vAlign w:val="bottom"/>
          </w:tcPr>
          <w:p w14:paraId="07DCF907" w14:textId="77777777" w:rsidR="00AE727E" w:rsidRDefault="00AE727E">
            <w:pPr>
              <w:rPr>
                <w:rFonts w:ascii="宋体"/>
                <w:vanish/>
              </w:rPr>
            </w:pPr>
          </w:p>
        </w:tc>
        <w:tc>
          <w:tcPr>
            <w:tcW w:w="0" w:type="auto"/>
            <w:shd w:val="clear" w:color="auto" w:fill="auto"/>
            <w:vAlign w:val="bottom"/>
          </w:tcPr>
          <w:p w14:paraId="07DCF908" w14:textId="77777777" w:rsidR="00AE727E" w:rsidRDefault="00AE727E">
            <w:pPr>
              <w:rPr>
                <w:rFonts w:ascii="宋体"/>
                <w:vanish/>
              </w:rPr>
            </w:pPr>
          </w:p>
        </w:tc>
        <w:tc>
          <w:tcPr>
            <w:tcW w:w="0" w:type="auto"/>
            <w:gridSpan w:val="15"/>
            <w:shd w:val="clear" w:color="auto" w:fill="auto"/>
            <w:tcMar>
              <w:top w:w="40" w:type="dxa"/>
              <w:left w:w="20" w:type="dxa"/>
              <w:bottom w:w="40" w:type="dxa"/>
              <w:right w:w="20" w:type="dxa"/>
            </w:tcMar>
            <w:vAlign w:val="bottom"/>
          </w:tcPr>
          <w:p w14:paraId="07DCF909"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F90A" w14:textId="77777777" w:rsidR="00AE727E" w:rsidRDefault="00AE727E">
            <w:pPr>
              <w:rPr>
                <w:rFonts w:ascii="宋体"/>
              </w:rPr>
            </w:pPr>
          </w:p>
        </w:tc>
        <w:tc>
          <w:tcPr>
            <w:tcW w:w="0" w:type="auto"/>
            <w:shd w:val="clear" w:color="auto" w:fill="auto"/>
            <w:vAlign w:val="bottom"/>
          </w:tcPr>
          <w:p w14:paraId="07DCF90B" w14:textId="77777777" w:rsidR="00AE727E" w:rsidRDefault="00AE727E">
            <w:pPr>
              <w:rPr>
                <w:rFonts w:ascii="宋体"/>
                <w:vanish/>
              </w:rPr>
            </w:pPr>
          </w:p>
        </w:tc>
        <w:tc>
          <w:tcPr>
            <w:tcW w:w="0" w:type="auto"/>
            <w:shd w:val="clear" w:color="auto" w:fill="auto"/>
            <w:vAlign w:val="bottom"/>
          </w:tcPr>
          <w:p w14:paraId="07DCF90C" w14:textId="77777777" w:rsidR="00AE727E" w:rsidRDefault="00AE727E">
            <w:pPr>
              <w:rPr>
                <w:rFonts w:ascii="宋体"/>
                <w:vanish/>
              </w:rPr>
            </w:pPr>
          </w:p>
        </w:tc>
        <w:tc>
          <w:tcPr>
            <w:tcW w:w="0" w:type="auto"/>
            <w:gridSpan w:val="15"/>
            <w:shd w:val="clear" w:color="auto" w:fill="auto"/>
            <w:tcMar>
              <w:top w:w="40" w:type="dxa"/>
              <w:left w:w="20" w:type="dxa"/>
              <w:bottom w:w="40" w:type="dxa"/>
              <w:right w:w="20" w:type="dxa"/>
            </w:tcMar>
            <w:vAlign w:val="bottom"/>
          </w:tcPr>
          <w:p w14:paraId="07DCF90D"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91F" w14:textId="77777777">
        <w:tc>
          <w:tcPr>
            <w:tcW w:w="0" w:type="auto"/>
            <w:gridSpan w:val="3"/>
            <w:shd w:val="clear" w:color="auto" w:fill="auto"/>
            <w:tcMar>
              <w:top w:w="0" w:type="dxa"/>
              <w:left w:w="20" w:type="dxa"/>
              <w:bottom w:w="0" w:type="dxa"/>
              <w:right w:w="20" w:type="dxa"/>
            </w:tcMar>
            <w:vAlign w:val="bottom"/>
          </w:tcPr>
          <w:p w14:paraId="07DCF90F" w14:textId="77777777" w:rsidR="00AE727E" w:rsidRDefault="00AE727E">
            <w:pPr>
              <w:rPr>
                <w:rFonts w:ascii="宋体"/>
              </w:rPr>
            </w:pPr>
          </w:p>
        </w:tc>
        <w:tc>
          <w:tcPr>
            <w:tcW w:w="0" w:type="auto"/>
            <w:shd w:val="clear" w:color="auto" w:fill="auto"/>
            <w:vAlign w:val="bottom"/>
          </w:tcPr>
          <w:p w14:paraId="07DCF910" w14:textId="77777777" w:rsidR="00AE727E" w:rsidRDefault="00AE727E">
            <w:pPr>
              <w:rPr>
                <w:rFonts w:ascii="宋体"/>
                <w:vanish/>
              </w:rPr>
            </w:pPr>
          </w:p>
        </w:tc>
        <w:tc>
          <w:tcPr>
            <w:tcW w:w="0" w:type="auto"/>
            <w:shd w:val="clear" w:color="auto" w:fill="auto"/>
            <w:vAlign w:val="bottom"/>
          </w:tcPr>
          <w:p w14:paraId="07DCF911" w14:textId="77777777" w:rsidR="00AE727E" w:rsidRDefault="00AE727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912" w14:textId="77777777" w:rsidR="00AE727E" w:rsidRDefault="008433E0">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1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14" w14:textId="77777777" w:rsidR="00AE727E" w:rsidRDefault="008433E0">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1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16" w14:textId="77777777" w:rsidR="00AE727E" w:rsidRDefault="008433E0">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F917" w14:textId="77777777" w:rsidR="00AE727E" w:rsidRDefault="00AE727E">
            <w:pPr>
              <w:rPr>
                <w:rFonts w:ascii="宋体"/>
              </w:rPr>
            </w:pPr>
          </w:p>
        </w:tc>
        <w:tc>
          <w:tcPr>
            <w:tcW w:w="0" w:type="auto"/>
            <w:shd w:val="clear" w:color="auto" w:fill="auto"/>
            <w:vAlign w:val="bottom"/>
          </w:tcPr>
          <w:p w14:paraId="07DCF918" w14:textId="77777777" w:rsidR="00AE727E" w:rsidRDefault="00AE727E">
            <w:pPr>
              <w:rPr>
                <w:rFonts w:ascii="宋体"/>
                <w:vanish/>
              </w:rPr>
            </w:pPr>
          </w:p>
        </w:tc>
        <w:tc>
          <w:tcPr>
            <w:tcW w:w="0" w:type="auto"/>
            <w:shd w:val="clear" w:color="auto" w:fill="auto"/>
            <w:vAlign w:val="bottom"/>
          </w:tcPr>
          <w:p w14:paraId="07DCF919" w14:textId="77777777" w:rsidR="00AE727E" w:rsidRDefault="00AE727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1A" w14:textId="77777777" w:rsidR="00AE727E" w:rsidRDefault="008433E0">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1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1C" w14:textId="77777777" w:rsidR="00AE727E" w:rsidRDefault="008433E0">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1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1E"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F92A" w14:textId="77777777">
        <w:tc>
          <w:tcPr>
            <w:tcW w:w="0" w:type="auto"/>
            <w:gridSpan w:val="3"/>
            <w:shd w:val="clear" w:color="auto" w:fill="FFFFFF"/>
            <w:tcMar>
              <w:top w:w="0" w:type="dxa"/>
              <w:left w:w="20" w:type="dxa"/>
              <w:bottom w:w="0" w:type="dxa"/>
              <w:right w:w="20" w:type="dxa"/>
            </w:tcMar>
            <w:vAlign w:val="bottom"/>
          </w:tcPr>
          <w:p w14:paraId="07DCF920" w14:textId="77777777" w:rsidR="00AE727E" w:rsidRDefault="00AE727E">
            <w:pPr>
              <w:rPr>
                <w:rFonts w:ascii="宋体"/>
              </w:rPr>
            </w:pPr>
          </w:p>
        </w:tc>
        <w:tc>
          <w:tcPr>
            <w:tcW w:w="0" w:type="auto"/>
            <w:shd w:val="clear" w:color="auto" w:fill="auto"/>
            <w:vAlign w:val="bottom"/>
          </w:tcPr>
          <w:p w14:paraId="07DCF921" w14:textId="77777777" w:rsidR="00AE727E" w:rsidRDefault="00AE727E">
            <w:pPr>
              <w:rPr>
                <w:rFonts w:ascii="宋体"/>
                <w:vanish/>
              </w:rPr>
            </w:pPr>
          </w:p>
        </w:tc>
        <w:tc>
          <w:tcPr>
            <w:tcW w:w="0" w:type="auto"/>
            <w:shd w:val="clear" w:color="auto" w:fill="auto"/>
            <w:vAlign w:val="bottom"/>
          </w:tcPr>
          <w:p w14:paraId="07DCF922" w14:textId="77777777" w:rsidR="00AE727E" w:rsidRDefault="00AE727E">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bottom"/>
          </w:tcPr>
          <w:p w14:paraId="07DCF923" w14:textId="77777777" w:rsidR="00AE727E" w:rsidRDefault="008433E0">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DCF924" w14:textId="77777777" w:rsidR="00AE727E" w:rsidRDefault="00AE727E">
            <w:pPr>
              <w:rPr>
                <w:rFonts w:ascii="宋体"/>
              </w:rPr>
            </w:pPr>
          </w:p>
        </w:tc>
        <w:tc>
          <w:tcPr>
            <w:tcW w:w="0" w:type="auto"/>
            <w:shd w:val="clear" w:color="auto" w:fill="auto"/>
            <w:vAlign w:val="bottom"/>
          </w:tcPr>
          <w:p w14:paraId="07DCF925" w14:textId="77777777" w:rsidR="00AE727E" w:rsidRDefault="00AE727E">
            <w:pPr>
              <w:rPr>
                <w:rFonts w:ascii="宋体"/>
              </w:rPr>
            </w:pPr>
          </w:p>
        </w:tc>
        <w:tc>
          <w:tcPr>
            <w:tcW w:w="0" w:type="auto"/>
            <w:shd w:val="clear" w:color="auto" w:fill="auto"/>
            <w:vAlign w:val="bottom"/>
          </w:tcPr>
          <w:p w14:paraId="07DCF926" w14:textId="77777777" w:rsidR="00AE727E" w:rsidRDefault="00AE727E">
            <w:pPr>
              <w:rPr>
                <w:rFonts w:ascii="宋体"/>
              </w:rPr>
            </w:pPr>
          </w:p>
        </w:tc>
        <w:tc>
          <w:tcPr>
            <w:tcW w:w="0" w:type="auto"/>
            <w:shd w:val="clear" w:color="auto" w:fill="auto"/>
            <w:vAlign w:val="bottom"/>
          </w:tcPr>
          <w:p w14:paraId="07DCF927" w14:textId="77777777" w:rsidR="00AE727E" w:rsidRDefault="00AE727E">
            <w:pPr>
              <w:rPr>
                <w:rFonts w:ascii="宋体"/>
              </w:rPr>
            </w:pPr>
          </w:p>
        </w:tc>
        <w:tc>
          <w:tcPr>
            <w:tcW w:w="0" w:type="auto"/>
            <w:shd w:val="clear" w:color="auto" w:fill="auto"/>
            <w:vAlign w:val="bottom"/>
          </w:tcPr>
          <w:p w14:paraId="07DCF928" w14:textId="77777777" w:rsidR="00AE727E" w:rsidRDefault="00AE727E">
            <w:pPr>
              <w:rPr>
                <w:rFonts w:ascii="宋体"/>
              </w:rPr>
            </w:pPr>
          </w:p>
        </w:tc>
        <w:tc>
          <w:tcPr>
            <w:tcW w:w="0" w:type="auto"/>
            <w:shd w:val="clear" w:color="auto" w:fill="auto"/>
            <w:vAlign w:val="bottom"/>
          </w:tcPr>
          <w:p w14:paraId="07DCF929" w14:textId="77777777" w:rsidR="00AE727E" w:rsidRDefault="00AE727E">
            <w:pPr>
              <w:rPr>
                <w:rFonts w:ascii="宋体"/>
              </w:rPr>
            </w:pPr>
          </w:p>
        </w:tc>
      </w:tr>
      <w:tr w:rsidR="00AE727E" w14:paraId="07DCF93B" w14:textId="77777777">
        <w:tc>
          <w:tcPr>
            <w:tcW w:w="0" w:type="auto"/>
            <w:gridSpan w:val="3"/>
            <w:shd w:val="clear" w:color="auto" w:fill="CCEEFF"/>
            <w:tcMar>
              <w:top w:w="40" w:type="dxa"/>
              <w:left w:w="20" w:type="dxa"/>
              <w:bottom w:w="40" w:type="dxa"/>
              <w:right w:w="20" w:type="dxa"/>
            </w:tcMar>
            <w:vAlign w:val="center"/>
          </w:tcPr>
          <w:p w14:paraId="07DCF92B" w14:textId="77777777" w:rsidR="00AE727E" w:rsidRDefault="008433E0">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07DCF92C" w14:textId="77777777" w:rsidR="00AE727E" w:rsidRDefault="00AE727E">
            <w:pPr>
              <w:rPr>
                <w:rFonts w:ascii="宋体"/>
                <w:vanish/>
              </w:rPr>
            </w:pPr>
          </w:p>
        </w:tc>
        <w:tc>
          <w:tcPr>
            <w:tcW w:w="0" w:type="auto"/>
            <w:shd w:val="clear" w:color="auto" w:fill="auto"/>
            <w:vAlign w:val="bottom"/>
          </w:tcPr>
          <w:p w14:paraId="07DCF92D"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92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2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3" w14:textId="77777777" w:rsidR="00AE727E" w:rsidRDefault="00AE727E">
            <w:pPr>
              <w:rPr>
                <w:rFonts w:ascii="宋体"/>
              </w:rPr>
            </w:pPr>
          </w:p>
        </w:tc>
        <w:tc>
          <w:tcPr>
            <w:tcW w:w="0" w:type="auto"/>
            <w:shd w:val="clear" w:color="auto" w:fill="auto"/>
            <w:vAlign w:val="bottom"/>
          </w:tcPr>
          <w:p w14:paraId="07DCF934" w14:textId="77777777" w:rsidR="00AE727E" w:rsidRDefault="00AE727E">
            <w:pPr>
              <w:rPr>
                <w:rFonts w:ascii="宋体"/>
                <w:vanish/>
              </w:rPr>
            </w:pPr>
          </w:p>
        </w:tc>
        <w:tc>
          <w:tcPr>
            <w:tcW w:w="0" w:type="auto"/>
            <w:shd w:val="clear" w:color="auto" w:fill="auto"/>
            <w:vAlign w:val="bottom"/>
          </w:tcPr>
          <w:p w14:paraId="07DCF935"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93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3A" w14:textId="77777777" w:rsidR="00AE727E" w:rsidRDefault="00AE727E">
            <w:pPr>
              <w:rPr>
                <w:rFonts w:ascii="宋体"/>
              </w:rPr>
            </w:pPr>
          </w:p>
        </w:tc>
      </w:tr>
      <w:tr w:rsidR="00AE727E" w14:paraId="07DCF958" w14:textId="77777777">
        <w:tc>
          <w:tcPr>
            <w:tcW w:w="0" w:type="auto"/>
            <w:gridSpan w:val="3"/>
            <w:shd w:val="clear" w:color="auto" w:fill="FFFFFF"/>
            <w:tcMar>
              <w:top w:w="40" w:type="dxa"/>
              <w:left w:w="155" w:type="dxa"/>
              <w:bottom w:w="40" w:type="dxa"/>
              <w:right w:w="20" w:type="dxa"/>
            </w:tcMar>
            <w:vAlign w:val="center"/>
          </w:tcPr>
          <w:p w14:paraId="07DCF93C" w14:textId="77777777" w:rsidR="00AE727E" w:rsidRDefault="008433E0">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07DCF93D" w14:textId="77777777" w:rsidR="00AE727E" w:rsidRDefault="00AE727E">
            <w:pPr>
              <w:rPr>
                <w:rFonts w:ascii="宋体"/>
                <w:vanish/>
              </w:rPr>
            </w:pPr>
          </w:p>
        </w:tc>
        <w:tc>
          <w:tcPr>
            <w:tcW w:w="0" w:type="auto"/>
            <w:shd w:val="clear" w:color="auto" w:fill="auto"/>
            <w:vAlign w:val="bottom"/>
          </w:tcPr>
          <w:p w14:paraId="07DCF93E" w14:textId="77777777" w:rsidR="00AE727E" w:rsidRDefault="00AE727E">
            <w:pPr>
              <w:rPr>
                <w:rFonts w:ascii="宋体"/>
                <w:vanish/>
              </w:rPr>
            </w:pPr>
          </w:p>
        </w:tc>
        <w:tc>
          <w:tcPr>
            <w:tcW w:w="0" w:type="auto"/>
            <w:shd w:val="clear" w:color="auto" w:fill="FFFFFF"/>
            <w:tcMar>
              <w:top w:w="40" w:type="dxa"/>
              <w:left w:w="20" w:type="dxa"/>
              <w:bottom w:w="40" w:type="dxa"/>
              <w:right w:w="0" w:type="dxa"/>
            </w:tcMar>
            <w:vAlign w:val="center"/>
          </w:tcPr>
          <w:p w14:paraId="07DCF93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40" w14:textId="77777777" w:rsidR="00AE727E" w:rsidRDefault="008433E0">
            <w:pPr>
              <w:jc w:val="right"/>
              <w:textAlignment w:val="center"/>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center"/>
          </w:tcPr>
          <w:p w14:paraId="07DCF9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42"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943"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44"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9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4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94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48" w14:textId="77777777" w:rsidR="00AE727E" w:rsidRDefault="008433E0">
            <w:pPr>
              <w:jc w:val="right"/>
              <w:textAlignment w:val="center"/>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center"/>
          </w:tcPr>
          <w:p w14:paraId="07DCF94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4A" w14:textId="77777777" w:rsidR="00AE727E" w:rsidRDefault="00AE727E">
            <w:pPr>
              <w:rPr>
                <w:rFonts w:ascii="宋体"/>
              </w:rPr>
            </w:pPr>
          </w:p>
        </w:tc>
        <w:tc>
          <w:tcPr>
            <w:tcW w:w="0" w:type="auto"/>
            <w:shd w:val="clear" w:color="auto" w:fill="auto"/>
            <w:vAlign w:val="bottom"/>
          </w:tcPr>
          <w:p w14:paraId="07DCF94B" w14:textId="77777777" w:rsidR="00AE727E" w:rsidRDefault="00AE727E">
            <w:pPr>
              <w:rPr>
                <w:rFonts w:ascii="宋体"/>
                <w:vanish/>
              </w:rPr>
            </w:pPr>
          </w:p>
        </w:tc>
        <w:tc>
          <w:tcPr>
            <w:tcW w:w="0" w:type="auto"/>
            <w:shd w:val="clear" w:color="auto" w:fill="auto"/>
            <w:vAlign w:val="bottom"/>
          </w:tcPr>
          <w:p w14:paraId="07DCF94C" w14:textId="77777777" w:rsidR="00AE727E" w:rsidRDefault="00AE727E">
            <w:pPr>
              <w:rPr>
                <w:rFonts w:ascii="宋体"/>
                <w:vanish/>
              </w:rPr>
            </w:pPr>
          </w:p>
        </w:tc>
        <w:tc>
          <w:tcPr>
            <w:tcW w:w="0" w:type="auto"/>
            <w:shd w:val="clear" w:color="auto" w:fill="FFFFFF"/>
            <w:tcMar>
              <w:top w:w="40" w:type="dxa"/>
              <w:left w:w="20" w:type="dxa"/>
              <w:bottom w:w="40" w:type="dxa"/>
              <w:right w:w="0" w:type="dxa"/>
            </w:tcMar>
            <w:vAlign w:val="center"/>
          </w:tcPr>
          <w:p w14:paraId="07DCF94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4E" w14:textId="77777777" w:rsidR="00AE727E" w:rsidRDefault="008433E0">
            <w:pPr>
              <w:jc w:val="right"/>
              <w:textAlignment w:val="center"/>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center"/>
          </w:tcPr>
          <w:p w14:paraId="07DCF94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50"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95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5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95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54"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95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956" w14:textId="77777777" w:rsidR="00AE727E" w:rsidRDefault="008433E0">
            <w:pPr>
              <w:jc w:val="right"/>
              <w:textAlignment w:val="center"/>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center"/>
          </w:tcPr>
          <w:p w14:paraId="07DCF957" w14:textId="77777777" w:rsidR="00AE727E" w:rsidRDefault="00AE727E">
            <w:pPr>
              <w:jc w:val="right"/>
              <w:rPr>
                <w:rFonts w:ascii="宋体"/>
              </w:rPr>
            </w:pPr>
          </w:p>
        </w:tc>
      </w:tr>
      <w:tr w:rsidR="00AE727E" w14:paraId="07DCF96F" w14:textId="77777777">
        <w:tc>
          <w:tcPr>
            <w:tcW w:w="0" w:type="auto"/>
            <w:gridSpan w:val="3"/>
            <w:shd w:val="clear" w:color="auto" w:fill="CCEEFF"/>
            <w:tcMar>
              <w:top w:w="40" w:type="dxa"/>
              <w:left w:w="155" w:type="dxa"/>
              <w:bottom w:w="40" w:type="dxa"/>
              <w:right w:w="20" w:type="dxa"/>
            </w:tcMar>
            <w:vAlign w:val="center"/>
          </w:tcPr>
          <w:p w14:paraId="07DCF959" w14:textId="77777777" w:rsidR="00AE727E" w:rsidRDefault="008433E0">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07DCF95A" w14:textId="77777777" w:rsidR="00AE727E" w:rsidRDefault="00AE727E">
            <w:pPr>
              <w:rPr>
                <w:rFonts w:ascii="宋体"/>
                <w:vanish/>
              </w:rPr>
            </w:pPr>
          </w:p>
        </w:tc>
        <w:tc>
          <w:tcPr>
            <w:tcW w:w="0" w:type="auto"/>
            <w:shd w:val="clear" w:color="auto" w:fill="auto"/>
            <w:vAlign w:val="bottom"/>
          </w:tcPr>
          <w:p w14:paraId="07DCF95B"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center"/>
          </w:tcPr>
          <w:p w14:paraId="07DCF95C"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07DCF95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5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95F"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96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6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962"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07DCF9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64" w14:textId="77777777" w:rsidR="00AE727E" w:rsidRDefault="00AE727E">
            <w:pPr>
              <w:rPr>
                <w:rFonts w:ascii="宋体"/>
              </w:rPr>
            </w:pPr>
          </w:p>
        </w:tc>
        <w:tc>
          <w:tcPr>
            <w:tcW w:w="0" w:type="auto"/>
            <w:shd w:val="clear" w:color="auto" w:fill="auto"/>
            <w:vAlign w:val="bottom"/>
          </w:tcPr>
          <w:p w14:paraId="07DCF965" w14:textId="77777777" w:rsidR="00AE727E" w:rsidRDefault="00AE727E">
            <w:pPr>
              <w:rPr>
                <w:rFonts w:ascii="宋体"/>
                <w:vanish/>
              </w:rPr>
            </w:pPr>
          </w:p>
        </w:tc>
        <w:tc>
          <w:tcPr>
            <w:tcW w:w="0" w:type="auto"/>
            <w:shd w:val="clear" w:color="auto" w:fill="auto"/>
            <w:vAlign w:val="bottom"/>
          </w:tcPr>
          <w:p w14:paraId="07DCF966"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center"/>
          </w:tcPr>
          <w:p w14:paraId="07DCF967" w14:textId="77777777" w:rsidR="00AE727E" w:rsidRDefault="008433E0">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07DCF96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6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96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96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6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96D" w14:textId="77777777" w:rsidR="00AE727E" w:rsidRDefault="008433E0">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07DCF96E" w14:textId="77777777" w:rsidR="00AE727E" w:rsidRDefault="00AE727E">
            <w:pPr>
              <w:jc w:val="right"/>
              <w:rPr>
                <w:rFonts w:ascii="宋体"/>
              </w:rPr>
            </w:pPr>
          </w:p>
        </w:tc>
      </w:tr>
      <w:tr w:rsidR="00AE727E" w14:paraId="07DCF986" w14:textId="77777777">
        <w:tc>
          <w:tcPr>
            <w:tcW w:w="0" w:type="auto"/>
            <w:gridSpan w:val="3"/>
            <w:shd w:val="clear" w:color="auto" w:fill="FFFFFF"/>
            <w:tcMar>
              <w:top w:w="40" w:type="dxa"/>
              <w:left w:w="155" w:type="dxa"/>
              <w:bottom w:w="40" w:type="dxa"/>
              <w:right w:w="20" w:type="dxa"/>
            </w:tcMar>
            <w:vAlign w:val="center"/>
          </w:tcPr>
          <w:p w14:paraId="07DCF970" w14:textId="77777777" w:rsidR="00AE727E" w:rsidRDefault="008433E0">
            <w:pPr>
              <w:textAlignment w:val="center"/>
            </w:pPr>
            <w:r>
              <w:rPr>
                <w:rFonts w:ascii="Times New Roman" w:eastAsia="宋体" w:hAnsi="Times New Roman"/>
                <w:color w:val="000000"/>
                <w:sz w:val="20"/>
                <w:szCs w:val="20"/>
              </w:rPr>
              <w:t>Operating expenses</w:t>
            </w:r>
          </w:p>
        </w:tc>
        <w:tc>
          <w:tcPr>
            <w:tcW w:w="0" w:type="auto"/>
            <w:shd w:val="clear" w:color="auto" w:fill="auto"/>
            <w:vAlign w:val="bottom"/>
          </w:tcPr>
          <w:p w14:paraId="07DCF971" w14:textId="77777777" w:rsidR="00AE727E" w:rsidRDefault="00AE727E">
            <w:pPr>
              <w:rPr>
                <w:rFonts w:ascii="宋体"/>
                <w:vanish/>
              </w:rPr>
            </w:pPr>
          </w:p>
        </w:tc>
        <w:tc>
          <w:tcPr>
            <w:tcW w:w="0" w:type="auto"/>
            <w:shd w:val="clear" w:color="auto" w:fill="auto"/>
            <w:vAlign w:val="bottom"/>
          </w:tcPr>
          <w:p w14:paraId="07DCF972" w14:textId="77777777" w:rsidR="00AE727E" w:rsidRDefault="00AE727E">
            <w:pPr>
              <w:rPr>
                <w:rFonts w:ascii="宋体"/>
                <w:vanish/>
              </w:rPr>
            </w:pPr>
          </w:p>
        </w:tc>
        <w:tc>
          <w:tcPr>
            <w:tcW w:w="0" w:type="auto"/>
            <w:gridSpan w:val="2"/>
            <w:shd w:val="clear" w:color="auto" w:fill="FFFFFF"/>
            <w:tcMar>
              <w:top w:w="40" w:type="dxa"/>
              <w:left w:w="20" w:type="dxa"/>
              <w:bottom w:w="40" w:type="dxa"/>
              <w:right w:w="0" w:type="dxa"/>
            </w:tcMar>
            <w:vAlign w:val="center"/>
          </w:tcPr>
          <w:p w14:paraId="07DCF97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97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7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976" w14:textId="77777777" w:rsidR="00AE727E" w:rsidRDefault="008433E0">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07DCF9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7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979" w14:textId="77777777" w:rsidR="00AE727E" w:rsidRDefault="008433E0">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07DCF97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7B" w14:textId="77777777" w:rsidR="00AE727E" w:rsidRDefault="00AE727E">
            <w:pPr>
              <w:rPr>
                <w:rFonts w:ascii="宋体"/>
              </w:rPr>
            </w:pPr>
          </w:p>
        </w:tc>
        <w:tc>
          <w:tcPr>
            <w:tcW w:w="0" w:type="auto"/>
            <w:shd w:val="clear" w:color="auto" w:fill="auto"/>
            <w:vAlign w:val="bottom"/>
          </w:tcPr>
          <w:p w14:paraId="07DCF97C" w14:textId="77777777" w:rsidR="00AE727E" w:rsidRDefault="00AE727E">
            <w:pPr>
              <w:rPr>
                <w:rFonts w:ascii="宋体"/>
                <w:vanish/>
              </w:rPr>
            </w:pPr>
          </w:p>
        </w:tc>
        <w:tc>
          <w:tcPr>
            <w:tcW w:w="0" w:type="auto"/>
            <w:shd w:val="clear" w:color="auto" w:fill="auto"/>
            <w:vAlign w:val="bottom"/>
          </w:tcPr>
          <w:p w14:paraId="07DCF97D" w14:textId="77777777" w:rsidR="00AE727E" w:rsidRDefault="00AE727E">
            <w:pPr>
              <w:rPr>
                <w:rFonts w:ascii="宋体"/>
                <w:vanish/>
              </w:rPr>
            </w:pPr>
          </w:p>
        </w:tc>
        <w:tc>
          <w:tcPr>
            <w:tcW w:w="0" w:type="auto"/>
            <w:gridSpan w:val="2"/>
            <w:shd w:val="clear" w:color="auto" w:fill="FFFFFF"/>
            <w:tcMar>
              <w:top w:w="40" w:type="dxa"/>
              <w:left w:w="20" w:type="dxa"/>
              <w:bottom w:w="40" w:type="dxa"/>
              <w:right w:w="0" w:type="dxa"/>
            </w:tcMar>
            <w:vAlign w:val="center"/>
          </w:tcPr>
          <w:p w14:paraId="07DCF97E"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97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8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981"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07DCF98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98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984"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07DCF985" w14:textId="77777777" w:rsidR="00AE727E" w:rsidRDefault="00AE727E">
            <w:pPr>
              <w:jc w:val="right"/>
              <w:rPr>
                <w:rFonts w:ascii="宋体"/>
              </w:rPr>
            </w:pPr>
          </w:p>
        </w:tc>
      </w:tr>
      <w:tr w:rsidR="00AE727E" w14:paraId="07DCF997" w14:textId="77777777">
        <w:trPr>
          <w:hidden/>
        </w:trPr>
        <w:tc>
          <w:tcPr>
            <w:tcW w:w="0" w:type="auto"/>
            <w:gridSpan w:val="3"/>
            <w:shd w:val="clear" w:color="auto" w:fill="auto"/>
            <w:vAlign w:val="bottom"/>
          </w:tcPr>
          <w:p w14:paraId="07DCF987" w14:textId="77777777" w:rsidR="00AE727E" w:rsidRDefault="00AE727E">
            <w:pPr>
              <w:rPr>
                <w:rFonts w:ascii="宋体"/>
                <w:vanish/>
              </w:rPr>
            </w:pPr>
          </w:p>
        </w:tc>
        <w:tc>
          <w:tcPr>
            <w:tcW w:w="0" w:type="auto"/>
            <w:shd w:val="clear" w:color="auto" w:fill="auto"/>
            <w:vAlign w:val="bottom"/>
          </w:tcPr>
          <w:p w14:paraId="07DCF988" w14:textId="77777777" w:rsidR="00AE727E" w:rsidRDefault="00AE727E">
            <w:pPr>
              <w:rPr>
                <w:rFonts w:ascii="宋体"/>
                <w:vanish/>
              </w:rPr>
            </w:pPr>
          </w:p>
        </w:tc>
        <w:tc>
          <w:tcPr>
            <w:tcW w:w="0" w:type="auto"/>
            <w:shd w:val="clear" w:color="auto" w:fill="auto"/>
            <w:vAlign w:val="bottom"/>
          </w:tcPr>
          <w:p w14:paraId="07DCF989" w14:textId="77777777" w:rsidR="00AE727E" w:rsidRDefault="00AE727E">
            <w:pPr>
              <w:rPr>
                <w:rFonts w:ascii="宋体"/>
                <w:vanish/>
              </w:rPr>
            </w:pPr>
          </w:p>
        </w:tc>
        <w:tc>
          <w:tcPr>
            <w:tcW w:w="0" w:type="auto"/>
            <w:gridSpan w:val="3"/>
            <w:shd w:val="clear" w:color="auto" w:fill="auto"/>
            <w:vAlign w:val="bottom"/>
          </w:tcPr>
          <w:p w14:paraId="07DCF98A" w14:textId="77777777" w:rsidR="00AE727E" w:rsidRDefault="00AE727E">
            <w:pPr>
              <w:rPr>
                <w:rFonts w:ascii="宋体"/>
                <w:vanish/>
              </w:rPr>
            </w:pPr>
          </w:p>
        </w:tc>
        <w:tc>
          <w:tcPr>
            <w:tcW w:w="0" w:type="auto"/>
            <w:gridSpan w:val="3"/>
            <w:shd w:val="clear" w:color="auto" w:fill="auto"/>
            <w:vAlign w:val="bottom"/>
          </w:tcPr>
          <w:p w14:paraId="07DCF98B" w14:textId="77777777" w:rsidR="00AE727E" w:rsidRDefault="00AE727E">
            <w:pPr>
              <w:rPr>
                <w:rFonts w:ascii="宋体"/>
                <w:vanish/>
              </w:rPr>
            </w:pPr>
          </w:p>
        </w:tc>
        <w:tc>
          <w:tcPr>
            <w:tcW w:w="0" w:type="auto"/>
            <w:gridSpan w:val="3"/>
            <w:shd w:val="clear" w:color="auto" w:fill="auto"/>
            <w:vAlign w:val="bottom"/>
          </w:tcPr>
          <w:p w14:paraId="07DCF98C" w14:textId="77777777" w:rsidR="00AE727E" w:rsidRDefault="00AE727E">
            <w:pPr>
              <w:rPr>
                <w:rFonts w:ascii="宋体"/>
                <w:vanish/>
              </w:rPr>
            </w:pPr>
          </w:p>
        </w:tc>
        <w:tc>
          <w:tcPr>
            <w:tcW w:w="0" w:type="auto"/>
            <w:gridSpan w:val="3"/>
            <w:shd w:val="clear" w:color="auto" w:fill="auto"/>
            <w:vAlign w:val="bottom"/>
          </w:tcPr>
          <w:p w14:paraId="07DCF98D" w14:textId="77777777" w:rsidR="00AE727E" w:rsidRDefault="00AE727E">
            <w:pPr>
              <w:rPr>
                <w:rFonts w:ascii="宋体"/>
                <w:vanish/>
              </w:rPr>
            </w:pPr>
          </w:p>
        </w:tc>
        <w:tc>
          <w:tcPr>
            <w:tcW w:w="0" w:type="auto"/>
            <w:gridSpan w:val="3"/>
            <w:shd w:val="clear" w:color="auto" w:fill="auto"/>
            <w:vAlign w:val="bottom"/>
          </w:tcPr>
          <w:p w14:paraId="07DCF98E" w14:textId="77777777" w:rsidR="00AE727E" w:rsidRDefault="00AE727E">
            <w:pPr>
              <w:rPr>
                <w:rFonts w:ascii="宋体"/>
                <w:vanish/>
              </w:rPr>
            </w:pPr>
          </w:p>
        </w:tc>
        <w:tc>
          <w:tcPr>
            <w:tcW w:w="0" w:type="auto"/>
            <w:gridSpan w:val="3"/>
            <w:shd w:val="clear" w:color="auto" w:fill="auto"/>
            <w:vAlign w:val="bottom"/>
          </w:tcPr>
          <w:p w14:paraId="07DCF98F" w14:textId="77777777" w:rsidR="00AE727E" w:rsidRDefault="00AE727E">
            <w:pPr>
              <w:rPr>
                <w:rFonts w:ascii="宋体"/>
                <w:vanish/>
              </w:rPr>
            </w:pPr>
          </w:p>
        </w:tc>
        <w:tc>
          <w:tcPr>
            <w:tcW w:w="0" w:type="auto"/>
            <w:shd w:val="clear" w:color="auto" w:fill="auto"/>
            <w:vAlign w:val="bottom"/>
          </w:tcPr>
          <w:p w14:paraId="07DCF990" w14:textId="77777777" w:rsidR="00AE727E" w:rsidRDefault="00AE727E">
            <w:pPr>
              <w:rPr>
                <w:rFonts w:ascii="宋体"/>
                <w:vanish/>
              </w:rPr>
            </w:pPr>
          </w:p>
        </w:tc>
        <w:tc>
          <w:tcPr>
            <w:tcW w:w="0" w:type="auto"/>
            <w:shd w:val="clear" w:color="auto" w:fill="auto"/>
            <w:vAlign w:val="bottom"/>
          </w:tcPr>
          <w:p w14:paraId="07DCF991" w14:textId="77777777" w:rsidR="00AE727E" w:rsidRDefault="00AE727E">
            <w:pPr>
              <w:rPr>
                <w:rFonts w:ascii="宋体"/>
                <w:vanish/>
              </w:rPr>
            </w:pPr>
          </w:p>
        </w:tc>
        <w:tc>
          <w:tcPr>
            <w:tcW w:w="0" w:type="auto"/>
            <w:gridSpan w:val="3"/>
            <w:shd w:val="clear" w:color="auto" w:fill="auto"/>
            <w:vAlign w:val="bottom"/>
          </w:tcPr>
          <w:p w14:paraId="07DCF992" w14:textId="77777777" w:rsidR="00AE727E" w:rsidRDefault="00AE727E">
            <w:pPr>
              <w:rPr>
                <w:rFonts w:ascii="宋体"/>
                <w:vanish/>
              </w:rPr>
            </w:pPr>
          </w:p>
        </w:tc>
        <w:tc>
          <w:tcPr>
            <w:tcW w:w="0" w:type="auto"/>
            <w:gridSpan w:val="3"/>
            <w:shd w:val="clear" w:color="auto" w:fill="auto"/>
            <w:vAlign w:val="bottom"/>
          </w:tcPr>
          <w:p w14:paraId="07DCF993" w14:textId="77777777" w:rsidR="00AE727E" w:rsidRDefault="00AE727E">
            <w:pPr>
              <w:rPr>
                <w:rFonts w:ascii="宋体"/>
                <w:vanish/>
              </w:rPr>
            </w:pPr>
          </w:p>
        </w:tc>
        <w:tc>
          <w:tcPr>
            <w:tcW w:w="0" w:type="auto"/>
            <w:gridSpan w:val="3"/>
            <w:shd w:val="clear" w:color="auto" w:fill="auto"/>
            <w:vAlign w:val="bottom"/>
          </w:tcPr>
          <w:p w14:paraId="07DCF994" w14:textId="77777777" w:rsidR="00AE727E" w:rsidRDefault="00AE727E">
            <w:pPr>
              <w:rPr>
                <w:rFonts w:ascii="宋体"/>
                <w:vanish/>
              </w:rPr>
            </w:pPr>
          </w:p>
        </w:tc>
        <w:tc>
          <w:tcPr>
            <w:tcW w:w="0" w:type="auto"/>
            <w:gridSpan w:val="3"/>
            <w:shd w:val="clear" w:color="auto" w:fill="auto"/>
            <w:vAlign w:val="bottom"/>
          </w:tcPr>
          <w:p w14:paraId="07DCF995" w14:textId="77777777" w:rsidR="00AE727E" w:rsidRDefault="00AE727E">
            <w:pPr>
              <w:rPr>
                <w:rFonts w:ascii="宋体"/>
                <w:vanish/>
              </w:rPr>
            </w:pPr>
          </w:p>
        </w:tc>
        <w:tc>
          <w:tcPr>
            <w:tcW w:w="0" w:type="auto"/>
            <w:gridSpan w:val="3"/>
            <w:shd w:val="clear" w:color="auto" w:fill="auto"/>
            <w:vAlign w:val="bottom"/>
          </w:tcPr>
          <w:p w14:paraId="07DCF996" w14:textId="77777777" w:rsidR="00AE727E" w:rsidRDefault="00AE727E">
            <w:pPr>
              <w:rPr>
                <w:rFonts w:ascii="宋体"/>
                <w:vanish/>
              </w:rPr>
            </w:pPr>
          </w:p>
        </w:tc>
      </w:tr>
      <w:tr w:rsidR="00AE727E" w14:paraId="07DCF9B4" w14:textId="77777777">
        <w:tc>
          <w:tcPr>
            <w:tcW w:w="0" w:type="auto"/>
            <w:gridSpan w:val="3"/>
            <w:shd w:val="clear" w:color="auto" w:fill="CCEEFF"/>
            <w:tcMar>
              <w:top w:w="40" w:type="dxa"/>
              <w:left w:w="245" w:type="dxa"/>
              <w:bottom w:w="40" w:type="dxa"/>
              <w:right w:w="20" w:type="dxa"/>
            </w:tcMar>
            <w:vAlign w:val="center"/>
          </w:tcPr>
          <w:p w14:paraId="07DCF998" w14:textId="77777777" w:rsidR="00AE727E" w:rsidRDefault="008433E0">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reclassifications, net of tax</w:t>
            </w:r>
          </w:p>
        </w:tc>
        <w:tc>
          <w:tcPr>
            <w:tcW w:w="0" w:type="auto"/>
            <w:shd w:val="clear" w:color="auto" w:fill="auto"/>
            <w:vAlign w:val="bottom"/>
          </w:tcPr>
          <w:p w14:paraId="07DCF999" w14:textId="77777777" w:rsidR="00AE727E" w:rsidRDefault="00AE727E">
            <w:pPr>
              <w:rPr>
                <w:rFonts w:ascii="宋体"/>
                <w:vanish/>
              </w:rPr>
            </w:pPr>
          </w:p>
        </w:tc>
        <w:tc>
          <w:tcPr>
            <w:tcW w:w="0" w:type="auto"/>
            <w:shd w:val="clear" w:color="auto" w:fill="auto"/>
            <w:vAlign w:val="bottom"/>
          </w:tcPr>
          <w:p w14:paraId="07DCF99A" w14:textId="77777777" w:rsidR="00AE727E" w:rsidRDefault="00AE727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9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9C" w14:textId="77777777" w:rsidR="00AE727E" w:rsidRDefault="008433E0">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9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9E"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9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A0" w14:textId="77777777" w:rsidR="00AE727E" w:rsidRDefault="008433E0">
            <w:pPr>
              <w:jc w:val="right"/>
              <w:textAlignment w:val="center"/>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A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A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A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A4" w14:textId="77777777" w:rsidR="00AE727E" w:rsidRDefault="008433E0">
            <w:pPr>
              <w:jc w:val="right"/>
              <w:textAlignment w:val="center"/>
            </w:pPr>
            <w:r>
              <w:rPr>
                <w:rFonts w:ascii="Times New Roman" w:eastAsia="宋体" w:hAnsi="Times New Roman"/>
                <w:color w:val="000000"/>
                <w:sz w:val="20"/>
                <w:szCs w:val="20"/>
              </w:rPr>
              <w:t>73 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A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A6" w14:textId="77777777" w:rsidR="00AE727E" w:rsidRDefault="00AE727E">
            <w:pPr>
              <w:rPr>
                <w:rFonts w:ascii="宋体"/>
              </w:rPr>
            </w:pPr>
          </w:p>
        </w:tc>
        <w:tc>
          <w:tcPr>
            <w:tcW w:w="0" w:type="auto"/>
            <w:shd w:val="clear" w:color="auto" w:fill="auto"/>
            <w:vAlign w:val="bottom"/>
          </w:tcPr>
          <w:p w14:paraId="07DCF9A7" w14:textId="77777777" w:rsidR="00AE727E" w:rsidRDefault="00AE727E">
            <w:pPr>
              <w:rPr>
                <w:rFonts w:ascii="宋体"/>
                <w:vanish/>
              </w:rPr>
            </w:pPr>
          </w:p>
        </w:tc>
        <w:tc>
          <w:tcPr>
            <w:tcW w:w="0" w:type="auto"/>
            <w:shd w:val="clear" w:color="auto" w:fill="auto"/>
            <w:vAlign w:val="bottom"/>
          </w:tcPr>
          <w:p w14:paraId="07DCF9A8" w14:textId="77777777" w:rsidR="00AE727E" w:rsidRDefault="00AE727E">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A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AA" w14:textId="77777777" w:rsidR="00AE727E" w:rsidRDefault="008433E0">
            <w:pPr>
              <w:jc w:val="right"/>
              <w:textAlignment w:val="center"/>
            </w:pPr>
            <w:r>
              <w:rPr>
                <w:rFonts w:ascii="Times New Roman" w:eastAsia="宋体" w:hAnsi="Times New Roman"/>
                <w:color w:val="000000"/>
                <w:sz w:val="20"/>
                <w:szCs w:val="20"/>
              </w:rPr>
              <w:t>(84)</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A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A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A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AE" w14:textId="77777777" w:rsidR="00AE727E" w:rsidRDefault="008433E0">
            <w:pPr>
              <w:jc w:val="right"/>
              <w:textAlignment w:val="center"/>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A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9B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CF9B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CF9B2" w14:textId="77777777" w:rsidR="00AE727E" w:rsidRDefault="008433E0">
            <w:pPr>
              <w:jc w:val="right"/>
              <w:textAlignment w:val="center"/>
            </w:pPr>
            <w:r>
              <w:rPr>
                <w:rFonts w:ascii="Times New Roman" w:eastAsia="宋体" w:hAnsi="Times New Roman"/>
                <w:color w:val="000000"/>
                <w:sz w:val="20"/>
                <w:szCs w:val="20"/>
              </w:rPr>
              <w:t>(83)</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9B3" w14:textId="77777777" w:rsidR="00AE727E" w:rsidRDefault="00AE727E">
            <w:pPr>
              <w:jc w:val="right"/>
              <w:rPr>
                <w:rFonts w:ascii="宋体"/>
              </w:rPr>
            </w:pPr>
          </w:p>
        </w:tc>
      </w:tr>
      <w:tr w:rsidR="00AE727E" w14:paraId="07DCF9C5" w14:textId="77777777">
        <w:trPr>
          <w:trHeight w:val="300"/>
        </w:trPr>
        <w:tc>
          <w:tcPr>
            <w:tcW w:w="0" w:type="auto"/>
            <w:gridSpan w:val="3"/>
            <w:shd w:val="clear" w:color="auto" w:fill="auto"/>
            <w:tcMar>
              <w:top w:w="0" w:type="dxa"/>
              <w:left w:w="20" w:type="dxa"/>
              <w:bottom w:w="0" w:type="dxa"/>
              <w:right w:w="20" w:type="dxa"/>
            </w:tcMar>
            <w:vAlign w:val="bottom"/>
          </w:tcPr>
          <w:p w14:paraId="07DCF9B5" w14:textId="77777777" w:rsidR="00AE727E" w:rsidRDefault="00AE727E">
            <w:pPr>
              <w:rPr>
                <w:rFonts w:ascii="宋体"/>
              </w:rPr>
            </w:pPr>
          </w:p>
        </w:tc>
        <w:tc>
          <w:tcPr>
            <w:tcW w:w="0" w:type="auto"/>
            <w:shd w:val="clear" w:color="auto" w:fill="auto"/>
            <w:vAlign w:val="bottom"/>
          </w:tcPr>
          <w:p w14:paraId="07DCF9B6" w14:textId="77777777" w:rsidR="00AE727E" w:rsidRDefault="00AE727E">
            <w:pPr>
              <w:rPr>
                <w:rFonts w:ascii="宋体"/>
                <w:vanish/>
              </w:rPr>
            </w:pPr>
          </w:p>
        </w:tc>
        <w:tc>
          <w:tcPr>
            <w:tcW w:w="0" w:type="auto"/>
            <w:shd w:val="clear" w:color="auto" w:fill="auto"/>
            <w:vAlign w:val="bottom"/>
          </w:tcPr>
          <w:p w14:paraId="07DCF9B7" w14:textId="77777777" w:rsidR="00AE727E" w:rsidRDefault="00AE727E">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B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9B9"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B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9BB"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BC"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9BD" w14:textId="77777777" w:rsidR="00AE727E" w:rsidRDefault="00AE727E">
            <w:pPr>
              <w:rPr>
                <w:rFonts w:ascii="宋体"/>
              </w:rPr>
            </w:pPr>
          </w:p>
        </w:tc>
        <w:tc>
          <w:tcPr>
            <w:tcW w:w="0" w:type="auto"/>
            <w:shd w:val="clear" w:color="auto" w:fill="auto"/>
            <w:vAlign w:val="bottom"/>
          </w:tcPr>
          <w:p w14:paraId="07DCF9BE" w14:textId="77777777" w:rsidR="00AE727E" w:rsidRDefault="00AE727E">
            <w:pPr>
              <w:rPr>
                <w:rFonts w:ascii="宋体"/>
                <w:vanish/>
              </w:rPr>
            </w:pPr>
          </w:p>
        </w:tc>
        <w:tc>
          <w:tcPr>
            <w:tcW w:w="0" w:type="auto"/>
            <w:shd w:val="clear" w:color="auto" w:fill="auto"/>
            <w:vAlign w:val="bottom"/>
          </w:tcPr>
          <w:p w14:paraId="07DCF9BF" w14:textId="77777777" w:rsidR="00AE727E" w:rsidRDefault="00AE727E">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C0"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9C1"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C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CF9C3"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CF9C4" w14:textId="77777777" w:rsidR="00AE727E" w:rsidRDefault="00AE727E">
            <w:pPr>
              <w:rPr>
                <w:rFonts w:ascii="宋体"/>
              </w:rPr>
            </w:pPr>
          </w:p>
        </w:tc>
      </w:tr>
      <w:tr w:rsidR="00AE727E" w14:paraId="07DCF9D0" w14:textId="77777777">
        <w:tc>
          <w:tcPr>
            <w:tcW w:w="0" w:type="auto"/>
            <w:gridSpan w:val="3"/>
            <w:shd w:val="clear" w:color="auto" w:fill="auto"/>
            <w:tcMar>
              <w:top w:w="0" w:type="dxa"/>
              <w:left w:w="20" w:type="dxa"/>
              <w:bottom w:w="0" w:type="dxa"/>
              <w:right w:w="20" w:type="dxa"/>
            </w:tcMar>
            <w:vAlign w:val="bottom"/>
          </w:tcPr>
          <w:p w14:paraId="07DCF9C6" w14:textId="77777777" w:rsidR="00AE727E" w:rsidRDefault="00AE727E">
            <w:pPr>
              <w:rPr>
                <w:rFonts w:ascii="宋体"/>
              </w:rPr>
            </w:pPr>
          </w:p>
        </w:tc>
        <w:tc>
          <w:tcPr>
            <w:tcW w:w="0" w:type="auto"/>
            <w:shd w:val="clear" w:color="auto" w:fill="auto"/>
            <w:vAlign w:val="bottom"/>
          </w:tcPr>
          <w:p w14:paraId="07DCF9C7" w14:textId="77777777" w:rsidR="00AE727E" w:rsidRDefault="00AE727E">
            <w:pPr>
              <w:rPr>
                <w:rFonts w:ascii="宋体"/>
                <w:vanish/>
              </w:rPr>
            </w:pPr>
          </w:p>
        </w:tc>
        <w:tc>
          <w:tcPr>
            <w:tcW w:w="0" w:type="auto"/>
            <w:shd w:val="clear" w:color="auto" w:fill="auto"/>
            <w:vAlign w:val="bottom"/>
          </w:tcPr>
          <w:p w14:paraId="07DCF9C8" w14:textId="77777777" w:rsidR="00AE727E" w:rsidRDefault="00AE727E">
            <w:pPr>
              <w:rPr>
                <w:rFonts w:ascii="宋体"/>
                <w:vanish/>
              </w:rPr>
            </w:pPr>
          </w:p>
        </w:tc>
        <w:tc>
          <w:tcPr>
            <w:tcW w:w="0" w:type="auto"/>
            <w:gridSpan w:val="29"/>
            <w:shd w:val="clear" w:color="auto" w:fill="FFFFFF"/>
            <w:tcMar>
              <w:top w:w="40" w:type="dxa"/>
              <w:left w:w="20" w:type="dxa"/>
              <w:bottom w:w="40" w:type="dxa"/>
              <w:right w:w="20" w:type="dxa"/>
            </w:tcMar>
            <w:vAlign w:val="bottom"/>
          </w:tcPr>
          <w:p w14:paraId="07DCF9C9" w14:textId="77777777" w:rsidR="00AE727E" w:rsidRDefault="008433E0">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DCF9CA" w14:textId="77777777" w:rsidR="00AE727E" w:rsidRDefault="00AE727E">
            <w:pPr>
              <w:rPr>
                <w:rFonts w:ascii="宋体"/>
              </w:rPr>
            </w:pPr>
          </w:p>
        </w:tc>
        <w:tc>
          <w:tcPr>
            <w:tcW w:w="0" w:type="auto"/>
            <w:shd w:val="clear" w:color="auto" w:fill="auto"/>
            <w:vAlign w:val="bottom"/>
          </w:tcPr>
          <w:p w14:paraId="07DCF9CB" w14:textId="77777777" w:rsidR="00AE727E" w:rsidRDefault="00AE727E">
            <w:pPr>
              <w:rPr>
                <w:rFonts w:ascii="宋体"/>
              </w:rPr>
            </w:pPr>
          </w:p>
        </w:tc>
        <w:tc>
          <w:tcPr>
            <w:tcW w:w="0" w:type="auto"/>
            <w:shd w:val="clear" w:color="auto" w:fill="auto"/>
            <w:vAlign w:val="bottom"/>
          </w:tcPr>
          <w:p w14:paraId="07DCF9CC" w14:textId="77777777" w:rsidR="00AE727E" w:rsidRDefault="00AE727E">
            <w:pPr>
              <w:rPr>
                <w:rFonts w:ascii="宋体"/>
              </w:rPr>
            </w:pPr>
          </w:p>
        </w:tc>
        <w:tc>
          <w:tcPr>
            <w:tcW w:w="0" w:type="auto"/>
            <w:shd w:val="clear" w:color="auto" w:fill="auto"/>
            <w:vAlign w:val="bottom"/>
          </w:tcPr>
          <w:p w14:paraId="07DCF9CD" w14:textId="77777777" w:rsidR="00AE727E" w:rsidRDefault="00AE727E">
            <w:pPr>
              <w:rPr>
                <w:rFonts w:ascii="宋体"/>
              </w:rPr>
            </w:pPr>
          </w:p>
        </w:tc>
        <w:tc>
          <w:tcPr>
            <w:tcW w:w="0" w:type="auto"/>
            <w:shd w:val="clear" w:color="auto" w:fill="auto"/>
            <w:vAlign w:val="bottom"/>
          </w:tcPr>
          <w:p w14:paraId="07DCF9CE" w14:textId="77777777" w:rsidR="00AE727E" w:rsidRDefault="00AE727E">
            <w:pPr>
              <w:rPr>
                <w:rFonts w:ascii="宋体"/>
              </w:rPr>
            </w:pPr>
          </w:p>
        </w:tc>
        <w:tc>
          <w:tcPr>
            <w:tcW w:w="0" w:type="auto"/>
            <w:shd w:val="clear" w:color="auto" w:fill="auto"/>
            <w:vAlign w:val="bottom"/>
          </w:tcPr>
          <w:p w14:paraId="07DCF9CF" w14:textId="77777777" w:rsidR="00AE727E" w:rsidRDefault="00AE727E">
            <w:pPr>
              <w:rPr>
                <w:rFonts w:ascii="宋体"/>
              </w:rPr>
            </w:pPr>
          </w:p>
        </w:tc>
      </w:tr>
      <w:tr w:rsidR="00AE727E" w14:paraId="07DCF9D9" w14:textId="77777777">
        <w:tc>
          <w:tcPr>
            <w:tcW w:w="0" w:type="auto"/>
            <w:gridSpan w:val="3"/>
            <w:shd w:val="clear" w:color="auto" w:fill="auto"/>
            <w:tcMar>
              <w:top w:w="0" w:type="dxa"/>
              <w:left w:w="20" w:type="dxa"/>
              <w:bottom w:w="0" w:type="dxa"/>
              <w:right w:w="20" w:type="dxa"/>
            </w:tcMar>
            <w:vAlign w:val="bottom"/>
          </w:tcPr>
          <w:p w14:paraId="07DCF9D1" w14:textId="77777777" w:rsidR="00AE727E" w:rsidRDefault="00AE727E">
            <w:pPr>
              <w:rPr>
                <w:rFonts w:ascii="宋体"/>
              </w:rPr>
            </w:pPr>
          </w:p>
        </w:tc>
        <w:tc>
          <w:tcPr>
            <w:tcW w:w="0" w:type="auto"/>
            <w:shd w:val="clear" w:color="auto" w:fill="auto"/>
            <w:vAlign w:val="bottom"/>
          </w:tcPr>
          <w:p w14:paraId="07DCF9D2" w14:textId="77777777" w:rsidR="00AE727E" w:rsidRDefault="00AE727E">
            <w:pPr>
              <w:rPr>
                <w:rFonts w:ascii="宋体"/>
                <w:vanish/>
              </w:rPr>
            </w:pPr>
          </w:p>
        </w:tc>
        <w:tc>
          <w:tcPr>
            <w:tcW w:w="0" w:type="auto"/>
            <w:shd w:val="clear" w:color="auto" w:fill="auto"/>
            <w:vAlign w:val="bottom"/>
          </w:tcPr>
          <w:p w14:paraId="07DCF9D3" w14:textId="77777777" w:rsidR="00AE727E" w:rsidRDefault="00AE727E">
            <w:pPr>
              <w:rPr>
                <w:rFonts w:ascii="宋体"/>
                <w:vanish/>
              </w:rPr>
            </w:pPr>
          </w:p>
        </w:tc>
        <w:tc>
          <w:tcPr>
            <w:tcW w:w="0" w:type="auto"/>
            <w:gridSpan w:val="15"/>
            <w:shd w:val="clear" w:color="auto" w:fill="auto"/>
            <w:tcMar>
              <w:top w:w="40" w:type="dxa"/>
              <w:left w:w="20" w:type="dxa"/>
              <w:bottom w:w="40" w:type="dxa"/>
              <w:right w:w="20" w:type="dxa"/>
            </w:tcMar>
            <w:vAlign w:val="bottom"/>
          </w:tcPr>
          <w:p w14:paraId="07DCF9D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F9D5" w14:textId="77777777" w:rsidR="00AE727E" w:rsidRDefault="00AE727E">
            <w:pPr>
              <w:rPr>
                <w:rFonts w:ascii="宋体"/>
              </w:rPr>
            </w:pPr>
          </w:p>
        </w:tc>
        <w:tc>
          <w:tcPr>
            <w:tcW w:w="0" w:type="auto"/>
            <w:shd w:val="clear" w:color="auto" w:fill="auto"/>
            <w:vAlign w:val="bottom"/>
          </w:tcPr>
          <w:p w14:paraId="07DCF9D6" w14:textId="77777777" w:rsidR="00AE727E" w:rsidRDefault="00AE727E">
            <w:pPr>
              <w:rPr>
                <w:rFonts w:ascii="宋体"/>
                <w:vanish/>
              </w:rPr>
            </w:pPr>
          </w:p>
        </w:tc>
        <w:tc>
          <w:tcPr>
            <w:tcW w:w="0" w:type="auto"/>
            <w:shd w:val="clear" w:color="auto" w:fill="auto"/>
            <w:vAlign w:val="bottom"/>
          </w:tcPr>
          <w:p w14:paraId="07DCF9D7" w14:textId="77777777" w:rsidR="00AE727E" w:rsidRDefault="00AE727E">
            <w:pPr>
              <w:rPr>
                <w:rFonts w:ascii="宋体"/>
                <w:vanish/>
              </w:rPr>
            </w:pPr>
          </w:p>
        </w:tc>
        <w:tc>
          <w:tcPr>
            <w:tcW w:w="0" w:type="auto"/>
            <w:gridSpan w:val="15"/>
            <w:shd w:val="clear" w:color="auto" w:fill="auto"/>
            <w:tcMar>
              <w:top w:w="40" w:type="dxa"/>
              <w:left w:w="20" w:type="dxa"/>
              <w:bottom w:w="40" w:type="dxa"/>
              <w:right w:w="20" w:type="dxa"/>
            </w:tcMar>
            <w:vAlign w:val="bottom"/>
          </w:tcPr>
          <w:p w14:paraId="07DCF9D8"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9EA" w14:textId="77777777">
        <w:tc>
          <w:tcPr>
            <w:tcW w:w="0" w:type="auto"/>
            <w:gridSpan w:val="3"/>
            <w:shd w:val="clear" w:color="auto" w:fill="auto"/>
            <w:tcMar>
              <w:top w:w="0" w:type="dxa"/>
              <w:left w:w="20" w:type="dxa"/>
              <w:bottom w:w="0" w:type="dxa"/>
              <w:right w:w="20" w:type="dxa"/>
            </w:tcMar>
            <w:vAlign w:val="bottom"/>
          </w:tcPr>
          <w:p w14:paraId="07DCF9DA" w14:textId="77777777" w:rsidR="00AE727E" w:rsidRDefault="00AE727E">
            <w:pPr>
              <w:rPr>
                <w:rFonts w:ascii="宋体"/>
              </w:rPr>
            </w:pPr>
          </w:p>
        </w:tc>
        <w:tc>
          <w:tcPr>
            <w:tcW w:w="0" w:type="auto"/>
            <w:shd w:val="clear" w:color="auto" w:fill="auto"/>
            <w:vAlign w:val="bottom"/>
          </w:tcPr>
          <w:p w14:paraId="07DCF9DB" w14:textId="77777777" w:rsidR="00AE727E" w:rsidRDefault="00AE727E">
            <w:pPr>
              <w:rPr>
                <w:rFonts w:ascii="宋体"/>
                <w:vanish/>
              </w:rPr>
            </w:pPr>
          </w:p>
        </w:tc>
        <w:tc>
          <w:tcPr>
            <w:tcW w:w="0" w:type="auto"/>
            <w:shd w:val="clear" w:color="auto" w:fill="auto"/>
            <w:vAlign w:val="bottom"/>
          </w:tcPr>
          <w:p w14:paraId="07DCF9DC" w14:textId="77777777" w:rsidR="00AE727E" w:rsidRDefault="00AE727E">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9DD" w14:textId="77777777" w:rsidR="00AE727E" w:rsidRDefault="008433E0">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D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DF" w14:textId="77777777" w:rsidR="00AE727E" w:rsidRDefault="008433E0">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E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E1" w14:textId="77777777" w:rsidR="00AE727E" w:rsidRDefault="008433E0">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DCF9E2" w14:textId="77777777" w:rsidR="00AE727E" w:rsidRDefault="00AE727E">
            <w:pPr>
              <w:rPr>
                <w:rFonts w:ascii="宋体"/>
              </w:rPr>
            </w:pPr>
          </w:p>
        </w:tc>
        <w:tc>
          <w:tcPr>
            <w:tcW w:w="0" w:type="auto"/>
            <w:shd w:val="clear" w:color="auto" w:fill="auto"/>
            <w:vAlign w:val="bottom"/>
          </w:tcPr>
          <w:p w14:paraId="07DCF9E3" w14:textId="77777777" w:rsidR="00AE727E" w:rsidRDefault="00AE727E">
            <w:pPr>
              <w:rPr>
                <w:rFonts w:ascii="宋体"/>
                <w:vanish/>
              </w:rPr>
            </w:pPr>
          </w:p>
        </w:tc>
        <w:tc>
          <w:tcPr>
            <w:tcW w:w="0" w:type="auto"/>
            <w:shd w:val="clear" w:color="auto" w:fill="auto"/>
            <w:vAlign w:val="bottom"/>
          </w:tcPr>
          <w:p w14:paraId="07DCF9E4" w14:textId="77777777" w:rsidR="00AE727E" w:rsidRDefault="00AE727E">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E5" w14:textId="77777777" w:rsidR="00AE727E" w:rsidRDefault="008433E0">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E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E7" w14:textId="77777777" w:rsidR="00AE727E" w:rsidRDefault="008433E0">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9E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9E9" w14:textId="77777777" w:rsidR="00AE727E" w:rsidRDefault="008433E0">
            <w:pPr>
              <w:jc w:val="center"/>
              <w:textAlignment w:val="bottom"/>
            </w:pPr>
            <w:r>
              <w:rPr>
                <w:rFonts w:ascii="Times New Roman" w:eastAsia="宋体" w:hAnsi="Times New Roman"/>
                <w:b/>
                <w:bCs/>
                <w:color w:val="000000"/>
                <w:sz w:val="20"/>
                <w:szCs w:val="20"/>
              </w:rPr>
              <w:t>Total</w:t>
            </w:r>
          </w:p>
        </w:tc>
      </w:tr>
      <w:tr w:rsidR="00AE727E" w14:paraId="07DCF9F5" w14:textId="77777777">
        <w:tc>
          <w:tcPr>
            <w:tcW w:w="0" w:type="auto"/>
            <w:gridSpan w:val="3"/>
            <w:shd w:val="clear" w:color="auto" w:fill="FFFFFF"/>
            <w:tcMar>
              <w:top w:w="0" w:type="dxa"/>
              <w:left w:w="20" w:type="dxa"/>
              <w:bottom w:w="0" w:type="dxa"/>
              <w:right w:w="20" w:type="dxa"/>
            </w:tcMar>
            <w:vAlign w:val="bottom"/>
          </w:tcPr>
          <w:p w14:paraId="07DCF9EB" w14:textId="77777777" w:rsidR="00AE727E" w:rsidRDefault="00AE727E">
            <w:pPr>
              <w:rPr>
                <w:rFonts w:ascii="宋体"/>
              </w:rPr>
            </w:pPr>
          </w:p>
        </w:tc>
        <w:tc>
          <w:tcPr>
            <w:tcW w:w="0" w:type="auto"/>
            <w:shd w:val="clear" w:color="auto" w:fill="auto"/>
            <w:vAlign w:val="bottom"/>
          </w:tcPr>
          <w:p w14:paraId="07DCF9EC" w14:textId="77777777" w:rsidR="00AE727E" w:rsidRDefault="00AE727E">
            <w:pPr>
              <w:rPr>
                <w:rFonts w:ascii="宋体"/>
                <w:vanish/>
              </w:rPr>
            </w:pPr>
          </w:p>
        </w:tc>
        <w:tc>
          <w:tcPr>
            <w:tcW w:w="0" w:type="auto"/>
            <w:shd w:val="clear" w:color="auto" w:fill="auto"/>
            <w:vAlign w:val="bottom"/>
          </w:tcPr>
          <w:p w14:paraId="07DCF9ED" w14:textId="77777777" w:rsidR="00AE727E" w:rsidRDefault="00AE727E">
            <w:pPr>
              <w:rPr>
                <w:rFonts w:ascii="宋体"/>
                <w:vanish/>
              </w:rPr>
            </w:pPr>
          </w:p>
        </w:tc>
        <w:tc>
          <w:tcPr>
            <w:tcW w:w="0" w:type="auto"/>
            <w:gridSpan w:val="29"/>
            <w:tcBorders>
              <w:top w:val="single" w:sz="8" w:space="0" w:color="000000"/>
            </w:tcBorders>
            <w:shd w:val="clear" w:color="auto" w:fill="FFFFFF"/>
            <w:tcMar>
              <w:top w:w="40" w:type="dxa"/>
              <w:left w:w="20" w:type="dxa"/>
              <w:bottom w:w="40" w:type="dxa"/>
              <w:right w:w="20" w:type="dxa"/>
            </w:tcMar>
            <w:vAlign w:val="bottom"/>
          </w:tcPr>
          <w:p w14:paraId="07DCF9EE" w14:textId="77777777" w:rsidR="00AE727E" w:rsidRDefault="008433E0">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DCF9EF" w14:textId="77777777" w:rsidR="00AE727E" w:rsidRDefault="00AE727E">
            <w:pPr>
              <w:rPr>
                <w:rFonts w:ascii="宋体"/>
              </w:rPr>
            </w:pPr>
          </w:p>
        </w:tc>
        <w:tc>
          <w:tcPr>
            <w:tcW w:w="0" w:type="auto"/>
            <w:shd w:val="clear" w:color="auto" w:fill="auto"/>
            <w:vAlign w:val="bottom"/>
          </w:tcPr>
          <w:p w14:paraId="07DCF9F0" w14:textId="77777777" w:rsidR="00AE727E" w:rsidRDefault="00AE727E">
            <w:pPr>
              <w:rPr>
                <w:rFonts w:ascii="宋体"/>
              </w:rPr>
            </w:pPr>
          </w:p>
        </w:tc>
        <w:tc>
          <w:tcPr>
            <w:tcW w:w="0" w:type="auto"/>
            <w:shd w:val="clear" w:color="auto" w:fill="auto"/>
            <w:vAlign w:val="bottom"/>
          </w:tcPr>
          <w:p w14:paraId="07DCF9F1" w14:textId="77777777" w:rsidR="00AE727E" w:rsidRDefault="00AE727E">
            <w:pPr>
              <w:rPr>
                <w:rFonts w:ascii="宋体"/>
              </w:rPr>
            </w:pPr>
          </w:p>
        </w:tc>
        <w:tc>
          <w:tcPr>
            <w:tcW w:w="0" w:type="auto"/>
            <w:shd w:val="clear" w:color="auto" w:fill="auto"/>
            <w:vAlign w:val="bottom"/>
          </w:tcPr>
          <w:p w14:paraId="07DCF9F2" w14:textId="77777777" w:rsidR="00AE727E" w:rsidRDefault="00AE727E">
            <w:pPr>
              <w:rPr>
                <w:rFonts w:ascii="宋体"/>
              </w:rPr>
            </w:pPr>
          </w:p>
        </w:tc>
        <w:tc>
          <w:tcPr>
            <w:tcW w:w="0" w:type="auto"/>
            <w:shd w:val="clear" w:color="auto" w:fill="auto"/>
            <w:vAlign w:val="bottom"/>
          </w:tcPr>
          <w:p w14:paraId="07DCF9F3" w14:textId="77777777" w:rsidR="00AE727E" w:rsidRDefault="00AE727E">
            <w:pPr>
              <w:rPr>
                <w:rFonts w:ascii="宋体"/>
              </w:rPr>
            </w:pPr>
          </w:p>
        </w:tc>
        <w:tc>
          <w:tcPr>
            <w:tcW w:w="0" w:type="auto"/>
            <w:shd w:val="clear" w:color="auto" w:fill="auto"/>
            <w:vAlign w:val="bottom"/>
          </w:tcPr>
          <w:p w14:paraId="07DCF9F4" w14:textId="77777777" w:rsidR="00AE727E" w:rsidRDefault="00AE727E">
            <w:pPr>
              <w:rPr>
                <w:rFonts w:ascii="宋体"/>
              </w:rPr>
            </w:pPr>
          </w:p>
        </w:tc>
      </w:tr>
      <w:tr w:rsidR="00AE727E" w14:paraId="07DCFA06" w14:textId="77777777">
        <w:tc>
          <w:tcPr>
            <w:tcW w:w="0" w:type="auto"/>
            <w:gridSpan w:val="3"/>
            <w:shd w:val="clear" w:color="auto" w:fill="CCEEFF"/>
            <w:tcMar>
              <w:top w:w="40" w:type="dxa"/>
              <w:left w:w="20" w:type="dxa"/>
              <w:bottom w:w="40" w:type="dxa"/>
              <w:right w:w="20" w:type="dxa"/>
            </w:tcMar>
            <w:vAlign w:val="center"/>
          </w:tcPr>
          <w:p w14:paraId="07DCF9F6" w14:textId="77777777" w:rsidR="00AE727E" w:rsidRDefault="008433E0">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07DCF9F7" w14:textId="77777777" w:rsidR="00AE727E" w:rsidRDefault="00AE727E">
            <w:pPr>
              <w:rPr>
                <w:rFonts w:ascii="宋体"/>
                <w:vanish/>
              </w:rPr>
            </w:pPr>
          </w:p>
        </w:tc>
        <w:tc>
          <w:tcPr>
            <w:tcW w:w="0" w:type="auto"/>
            <w:shd w:val="clear" w:color="auto" w:fill="auto"/>
            <w:vAlign w:val="bottom"/>
          </w:tcPr>
          <w:p w14:paraId="07DCF9F8"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9F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F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F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F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F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9FE" w14:textId="77777777" w:rsidR="00AE727E" w:rsidRDefault="00AE727E">
            <w:pPr>
              <w:rPr>
                <w:rFonts w:ascii="宋体"/>
              </w:rPr>
            </w:pPr>
          </w:p>
        </w:tc>
        <w:tc>
          <w:tcPr>
            <w:tcW w:w="0" w:type="auto"/>
            <w:shd w:val="clear" w:color="auto" w:fill="auto"/>
            <w:vAlign w:val="bottom"/>
          </w:tcPr>
          <w:p w14:paraId="07DCF9FF" w14:textId="77777777" w:rsidR="00AE727E" w:rsidRDefault="00AE727E">
            <w:pPr>
              <w:rPr>
                <w:rFonts w:ascii="宋体"/>
                <w:vanish/>
              </w:rPr>
            </w:pPr>
          </w:p>
        </w:tc>
        <w:tc>
          <w:tcPr>
            <w:tcW w:w="0" w:type="auto"/>
            <w:shd w:val="clear" w:color="auto" w:fill="auto"/>
            <w:vAlign w:val="bottom"/>
          </w:tcPr>
          <w:p w14:paraId="07DCFA00"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A0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A0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A0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A0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A05" w14:textId="77777777" w:rsidR="00AE727E" w:rsidRDefault="00AE727E">
            <w:pPr>
              <w:rPr>
                <w:rFonts w:ascii="宋体"/>
              </w:rPr>
            </w:pPr>
          </w:p>
        </w:tc>
      </w:tr>
      <w:tr w:rsidR="00AE727E" w14:paraId="07DCFA23" w14:textId="77777777">
        <w:tc>
          <w:tcPr>
            <w:tcW w:w="0" w:type="auto"/>
            <w:gridSpan w:val="3"/>
            <w:shd w:val="clear" w:color="auto" w:fill="FFFFFF"/>
            <w:tcMar>
              <w:top w:w="40" w:type="dxa"/>
              <w:left w:w="155" w:type="dxa"/>
              <w:bottom w:w="40" w:type="dxa"/>
              <w:right w:w="20" w:type="dxa"/>
            </w:tcMar>
            <w:vAlign w:val="center"/>
          </w:tcPr>
          <w:p w14:paraId="07DCFA07" w14:textId="77777777" w:rsidR="00AE727E" w:rsidRDefault="008433E0">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07DCFA08" w14:textId="77777777" w:rsidR="00AE727E" w:rsidRDefault="00AE727E">
            <w:pPr>
              <w:rPr>
                <w:rFonts w:ascii="宋体"/>
                <w:vanish/>
              </w:rPr>
            </w:pPr>
          </w:p>
        </w:tc>
        <w:tc>
          <w:tcPr>
            <w:tcW w:w="0" w:type="auto"/>
            <w:shd w:val="clear" w:color="auto" w:fill="auto"/>
            <w:vAlign w:val="bottom"/>
          </w:tcPr>
          <w:p w14:paraId="07DCFA09" w14:textId="77777777" w:rsidR="00AE727E" w:rsidRDefault="00AE727E">
            <w:pPr>
              <w:rPr>
                <w:rFonts w:ascii="宋体"/>
                <w:vanish/>
              </w:rPr>
            </w:pPr>
          </w:p>
        </w:tc>
        <w:tc>
          <w:tcPr>
            <w:tcW w:w="0" w:type="auto"/>
            <w:shd w:val="clear" w:color="auto" w:fill="FFFFFF"/>
            <w:tcMar>
              <w:top w:w="40" w:type="dxa"/>
              <w:left w:w="20" w:type="dxa"/>
              <w:bottom w:w="40" w:type="dxa"/>
              <w:right w:w="0" w:type="dxa"/>
            </w:tcMar>
            <w:vAlign w:val="center"/>
          </w:tcPr>
          <w:p w14:paraId="07DCFA0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0B" w14:textId="77777777" w:rsidR="00AE727E" w:rsidRDefault="008433E0">
            <w:pPr>
              <w:jc w:val="right"/>
              <w:textAlignment w:val="center"/>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center"/>
          </w:tcPr>
          <w:p w14:paraId="07DCFA0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0D"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A0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0F"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A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1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A1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13" w14:textId="77777777" w:rsidR="00AE727E" w:rsidRDefault="008433E0">
            <w:pPr>
              <w:jc w:val="right"/>
              <w:textAlignment w:val="center"/>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center"/>
          </w:tcPr>
          <w:p w14:paraId="07DCFA1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15" w14:textId="77777777" w:rsidR="00AE727E" w:rsidRDefault="00AE727E">
            <w:pPr>
              <w:rPr>
                <w:rFonts w:ascii="宋体"/>
              </w:rPr>
            </w:pPr>
          </w:p>
        </w:tc>
        <w:tc>
          <w:tcPr>
            <w:tcW w:w="0" w:type="auto"/>
            <w:shd w:val="clear" w:color="auto" w:fill="auto"/>
            <w:vAlign w:val="bottom"/>
          </w:tcPr>
          <w:p w14:paraId="07DCFA16" w14:textId="77777777" w:rsidR="00AE727E" w:rsidRDefault="00AE727E">
            <w:pPr>
              <w:rPr>
                <w:rFonts w:ascii="宋体"/>
                <w:vanish/>
              </w:rPr>
            </w:pPr>
          </w:p>
        </w:tc>
        <w:tc>
          <w:tcPr>
            <w:tcW w:w="0" w:type="auto"/>
            <w:shd w:val="clear" w:color="auto" w:fill="auto"/>
            <w:vAlign w:val="bottom"/>
          </w:tcPr>
          <w:p w14:paraId="07DCFA17" w14:textId="77777777" w:rsidR="00AE727E" w:rsidRDefault="00AE727E">
            <w:pPr>
              <w:rPr>
                <w:rFonts w:ascii="宋体"/>
                <w:vanish/>
              </w:rPr>
            </w:pPr>
          </w:p>
        </w:tc>
        <w:tc>
          <w:tcPr>
            <w:tcW w:w="0" w:type="auto"/>
            <w:shd w:val="clear" w:color="auto" w:fill="FFFFFF"/>
            <w:tcMar>
              <w:top w:w="40" w:type="dxa"/>
              <w:left w:w="20" w:type="dxa"/>
              <w:bottom w:w="40" w:type="dxa"/>
              <w:right w:w="0" w:type="dxa"/>
            </w:tcMar>
            <w:vAlign w:val="center"/>
          </w:tcPr>
          <w:p w14:paraId="07DCFA1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19"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CFA1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1B"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A1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1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A1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1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A2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A21"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CFA22" w14:textId="77777777" w:rsidR="00AE727E" w:rsidRDefault="00AE727E">
            <w:pPr>
              <w:jc w:val="right"/>
              <w:rPr>
                <w:rFonts w:ascii="宋体"/>
              </w:rPr>
            </w:pPr>
          </w:p>
        </w:tc>
      </w:tr>
      <w:tr w:rsidR="00AE727E" w14:paraId="07DCFA3A" w14:textId="77777777">
        <w:tc>
          <w:tcPr>
            <w:tcW w:w="0" w:type="auto"/>
            <w:gridSpan w:val="3"/>
            <w:shd w:val="clear" w:color="auto" w:fill="CCEEFF"/>
            <w:tcMar>
              <w:top w:w="40" w:type="dxa"/>
              <w:left w:w="155" w:type="dxa"/>
              <w:bottom w:w="40" w:type="dxa"/>
              <w:right w:w="20" w:type="dxa"/>
            </w:tcMar>
            <w:vAlign w:val="center"/>
          </w:tcPr>
          <w:p w14:paraId="07DCFA24" w14:textId="77777777" w:rsidR="00AE727E" w:rsidRDefault="008433E0">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07DCFA25" w14:textId="77777777" w:rsidR="00AE727E" w:rsidRDefault="00AE727E">
            <w:pPr>
              <w:rPr>
                <w:rFonts w:ascii="宋体"/>
                <w:vanish/>
              </w:rPr>
            </w:pPr>
          </w:p>
        </w:tc>
        <w:tc>
          <w:tcPr>
            <w:tcW w:w="0" w:type="auto"/>
            <w:shd w:val="clear" w:color="auto" w:fill="auto"/>
            <w:vAlign w:val="bottom"/>
          </w:tcPr>
          <w:p w14:paraId="07DCFA26"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center"/>
          </w:tcPr>
          <w:p w14:paraId="07DCFA27" w14:textId="77777777" w:rsidR="00AE727E" w:rsidRDefault="008433E0">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07DCFA2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2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A2A"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A2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2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A2D" w14:textId="77777777" w:rsidR="00AE727E" w:rsidRDefault="008433E0">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07DCFA2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2F" w14:textId="77777777" w:rsidR="00AE727E" w:rsidRDefault="00AE727E">
            <w:pPr>
              <w:rPr>
                <w:rFonts w:ascii="宋体"/>
              </w:rPr>
            </w:pPr>
          </w:p>
        </w:tc>
        <w:tc>
          <w:tcPr>
            <w:tcW w:w="0" w:type="auto"/>
            <w:shd w:val="clear" w:color="auto" w:fill="auto"/>
            <w:vAlign w:val="bottom"/>
          </w:tcPr>
          <w:p w14:paraId="07DCFA30" w14:textId="77777777" w:rsidR="00AE727E" w:rsidRDefault="00AE727E">
            <w:pPr>
              <w:rPr>
                <w:rFonts w:ascii="宋体"/>
                <w:vanish/>
              </w:rPr>
            </w:pPr>
          </w:p>
        </w:tc>
        <w:tc>
          <w:tcPr>
            <w:tcW w:w="0" w:type="auto"/>
            <w:shd w:val="clear" w:color="auto" w:fill="auto"/>
            <w:vAlign w:val="bottom"/>
          </w:tcPr>
          <w:p w14:paraId="07DCFA31" w14:textId="77777777" w:rsidR="00AE727E" w:rsidRDefault="00AE727E">
            <w:pPr>
              <w:rPr>
                <w:rFonts w:ascii="宋体"/>
                <w:vanish/>
              </w:rPr>
            </w:pPr>
          </w:p>
        </w:tc>
        <w:tc>
          <w:tcPr>
            <w:tcW w:w="0" w:type="auto"/>
            <w:gridSpan w:val="2"/>
            <w:shd w:val="clear" w:color="auto" w:fill="CCEEFF"/>
            <w:tcMar>
              <w:top w:w="40" w:type="dxa"/>
              <w:left w:w="20" w:type="dxa"/>
              <w:bottom w:w="40" w:type="dxa"/>
              <w:right w:w="0" w:type="dxa"/>
            </w:tcMar>
            <w:vAlign w:val="center"/>
          </w:tcPr>
          <w:p w14:paraId="07DCFA32" w14:textId="77777777" w:rsidR="00AE727E" w:rsidRDefault="008433E0">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07DCFA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A35"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A3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3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A38" w14:textId="77777777" w:rsidR="00AE727E" w:rsidRDefault="008433E0">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07DCFA39" w14:textId="77777777" w:rsidR="00AE727E" w:rsidRDefault="00AE727E">
            <w:pPr>
              <w:jc w:val="right"/>
              <w:rPr>
                <w:rFonts w:ascii="宋体"/>
              </w:rPr>
            </w:pPr>
          </w:p>
        </w:tc>
      </w:tr>
      <w:tr w:rsidR="00AE727E" w14:paraId="07DCFA51" w14:textId="77777777">
        <w:tc>
          <w:tcPr>
            <w:tcW w:w="0" w:type="auto"/>
            <w:gridSpan w:val="3"/>
            <w:shd w:val="clear" w:color="auto" w:fill="FFFFFF"/>
            <w:tcMar>
              <w:top w:w="40" w:type="dxa"/>
              <w:left w:w="155" w:type="dxa"/>
              <w:bottom w:w="40" w:type="dxa"/>
              <w:right w:w="20" w:type="dxa"/>
            </w:tcMar>
            <w:vAlign w:val="center"/>
          </w:tcPr>
          <w:p w14:paraId="07DCFA3B" w14:textId="77777777" w:rsidR="00AE727E" w:rsidRDefault="008433E0">
            <w:pPr>
              <w:textAlignment w:val="center"/>
            </w:pPr>
            <w:r>
              <w:rPr>
                <w:rFonts w:ascii="Times New Roman" w:eastAsia="宋体" w:hAnsi="Times New Roman"/>
                <w:color w:val="000000"/>
                <w:sz w:val="20"/>
                <w:szCs w:val="20"/>
              </w:rPr>
              <w:t>Operating expenses</w:t>
            </w:r>
          </w:p>
        </w:tc>
        <w:tc>
          <w:tcPr>
            <w:tcW w:w="0" w:type="auto"/>
            <w:shd w:val="clear" w:color="auto" w:fill="auto"/>
            <w:vAlign w:val="bottom"/>
          </w:tcPr>
          <w:p w14:paraId="07DCFA3C" w14:textId="77777777" w:rsidR="00AE727E" w:rsidRDefault="00AE727E">
            <w:pPr>
              <w:rPr>
                <w:rFonts w:ascii="宋体"/>
                <w:vanish/>
              </w:rPr>
            </w:pPr>
          </w:p>
        </w:tc>
        <w:tc>
          <w:tcPr>
            <w:tcW w:w="0" w:type="auto"/>
            <w:shd w:val="clear" w:color="auto" w:fill="auto"/>
            <w:vAlign w:val="bottom"/>
          </w:tcPr>
          <w:p w14:paraId="07DCFA3D" w14:textId="77777777" w:rsidR="00AE727E" w:rsidRDefault="00AE727E">
            <w:pPr>
              <w:rPr>
                <w:rFonts w:ascii="宋体"/>
                <w:vanish/>
              </w:rPr>
            </w:pPr>
          </w:p>
        </w:tc>
        <w:tc>
          <w:tcPr>
            <w:tcW w:w="0" w:type="auto"/>
            <w:gridSpan w:val="2"/>
            <w:shd w:val="clear" w:color="auto" w:fill="FFFFFF"/>
            <w:tcMar>
              <w:top w:w="40" w:type="dxa"/>
              <w:left w:w="20" w:type="dxa"/>
              <w:bottom w:w="40" w:type="dxa"/>
              <w:right w:w="0" w:type="dxa"/>
            </w:tcMar>
            <w:vAlign w:val="center"/>
          </w:tcPr>
          <w:p w14:paraId="07DCFA3E"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A3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4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A41" w14:textId="77777777" w:rsidR="00AE727E" w:rsidRDefault="008433E0">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07DCFA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4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A44" w14:textId="77777777" w:rsidR="00AE727E" w:rsidRDefault="008433E0">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07DCFA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46" w14:textId="77777777" w:rsidR="00AE727E" w:rsidRDefault="00AE727E">
            <w:pPr>
              <w:rPr>
                <w:rFonts w:ascii="宋体"/>
              </w:rPr>
            </w:pPr>
          </w:p>
        </w:tc>
        <w:tc>
          <w:tcPr>
            <w:tcW w:w="0" w:type="auto"/>
            <w:shd w:val="clear" w:color="auto" w:fill="auto"/>
            <w:vAlign w:val="bottom"/>
          </w:tcPr>
          <w:p w14:paraId="07DCFA47" w14:textId="77777777" w:rsidR="00AE727E" w:rsidRDefault="00AE727E">
            <w:pPr>
              <w:rPr>
                <w:rFonts w:ascii="宋体"/>
                <w:vanish/>
              </w:rPr>
            </w:pPr>
          </w:p>
        </w:tc>
        <w:tc>
          <w:tcPr>
            <w:tcW w:w="0" w:type="auto"/>
            <w:shd w:val="clear" w:color="auto" w:fill="auto"/>
            <w:vAlign w:val="bottom"/>
          </w:tcPr>
          <w:p w14:paraId="07DCFA48" w14:textId="77777777" w:rsidR="00AE727E" w:rsidRDefault="00AE727E">
            <w:pPr>
              <w:rPr>
                <w:rFonts w:ascii="宋体"/>
                <w:vanish/>
              </w:rPr>
            </w:pPr>
          </w:p>
        </w:tc>
        <w:tc>
          <w:tcPr>
            <w:tcW w:w="0" w:type="auto"/>
            <w:gridSpan w:val="2"/>
            <w:shd w:val="clear" w:color="auto" w:fill="FFFFFF"/>
            <w:tcMar>
              <w:top w:w="40" w:type="dxa"/>
              <w:left w:w="20" w:type="dxa"/>
              <w:bottom w:w="40" w:type="dxa"/>
              <w:right w:w="0" w:type="dxa"/>
            </w:tcMar>
            <w:vAlign w:val="center"/>
          </w:tcPr>
          <w:p w14:paraId="07DCFA49"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A4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4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A4C" w14:textId="77777777" w:rsidR="00AE727E" w:rsidRDefault="008433E0">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07DCFA4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A4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A4F" w14:textId="77777777" w:rsidR="00AE727E" w:rsidRDefault="008433E0">
            <w:pPr>
              <w:jc w:val="right"/>
              <w:textAlignment w:val="center"/>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center"/>
          </w:tcPr>
          <w:p w14:paraId="07DCFA50" w14:textId="77777777" w:rsidR="00AE727E" w:rsidRDefault="00AE727E">
            <w:pPr>
              <w:jc w:val="right"/>
              <w:rPr>
                <w:rFonts w:ascii="宋体"/>
              </w:rPr>
            </w:pPr>
          </w:p>
        </w:tc>
      </w:tr>
      <w:tr w:rsidR="00AE727E" w14:paraId="07DCFA62" w14:textId="77777777">
        <w:trPr>
          <w:hidden/>
        </w:trPr>
        <w:tc>
          <w:tcPr>
            <w:tcW w:w="0" w:type="auto"/>
            <w:gridSpan w:val="3"/>
            <w:shd w:val="clear" w:color="auto" w:fill="auto"/>
            <w:vAlign w:val="bottom"/>
          </w:tcPr>
          <w:p w14:paraId="07DCFA52" w14:textId="77777777" w:rsidR="00AE727E" w:rsidRDefault="00AE727E">
            <w:pPr>
              <w:rPr>
                <w:rFonts w:ascii="宋体"/>
                <w:vanish/>
              </w:rPr>
            </w:pPr>
          </w:p>
        </w:tc>
        <w:tc>
          <w:tcPr>
            <w:tcW w:w="0" w:type="auto"/>
            <w:shd w:val="clear" w:color="auto" w:fill="auto"/>
            <w:vAlign w:val="bottom"/>
          </w:tcPr>
          <w:p w14:paraId="07DCFA53" w14:textId="77777777" w:rsidR="00AE727E" w:rsidRDefault="00AE727E">
            <w:pPr>
              <w:rPr>
                <w:rFonts w:ascii="宋体"/>
                <w:vanish/>
              </w:rPr>
            </w:pPr>
          </w:p>
        </w:tc>
        <w:tc>
          <w:tcPr>
            <w:tcW w:w="0" w:type="auto"/>
            <w:shd w:val="clear" w:color="auto" w:fill="auto"/>
            <w:vAlign w:val="bottom"/>
          </w:tcPr>
          <w:p w14:paraId="07DCFA54" w14:textId="77777777" w:rsidR="00AE727E" w:rsidRDefault="00AE727E">
            <w:pPr>
              <w:rPr>
                <w:rFonts w:ascii="宋体"/>
                <w:vanish/>
              </w:rPr>
            </w:pPr>
          </w:p>
        </w:tc>
        <w:tc>
          <w:tcPr>
            <w:tcW w:w="0" w:type="auto"/>
            <w:gridSpan w:val="3"/>
            <w:shd w:val="clear" w:color="auto" w:fill="auto"/>
            <w:vAlign w:val="bottom"/>
          </w:tcPr>
          <w:p w14:paraId="07DCFA55" w14:textId="77777777" w:rsidR="00AE727E" w:rsidRDefault="00AE727E">
            <w:pPr>
              <w:rPr>
                <w:rFonts w:ascii="宋体"/>
                <w:vanish/>
              </w:rPr>
            </w:pPr>
          </w:p>
        </w:tc>
        <w:tc>
          <w:tcPr>
            <w:tcW w:w="0" w:type="auto"/>
            <w:gridSpan w:val="3"/>
            <w:shd w:val="clear" w:color="auto" w:fill="auto"/>
            <w:vAlign w:val="bottom"/>
          </w:tcPr>
          <w:p w14:paraId="07DCFA56" w14:textId="77777777" w:rsidR="00AE727E" w:rsidRDefault="00AE727E">
            <w:pPr>
              <w:rPr>
                <w:rFonts w:ascii="宋体"/>
                <w:vanish/>
              </w:rPr>
            </w:pPr>
          </w:p>
        </w:tc>
        <w:tc>
          <w:tcPr>
            <w:tcW w:w="0" w:type="auto"/>
            <w:gridSpan w:val="3"/>
            <w:shd w:val="clear" w:color="auto" w:fill="auto"/>
            <w:vAlign w:val="bottom"/>
          </w:tcPr>
          <w:p w14:paraId="07DCFA57" w14:textId="77777777" w:rsidR="00AE727E" w:rsidRDefault="00AE727E">
            <w:pPr>
              <w:rPr>
                <w:rFonts w:ascii="宋体"/>
                <w:vanish/>
              </w:rPr>
            </w:pPr>
          </w:p>
        </w:tc>
        <w:tc>
          <w:tcPr>
            <w:tcW w:w="0" w:type="auto"/>
            <w:gridSpan w:val="3"/>
            <w:shd w:val="clear" w:color="auto" w:fill="auto"/>
            <w:vAlign w:val="bottom"/>
          </w:tcPr>
          <w:p w14:paraId="07DCFA58" w14:textId="77777777" w:rsidR="00AE727E" w:rsidRDefault="00AE727E">
            <w:pPr>
              <w:rPr>
                <w:rFonts w:ascii="宋体"/>
                <w:vanish/>
              </w:rPr>
            </w:pPr>
          </w:p>
        </w:tc>
        <w:tc>
          <w:tcPr>
            <w:tcW w:w="0" w:type="auto"/>
            <w:gridSpan w:val="3"/>
            <w:shd w:val="clear" w:color="auto" w:fill="auto"/>
            <w:vAlign w:val="bottom"/>
          </w:tcPr>
          <w:p w14:paraId="07DCFA59" w14:textId="77777777" w:rsidR="00AE727E" w:rsidRDefault="00AE727E">
            <w:pPr>
              <w:rPr>
                <w:rFonts w:ascii="宋体"/>
                <w:vanish/>
              </w:rPr>
            </w:pPr>
          </w:p>
        </w:tc>
        <w:tc>
          <w:tcPr>
            <w:tcW w:w="0" w:type="auto"/>
            <w:gridSpan w:val="3"/>
            <w:shd w:val="clear" w:color="auto" w:fill="auto"/>
            <w:vAlign w:val="bottom"/>
          </w:tcPr>
          <w:p w14:paraId="07DCFA5A" w14:textId="77777777" w:rsidR="00AE727E" w:rsidRDefault="00AE727E">
            <w:pPr>
              <w:rPr>
                <w:rFonts w:ascii="宋体"/>
                <w:vanish/>
              </w:rPr>
            </w:pPr>
          </w:p>
        </w:tc>
        <w:tc>
          <w:tcPr>
            <w:tcW w:w="0" w:type="auto"/>
            <w:shd w:val="clear" w:color="auto" w:fill="auto"/>
            <w:vAlign w:val="bottom"/>
          </w:tcPr>
          <w:p w14:paraId="07DCFA5B" w14:textId="77777777" w:rsidR="00AE727E" w:rsidRDefault="00AE727E">
            <w:pPr>
              <w:rPr>
                <w:rFonts w:ascii="宋体"/>
                <w:vanish/>
              </w:rPr>
            </w:pPr>
          </w:p>
        </w:tc>
        <w:tc>
          <w:tcPr>
            <w:tcW w:w="0" w:type="auto"/>
            <w:shd w:val="clear" w:color="auto" w:fill="auto"/>
            <w:vAlign w:val="bottom"/>
          </w:tcPr>
          <w:p w14:paraId="07DCFA5C" w14:textId="77777777" w:rsidR="00AE727E" w:rsidRDefault="00AE727E">
            <w:pPr>
              <w:rPr>
                <w:rFonts w:ascii="宋体"/>
                <w:vanish/>
              </w:rPr>
            </w:pPr>
          </w:p>
        </w:tc>
        <w:tc>
          <w:tcPr>
            <w:tcW w:w="0" w:type="auto"/>
            <w:gridSpan w:val="3"/>
            <w:shd w:val="clear" w:color="auto" w:fill="auto"/>
            <w:vAlign w:val="bottom"/>
          </w:tcPr>
          <w:p w14:paraId="07DCFA5D" w14:textId="77777777" w:rsidR="00AE727E" w:rsidRDefault="00AE727E">
            <w:pPr>
              <w:rPr>
                <w:rFonts w:ascii="宋体"/>
                <w:vanish/>
              </w:rPr>
            </w:pPr>
          </w:p>
        </w:tc>
        <w:tc>
          <w:tcPr>
            <w:tcW w:w="0" w:type="auto"/>
            <w:gridSpan w:val="3"/>
            <w:shd w:val="clear" w:color="auto" w:fill="auto"/>
            <w:vAlign w:val="bottom"/>
          </w:tcPr>
          <w:p w14:paraId="07DCFA5E" w14:textId="77777777" w:rsidR="00AE727E" w:rsidRDefault="00AE727E">
            <w:pPr>
              <w:rPr>
                <w:rFonts w:ascii="宋体"/>
                <w:vanish/>
              </w:rPr>
            </w:pPr>
          </w:p>
        </w:tc>
        <w:tc>
          <w:tcPr>
            <w:tcW w:w="0" w:type="auto"/>
            <w:gridSpan w:val="3"/>
            <w:shd w:val="clear" w:color="auto" w:fill="auto"/>
            <w:vAlign w:val="bottom"/>
          </w:tcPr>
          <w:p w14:paraId="07DCFA5F" w14:textId="77777777" w:rsidR="00AE727E" w:rsidRDefault="00AE727E">
            <w:pPr>
              <w:rPr>
                <w:rFonts w:ascii="宋体"/>
                <w:vanish/>
              </w:rPr>
            </w:pPr>
          </w:p>
        </w:tc>
        <w:tc>
          <w:tcPr>
            <w:tcW w:w="0" w:type="auto"/>
            <w:gridSpan w:val="3"/>
            <w:shd w:val="clear" w:color="auto" w:fill="auto"/>
            <w:vAlign w:val="bottom"/>
          </w:tcPr>
          <w:p w14:paraId="07DCFA60" w14:textId="77777777" w:rsidR="00AE727E" w:rsidRDefault="00AE727E">
            <w:pPr>
              <w:rPr>
                <w:rFonts w:ascii="宋体"/>
                <w:vanish/>
              </w:rPr>
            </w:pPr>
          </w:p>
        </w:tc>
        <w:tc>
          <w:tcPr>
            <w:tcW w:w="0" w:type="auto"/>
            <w:gridSpan w:val="3"/>
            <w:shd w:val="clear" w:color="auto" w:fill="auto"/>
            <w:vAlign w:val="bottom"/>
          </w:tcPr>
          <w:p w14:paraId="07DCFA61" w14:textId="77777777" w:rsidR="00AE727E" w:rsidRDefault="00AE727E">
            <w:pPr>
              <w:rPr>
                <w:rFonts w:ascii="宋体"/>
                <w:vanish/>
              </w:rPr>
            </w:pPr>
          </w:p>
        </w:tc>
      </w:tr>
      <w:tr w:rsidR="00AE727E" w14:paraId="07DCFA7F" w14:textId="77777777">
        <w:tc>
          <w:tcPr>
            <w:tcW w:w="0" w:type="auto"/>
            <w:gridSpan w:val="3"/>
            <w:shd w:val="clear" w:color="auto" w:fill="CCEEFF"/>
            <w:tcMar>
              <w:top w:w="40" w:type="dxa"/>
              <w:left w:w="245" w:type="dxa"/>
              <w:bottom w:w="40" w:type="dxa"/>
              <w:right w:w="20" w:type="dxa"/>
            </w:tcMar>
            <w:vAlign w:val="center"/>
          </w:tcPr>
          <w:p w14:paraId="07DCFA63" w14:textId="77777777" w:rsidR="00AE727E" w:rsidRDefault="008433E0">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reclassifications, net of tax</w:t>
            </w:r>
          </w:p>
        </w:tc>
        <w:tc>
          <w:tcPr>
            <w:tcW w:w="0" w:type="auto"/>
            <w:shd w:val="clear" w:color="auto" w:fill="auto"/>
            <w:vAlign w:val="bottom"/>
          </w:tcPr>
          <w:p w14:paraId="07DCFA64" w14:textId="77777777" w:rsidR="00AE727E" w:rsidRDefault="00AE727E">
            <w:pPr>
              <w:rPr>
                <w:rFonts w:ascii="宋体"/>
                <w:vanish/>
              </w:rPr>
            </w:pPr>
          </w:p>
        </w:tc>
        <w:tc>
          <w:tcPr>
            <w:tcW w:w="0" w:type="auto"/>
            <w:shd w:val="clear" w:color="auto" w:fill="auto"/>
            <w:vAlign w:val="bottom"/>
          </w:tcPr>
          <w:p w14:paraId="07DCFA65" w14:textId="77777777" w:rsidR="00AE727E" w:rsidRDefault="00AE727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6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67" w14:textId="77777777" w:rsidR="00AE727E" w:rsidRDefault="008433E0">
            <w:pPr>
              <w:jc w:val="right"/>
              <w:textAlignment w:val="center"/>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6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69"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6A"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6B" w14:textId="77777777" w:rsidR="00AE727E" w:rsidRDefault="008433E0">
            <w:pPr>
              <w:jc w:val="right"/>
              <w:textAlignment w:val="center"/>
            </w:pPr>
            <w:r>
              <w:rPr>
                <w:rFonts w:ascii="Times New Roman" w:eastAsia="宋体" w:hAnsi="Times New Roman"/>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6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6D"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6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6F" w14:textId="77777777" w:rsidR="00AE727E" w:rsidRDefault="008433E0">
            <w:pPr>
              <w:jc w:val="right"/>
              <w:textAlignment w:val="center"/>
            </w:pPr>
            <w:r>
              <w:rPr>
                <w:rFonts w:ascii="Times New Roman" w:eastAsia="宋体" w:hAnsi="Times New Roman"/>
                <w:color w:val="000000"/>
                <w:sz w:val="20"/>
                <w:szCs w:val="20"/>
              </w:rPr>
              <w:t>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7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71" w14:textId="77777777" w:rsidR="00AE727E" w:rsidRDefault="00AE727E">
            <w:pPr>
              <w:rPr>
                <w:rFonts w:ascii="宋体"/>
              </w:rPr>
            </w:pPr>
          </w:p>
        </w:tc>
        <w:tc>
          <w:tcPr>
            <w:tcW w:w="0" w:type="auto"/>
            <w:shd w:val="clear" w:color="auto" w:fill="auto"/>
            <w:vAlign w:val="bottom"/>
          </w:tcPr>
          <w:p w14:paraId="07DCFA72" w14:textId="77777777" w:rsidR="00AE727E" w:rsidRDefault="00AE727E">
            <w:pPr>
              <w:rPr>
                <w:rFonts w:ascii="宋体"/>
                <w:vanish/>
              </w:rPr>
            </w:pPr>
          </w:p>
        </w:tc>
        <w:tc>
          <w:tcPr>
            <w:tcW w:w="0" w:type="auto"/>
            <w:shd w:val="clear" w:color="auto" w:fill="auto"/>
            <w:vAlign w:val="bottom"/>
          </w:tcPr>
          <w:p w14:paraId="07DCFA73" w14:textId="77777777" w:rsidR="00AE727E" w:rsidRDefault="00AE727E">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7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75" w14:textId="77777777" w:rsidR="00AE727E" w:rsidRDefault="008433E0">
            <w:pPr>
              <w:jc w:val="right"/>
              <w:textAlignment w:val="center"/>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7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77"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78"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79" w14:textId="77777777" w:rsidR="00AE727E" w:rsidRDefault="008433E0">
            <w:pPr>
              <w:jc w:val="right"/>
              <w:textAlignment w:val="center"/>
            </w:pPr>
            <w:r>
              <w:rPr>
                <w:rFonts w:ascii="Times New Roman" w:eastAsia="宋体" w:hAnsi="Times New Roman"/>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7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A7B"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DCFA7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DCFA7D" w14:textId="77777777" w:rsidR="00AE727E" w:rsidRDefault="008433E0">
            <w:pPr>
              <w:jc w:val="right"/>
              <w:textAlignment w:val="center"/>
            </w:pPr>
            <w:r>
              <w:rPr>
                <w:rFonts w:ascii="Times New Roman" w:eastAsia="宋体" w:hAnsi="Times New Roman"/>
                <w:color w:val="000000"/>
                <w:sz w:val="20"/>
                <w:szCs w:val="20"/>
              </w:rPr>
              <w:t>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DCFA7E" w14:textId="77777777" w:rsidR="00AE727E" w:rsidRDefault="00AE727E">
            <w:pPr>
              <w:jc w:val="right"/>
              <w:rPr>
                <w:rFonts w:ascii="宋体"/>
              </w:rPr>
            </w:pPr>
          </w:p>
        </w:tc>
      </w:tr>
    </w:tbl>
    <w:p w14:paraId="07DCFA80" w14:textId="77777777" w:rsidR="00AE727E" w:rsidRDefault="00AE727E">
      <w:pPr>
        <w:jc w:val="center"/>
      </w:pPr>
    </w:p>
    <w:p w14:paraId="07DCFA81" w14:textId="77777777" w:rsidR="00AE727E" w:rsidRDefault="008433E0">
      <w:pPr>
        <w:jc w:val="center"/>
      </w:pPr>
      <w:r>
        <w:rPr>
          <w:rFonts w:ascii="Times New Roman" w:eastAsia="宋体" w:hAnsi="Times New Roman"/>
          <w:color w:val="000000"/>
          <w:sz w:val="20"/>
          <w:szCs w:val="20"/>
        </w:rPr>
        <w:t>46</w:t>
      </w:r>
    </w:p>
    <w:p w14:paraId="07DCFA82" w14:textId="77777777" w:rsidR="00AE727E" w:rsidRDefault="00AE727E">
      <w:pPr>
        <w:jc w:val="center"/>
      </w:pPr>
    </w:p>
    <w:p w14:paraId="07DCFA83" w14:textId="77777777" w:rsidR="00AE727E" w:rsidRDefault="008433E0">
      <w:r>
        <w:pict w14:anchorId="07DD18FE">
          <v:rect id="_x0000_i1070" style="width:415.3pt;height:1.5pt" o:hralign="center" o:hrstd="t" o:hr="t" fillcolor="#a0a0a0" stroked="f"/>
        </w:pict>
      </w:r>
    </w:p>
    <w:p w14:paraId="07DCFA84" w14:textId="77777777" w:rsidR="00AE727E" w:rsidRDefault="008433E0">
      <w:hyperlink r:id="rId171" w:anchor="i1c8279be622a460ea19600488436f115_10" w:history="1">
        <w:r>
          <w:rPr>
            <w:rStyle w:val="a5"/>
            <w:rFonts w:ascii="Times New Roman" w:eastAsia="宋体" w:hAnsi="Times New Roman"/>
            <w:sz w:val="20"/>
            <w:szCs w:val="20"/>
          </w:rPr>
          <w:t>Table of Contents</w:t>
        </w:r>
      </w:hyperlink>
    </w:p>
    <w:p w14:paraId="07DCFA85"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A86"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A87"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A88" w14:textId="77777777" w:rsidR="00AE727E" w:rsidRDefault="00AE727E">
      <w:pPr>
        <w:jc w:val="center"/>
      </w:pPr>
    </w:p>
    <w:p w14:paraId="07DCFA89" w14:textId="77777777" w:rsidR="00AE727E" w:rsidRDefault="008433E0">
      <w:r>
        <w:rPr>
          <w:rFonts w:ascii="Times New Roman" w:eastAsia="宋体" w:hAnsi="Times New Roman"/>
          <w:b/>
          <w:bCs/>
          <w:color w:val="000000"/>
          <w:sz w:val="20"/>
          <w:szCs w:val="20"/>
        </w:rPr>
        <w:t>NOTE 12</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NON-CONTROLLING INTERESTS </w:t>
      </w:r>
    </w:p>
    <w:p w14:paraId="07DCFA8A" w14:textId="77777777" w:rsidR="00AE727E" w:rsidRDefault="00AE727E"/>
    <w:p w14:paraId="07DCFA8B" w14:textId="77777777" w:rsidR="00AE727E" w:rsidRDefault="008433E0">
      <w:r>
        <w:rPr>
          <w:rFonts w:ascii="Times New Roman" w:eastAsia="宋体" w:hAnsi="Times New Roman"/>
          <w:i/>
          <w:iCs/>
          <w:color w:val="000000"/>
          <w:sz w:val="20"/>
          <w:szCs w:val="20"/>
        </w:rPr>
        <w:t>VMware, Inc.</w:t>
      </w:r>
      <w:r>
        <w:rPr>
          <w:rFonts w:ascii="Times New Roman" w:eastAsia="宋体" w:hAnsi="Times New Roman"/>
          <w:color w:val="000000"/>
          <w:sz w:val="20"/>
          <w:szCs w:val="20"/>
        </w:rPr>
        <w:t xml:space="preserve"> — The non-controlling interests’ share of equity in VMware, Inc. is reflected as a component of the non-controlling interests in the Condensed Consolidated Statements of Financial Position and was $5.1 billion and $5.0 billion as of October 29, 2021 and J</w:t>
      </w:r>
      <w:r>
        <w:rPr>
          <w:rFonts w:ascii="Times New Roman" w:eastAsia="宋体" w:hAnsi="Times New Roman"/>
          <w:color w:val="000000"/>
          <w:sz w:val="20"/>
          <w:szCs w:val="20"/>
        </w:rPr>
        <w:t>anuary 29, 2021, respectively. As of October 29, 2021 and January 29, 2021, the Company held approximately 80.5% and 80.6%, respectively, of the outstanding equity interest in VMware, Inc. On November 1, 2021, subsequent to the close of the third quarter o</w:t>
      </w:r>
      <w:r>
        <w:rPr>
          <w:rFonts w:ascii="Times New Roman" w:eastAsia="宋体" w:hAnsi="Times New Roman"/>
          <w:color w:val="000000"/>
          <w:sz w:val="20"/>
          <w:szCs w:val="20"/>
        </w:rPr>
        <w:t>f Fiscal 2022, the Company completed the VMware Spin-off. See Note 1 and Note 18 of the Notes to the Condensed Consolidated Financial Statements for more information regarding the completion of the VMware Spin-off.</w:t>
      </w:r>
    </w:p>
    <w:p w14:paraId="07DCFA8C" w14:textId="77777777" w:rsidR="00AE727E" w:rsidRDefault="00AE727E"/>
    <w:p w14:paraId="07DCFA8D" w14:textId="77777777" w:rsidR="00AE727E" w:rsidRDefault="008433E0">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The non-controlling intere</w:t>
      </w:r>
      <w:r>
        <w:rPr>
          <w:rFonts w:ascii="Times New Roman" w:eastAsia="宋体" w:hAnsi="Times New Roman"/>
          <w:color w:val="000000"/>
          <w:sz w:val="20"/>
          <w:szCs w:val="20"/>
        </w:rPr>
        <w:t xml:space="preserve">sts’ share of equity in Secureworks is reflected as a component of the non-controlling interests in the Condensed Consolidated Statements of Financial Position and was $105 million and $96 million as of October 29, 2021 and January 29, 2021, respectively. </w:t>
      </w:r>
      <w:r>
        <w:rPr>
          <w:rFonts w:ascii="Times New Roman" w:eastAsia="宋体" w:hAnsi="Times New Roman"/>
          <w:color w:val="000000"/>
          <w:sz w:val="20"/>
          <w:szCs w:val="20"/>
        </w:rPr>
        <w:t>As of October 29, 2021 and January 29, 2021, the Company held approximately 84.0% and 85.7%, respectively, of the outstanding equity interest in Secureworks, excluding restricted stock awards (“RSAs”) and 83.1% and 84.9%, respectively, including RSAs.</w:t>
      </w:r>
    </w:p>
    <w:p w14:paraId="07DCFA8E" w14:textId="77777777" w:rsidR="00AE727E" w:rsidRDefault="00AE727E"/>
    <w:p w14:paraId="07DCFA8F" w14:textId="77777777" w:rsidR="00AE727E" w:rsidRDefault="008433E0">
      <w:pPr>
        <w:spacing w:after="60"/>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following table presents the effect of changes in the Company’s ownership interest in VMware, Inc. and Secureworks on the Company’s equity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7"/>
        <w:gridCol w:w="36"/>
        <w:gridCol w:w="36"/>
        <w:gridCol w:w="36"/>
        <w:gridCol w:w="36"/>
        <w:gridCol w:w="36"/>
        <w:gridCol w:w="36"/>
        <w:gridCol w:w="36"/>
      </w:tblGrid>
      <w:tr w:rsidR="00AE727E" w14:paraId="07DCFA98" w14:textId="77777777">
        <w:tc>
          <w:tcPr>
            <w:tcW w:w="50" w:type="pct"/>
            <w:shd w:val="clear" w:color="auto" w:fill="auto"/>
            <w:vAlign w:val="bottom"/>
          </w:tcPr>
          <w:p w14:paraId="07DCFA90" w14:textId="77777777" w:rsidR="00AE727E" w:rsidRDefault="00AE727E">
            <w:pPr>
              <w:rPr>
                <w:rFonts w:ascii="宋体"/>
              </w:rPr>
            </w:pPr>
          </w:p>
        </w:tc>
        <w:tc>
          <w:tcPr>
            <w:tcW w:w="3972" w:type="pct"/>
            <w:shd w:val="clear" w:color="auto" w:fill="auto"/>
            <w:vAlign w:val="bottom"/>
          </w:tcPr>
          <w:p w14:paraId="07DCFA91" w14:textId="77777777" w:rsidR="00AE727E" w:rsidRDefault="00AE727E">
            <w:pPr>
              <w:rPr>
                <w:rFonts w:ascii="宋体"/>
              </w:rPr>
            </w:pPr>
          </w:p>
        </w:tc>
        <w:tc>
          <w:tcPr>
            <w:tcW w:w="5" w:type="pct"/>
            <w:shd w:val="clear" w:color="auto" w:fill="auto"/>
            <w:vAlign w:val="bottom"/>
          </w:tcPr>
          <w:p w14:paraId="07DCFA92" w14:textId="77777777" w:rsidR="00AE727E" w:rsidRDefault="00AE727E">
            <w:pPr>
              <w:rPr>
                <w:rFonts w:ascii="宋体"/>
              </w:rPr>
            </w:pPr>
          </w:p>
        </w:tc>
        <w:tc>
          <w:tcPr>
            <w:tcW w:w="50" w:type="pct"/>
            <w:shd w:val="clear" w:color="auto" w:fill="auto"/>
            <w:vAlign w:val="bottom"/>
          </w:tcPr>
          <w:p w14:paraId="07DCFA93" w14:textId="77777777" w:rsidR="00AE727E" w:rsidRDefault="00AE727E">
            <w:pPr>
              <w:rPr>
                <w:rFonts w:ascii="宋体"/>
              </w:rPr>
            </w:pPr>
          </w:p>
        </w:tc>
        <w:tc>
          <w:tcPr>
            <w:tcW w:w="917" w:type="pct"/>
            <w:shd w:val="clear" w:color="auto" w:fill="auto"/>
            <w:vAlign w:val="bottom"/>
          </w:tcPr>
          <w:p w14:paraId="07DCFA94" w14:textId="77777777" w:rsidR="00AE727E" w:rsidRDefault="00AE727E">
            <w:pPr>
              <w:rPr>
                <w:rFonts w:ascii="宋体"/>
              </w:rPr>
            </w:pPr>
          </w:p>
        </w:tc>
        <w:tc>
          <w:tcPr>
            <w:tcW w:w="5" w:type="pct"/>
            <w:shd w:val="clear" w:color="auto" w:fill="auto"/>
            <w:vAlign w:val="bottom"/>
          </w:tcPr>
          <w:p w14:paraId="07DCFA95" w14:textId="77777777" w:rsidR="00AE727E" w:rsidRDefault="00AE727E">
            <w:pPr>
              <w:rPr>
                <w:rFonts w:ascii="宋体"/>
              </w:rPr>
            </w:pPr>
          </w:p>
        </w:tc>
        <w:tc>
          <w:tcPr>
            <w:tcW w:w="0" w:type="auto"/>
            <w:gridSpan w:val="3"/>
            <w:shd w:val="clear" w:color="auto" w:fill="auto"/>
            <w:vAlign w:val="bottom"/>
          </w:tcPr>
          <w:p w14:paraId="07DCFA96" w14:textId="77777777" w:rsidR="00AE727E" w:rsidRDefault="00AE727E">
            <w:pPr>
              <w:rPr>
                <w:rFonts w:ascii="宋体"/>
                <w:vanish/>
              </w:rPr>
            </w:pPr>
          </w:p>
        </w:tc>
        <w:tc>
          <w:tcPr>
            <w:tcW w:w="0" w:type="auto"/>
            <w:gridSpan w:val="3"/>
            <w:shd w:val="clear" w:color="auto" w:fill="auto"/>
            <w:vAlign w:val="bottom"/>
          </w:tcPr>
          <w:p w14:paraId="07DCFA97" w14:textId="77777777" w:rsidR="00AE727E" w:rsidRDefault="00AE727E">
            <w:pPr>
              <w:rPr>
                <w:rFonts w:ascii="宋体"/>
                <w:vanish/>
              </w:rPr>
            </w:pPr>
          </w:p>
        </w:tc>
      </w:tr>
      <w:tr w:rsidR="00AE727E" w14:paraId="07DCFAA1" w14:textId="77777777">
        <w:tc>
          <w:tcPr>
            <w:tcW w:w="0" w:type="auto"/>
            <w:gridSpan w:val="3"/>
            <w:shd w:val="clear" w:color="auto" w:fill="auto"/>
            <w:tcMar>
              <w:top w:w="0" w:type="dxa"/>
              <w:left w:w="20" w:type="dxa"/>
              <w:bottom w:w="0" w:type="dxa"/>
              <w:right w:w="20" w:type="dxa"/>
            </w:tcMar>
            <w:vAlign w:val="bottom"/>
          </w:tcPr>
          <w:p w14:paraId="07DCFA9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A9A" w14:textId="77777777" w:rsidR="00AE727E" w:rsidRDefault="008433E0">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DCFA9B" w14:textId="77777777" w:rsidR="00AE727E" w:rsidRDefault="00AE727E">
            <w:pPr>
              <w:rPr>
                <w:rFonts w:ascii="宋体"/>
              </w:rPr>
            </w:pPr>
          </w:p>
        </w:tc>
        <w:tc>
          <w:tcPr>
            <w:tcW w:w="0" w:type="auto"/>
            <w:shd w:val="clear" w:color="auto" w:fill="auto"/>
            <w:vAlign w:val="bottom"/>
          </w:tcPr>
          <w:p w14:paraId="07DCFA9C" w14:textId="77777777" w:rsidR="00AE727E" w:rsidRDefault="00AE727E">
            <w:pPr>
              <w:rPr>
                <w:rFonts w:ascii="宋体"/>
              </w:rPr>
            </w:pPr>
          </w:p>
        </w:tc>
        <w:tc>
          <w:tcPr>
            <w:tcW w:w="0" w:type="auto"/>
            <w:shd w:val="clear" w:color="auto" w:fill="auto"/>
            <w:vAlign w:val="bottom"/>
          </w:tcPr>
          <w:p w14:paraId="07DCFA9D" w14:textId="77777777" w:rsidR="00AE727E" w:rsidRDefault="00AE727E">
            <w:pPr>
              <w:rPr>
                <w:rFonts w:ascii="宋体"/>
              </w:rPr>
            </w:pPr>
          </w:p>
        </w:tc>
        <w:tc>
          <w:tcPr>
            <w:tcW w:w="0" w:type="auto"/>
            <w:shd w:val="clear" w:color="auto" w:fill="auto"/>
            <w:vAlign w:val="bottom"/>
          </w:tcPr>
          <w:p w14:paraId="07DCFA9E" w14:textId="77777777" w:rsidR="00AE727E" w:rsidRDefault="00AE727E">
            <w:pPr>
              <w:rPr>
                <w:rFonts w:ascii="宋体"/>
              </w:rPr>
            </w:pPr>
          </w:p>
        </w:tc>
        <w:tc>
          <w:tcPr>
            <w:tcW w:w="0" w:type="auto"/>
            <w:shd w:val="clear" w:color="auto" w:fill="auto"/>
            <w:vAlign w:val="bottom"/>
          </w:tcPr>
          <w:p w14:paraId="07DCFA9F" w14:textId="77777777" w:rsidR="00AE727E" w:rsidRDefault="00AE727E">
            <w:pPr>
              <w:rPr>
                <w:rFonts w:ascii="宋体"/>
              </w:rPr>
            </w:pPr>
          </w:p>
        </w:tc>
        <w:tc>
          <w:tcPr>
            <w:tcW w:w="0" w:type="auto"/>
            <w:shd w:val="clear" w:color="auto" w:fill="auto"/>
            <w:vAlign w:val="bottom"/>
          </w:tcPr>
          <w:p w14:paraId="07DCFAA0" w14:textId="77777777" w:rsidR="00AE727E" w:rsidRDefault="00AE727E">
            <w:pPr>
              <w:rPr>
                <w:rFonts w:ascii="宋体"/>
              </w:rPr>
            </w:pPr>
          </w:p>
        </w:tc>
      </w:tr>
      <w:tr w:rsidR="00AE727E" w14:paraId="07DCFAA6" w14:textId="77777777">
        <w:tc>
          <w:tcPr>
            <w:tcW w:w="0" w:type="auto"/>
            <w:gridSpan w:val="3"/>
            <w:shd w:val="clear" w:color="auto" w:fill="auto"/>
            <w:tcMar>
              <w:top w:w="0" w:type="dxa"/>
              <w:left w:w="20" w:type="dxa"/>
              <w:bottom w:w="0" w:type="dxa"/>
              <w:right w:w="20" w:type="dxa"/>
            </w:tcMar>
            <w:vAlign w:val="bottom"/>
          </w:tcPr>
          <w:p w14:paraId="07DCFAA2"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AA3"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DCFAA4" w14:textId="77777777" w:rsidR="00AE727E" w:rsidRDefault="00AE727E">
            <w:pPr>
              <w:rPr>
                <w:rFonts w:ascii="宋体"/>
                <w:vanish/>
              </w:rPr>
            </w:pPr>
          </w:p>
        </w:tc>
        <w:tc>
          <w:tcPr>
            <w:tcW w:w="0" w:type="auto"/>
            <w:gridSpan w:val="3"/>
            <w:shd w:val="clear" w:color="auto" w:fill="auto"/>
            <w:vAlign w:val="bottom"/>
          </w:tcPr>
          <w:p w14:paraId="07DCFAA5" w14:textId="77777777" w:rsidR="00AE727E" w:rsidRDefault="00AE727E">
            <w:pPr>
              <w:rPr>
                <w:rFonts w:ascii="宋体"/>
                <w:vanish/>
              </w:rPr>
            </w:pPr>
          </w:p>
        </w:tc>
      </w:tr>
      <w:tr w:rsidR="00AE727E" w14:paraId="07DCFAAF" w14:textId="77777777">
        <w:tc>
          <w:tcPr>
            <w:tcW w:w="0" w:type="auto"/>
            <w:gridSpan w:val="3"/>
            <w:shd w:val="clear" w:color="auto" w:fill="auto"/>
            <w:tcMar>
              <w:top w:w="0" w:type="dxa"/>
              <w:left w:w="20" w:type="dxa"/>
              <w:bottom w:w="0" w:type="dxa"/>
              <w:right w:w="20" w:type="dxa"/>
            </w:tcMar>
            <w:vAlign w:val="bottom"/>
          </w:tcPr>
          <w:p w14:paraId="07DCFAA7"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AA8" w14:textId="77777777" w:rsidR="00AE727E" w:rsidRDefault="008433E0">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DCFAA9" w14:textId="77777777" w:rsidR="00AE727E" w:rsidRDefault="00AE727E">
            <w:pPr>
              <w:rPr>
                <w:rFonts w:ascii="宋体"/>
              </w:rPr>
            </w:pPr>
          </w:p>
        </w:tc>
        <w:tc>
          <w:tcPr>
            <w:tcW w:w="0" w:type="auto"/>
            <w:shd w:val="clear" w:color="auto" w:fill="auto"/>
            <w:vAlign w:val="bottom"/>
          </w:tcPr>
          <w:p w14:paraId="07DCFAAA" w14:textId="77777777" w:rsidR="00AE727E" w:rsidRDefault="00AE727E">
            <w:pPr>
              <w:rPr>
                <w:rFonts w:ascii="宋体"/>
              </w:rPr>
            </w:pPr>
          </w:p>
        </w:tc>
        <w:tc>
          <w:tcPr>
            <w:tcW w:w="0" w:type="auto"/>
            <w:shd w:val="clear" w:color="auto" w:fill="auto"/>
            <w:vAlign w:val="bottom"/>
          </w:tcPr>
          <w:p w14:paraId="07DCFAAB" w14:textId="77777777" w:rsidR="00AE727E" w:rsidRDefault="00AE727E">
            <w:pPr>
              <w:rPr>
                <w:rFonts w:ascii="宋体"/>
              </w:rPr>
            </w:pPr>
          </w:p>
        </w:tc>
        <w:tc>
          <w:tcPr>
            <w:tcW w:w="0" w:type="auto"/>
            <w:shd w:val="clear" w:color="auto" w:fill="auto"/>
            <w:vAlign w:val="bottom"/>
          </w:tcPr>
          <w:p w14:paraId="07DCFAAC" w14:textId="77777777" w:rsidR="00AE727E" w:rsidRDefault="00AE727E">
            <w:pPr>
              <w:rPr>
                <w:rFonts w:ascii="宋体"/>
              </w:rPr>
            </w:pPr>
          </w:p>
        </w:tc>
        <w:tc>
          <w:tcPr>
            <w:tcW w:w="0" w:type="auto"/>
            <w:shd w:val="clear" w:color="auto" w:fill="auto"/>
            <w:vAlign w:val="bottom"/>
          </w:tcPr>
          <w:p w14:paraId="07DCFAAD" w14:textId="77777777" w:rsidR="00AE727E" w:rsidRDefault="00AE727E">
            <w:pPr>
              <w:rPr>
                <w:rFonts w:ascii="宋体"/>
              </w:rPr>
            </w:pPr>
          </w:p>
        </w:tc>
        <w:tc>
          <w:tcPr>
            <w:tcW w:w="0" w:type="auto"/>
            <w:shd w:val="clear" w:color="auto" w:fill="auto"/>
            <w:vAlign w:val="bottom"/>
          </w:tcPr>
          <w:p w14:paraId="07DCFAAE" w14:textId="77777777" w:rsidR="00AE727E" w:rsidRDefault="00AE727E">
            <w:pPr>
              <w:rPr>
                <w:rFonts w:ascii="宋体"/>
              </w:rPr>
            </w:pPr>
          </w:p>
        </w:tc>
      </w:tr>
      <w:tr w:rsidR="00AE727E" w14:paraId="07DCFAB6" w14:textId="77777777">
        <w:tc>
          <w:tcPr>
            <w:tcW w:w="0" w:type="auto"/>
            <w:gridSpan w:val="3"/>
            <w:shd w:val="clear" w:color="auto" w:fill="CCEEFF"/>
            <w:tcMar>
              <w:top w:w="40" w:type="dxa"/>
              <w:left w:w="20" w:type="dxa"/>
              <w:bottom w:w="40" w:type="dxa"/>
              <w:right w:w="20" w:type="dxa"/>
            </w:tcMar>
            <w:vAlign w:val="bottom"/>
          </w:tcPr>
          <w:p w14:paraId="07DCFAB0" w14:textId="77777777" w:rsidR="00AE727E" w:rsidRDefault="008433E0">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income attributable to Dell Technologies Inc.</w:t>
            </w:r>
          </w:p>
        </w:tc>
        <w:tc>
          <w:tcPr>
            <w:tcW w:w="0" w:type="auto"/>
            <w:shd w:val="clear" w:color="auto" w:fill="CCEEFF"/>
            <w:tcMar>
              <w:top w:w="40" w:type="dxa"/>
              <w:left w:w="20" w:type="dxa"/>
              <w:bottom w:w="40" w:type="dxa"/>
              <w:right w:w="0" w:type="dxa"/>
            </w:tcMar>
            <w:vAlign w:val="bottom"/>
          </w:tcPr>
          <w:p w14:paraId="07DCFAB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AB2" w14:textId="77777777" w:rsidR="00AE727E" w:rsidRDefault="008433E0">
            <w:pPr>
              <w:jc w:val="right"/>
              <w:textAlignment w:val="bottom"/>
            </w:pPr>
            <w:r>
              <w:rPr>
                <w:rFonts w:ascii="Times New Roman" w:eastAsia="宋体" w:hAnsi="Times New Roman"/>
                <w:color w:val="000000"/>
                <w:sz w:val="20"/>
                <w:szCs w:val="20"/>
              </w:rPr>
              <w:t>5,561 </w:t>
            </w:r>
          </w:p>
        </w:tc>
        <w:tc>
          <w:tcPr>
            <w:tcW w:w="0" w:type="auto"/>
            <w:shd w:val="clear" w:color="auto" w:fill="CCEEFF"/>
            <w:tcMar>
              <w:top w:w="40" w:type="dxa"/>
              <w:left w:w="0" w:type="dxa"/>
              <w:bottom w:w="40" w:type="dxa"/>
              <w:right w:w="20" w:type="dxa"/>
            </w:tcMar>
            <w:vAlign w:val="bottom"/>
          </w:tcPr>
          <w:p w14:paraId="07DCFAB3" w14:textId="77777777" w:rsidR="00AE727E" w:rsidRDefault="00AE727E">
            <w:pPr>
              <w:jc w:val="right"/>
              <w:rPr>
                <w:rFonts w:ascii="宋体"/>
              </w:rPr>
            </w:pPr>
          </w:p>
        </w:tc>
        <w:tc>
          <w:tcPr>
            <w:tcW w:w="0" w:type="auto"/>
            <w:gridSpan w:val="3"/>
            <w:shd w:val="clear" w:color="auto" w:fill="auto"/>
            <w:vAlign w:val="bottom"/>
          </w:tcPr>
          <w:p w14:paraId="07DCFAB4" w14:textId="77777777" w:rsidR="00AE727E" w:rsidRDefault="00AE727E">
            <w:pPr>
              <w:rPr>
                <w:rFonts w:ascii="宋体"/>
                <w:vanish/>
              </w:rPr>
            </w:pPr>
          </w:p>
        </w:tc>
        <w:tc>
          <w:tcPr>
            <w:tcW w:w="0" w:type="auto"/>
            <w:gridSpan w:val="3"/>
            <w:shd w:val="clear" w:color="auto" w:fill="auto"/>
            <w:vAlign w:val="bottom"/>
          </w:tcPr>
          <w:p w14:paraId="07DCFAB5" w14:textId="77777777" w:rsidR="00AE727E" w:rsidRDefault="00AE727E">
            <w:pPr>
              <w:rPr>
                <w:rFonts w:ascii="宋体"/>
                <w:vanish/>
              </w:rPr>
            </w:pPr>
          </w:p>
        </w:tc>
      </w:tr>
      <w:tr w:rsidR="00AE727E" w14:paraId="07DCFABB" w14:textId="77777777">
        <w:tc>
          <w:tcPr>
            <w:tcW w:w="0" w:type="auto"/>
            <w:gridSpan w:val="3"/>
            <w:shd w:val="clear" w:color="auto" w:fill="FFFFFF"/>
            <w:tcMar>
              <w:top w:w="40" w:type="dxa"/>
              <w:left w:w="20" w:type="dxa"/>
              <w:bottom w:w="40" w:type="dxa"/>
              <w:right w:w="20" w:type="dxa"/>
            </w:tcMar>
            <w:vAlign w:val="bottom"/>
          </w:tcPr>
          <w:p w14:paraId="07DCFAB7" w14:textId="77777777" w:rsidR="00AE727E" w:rsidRDefault="008433E0">
            <w:pPr>
              <w:textAlignment w:val="bottom"/>
            </w:pPr>
            <w:r>
              <w:rPr>
                <w:rFonts w:ascii="Times New Roman" w:eastAsia="宋体" w:hAnsi="Times New Roman"/>
                <w:color w:val="000000"/>
                <w:sz w:val="20"/>
                <w:szCs w:val="20"/>
              </w:rPr>
              <w:t>Transfers (to)/from the non-controlling interests:</w:t>
            </w:r>
          </w:p>
        </w:tc>
        <w:tc>
          <w:tcPr>
            <w:tcW w:w="0" w:type="auto"/>
            <w:gridSpan w:val="3"/>
            <w:shd w:val="clear" w:color="auto" w:fill="FFFFFF"/>
            <w:tcMar>
              <w:top w:w="0" w:type="dxa"/>
              <w:left w:w="20" w:type="dxa"/>
              <w:bottom w:w="0" w:type="dxa"/>
              <w:right w:w="20" w:type="dxa"/>
            </w:tcMar>
            <w:vAlign w:val="bottom"/>
          </w:tcPr>
          <w:p w14:paraId="07DCFAB8" w14:textId="77777777" w:rsidR="00AE727E" w:rsidRDefault="00AE727E">
            <w:pPr>
              <w:rPr>
                <w:rFonts w:ascii="宋体"/>
              </w:rPr>
            </w:pPr>
          </w:p>
        </w:tc>
        <w:tc>
          <w:tcPr>
            <w:tcW w:w="0" w:type="auto"/>
            <w:gridSpan w:val="3"/>
            <w:shd w:val="clear" w:color="auto" w:fill="auto"/>
            <w:vAlign w:val="bottom"/>
          </w:tcPr>
          <w:p w14:paraId="07DCFAB9" w14:textId="77777777" w:rsidR="00AE727E" w:rsidRDefault="00AE727E">
            <w:pPr>
              <w:rPr>
                <w:rFonts w:ascii="宋体"/>
                <w:vanish/>
              </w:rPr>
            </w:pPr>
          </w:p>
        </w:tc>
        <w:tc>
          <w:tcPr>
            <w:tcW w:w="0" w:type="auto"/>
            <w:gridSpan w:val="3"/>
            <w:shd w:val="clear" w:color="auto" w:fill="auto"/>
            <w:vAlign w:val="bottom"/>
          </w:tcPr>
          <w:p w14:paraId="07DCFABA" w14:textId="77777777" w:rsidR="00AE727E" w:rsidRDefault="00AE727E">
            <w:pPr>
              <w:rPr>
                <w:rFonts w:ascii="宋体"/>
                <w:vanish/>
              </w:rPr>
            </w:pPr>
          </w:p>
        </w:tc>
      </w:tr>
      <w:tr w:rsidR="00AE727E" w14:paraId="07DCFAC1" w14:textId="77777777">
        <w:tc>
          <w:tcPr>
            <w:tcW w:w="0" w:type="auto"/>
            <w:gridSpan w:val="3"/>
            <w:shd w:val="clear" w:color="auto" w:fill="CCEEFF"/>
            <w:tcMar>
              <w:top w:w="40" w:type="dxa"/>
              <w:left w:w="140" w:type="dxa"/>
              <w:bottom w:w="40" w:type="dxa"/>
              <w:right w:w="20" w:type="dxa"/>
            </w:tcMar>
            <w:vAlign w:val="bottom"/>
          </w:tcPr>
          <w:p w14:paraId="07DCFABC" w14:textId="77777777" w:rsidR="00AE727E" w:rsidRDefault="008433E0">
            <w:pPr>
              <w:textAlignment w:val="bottom"/>
            </w:pPr>
            <w:r>
              <w:rPr>
                <w:rFonts w:ascii="Times New Roman" w:eastAsia="宋体" w:hAnsi="Times New Roman"/>
                <w:color w:val="000000"/>
                <w:sz w:val="20"/>
                <w:szCs w:val="20"/>
              </w:rPr>
              <w:t>Increase in Dell Technologies Inc. additional paid-in-capital for equity issuances and other equity activity</w:t>
            </w:r>
          </w:p>
        </w:tc>
        <w:tc>
          <w:tcPr>
            <w:tcW w:w="0" w:type="auto"/>
            <w:gridSpan w:val="2"/>
            <w:shd w:val="clear" w:color="auto" w:fill="CCEEFF"/>
            <w:tcMar>
              <w:top w:w="40" w:type="dxa"/>
              <w:left w:w="20" w:type="dxa"/>
              <w:bottom w:w="40" w:type="dxa"/>
              <w:right w:w="0" w:type="dxa"/>
            </w:tcMar>
            <w:vAlign w:val="bottom"/>
          </w:tcPr>
          <w:p w14:paraId="07DCFABD" w14:textId="77777777" w:rsidR="00AE727E" w:rsidRDefault="008433E0">
            <w:pPr>
              <w:jc w:val="right"/>
              <w:textAlignment w:val="bottom"/>
            </w:pPr>
            <w:r>
              <w:rPr>
                <w:rFonts w:ascii="Times New Roman" w:eastAsia="宋体" w:hAnsi="Times New Roman"/>
                <w:color w:val="000000"/>
                <w:sz w:val="20"/>
                <w:szCs w:val="20"/>
              </w:rPr>
              <w:t>762 </w:t>
            </w:r>
          </w:p>
        </w:tc>
        <w:tc>
          <w:tcPr>
            <w:tcW w:w="0" w:type="auto"/>
            <w:shd w:val="clear" w:color="auto" w:fill="CCEEFF"/>
            <w:tcMar>
              <w:top w:w="40" w:type="dxa"/>
              <w:left w:w="0" w:type="dxa"/>
              <w:bottom w:w="40" w:type="dxa"/>
              <w:right w:w="20" w:type="dxa"/>
            </w:tcMar>
            <w:vAlign w:val="bottom"/>
          </w:tcPr>
          <w:p w14:paraId="07DCFABE" w14:textId="77777777" w:rsidR="00AE727E" w:rsidRDefault="00AE727E">
            <w:pPr>
              <w:jc w:val="right"/>
              <w:rPr>
                <w:rFonts w:ascii="宋体"/>
              </w:rPr>
            </w:pPr>
          </w:p>
        </w:tc>
        <w:tc>
          <w:tcPr>
            <w:tcW w:w="0" w:type="auto"/>
            <w:gridSpan w:val="3"/>
            <w:shd w:val="clear" w:color="auto" w:fill="auto"/>
            <w:vAlign w:val="bottom"/>
          </w:tcPr>
          <w:p w14:paraId="07DCFABF" w14:textId="77777777" w:rsidR="00AE727E" w:rsidRDefault="00AE727E">
            <w:pPr>
              <w:rPr>
                <w:rFonts w:ascii="宋体"/>
                <w:vanish/>
              </w:rPr>
            </w:pPr>
          </w:p>
        </w:tc>
        <w:tc>
          <w:tcPr>
            <w:tcW w:w="0" w:type="auto"/>
            <w:gridSpan w:val="3"/>
            <w:shd w:val="clear" w:color="auto" w:fill="auto"/>
            <w:vAlign w:val="bottom"/>
          </w:tcPr>
          <w:p w14:paraId="07DCFAC0" w14:textId="77777777" w:rsidR="00AE727E" w:rsidRDefault="00AE727E">
            <w:pPr>
              <w:rPr>
                <w:rFonts w:ascii="宋体"/>
                <w:vanish/>
              </w:rPr>
            </w:pPr>
          </w:p>
        </w:tc>
      </w:tr>
      <w:tr w:rsidR="00AE727E" w14:paraId="07DCFAC7" w14:textId="77777777">
        <w:tc>
          <w:tcPr>
            <w:tcW w:w="0" w:type="auto"/>
            <w:gridSpan w:val="3"/>
            <w:shd w:val="clear" w:color="auto" w:fill="FFFFFF"/>
            <w:tcMar>
              <w:top w:w="40" w:type="dxa"/>
              <w:left w:w="140" w:type="dxa"/>
              <w:bottom w:w="40" w:type="dxa"/>
              <w:right w:w="20" w:type="dxa"/>
            </w:tcMar>
            <w:vAlign w:val="bottom"/>
          </w:tcPr>
          <w:p w14:paraId="07DCFAC2" w14:textId="77777777" w:rsidR="00AE727E" w:rsidRDefault="008433E0">
            <w:pPr>
              <w:textAlignment w:val="bottom"/>
            </w:pPr>
            <w:r>
              <w:rPr>
                <w:rFonts w:ascii="Times New Roman" w:eastAsia="宋体" w:hAnsi="Times New Roman"/>
                <w:color w:val="000000"/>
                <w:sz w:val="20"/>
                <w:szCs w:val="20"/>
              </w:rPr>
              <w:t xml:space="preserve">Decrease in Dell </w:t>
            </w:r>
            <w:r>
              <w:rPr>
                <w:rFonts w:ascii="Times New Roman" w:eastAsia="宋体" w:hAnsi="Times New Roman"/>
                <w:color w:val="000000"/>
                <w:sz w:val="20"/>
                <w:szCs w:val="20"/>
              </w:rPr>
              <w:t>Technologies Inc. additional paid-in-capital for equity issuances and other equity activity</w:t>
            </w:r>
          </w:p>
        </w:tc>
        <w:tc>
          <w:tcPr>
            <w:tcW w:w="0" w:type="auto"/>
            <w:gridSpan w:val="2"/>
            <w:shd w:val="clear" w:color="auto" w:fill="FFFFFF"/>
            <w:tcMar>
              <w:top w:w="40" w:type="dxa"/>
              <w:left w:w="20" w:type="dxa"/>
              <w:bottom w:w="40" w:type="dxa"/>
              <w:right w:w="0" w:type="dxa"/>
            </w:tcMar>
            <w:vAlign w:val="bottom"/>
          </w:tcPr>
          <w:p w14:paraId="07DCFAC3" w14:textId="77777777" w:rsidR="00AE727E" w:rsidRDefault="008433E0">
            <w:pPr>
              <w:jc w:val="right"/>
              <w:textAlignment w:val="bottom"/>
            </w:pPr>
            <w:r>
              <w:rPr>
                <w:rFonts w:ascii="Times New Roman" w:eastAsia="宋体" w:hAnsi="Times New Roman"/>
                <w:color w:val="000000"/>
                <w:sz w:val="20"/>
                <w:szCs w:val="20"/>
              </w:rPr>
              <w:t>(828)</w:t>
            </w:r>
          </w:p>
        </w:tc>
        <w:tc>
          <w:tcPr>
            <w:tcW w:w="0" w:type="auto"/>
            <w:shd w:val="clear" w:color="auto" w:fill="FFFFFF"/>
            <w:tcMar>
              <w:top w:w="40" w:type="dxa"/>
              <w:left w:w="0" w:type="dxa"/>
              <w:bottom w:w="40" w:type="dxa"/>
              <w:right w:w="20" w:type="dxa"/>
            </w:tcMar>
            <w:vAlign w:val="bottom"/>
          </w:tcPr>
          <w:p w14:paraId="07DCFAC4" w14:textId="77777777" w:rsidR="00AE727E" w:rsidRDefault="00AE727E">
            <w:pPr>
              <w:jc w:val="right"/>
              <w:rPr>
                <w:rFonts w:ascii="宋体"/>
              </w:rPr>
            </w:pPr>
          </w:p>
        </w:tc>
        <w:tc>
          <w:tcPr>
            <w:tcW w:w="0" w:type="auto"/>
            <w:gridSpan w:val="3"/>
            <w:shd w:val="clear" w:color="auto" w:fill="auto"/>
            <w:vAlign w:val="bottom"/>
          </w:tcPr>
          <w:p w14:paraId="07DCFAC5" w14:textId="77777777" w:rsidR="00AE727E" w:rsidRDefault="00AE727E">
            <w:pPr>
              <w:rPr>
                <w:rFonts w:ascii="宋体"/>
                <w:vanish/>
              </w:rPr>
            </w:pPr>
          </w:p>
        </w:tc>
        <w:tc>
          <w:tcPr>
            <w:tcW w:w="0" w:type="auto"/>
            <w:gridSpan w:val="3"/>
            <w:shd w:val="clear" w:color="auto" w:fill="auto"/>
            <w:vAlign w:val="bottom"/>
          </w:tcPr>
          <w:p w14:paraId="07DCFAC6" w14:textId="77777777" w:rsidR="00AE727E" w:rsidRDefault="00AE727E">
            <w:pPr>
              <w:rPr>
                <w:rFonts w:ascii="宋体"/>
                <w:vanish/>
              </w:rPr>
            </w:pPr>
          </w:p>
        </w:tc>
      </w:tr>
      <w:tr w:rsidR="00AE727E" w14:paraId="07DCFACD" w14:textId="77777777">
        <w:tc>
          <w:tcPr>
            <w:tcW w:w="0" w:type="auto"/>
            <w:gridSpan w:val="3"/>
            <w:shd w:val="clear" w:color="auto" w:fill="CCEEFF"/>
            <w:tcMar>
              <w:top w:w="40" w:type="dxa"/>
              <w:left w:w="20" w:type="dxa"/>
              <w:bottom w:w="40" w:type="dxa"/>
              <w:right w:w="20" w:type="dxa"/>
            </w:tcMar>
            <w:vAlign w:val="bottom"/>
          </w:tcPr>
          <w:p w14:paraId="07DCFAC8" w14:textId="77777777" w:rsidR="00AE727E" w:rsidRDefault="008433E0">
            <w:pPr>
              <w:textAlignment w:val="bottom"/>
            </w:pPr>
            <w:r>
              <w:rPr>
                <w:rFonts w:ascii="Times New Roman" w:eastAsia="宋体" w:hAnsi="Times New Roman"/>
                <w:color w:val="000000"/>
                <w:sz w:val="20"/>
                <w:szCs w:val="20"/>
              </w:rPr>
              <w:t>Net transfers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AC9" w14:textId="77777777" w:rsidR="00AE727E" w:rsidRDefault="008433E0">
            <w:pPr>
              <w:jc w:val="right"/>
              <w:textAlignment w:val="bottom"/>
            </w:pPr>
            <w:r>
              <w:rPr>
                <w:rFonts w:ascii="Times New Roman" w:eastAsia="宋体" w:hAnsi="Times New Roman"/>
                <w:color w:val="000000"/>
                <w:sz w:val="20"/>
                <w:szCs w:val="20"/>
              </w:rPr>
              <w:t>(66)</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ACA" w14:textId="77777777" w:rsidR="00AE727E" w:rsidRDefault="00AE727E">
            <w:pPr>
              <w:jc w:val="right"/>
              <w:rPr>
                <w:rFonts w:ascii="宋体"/>
              </w:rPr>
            </w:pPr>
          </w:p>
        </w:tc>
        <w:tc>
          <w:tcPr>
            <w:tcW w:w="0" w:type="auto"/>
            <w:gridSpan w:val="3"/>
            <w:shd w:val="clear" w:color="auto" w:fill="auto"/>
            <w:vAlign w:val="bottom"/>
          </w:tcPr>
          <w:p w14:paraId="07DCFACB" w14:textId="77777777" w:rsidR="00AE727E" w:rsidRDefault="00AE727E">
            <w:pPr>
              <w:rPr>
                <w:rFonts w:ascii="宋体"/>
                <w:vanish/>
              </w:rPr>
            </w:pPr>
          </w:p>
        </w:tc>
        <w:tc>
          <w:tcPr>
            <w:tcW w:w="0" w:type="auto"/>
            <w:gridSpan w:val="3"/>
            <w:shd w:val="clear" w:color="auto" w:fill="auto"/>
            <w:vAlign w:val="bottom"/>
          </w:tcPr>
          <w:p w14:paraId="07DCFACC" w14:textId="77777777" w:rsidR="00AE727E" w:rsidRDefault="00AE727E">
            <w:pPr>
              <w:rPr>
                <w:rFonts w:ascii="宋体"/>
                <w:vanish/>
              </w:rPr>
            </w:pPr>
          </w:p>
        </w:tc>
      </w:tr>
      <w:tr w:rsidR="00AE727E" w14:paraId="07DCFAD4" w14:textId="77777777">
        <w:tc>
          <w:tcPr>
            <w:tcW w:w="0" w:type="auto"/>
            <w:gridSpan w:val="3"/>
            <w:shd w:val="clear" w:color="auto" w:fill="FFFFFF"/>
            <w:tcMar>
              <w:top w:w="40" w:type="dxa"/>
              <w:left w:w="140" w:type="dxa"/>
              <w:bottom w:w="40" w:type="dxa"/>
              <w:right w:w="20" w:type="dxa"/>
            </w:tcMar>
            <w:vAlign w:val="bottom"/>
          </w:tcPr>
          <w:p w14:paraId="07DCFACE" w14:textId="77777777" w:rsidR="00AE727E" w:rsidRDefault="008433E0">
            <w:pPr>
              <w:textAlignment w:val="bottom"/>
            </w:pPr>
            <w:r>
              <w:rPr>
                <w:rFonts w:ascii="Times New Roman" w:eastAsia="宋体" w:hAnsi="Times New Roman"/>
                <w:color w:val="000000"/>
                <w:sz w:val="20"/>
                <w:szCs w:val="20"/>
              </w:rPr>
              <w:t xml:space="preserve">Change from net income attributable to Dell Technologies Inc. and transfers to the </w:t>
            </w:r>
            <w:r>
              <w:rPr>
                <w:rFonts w:ascii="Times New Roman" w:eastAsia="宋体" w:hAnsi="Times New Roman"/>
                <w:color w:val="000000"/>
                <w:sz w:val="20"/>
                <w:szCs w:val="20"/>
              </w:rPr>
              <w:t>non-controlling interests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CFAC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CFAD0" w14:textId="77777777" w:rsidR="00AE727E" w:rsidRDefault="008433E0">
            <w:pPr>
              <w:jc w:val="right"/>
              <w:textAlignment w:val="bottom"/>
            </w:pPr>
            <w:r>
              <w:rPr>
                <w:rFonts w:ascii="Times New Roman" w:eastAsia="宋体" w:hAnsi="Times New Roman"/>
                <w:color w:val="000000"/>
                <w:sz w:val="20"/>
                <w:szCs w:val="20"/>
              </w:rPr>
              <w:t>5,495 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CFAD1" w14:textId="77777777" w:rsidR="00AE727E" w:rsidRDefault="00AE727E">
            <w:pPr>
              <w:jc w:val="right"/>
              <w:rPr>
                <w:rFonts w:ascii="宋体"/>
              </w:rPr>
            </w:pPr>
          </w:p>
        </w:tc>
        <w:tc>
          <w:tcPr>
            <w:tcW w:w="0" w:type="auto"/>
            <w:gridSpan w:val="3"/>
            <w:shd w:val="clear" w:color="auto" w:fill="auto"/>
            <w:vAlign w:val="bottom"/>
          </w:tcPr>
          <w:p w14:paraId="07DCFAD2" w14:textId="77777777" w:rsidR="00AE727E" w:rsidRDefault="00AE727E">
            <w:pPr>
              <w:rPr>
                <w:rFonts w:ascii="宋体"/>
                <w:vanish/>
              </w:rPr>
            </w:pPr>
          </w:p>
        </w:tc>
        <w:tc>
          <w:tcPr>
            <w:tcW w:w="0" w:type="auto"/>
            <w:gridSpan w:val="3"/>
            <w:shd w:val="clear" w:color="auto" w:fill="auto"/>
            <w:vAlign w:val="bottom"/>
          </w:tcPr>
          <w:p w14:paraId="07DCFAD3" w14:textId="77777777" w:rsidR="00AE727E" w:rsidRDefault="00AE727E">
            <w:pPr>
              <w:rPr>
                <w:rFonts w:ascii="宋体"/>
                <w:vanish/>
              </w:rPr>
            </w:pPr>
          </w:p>
        </w:tc>
      </w:tr>
    </w:tbl>
    <w:p w14:paraId="07DCFAD5" w14:textId="77777777" w:rsidR="00AE727E" w:rsidRDefault="00AE727E"/>
    <w:p w14:paraId="07DCFAD6" w14:textId="77777777" w:rsidR="00AE727E" w:rsidRDefault="00AE727E">
      <w:pPr>
        <w:jc w:val="center"/>
      </w:pPr>
    </w:p>
    <w:p w14:paraId="07DCFAD7" w14:textId="77777777" w:rsidR="00AE727E" w:rsidRDefault="008433E0">
      <w:pPr>
        <w:jc w:val="center"/>
      </w:pPr>
      <w:r>
        <w:rPr>
          <w:rFonts w:ascii="Times New Roman" w:eastAsia="宋体" w:hAnsi="Times New Roman"/>
          <w:color w:val="000000"/>
          <w:sz w:val="20"/>
          <w:szCs w:val="20"/>
        </w:rPr>
        <w:t>47</w:t>
      </w:r>
    </w:p>
    <w:p w14:paraId="07DCFAD8" w14:textId="77777777" w:rsidR="00AE727E" w:rsidRDefault="00AE727E">
      <w:pPr>
        <w:jc w:val="center"/>
      </w:pPr>
    </w:p>
    <w:p w14:paraId="07DCFAD9" w14:textId="77777777" w:rsidR="00AE727E" w:rsidRDefault="008433E0">
      <w:r>
        <w:pict w14:anchorId="07DD18FF">
          <v:rect id="_x0000_i1071" style="width:415.3pt;height:1.5pt" o:hralign="center" o:hrstd="t" o:hr="t" fillcolor="#a0a0a0" stroked="f"/>
        </w:pict>
      </w:r>
    </w:p>
    <w:p w14:paraId="07DCFADA" w14:textId="77777777" w:rsidR="00AE727E" w:rsidRDefault="008433E0">
      <w:hyperlink r:id="rId172" w:anchor="i1c8279be622a460ea19600488436f115_10" w:history="1">
        <w:r>
          <w:rPr>
            <w:rStyle w:val="a5"/>
            <w:rFonts w:ascii="Times New Roman" w:eastAsia="宋体" w:hAnsi="Times New Roman"/>
            <w:sz w:val="20"/>
            <w:szCs w:val="20"/>
          </w:rPr>
          <w:t>Table of Contents</w:t>
        </w:r>
      </w:hyperlink>
    </w:p>
    <w:p w14:paraId="07DCFADB"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ADC"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ADD"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ADE" w14:textId="77777777" w:rsidR="00AE727E" w:rsidRDefault="00AE727E">
      <w:pPr>
        <w:jc w:val="center"/>
      </w:pPr>
    </w:p>
    <w:p w14:paraId="07DCFADF" w14:textId="77777777" w:rsidR="00AE727E" w:rsidRDefault="008433E0">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CAPITALIZATION</w:t>
      </w:r>
      <w:r>
        <w:rPr>
          <w:rFonts w:ascii="Times New Roman" w:eastAsia="宋体" w:hAnsi="Times New Roman"/>
          <w:color w:val="000000"/>
          <w:sz w:val="20"/>
          <w:szCs w:val="20"/>
        </w:rPr>
        <w:t xml:space="preserve"> </w:t>
      </w:r>
    </w:p>
    <w:p w14:paraId="07DCFAE0" w14:textId="77777777" w:rsidR="00AE727E" w:rsidRDefault="00AE727E"/>
    <w:p w14:paraId="07DCFAE1" w14:textId="77777777" w:rsidR="00AE727E" w:rsidRDefault="008433E0">
      <w:pPr>
        <w:spacing w:after="60"/>
      </w:pPr>
      <w:r>
        <w:rPr>
          <w:rFonts w:ascii="Times New Roman" w:eastAsia="宋体" w:hAnsi="Times New Roman"/>
          <w:color w:val="000000"/>
          <w:sz w:val="20"/>
          <w:szCs w:val="20"/>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3914"/>
        <w:gridCol w:w="36"/>
        <w:gridCol w:w="60"/>
        <w:gridCol w:w="1276"/>
        <w:gridCol w:w="36"/>
        <w:gridCol w:w="36"/>
        <w:gridCol w:w="36"/>
        <w:gridCol w:w="36"/>
        <w:gridCol w:w="55"/>
        <w:gridCol w:w="1281"/>
        <w:gridCol w:w="36"/>
        <w:gridCol w:w="36"/>
        <w:gridCol w:w="36"/>
        <w:gridCol w:w="36"/>
        <w:gridCol w:w="66"/>
        <w:gridCol w:w="1270"/>
        <w:gridCol w:w="36"/>
      </w:tblGrid>
      <w:tr w:rsidR="00AE727E" w14:paraId="07DCFAF4" w14:textId="77777777">
        <w:trPr>
          <w:jc w:val="center"/>
        </w:trPr>
        <w:tc>
          <w:tcPr>
            <w:tcW w:w="50" w:type="pct"/>
            <w:shd w:val="clear" w:color="auto" w:fill="auto"/>
            <w:vAlign w:val="bottom"/>
          </w:tcPr>
          <w:p w14:paraId="07DCFAE2" w14:textId="77777777" w:rsidR="00AE727E" w:rsidRDefault="00AE727E">
            <w:pPr>
              <w:rPr>
                <w:rFonts w:ascii="宋体"/>
              </w:rPr>
            </w:pPr>
          </w:p>
        </w:tc>
        <w:tc>
          <w:tcPr>
            <w:tcW w:w="2364" w:type="pct"/>
            <w:shd w:val="clear" w:color="auto" w:fill="auto"/>
            <w:vAlign w:val="bottom"/>
          </w:tcPr>
          <w:p w14:paraId="07DCFAE3" w14:textId="77777777" w:rsidR="00AE727E" w:rsidRDefault="00AE727E">
            <w:pPr>
              <w:rPr>
                <w:rFonts w:ascii="宋体"/>
              </w:rPr>
            </w:pPr>
          </w:p>
        </w:tc>
        <w:tc>
          <w:tcPr>
            <w:tcW w:w="5" w:type="pct"/>
            <w:shd w:val="clear" w:color="auto" w:fill="auto"/>
            <w:vAlign w:val="bottom"/>
          </w:tcPr>
          <w:p w14:paraId="07DCFAE4" w14:textId="77777777" w:rsidR="00AE727E" w:rsidRDefault="00AE727E">
            <w:pPr>
              <w:rPr>
                <w:rFonts w:ascii="宋体"/>
              </w:rPr>
            </w:pPr>
          </w:p>
        </w:tc>
        <w:tc>
          <w:tcPr>
            <w:tcW w:w="50" w:type="pct"/>
            <w:shd w:val="clear" w:color="auto" w:fill="auto"/>
            <w:vAlign w:val="bottom"/>
          </w:tcPr>
          <w:p w14:paraId="07DCFAE5" w14:textId="77777777" w:rsidR="00AE727E" w:rsidRDefault="00AE727E">
            <w:pPr>
              <w:rPr>
                <w:rFonts w:ascii="宋体"/>
              </w:rPr>
            </w:pPr>
          </w:p>
        </w:tc>
        <w:tc>
          <w:tcPr>
            <w:tcW w:w="785" w:type="pct"/>
            <w:shd w:val="clear" w:color="auto" w:fill="auto"/>
            <w:vAlign w:val="bottom"/>
          </w:tcPr>
          <w:p w14:paraId="07DCFAE6" w14:textId="77777777" w:rsidR="00AE727E" w:rsidRDefault="00AE727E">
            <w:pPr>
              <w:rPr>
                <w:rFonts w:ascii="宋体"/>
              </w:rPr>
            </w:pPr>
          </w:p>
        </w:tc>
        <w:tc>
          <w:tcPr>
            <w:tcW w:w="5" w:type="pct"/>
            <w:shd w:val="clear" w:color="auto" w:fill="auto"/>
            <w:vAlign w:val="bottom"/>
          </w:tcPr>
          <w:p w14:paraId="07DCFAE7" w14:textId="77777777" w:rsidR="00AE727E" w:rsidRDefault="00AE727E">
            <w:pPr>
              <w:rPr>
                <w:rFonts w:ascii="宋体"/>
              </w:rPr>
            </w:pPr>
          </w:p>
        </w:tc>
        <w:tc>
          <w:tcPr>
            <w:tcW w:w="5" w:type="pct"/>
            <w:shd w:val="clear" w:color="auto" w:fill="auto"/>
            <w:vAlign w:val="bottom"/>
          </w:tcPr>
          <w:p w14:paraId="07DCFAE8" w14:textId="77777777" w:rsidR="00AE727E" w:rsidRDefault="00AE727E">
            <w:pPr>
              <w:rPr>
                <w:rFonts w:ascii="宋体"/>
              </w:rPr>
            </w:pPr>
          </w:p>
        </w:tc>
        <w:tc>
          <w:tcPr>
            <w:tcW w:w="19" w:type="pct"/>
            <w:shd w:val="clear" w:color="auto" w:fill="auto"/>
            <w:vAlign w:val="bottom"/>
          </w:tcPr>
          <w:p w14:paraId="07DCFAE9" w14:textId="77777777" w:rsidR="00AE727E" w:rsidRDefault="00AE727E">
            <w:pPr>
              <w:rPr>
                <w:rFonts w:ascii="宋体"/>
              </w:rPr>
            </w:pPr>
          </w:p>
        </w:tc>
        <w:tc>
          <w:tcPr>
            <w:tcW w:w="5" w:type="pct"/>
            <w:shd w:val="clear" w:color="auto" w:fill="auto"/>
            <w:vAlign w:val="bottom"/>
          </w:tcPr>
          <w:p w14:paraId="07DCFAEA" w14:textId="77777777" w:rsidR="00AE727E" w:rsidRDefault="00AE727E">
            <w:pPr>
              <w:rPr>
                <w:rFonts w:ascii="宋体"/>
              </w:rPr>
            </w:pPr>
          </w:p>
        </w:tc>
        <w:tc>
          <w:tcPr>
            <w:tcW w:w="50" w:type="pct"/>
            <w:shd w:val="clear" w:color="auto" w:fill="auto"/>
            <w:vAlign w:val="bottom"/>
          </w:tcPr>
          <w:p w14:paraId="07DCFAEB" w14:textId="77777777" w:rsidR="00AE727E" w:rsidRDefault="00AE727E">
            <w:pPr>
              <w:rPr>
                <w:rFonts w:ascii="宋体"/>
              </w:rPr>
            </w:pPr>
          </w:p>
        </w:tc>
        <w:tc>
          <w:tcPr>
            <w:tcW w:w="785" w:type="pct"/>
            <w:shd w:val="clear" w:color="auto" w:fill="auto"/>
            <w:vAlign w:val="bottom"/>
          </w:tcPr>
          <w:p w14:paraId="07DCFAEC" w14:textId="77777777" w:rsidR="00AE727E" w:rsidRDefault="00AE727E">
            <w:pPr>
              <w:rPr>
                <w:rFonts w:ascii="宋体"/>
              </w:rPr>
            </w:pPr>
          </w:p>
        </w:tc>
        <w:tc>
          <w:tcPr>
            <w:tcW w:w="5" w:type="pct"/>
            <w:shd w:val="clear" w:color="auto" w:fill="auto"/>
            <w:vAlign w:val="bottom"/>
          </w:tcPr>
          <w:p w14:paraId="07DCFAED" w14:textId="77777777" w:rsidR="00AE727E" w:rsidRDefault="00AE727E">
            <w:pPr>
              <w:rPr>
                <w:rFonts w:ascii="宋体"/>
              </w:rPr>
            </w:pPr>
          </w:p>
        </w:tc>
        <w:tc>
          <w:tcPr>
            <w:tcW w:w="5" w:type="pct"/>
            <w:shd w:val="clear" w:color="auto" w:fill="auto"/>
            <w:vAlign w:val="bottom"/>
          </w:tcPr>
          <w:p w14:paraId="07DCFAEE" w14:textId="77777777" w:rsidR="00AE727E" w:rsidRDefault="00AE727E">
            <w:pPr>
              <w:rPr>
                <w:rFonts w:ascii="宋体"/>
              </w:rPr>
            </w:pPr>
          </w:p>
        </w:tc>
        <w:tc>
          <w:tcPr>
            <w:tcW w:w="19" w:type="pct"/>
            <w:shd w:val="clear" w:color="auto" w:fill="auto"/>
            <w:vAlign w:val="bottom"/>
          </w:tcPr>
          <w:p w14:paraId="07DCFAEF" w14:textId="77777777" w:rsidR="00AE727E" w:rsidRDefault="00AE727E">
            <w:pPr>
              <w:rPr>
                <w:rFonts w:ascii="宋体"/>
              </w:rPr>
            </w:pPr>
          </w:p>
        </w:tc>
        <w:tc>
          <w:tcPr>
            <w:tcW w:w="5" w:type="pct"/>
            <w:shd w:val="clear" w:color="auto" w:fill="auto"/>
            <w:vAlign w:val="bottom"/>
          </w:tcPr>
          <w:p w14:paraId="07DCFAF0" w14:textId="77777777" w:rsidR="00AE727E" w:rsidRDefault="00AE727E">
            <w:pPr>
              <w:rPr>
                <w:rFonts w:ascii="宋体"/>
              </w:rPr>
            </w:pPr>
          </w:p>
        </w:tc>
        <w:tc>
          <w:tcPr>
            <w:tcW w:w="50" w:type="pct"/>
            <w:shd w:val="clear" w:color="auto" w:fill="auto"/>
            <w:vAlign w:val="bottom"/>
          </w:tcPr>
          <w:p w14:paraId="07DCFAF1" w14:textId="77777777" w:rsidR="00AE727E" w:rsidRDefault="00AE727E">
            <w:pPr>
              <w:rPr>
                <w:rFonts w:ascii="宋体"/>
              </w:rPr>
            </w:pPr>
          </w:p>
        </w:tc>
        <w:tc>
          <w:tcPr>
            <w:tcW w:w="785" w:type="pct"/>
            <w:shd w:val="clear" w:color="auto" w:fill="auto"/>
            <w:vAlign w:val="bottom"/>
          </w:tcPr>
          <w:p w14:paraId="07DCFAF2" w14:textId="77777777" w:rsidR="00AE727E" w:rsidRDefault="00AE727E">
            <w:pPr>
              <w:rPr>
                <w:rFonts w:ascii="宋体"/>
              </w:rPr>
            </w:pPr>
          </w:p>
        </w:tc>
        <w:tc>
          <w:tcPr>
            <w:tcW w:w="5" w:type="pct"/>
            <w:shd w:val="clear" w:color="auto" w:fill="auto"/>
            <w:vAlign w:val="bottom"/>
          </w:tcPr>
          <w:p w14:paraId="07DCFAF3" w14:textId="77777777" w:rsidR="00AE727E" w:rsidRDefault="00AE727E">
            <w:pPr>
              <w:rPr>
                <w:rFonts w:ascii="宋体"/>
              </w:rPr>
            </w:pPr>
          </w:p>
        </w:tc>
      </w:tr>
      <w:tr w:rsidR="00AE727E" w14:paraId="07DCFAFB" w14:textId="77777777">
        <w:trPr>
          <w:jc w:val="center"/>
        </w:trPr>
        <w:tc>
          <w:tcPr>
            <w:tcW w:w="0" w:type="auto"/>
            <w:gridSpan w:val="3"/>
            <w:shd w:val="clear" w:color="auto" w:fill="auto"/>
            <w:tcMar>
              <w:top w:w="0" w:type="dxa"/>
              <w:left w:w="20" w:type="dxa"/>
              <w:bottom w:w="0" w:type="dxa"/>
              <w:right w:w="20" w:type="dxa"/>
            </w:tcMar>
            <w:vAlign w:val="bottom"/>
          </w:tcPr>
          <w:p w14:paraId="07DCFAF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CFAF6" w14:textId="77777777" w:rsidR="00AE727E" w:rsidRDefault="008433E0">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vAlign w:val="bottom"/>
          </w:tcPr>
          <w:p w14:paraId="07DCFAF7"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AF8" w14:textId="77777777" w:rsidR="00AE727E" w:rsidRDefault="008433E0">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vAlign w:val="bottom"/>
          </w:tcPr>
          <w:p w14:paraId="07DCFAF9"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AFA" w14:textId="77777777" w:rsidR="00AE727E" w:rsidRDefault="008433E0">
            <w:pPr>
              <w:jc w:val="center"/>
              <w:textAlignment w:val="bottom"/>
            </w:pPr>
            <w:r>
              <w:rPr>
                <w:rFonts w:ascii="Times New Roman" w:eastAsia="宋体" w:hAnsi="Times New Roman"/>
                <w:b/>
                <w:bCs/>
                <w:color w:val="000000"/>
                <w:sz w:val="20"/>
                <w:szCs w:val="20"/>
              </w:rPr>
              <w:t>Outstanding</w:t>
            </w:r>
          </w:p>
        </w:tc>
      </w:tr>
      <w:tr w:rsidR="00AE727E" w14:paraId="07DCFAFE" w14:textId="77777777">
        <w:trPr>
          <w:jc w:val="center"/>
        </w:trPr>
        <w:tc>
          <w:tcPr>
            <w:tcW w:w="0" w:type="auto"/>
            <w:gridSpan w:val="3"/>
            <w:shd w:val="clear" w:color="auto" w:fill="auto"/>
            <w:tcMar>
              <w:top w:w="0" w:type="dxa"/>
              <w:left w:w="20" w:type="dxa"/>
              <w:bottom w:w="0" w:type="dxa"/>
              <w:right w:w="20" w:type="dxa"/>
            </w:tcMar>
            <w:vAlign w:val="bottom"/>
          </w:tcPr>
          <w:p w14:paraId="07DCFAFC"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CFAFD"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B00" w14:textId="77777777">
        <w:trPr>
          <w:jc w:val="center"/>
        </w:trPr>
        <w:tc>
          <w:tcPr>
            <w:tcW w:w="0" w:type="auto"/>
            <w:gridSpan w:val="18"/>
            <w:shd w:val="clear" w:color="auto" w:fill="CCEEFF"/>
            <w:tcMar>
              <w:top w:w="40" w:type="dxa"/>
              <w:left w:w="20" w:type="dxa"/>
              <w:bottom w:w="40" w:type="dxa"/>
              <w:right w:w="20" w:type="dxa"/>
            </w:tcMar>
            <w:vAlign w:val="center"/>
          </w:tcPr>
          <w:p w14:paraId="07DCFAFF" w14:textId="77777777" w:rsidR="00AE727E" w:rsidRDefault="008433E0">
            <w:pPr>
              <w:textAlignment w:val="center"/>
            </w:pPr>
            <w:r>
              <w:rPr>
                <w:rFonts w:ascii="Times New Roman" w:eastAsia="宋体" w:hAnsi="Times New Roman"/>
                <w:i/>
                <w:iCs/>
                <w:color w:val="000000"/>
                <w:sz w:val="20"/>
                <w:szCs w:val="20"/>
              </w:rPr>
              <w:t xml:space="preserve">Common stock as of </w:t>
            </w:r>
            <w:r>
              <w:rPr>
                <w:rFonts w:ascii="Times New Roman" w:eastAsia="宋体" w:hAnsi="Times New Roman"/>
                <w:i/>
                <w:iCs/>
                <w:color w:val="000000"/>
                <w:sz w:val="20"/>
                <w:szCs w:val="20"/>
              </w:rPr>
              <w:t>October 29, 2021</w:t>
            </w:r>
          </w:p>
        </w:tc>
      </w:tr>
      <w:tr w:rsidR="00AE727E" w14:paraId="07DCFB0A" w14:textId="77777777">
        <w:trPr>
          <w:jc w:val="center"/>
        </w:trPr>
        <w:tc>
          <w:tcPr>
            <w:tcW w:w="0" w:type="auto"/>
            <w:gridSpan w:val="3"/>
            <w:shd w:val="clear" w:color="auto" w:fill="FFFFFF"/>
            <w:tcMar>
              <w:top w:w="40" w:type="dxa"/>
              <w:left w:w="155" w:type="dxa"/>
              <w:bottom w:w="40" w:type="dxa"/>
              <w:right w:w="20" w:type="dxa"/>
            </w:tcMar>
            <w:vAlign w:val="center"/>
          </w:tcPr>
          <w:p w14:paraId="07DCFB01" w14:textId="77777777" w:rsidR="00AE727E" w:rsidRDefault="008433E0">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07DCFB02" w14:textId="77777777" w:rsidR="00AE727E" w:rsidRDefault="008433E0">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07DCFB0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0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05" w14:textId="77777777" w:rsidR="00AE727E" w:rsidRDefault="008433E0">
            <w:pPr>
              <w:jc w:val="right"/>
              <w:textAlignment w:val="center"/>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center"/>
          </w:tcPr>
          <w:p w14:paraId="07DCFB0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0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08" w14:textId="77777777" w:rsidR="00AE727E" w:rsidRDefault="008433E0">
            <w:pPr>
              <w:jc w:val="right"/>
              <w:textAlignment w:val="center"/>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center"/>
          </w:tcPr>
          <w:p w14:paraId="07DCFB09" w14:textId="77777777" w:rsidR="00AE727E" w:rsidRDefault="00AE727E">
            <w:pPr>
              <w:jc w:val="right"/>
              <w:rPr>
                <w:rFonts w:ascii="宋体"/>
              </w:rPr>
            </w:pPr>
          </w:p>
        </w:tc>
      </w:tr>
      <w:tr w:rsidR="00AE727E" w14:paraId="07DCFB14" w14:textId="77777777">
        <w:trPr>
          <w:jc w:val="center"/>
        </w:trPr>
        <w:tc>
          <w:tcPr>
            <w:tcW w:w="0" w:type="auto"/>
            <w:gridSpan w:val="3"/>
            <w:shd w:val="clear" w:color="auto" w:fill="CCEEFF"/>
            <w:tcMar>
              <w:top w:w="40" w:type="dxa"/>
              <w:left w:w="155" w:type="dxa"/>
              <w:bottom w:w="40" w:type="dxa"/>
              <w:right w:w="20" w:type="dxa"/>
            </w:tcMar>
            <w:vAlign w:val="center"/>
          </w:tcPr>
          <w:p w14:paraId="07DCFB0B" w14:textId="77777777" w:rsidR="00AE727E" w:rsidRDefault="008433E0">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07DCFB0C" w14:textId="77777777" w:rsidR="00AE727E" w:rsidRDefault="008433E0">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07DCFB0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0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0F" w14:textId="77777777" w:rsidR="00AE727E" w:rsidRDefault="008433E0">
            <w:pPr>
              <w:jc w:val="right"/>
              <w:textAlignment w:val="center"/>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center"/>
          </w:tcPr>
          <w:p w14:paraId="07DCFB1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1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12" w14:textId="77777777" w:rsidR="00AE727E" w:rsidRDefault="008433E0">
            <w:pPr>
              <w:jc w:val="right"/>
              <w:textAlignment w:val="center"/>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center"/>
          </w:tcPr>
          <w:p w14:paraId="07DCFB13" w14:textId="77777777" w:rsidR="00AE727E" w:rsidRDefault="00AE727E">
            <w:pPr>
              <w:jc w:val="right"/>
              <w:rPr>
                <w:rFonts w:ascii="宋体"/>
              </w:rPr>
            </w:pPr>
          </w:p>
        </w:tc>
      </w:tr>
      <w:tr w:rsidR="00AE727E" w14:paraId="07DCFB1E" w14:textId="77777777">
        <w:trPr>
          <w:jc w:val="center"/>
        </w:trPr>
        <w:tc>
          <w:tcPr>
            <w:tcW w:w="0" w:type="auto"/>
            <w:gridSpan w:val="3"/>
            <w:shd w:val="clear" w:color="auto" w:fill="FFFFFF"/>
            <w:tcMar>
              <w:top w:w="40" w:type="dxa"/>
              <w:left w:w="155" w:type="dxa"/>
              <w:bottom w:w="40" w:type="dxa"/>
              <w:right w:w="20" w:type="dxa"/>
            </w:tcMar>
            <w:vAlign w:val="center"/>
          </w:tcPr>
          <w:p w14:paraId="07DCFB15" w14:textId="77777777" w:rsidR="00AE727E" w:rsidRDefault="008433E0">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07DCFB16" w14:textId="77777777" w:rsidR="00AE727E" w:rsidRDefault="008433E0">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07DCFB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1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19" w14:textId="77777777" w:rsidR="00AE727E" w:rsidRDefault="008433E0">
            <w:pPr>
              <w:jc w:val="right"/>
              <w:textAlignment w:val="center"/>
            </w:pPr>
            <w:r>
              <w:rPr>
                <w:rFonts w:ascii="Times New Roman" w:eastAsia="宋体" w:hAnsi="Times New Roman"/>
                <w:color w:val="000000"/>
                <w:sz w:val="20"/>
                <w:szCs w:val="20"/>
              </w:rPr>
              <w:t>301 </w:t>
            </w:r>
          </w:p>
        </w:tc>
        <w:tc>
          <w:tcPr>
            <w:tcW w:w="0" w:type="auto"/>
            <w:shd w:val="clear" w:color="auto" w:fill="FFFFFF"/>
            <w:tcMar>
              <w:top w:w="40" w:type="dxa"/>
              <w:left w:w="0" w:type="dxa"/>
              <w:bottom w:w="40" w:type="dxa"/>
              <w:right w:w="20" w:type="dxa"/>
            </w:tcMar>
            <w:vAlign w:val="center"/>
          </w:tcPr>
          <w:p w14:paraId="07DCFB1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1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1C" w14:textId="77777777" w:rsidR="00AE727E" w:rsidRDefault="008433E0">
            <w:pPr>
              <w:jc w:val="right"/>
              <w:textAlignment w:val="center"/>
            </w:pPr>
            <w:r>
              <w:rPr>
                <w:rFonts w:ascii="Times New Roman" w:eastAsia="宋体" w:hAnsi="Times New Roman"/>
                <w:color w:val="000000"/>
                <w:sz w:val="20"/>
                <w:szCs w:val="20"/>
              </w:rPr>
              <w:t>293 </w:t>
            </w:r>
          </w:p>
        </w:tc>
        <w:tc>
          <w:tcPr>
            <w:tcW w:w="0" w:type="auto"/>
            <w:shd w:val="clear" w:color="auto" w:fill="FFFFFF"/>
            <w:tcMar>
              <w:top w:w="40" w:type="dxa"/>
              <w:left w:w="0" w:type="dxa"/>
              <w:bottom w:w="40" w:type="dxa"/>
              <w:right w:w="20" w:type="dxa"/>
            </w:tcMar>
            <w:vAlign w:val="center"/>
          </w:tcPr>
          <w:p w14:paraId="07DCFB1D" w14:textId="77777777" w:rsidR="00AE727E" w:rsidRDefault="00AE727E">
            <w:pPr>
              <w:jc w:val="right"/>
              <w:rPr>
                <w:rFonts w:ascii="宋体"/>
              </w:rPr>
            </w:pPr>
          </w:p>
        </w:tc>
      </w:tr>
      <w:tr w:rsidR="00AE727E" w14:paraId="07DCFB28" w14:textId="77777777">
        <w:trPr>
          <w:jc w:val="center"/>
        </w:trPr>
        <w:tc>
          <w:tcPr>
            <w:tcW w:w="0" w:type="auto"/>
            <w:gridSpan w:val="3"/>
            <w:shd w:val="clear" w:color="auto" w:fill="CCEEFF"/>
            <w:tcMar>
              <w:top w:w="40" w:type="dxa"/>
              <w:left w:w="155" w:type="dxa"/>
              <w:bottom w:w="40" w:type="dxa"/>
              <w:right w:w="20" w:type="dxa"/>
            </w:tcMar>
            <w:vAlign w:val="center"/>
          </w:tcPr>
          <w:p w14:paraId="07DCFB1F" w14:textId="77777777" w:rsidR="00AE727E" w:rsidRDefault="008433E0">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07DCFB20" w14:textId="77777777" w:rsidR="00AE727E" w:rsidRDefault="008433E0">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07DCFB2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2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2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B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2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26"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B27" w14:textId="77777777" w:rsidR="00AE727E" w:rsidRDefault="00AE727E">
            <w:pPr>
              <w:jc w:val="right"/>
              <w:rPr>
                <w:rFonts w:ascii="宋体"/>
              </w:rPr>
            </w:pPr>
          </w:p>
        </w:tc>
      </w:tr>
      <w:tr w:rsidR="00AE727E" w14:paraId="07DCFB32" w14:textId="77777777">
        <w:trPr>
          <w:jc w:val="center"/>
        </w:trPr>
        <w:tc>
          <w:tcPr>
            <w:tcW w:w="0" w:type="auto"/>
            <w:gridSpan w:val="3"/>
            <w:shd w:val="clear" w:color="auto" w:fill="FFFFFF"/>
            <w:tcMar>
              <w:top w:w="40" w:type="dxa"/>
              <w:left w:w="155" w:type="dxa"/>
              <w:bottom w:w="40" w:type="dxa"/>
              <w:right w:w="20" w:type="dxa"/>
            </w:tcMar>
            <w:vAlign w:val="center"/>
          </w:tcPr>
          <w:p w14:paraId="07DCFB29" w14:textId="77777777" w:rsidR="00AE727E" w:rsidRDefault="008433E0">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07DCFB2A" w14:textId="77777777" w:rsidR="00AE727E" w:rsidRDefault="008433E0">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07DCFB2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2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2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B2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2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3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B31" w14:textId="77777777" w:rsidR="00AE727E" w:rsidRDefault="00AE727E">
            <w:pPr>
              <w:jc w:val="right"/>
              <w:rPr>
                <w:rFonts w:ascii="宋体"/>
              </w:rPr>
            </w:pPr>
          </w:p>
        </w:tc>
      </w:tr>
      <w:tr w:rsidR="00AE727E" w14:paraId="07DCFB3C" w14:textId="77777777">
        <w:trPr>
          <w:jc w:val="center"/>
        </w:trPr>
        <w:tc>
          <w:tcPr>
            <w:tcW w:w="0" w:type="auto"/>
            <w:gridSpan w:val="3"/>
            <w:shd w:val="clear" w:color="auto" w:fill="CCEEFF"/>
            <w:tcMar>
              <w:top w:w="0" w:type="dxa"/>
              <w:left w:w="155" w:type="dxa"/>
              <w:bottom w:w="0" w:type="dxa"/>
              <w:right w:w="20" w:type="dxa"/>
            </w:tcMar>
            <w:vAlign w:val="bottom"/>
          </w:tcPr>
          <w:p w14:paraId="07DCFB33"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B34" w14:textId="77777777" w:rsidR="00AE727E" w:rsidRDefault="008433E0">
            <w:pPr>
              <w:jc w:val="right"/>
              <w:textAlignment w:val="center"/>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B3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3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B37" w14:textId="77777777" w:rsidR="00AE727E" w:rsidRDefault="008433E0">
            <w:pPr>
              <w:jc w:val="right"/>
              <w:textAlignment w:val="center"/>
            </w:pPr>
            <w:r>
              <w:rPr>
                <w:rFonts w:ascii="Times New Roman" w:eastAsia="宋体" w:hAnsi="Times New Roman"/>
                <w:color w:val="000000"/>
                <w:sz w:val="20"/>
                <w:szCs w:val="20"/>
              </w:rPr>
              <w:t>775 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B3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39"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B3A" w14:textId="77777777" w:rsidR="00AE727E" w:rsidRDefault="008433E0">
            <w:pPr>
              <w:jc w:val="right"/>
              <w:textAlignment w:val="center"/>
            </w:pPr>
            <w:r>
              <w:rPr>
                <w:rFonts w:ascii="Times New Roman" w:eastAsia="宋体" w:hAnsi="Times New Roman"/>
                <w:color w:val="000000"/>
                <w:sz w:val="20"/>
                <w:szCs w:val="20"/>
              </w:rPr>
              <w:t>767 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B3B" w14:textId="77777777" w:rsidR="00AE727E" w:rsidRDefault="00AE727E">
            <w:pPr>
              <w:jc w:val="right"/>
              <w:rPr>
                <w:rFonts w:ascii="宋体"/>
              </w:rPr>
            </w:pPr>
          </w:p>
        </w:tc>
      </w:tr>
      <w:tr w:rsidR="00AE727E" w14:paraId="07DCFB43"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DCFB3D"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B3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B3F"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B4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B41"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B42" w14:textId="77777777" w:rsidR="00AE727E" w:rsidRDefault="00AE727E">
            <w:pPr>
              <w:rPr>
                <w:rFonts w:ascii="宋体"/>
              </w:rPr>
            </w:pPr>
          </w:p>
        </w:tc>
      </w:tr>
      <w:tr w:rsidR="00AE727E" w14:paraId="07DCFB45" w14:textId="77777777">
        <w:trPr>
          <w:jc w:val="center"/>
        </w:trPr>
        <w:tc>
          <w:tcPr>
            <w:tcW w:w="0" w:type="auto"/>
            <w:gridSpan w:val="18"/>
            <w:shd w:val="clear" w:color="auto" w:fill="CCEEFF"/>
            <w:tcMar>
              <w:top w:w="40" w:type="dxa"/>
              <w:left w:w="20" w:type="dxa"/>
              <w:bottom w:w="40" w:type="dxa"/>
              <w:right w:w="20" w:type="dxa"/>
            </w:tcMar>
            <w:vAlign w:val="center"/>
          </w:tcPr>
          <w:p w14:paraId="07DCFB44" w14:textId="77777777" w:rsidR="00AE727E" w:rsidRDefault="008433E0">
            <w:pPr>
              <w:textAlignment w:val="center"/>
            </w:pPr>
            <w:r>
              <w:rPr>
                <w:rFonts w:ascii="Times New Roman" w:eastAsia="宋体" w:hAnsi="Times New Roman"/>
                <w:i/>
                <w:iCs/>
                <w:color w:val="000000"/>
                <w:sz w:val="20"/>
                <w:szCs w:val="20"/>
              </w:rPr>
              <w:t>Common stock as of January 29, 2021</w:t>
            </w:r>
          </w:p>
        </w:tc>
      </w:tr>
      <w:tr w:rsidR="00AE727E" w14:paraId="07DCFB4F" w14:textId="77777777">
        <w:trPr>
          <w:jc w:val="center"/>
        </w:trPr>
        <w:tc>
          <w:tcPr>
            <w:tcW w:w="0" w:type="auto"/>
            <w:gridSpan w:val="3"/>
            <w:shd w:val="clear" w:color="auto" w:fill="FFFFFF"/>
            <w:tcMar>
              <w:top w:w="40" w:type="dxa"/>
              <w:left w:w="155" w:type="dxa"/>
              <w:bottom w:w="40" w:type="dxa"/>
              <w:right w:w="20" w:type="dxa"/>
            </w:tcMar>
            <w:vAlign w:val="center"/>
          </w:tcPr>
          <w:p w14:paraId="07DCFB46" w14:textId="77777777" w:rsidR="00AE727E" w:rsidRDefault="008433E0">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07DCFB47" w14:textId="77777777" w:rsidR="00AE727E" w:rsidRDefault="008433E0">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07DCFB4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4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4A" w14:textId="77777777" w:rsidR="00AE727E" w:rsidRDefault="008433E0">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07DCFB4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4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4D" w14:textId="77777777" w:rsidR="00AE727E" w:rsidRDefault="008433E0">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07DCFB4E" w14:textId="77777777" w:rsidR="00AE727E" w:rsidRDefault="00AE727E">
            <w:pPr>
              <w:jc w:val="right"/>
              <w:rPr>
                <w:rFonts w:ascii="宋体"/>
              </w:rPr>
            </w:pPr>
          </w:p>
        </w:tc>
      </w:tr>
      <w:tr w:rsidR="00AE727E" w14:paraId="07DCFB59" w14:textId="77777777">
        <w:trPr>
          <w:jc w:val="center"/>
        </w:trPr>
        <w:tc>
          <w:tcPr>
            <w:tcW w:w="0" w:type="auto"/>
            <w:gridSpan w:val="3"/>
            <w:shd w:val="clear" w:color="auto" w:fill="CCEEFF"/>
            <w:tcMar>
              <w:top w:w="40" w:type="dxa"/>
              <w:left w:w="155" w:type="dxa"/>
              <w:bottom w:w="40" w:type="dxa"/>
              <w:right w:w="20" w:type="dxa"/>
            </w:tcMar>
            <w:vAlign w:val="center"/>
          </w:tcPr>
          <w:p w14:paraId="07DCFB50" w14:textId="77777777" w:rsidR="00AE727E" w:rsidRDefault="008433E0">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07DCFB51" w14:textId="77777777" w:rsidR="00AE727E" w:rsidRDefault="008433E0">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07DCFB5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5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54" w14:textId="77777777" w:rsidR="00AE727E" w:rsidRDefault="008433E0">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07DCFB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5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57" w14:textId="77777777" w:rsidR="00AE727E" w:rsidRDefault="008433E0">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07DCFB58" w14:textId="77777777" w:rsidR="00AE727E" w:rsidRDefault="00AE727E">
            <w:pPr>
              <w:jc w:val="right"/>
              <w:rPr>
                <w:rFonts w:ascii="宋体"/>
              </w:rPr>
            </w:pPr>
          </w:p>
        </w:tc>
      </w:tr>
      <w:tr w:rsidR="00AE727E" w14:paraId="07DCFB63" w14:textId="77777777">
        <w:trPr>
          <w:jc w:val="center"/>
        </w:trPr>
        <w:tc>
          <w:tcPr>
            <w:tcW w:w="0" w:type="auto"/>
            <w:gridSpan w:val="3"/>
            <w:shd w:val="clear" w:color="auto" w:fill="FFFFFF"/>
            <w:tcMar>
              <w:top w:w="40" w:type="dxa"/>
              <w:left w:w="155" w:type="dxa"/>
              <w:bottom w:w="40" w:type="dxa"/>
              <w:right w:w="20" w:type="dxa"/>
            </w:tcMar>
            <w:vAlign w:val="center"/>
          </w:tcPr>
          <w:p w14:paraId="07DCFB5A" w14:textId="77777777" w:rsidR="00AE727E" w:rsidRDefault="008433E0">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07DCFB5B" w14:textId="77777777" w:rsidR="00AE727E" w:rsidRDefault="008433E0">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07DCFB5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5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5E" w14:textId="77777777" w:rsidR="00AE727E" w:rsidRDefault="008433E0">
            <w:pPr>
              <w:jc w:val="right"/>
              <w:textAlignment w:val="center"/>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center"/>
          </w:tcPr>
          <w:p w14:paraId="07DCFB5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6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61" w14:textId="77777777" w:rsidR="00AE727E" w:rsidRDefault="008433E0">
            <w:pPr>
              <w:jc w:val="right"/>
              <w:textAlignment w:val="center"/>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center"/>
          </w:tcPr>
          <w:p w14:paraId="07DCFB62" w14:textId="77777777" w:rsidR="00AE727E" w:rsidRDefault="00AE727E">
            <w:pPr>
              <w:jc w:val="right"/>
              <w:rPr>
                <w:rFonts w:ascii="宋体"/>
              </w:rPr>
            </w:pPr>
          </w:p>
        </w:tc>
      </w:tr>
      <w:tr w:rsidR="00AE727E" w14:paraId="07DCFB6D" w14:textId="77777777">
        <w:trPr>
          <w:jc w:val="center"/>
        </w:trPr>
        <w:tc>
          <w:tcPr>
            <w:tcW w:w="0" w:type="auto"/>
            <w:gridSpan w:val="3"/>
            <w:shd w:val="clear" w:color="auto" w:fill="CCEEFF"/>
            <w:tcMar>
              <w:top w:w="40" w:type="dxa"/>
              <w:left w:w="155" w:type="dxa"/>
              <w:bottom w:w="40" w:type="dxa"/>
              <w:right w:w="20" w:type="dxa"/>
            </w:tcMar>
            <w:vAlign w:val="center"/>
          </w:tcPr>
          <w:p w14:paraId="07DCFB64" w14:textId="77777777" w:rsidR="00AE727E" w:rsidRDefault="008433E0">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07DCFB65" w14:textId="77777777" w:rsidR="00AE727E" w:rsidRDefault="008433E0">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07DCFB6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6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68"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B6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6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B6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CFB6C" w14:textId="77777777" w:rsidR="00AE727E" w:rsidRDefault="00AE727E">
            <w:pPr>
              <w:jc w:val="right"/>
              <w:rPr>
                <w:rFonts w:ascii="宋体"/>
              </w:rPr>
            </w:pPr>
          </w:p>
        </w:tc>
      </w:tr>
      <w:tr w:rsidR="00AE727E" w14:paraId="07DCFB77" w14:textId="77777777">
        <w:trPr>
          <w:jc w:val="center"/>
        </w:trPr>
        <w:tc>
          <w:tcPr>
            <w:tcW w:w="0" w:type="auto"/>
            <w:gridSpan w:val="3"/>
            <w:shd w:val="clear" w:color="auto" w:fill="FFFFFF"/>
            <w:tcMar>
              <w:top w:w="40" w:type="dxa"/>
              <w:left w:w="155" w:type="dxa"/>
              <w:bottom w:w="40" w:type="dxa"/>
              <w:right w:w="20" w:type="dxa"/>
            </w:tcMar>
            <w:vAlign w:val="center"/>
          </w:tcPr>
          <w:p w14:paraId="07DCFB6E" w14:textId="77777777" w:rsidR="00AE727E" w:rsidRDefault="008433E0">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07DCFB6F" w14:textId="77777777" w:rsidR="00AE727E" w:rsidRDefault="008433E0">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07DCFB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7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7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B7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7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B75"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CFB76" w14:textId="77777777" w:rsidR="00AE727E" w:rsidRDefault="00AE727E">
            <w:pPr>
              <w:jc w:val="right"/>
              <w:rPr>
                <w:rFonts w:ascii="宋体"/>
              </w:rPr>
            </w:pPr>
          </w:p>
        </w:tc>
      </w:tr>
      <w:tr w:rsidR="00AE727E" w14:paraId="07DCFB81" w14:textId="77777777">
        <w:trPr>
          <w:jc w:val="center"/>
        </w:trPr>
        <w:tc>
          <w:tcPr>
            <w:tcW w:w="0" w:type="auto"/>
            <w:gridSpan w:val="3"/>
            <w:shd w:val="clear" w:color="auto" w:fill="CCEEFF"/>
            <w:tcMar>
              <w:top w:w="0" w:type="dxa"/>
              <w:left w:w="155" w:type="dxa"/>
              <w:bottom w:w="0" w:type="dxa"/>
              <w:right w:w="20" w:type="dxa"/>
            </w:tcMar>
            <w:vAlign w:val="bottom"/>
          </w:tcPr>
          <w:p w14:paraId="07DCFB78"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B79" w14:textId="77777777" w:rsidR="00AE727E" w:rsidRDefault="008433E0">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B7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7B"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B7C" w14:textId="77777777" w:rsidR="00AE727E" w:rsidRDefault="008433E0">
            <w:pPr>
              <w:jc w:val="right"/>
              <w:textAlignment w:val="bottom"/>
            </w:pPr>
            <w:r>
              <w:rPr>
                <w:rFonts w:ascii="Times New Roman" w:eastAsia="宋体" w:hAnsi="Times New Roman"/>
                <w:color w:val="000000"/>
                <w:sz w:val="20"/>
                <w:szCs w:val="20"/>
              </w:rPr>
              <w:t>761 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B7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B7E"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B7F" w14:textId="77777777" w:rsidR="00AE727E" w:rsidRDefault="008433E0">
            <w:pPr>
              <w:jc w:val="right"/>
              <w:textAlignment w:val="bottom"/>
            </w:pPr>
            <w:r>
              <w:rPr>
                <w:rFonts w:ascii="Times New Roman" w:eastAsia="宋体" w:hAnsi="Times New Roman"/>
                <w:color w:val="000000"/>
                <w:sz w:val="20"/>
                <w:szCs w:val="20"/>
              </w:rPr>
              <w:t>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B80" w14:textId="77777777" w:rsidR="00AE727E" w:rsidRDefault="00AE727E">
            <w:pPr>
              <w:jc w:val="right"/>
              <w:rPr>
                <w:rFonts w:ascii="宋体"/>
              </w:rPr>
            </w:pPr>
          </w:p>
        </w:tc>
      </w:tr>
    </w:tbl>
    <w:p w14:paraId="07DCFB82" w14:textId="77777777" w:rsidR="00AE727E" w:rsidRDefault="00AE727E"/>
    <w:p w14:paraId="07DCFB83" w14:textId="77777777" w:rsidR="00AE727E" w:rsidRDefault="008433E0">
      <w:r>
        <w:rPr>
          <w:rFonts w:ascii="Times New Roman" w:eastAsia="宋体" w:hAnsi="Times New Roman"/>
          <w:color w:val="000000"/>
          <w:sz w:val="20"/>
          <w:szCs w:val="20"/>
        </w:rPr>
        <w:t>Under the Company’s certificate of incorporation as amended and restated upon the completion of the Class V transaction described in Note 1 of the Notes to the Condensed Consolidated Financial Statements, the Company is prohibited from issuing a</w:t>
      </w:r>
      <w:r>
        <w:rPr>
          <w:rFonts w:ascii="Times New Roman" w:eastAsia="宋体" w:hAnsi="Times New Roman"/>
          <w:color w:val="000000"/>
          <w:sz w:val="20"/>
          <w:szCs w:val="20"/>
        </w:rPr>
        <w:t>ny of the authorized shares of Class V Common Stock.</w:t>
      </w:r>
    </w:p>
    <w:p w14:paraId="07DCFB84" w14:textId="77777777" w:rsidR="00AE727E" w:rsidRDefault="00AE727E"/>
    <w:p w14:paraId="07DCFB85" w14:textId="77777777" w:rsidR="00AE727E" w:rsidRDefault="008433E0">
      <w:r>
        <w:rPr>
          <w:rFonts w:ascii="Times New Roman" w:eastAsia="宋体" w:hAnsi="Times New Roman"/>
          <w:b/>
          <w:bCs/>
          <w:color w:val="000000"/>
          <w:sz w:val="20"/>
          <w:szCs w:val="20"/>
        </w:rPr>
        <w:t>Preferred Stock</w:t>
      </w:r>
    </w:p>
    <w:p w14:paraId="07DCFB86" w14:textId="77777777" w:rsidR="00AE727E" w:rsidRDefault="00AE727E"/>
    <w:p w14:paraId="07DCFB87" w14:textId="77777777" w:rsidR="00AE727E" w:rsidRDefault="008433E0">
      <w:r>
        <w:rPr>
          <w:rFonts w:ascii="Times New Roman" w:eastAsia="宋体" w:hAnsi="Times New Roman"/>
          <w:color w:val="000000"/>
          <w:sz w:val="20"/>
          <w:szCs w:val="20"/>
        </w:rPr>
        <w:t>The Company is authorized to issue one million shares of preferred stock, par value $0.01 per share. As of October 29, 2021 and January 29, 2021, no shares of preferred stock were issue</w:t>
      </w:r>
      <w:r>
        <w:rPr>
          <w:rFonts w:ascii="Times New Roman" w:eastAsia="宋体" w:hAnsi="Times New Roman"/>
          <w:color w:val="000000"/>
          <w:sz w:val="20"/>
          <w:szCs w:val="20"/>
        </w:rPr>
        <w:t xml:space="preserve">d or outstanding. </w:t>
      </w:r>
    </w:p>
    <w:p w14:paraId="07DCFB88" w14:textId="77777777" w:rsidR="00AE727E" w:rsidRDefault="00AE727E"/>
    <w:p w14:paraId="07DCFB89" w14:textId="77777777" w:rsidR="00AE727E" w:rsidRDefault="008433E0">
      <w:r>
        <w:rPr>
          <w:rFonts w:ascii="Times New Roman" w:eastAsia="宋体" w:hAnsi="Times New Roman"/>
          <w:b/>
          <w:bCs/>
          <w:color w:val="000000"/>
          <w:sz w:val="20"/>
          <w:szCs w:val="20"/>
        </w:rPr>
        <w:t>Common Stock</w:t>
      </w:r>
    </w:p>
    <w:p w14:paraId="07DCFB8A" w14:textId="77777777" w:rsidR="00AE727E" w:rsidRDefault="00AE727E"/>
    <w:p w14:paraId="07DCFB8B" w14:textId="77777777" w:rsidR="00AE727E" w:rsidRDefault="008433E0">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xml:space="preserve">— The Class A Common Stock, the Class B Common Stock, the Class C Common Stock, and the Class D Common Stock are collectively referred to as Dell Technologies Common Stock. The par value for </w:t>
      </w:r>
      <w:r>
        <w:rPr>
          <w:rFonts w:ascii="Times New Roman" w:eastAsia="宋体" w:hAnsi="Times New Roman"/>
          <w:color w:val="000000"/>
          <w:sz w:val="20"/>
          <w:szCs w:val="20"/>
        </w:rPr>
        <w:t>all classes of Dell Technologies Common Stock is $0.01 per share. The Class A Common Stock, the Class B Common Stock, the Class C Common Stock, and the Class D Common Stock share equally in dividends declared or accumulated and have equal participation rig</w:t>
      </w:r>
      <w:r>
        <w:rPr>
          <w:rFonts w:ascii="Times New Roman" w:eastAsia="宋体" w:hAnsi="Times New Roman"/>
          <w:color w:val="000000"/>
          <w:sz w:val="20"/>
          <w:szCs w:val="20"/>
        </w:rPr>
        <w:t xml:space="preserve">hts in undistributed earnings. </w:t>
      </w:r>
    </w:p>
    <w:p w14:paraId="07DCFB8C" w14:textId="77777777" w:rsidR="00AE727E" w:rsidRDefault="00AE727E"/>
    <w:p w14:paraId="07DCFB8D" w14:textId="77777777" w:rsidR="00AE727E" w:rsidRDefault="008433E0">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 A Common Stock is entitled to ten votes per share of Class A Common Stock; (b) Class B Common Stock is entitled to ten votes per share of Class B Common Stock; (c) Class C </w:t>
      </w:r>
      <w:r>
        <w:rPr>
          <w:rFonts w:ascii="Times New Roman" w:eastAsia="宋体" w:hAnsi="Times New Roman"/>
          <w:color w:val="000000"/>
          <w:sz w:val="20"/>
          <w:szCs w:val="20"/>
        </w:rPr>
        <w:t>Common Stock is entitled to one vote per share of Class C Common Stock; and (d) Class D Common Stock is not entitled to any vote on any matter except to the extent required by provisions of Delaware law (in which case such holder is entitled to one vote pe</w:t>
      </w:r>
      <w:r>
        <w:rPr>
          <w:rFonts w:ascii="Times New Roman" w:eastAsia="宋体" w:hAnsi="Times New Roman"/>
          <w:color w:val="000000"/>
          <w:sz w:val="20"/>
          <w:szCs w:val="20"/>
        </w:rPr>
        <w:t>r share of Class D Common Stock).</w:t>
      </w:r>
    </w:p>
    <w:p w14:paraId="07DCFB8E" w14:textId="77777777" w:rsidR="00AE727E" w:rsidRDefault="00AE727E">
      <w:pPr>
        <w:jc w:val="center"/>
      </w:pPr>
    </w:p>
    <w:p w14:paraId="07DCFB8F" w14:textId="77777777" w:rsidR="00AE727E" w:rsidRDefault="008433E0">
      <w:pPr>
        <w:jc w:val="center"/>
      </w:pPr>
      <w:r>
        <w:rPr>
          <w:rFonts w:ascii="Times New Roman" w:eastAsia="宋体" w:hAnsi="Times New Roman"/>
          <w:color w:val="000000"/>
          <w:sz w:val="20"/>
          <w:szCs w:val="20"/>
        </w:rPr>
        <w:t>48</w:t>
      </w:r>
    </w:p>
    <w:p w14:paraId="07DCFB90" w14:textId="77777777" w:rsidR="00AE727E" w:rsidRDefault="00AE727E">
      <w:pPr>
        <w:jc w:val="center"/>
      </w:pPr>
    </w:p>
    <w:p w14:paraId="07DCFB91" w14:textId="77777777" w:rsidR="00AE727E" w:rsidRDefault="008433E0">
      <w:r>
        <w:pict w14:anchorId="07DD1900">
          <v:rect id="_x0000_i1072" style="width:415.3pt;height:1.5pt" o:hralign="center" o:hrstd="t" o:hr="t" fillcolor="#a0a0a0" stroked="f"/>
        </w:pict>
      </w:r>
    </w:p>
    <w:p w14:paraId="07DCFB92" w14:textId="77777777" w:rsidR="00AE727E" w:rsidRDefault="008433E0">
      <w:hyperlink r:id="rId173" w:anchor="i1c8279be622a460ea19600488436f115_10" w:history="1">
        <w:r>
          <w:rPr>
            <w:rStyle w:val="a5"/>
            <w:rFonts w:ascii="Times New Roman" w:eastAsia="宋体" w:hAnsi="Times New Roman"/>
            <w:sz w:val="20"/>
            <w:szCs w:val="20"/>
          </w:rPr>
          <w:t>Table of Contents</w:t>
        </w:r>
      </w:hyperlink>
    </w:p>
    <w:p w14:paraId="07DCFB93"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B94"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B95"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B96" w14:textId="77777777" w:rsidR="00AE727E" w:rsidRDefault="00AE727E">
      <w:pPr>
        <w:jc w:val="center"/>
      </w:pPr>
    </w:p>
    <w:p w14:paraId="07DCFB97" w14:textId="77777777" w:rsidR="00AE727E" w:rsidRDefault="00AE727E"/>
    <w:p w14:paraId="07DCFB98" w14:textId="77777777" w:rsidR="00AE727E" w:rsidRDefault="008433E0">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certificate of incorporation, at any time and from time to time, any holder of Class A Common Stock or Class B Common Stock has the right to convert all or any of the shares of Class A Common St</w:t>
      </w:r>
      <w:r>
        <w:rPr>
          <w:rFonts w:ascii="Times New Roman" w:eastAsia="宋体" w:hAnsi="Times New Roman"/>
          <w:color w:val="000000"/>
          <w:sz w:val="20"/>
          <w:szCs w:val="20"/>
        </w:rPr>
        <w:t xml:space="preserve">ock or Class B Common Stock, as applicable, held by such holder into shares of Class C Common Stock on a one-to-one basis.  During the nine months ended October 29, 2021, the Company issued 5,912,845 shares of Class C Common Stock to stockholders upon the </w:t>
      </w:r>
      <w:r>
        <w:rPr>
          <w:rFonts w:ascii="Times New Roman" w:eastAsia="宋体" w:hAnsi="Times New Roman"/>
          <w:color w:val="000000"/>
          <w:sz w:val="20"/>
          <w:szCs w:val="20"/>
        </w:rPr>
        <w:t>conversion of the same number of shares of Class A Common Stock into Class C Common Stock in accordance with the Company’s certificate of incorporation. During the nine months ended October 29, 2021, the Company issued 6,334,990 shares of Class C Common St</w:t>
      </w:r>
      <w:r>
        <w:rPr>
          <w:rFonts w:ascii="Times New Roman" w:eastAsia="宋体" w:hAnsi="Times New Roman"/>
          <w:color w:val="000000"/>
          <w:sz w:val="20"/>
          <w:szCs w:val="20"/>
        </w:rPr>
        <w:t>ock to stockholders upon their conversion of the same number of shares of Class B Common Stock into Class C Common Stock in accordance with the Company’s certificate of incorporation.</w:t>
      </w:r>
    </w:p>
    <w:p w14:paraId="07DCFB99" w14:textId="77777777" w:rsidR="00AE727E" w:rsidRDefault="00AE727E"/>
    <w:p w14:paraId="07DCFB9A" w14:textId="77777777" w:rsidR="00AE727E" w:rsidRDefault="008433E0">
      <w:r>
        <w:rPr>
          <w:rFonts w:ascii="Times New Roman" w:eastAsia="宋体" w:hAnsi="Times New Roman"/>
          <w:b/>
          <w:bCs/>
          <w:color w:val="000000"/>
          <w:sz w:val="20"/>
          <w:szCs w:val="20"/>
        </w:rPr>
        <w:t>Repurchases of Common Stock</w:t>
      </w:r>
    </w:p>
    <w:p w14:paraId="07DCFB9B" w14:textId="77777777" w:rsidR="00AE727E" w:rsidRDefault="00AE727E"/>
    <w:p w14:paraId="07DCFB9C" w14:textId="77777777" w:rsidR="00AE727E" w:rsidRDefault="008433E0">
      <w:r>
        <w:rPr>
          <w:rFonts w:ascii="Times New Roman" w:eastAsia="宋体" w:hAnsi="Times New Roman"/>
          <w:i/>
          <w:iCs/>
          <w:color w:val="000000"/>
          <w:sz w:val="20"/>
          <w:szCs w:val="20"/>
          <w:u w:val="single"/>
        </w:rPr>
        <w:t>Dell Technologies Common Stock Repurchases</w:t>
      </w:r>
      <w:r>
        <w:rPr>
          <w:rFonts w:ascii="Times New Roman" w:eastAsia="宋体" w:hAnsi="Times New Roman"/>
          <w:i/>
          <w:iCs/>
          <w:color w:val="000000"/>
          <w:sz w:val="20"/>
          <w:szCs w:val="20"/>
          <w:u w:val="single"/>
        </w:rPr>
        <w:t xml:space="preserve"> by Dell Technologies</w:t>
      </w:r>
    </w:p>
    <w:p w14:paraId="07DCFB9D" w14:textId="77777777" w:rsidR="00AE727E" w:rsidRDefault="00AE727E"/>
    <w:p w14:paraId="07DCFB9E" w14:textId="77777777" w:rsidR="00AE727E" w:rsidRDefault="008433E0">
      <w:r>
        <w:rPr>
          <w:rFonts w:ascii="Times New Roman" w:eastAsia="宋体" w:hAnsi="Times New Roman"/>
          <w:color w:val="000000"/>
          <w:sz w:val="20"/>
          <w:szCs w:val="20"/>
        </w:rPr>
        <w:t xml:space="preserve">On February 24, 2020, the Company’s board of directors approved a stock repurchase program under which the Company was authorized to repurchase up to $1.0 billion of shares of the Class C Common Stock over a 24-month period expiring </w:t>
      </w:r>
      <w:r>
        <w:rPr>
          <w:rFonts w:ascii="Times New Roman" w:eastAsia="宋体" w:hAnsi="Times New Roman"/>
          <w:color w:val="000000"/>
          <w:sz w:val="20"/>
          <w:szCs w:val="20"/>
        </w:rPr>
        <w:t xml:space="preserve">on February 28, 2022. During the nine months ended October 30, 2020, the Company repurchased approximately 6 million shares of Class C Common Stock for approximately $240 million and subsequently suspended activity under its stock repurchase program. </w:t>
      </w:r>
    </w:p>
    <w:p w14:paraId="07DCFB9F" w14:textId="77777777" w:rsidR="00AE727E" w:rsidRDefault="00AE727E"/>
    <w:p w14:paraId="07DCFBA0" w14:textId="77777777" w:rsidR="00AE727E" w:rsidRDefault="008433E0">
      <w:r>
        <w:rPr>
          <w:rFonts w:ascii="Times New Roman" w:eastAsia="宋体" w:hAnsi="Times New Roman"/>
          <w:color w:val="000000"/>
          <w:sz w:val="20"/>
          <w:szCs w:val="20"/>
        </w:rPr>
        <w:t>Eff</w:t>
      </w:r>
      <w:r>
        <w:rPr>
          <w:rFonts w:ascii="Times New Roman" w:eastAsia="宋体" w:hAnsi="Times New Roman"/>
          <w:color w:val="000000"/>
          <w:sz w:val="20"/>
          <w:szCs w:val="20"/>
        </w:rPr>
        <w:t>ective as of September 23, 2021, the Company’s board of directors terminated the Company’s previous stock repurchase program and approved a new stock repurchase program (the “2021 Stock Repurchase Program”) under which the Company is authorized to use asse</w:t>
      </w:r>
      <w:r>
        <w:rPr>
          <w:rFonts w:ascii="Times New Roman" w:eastAsia="宋体" w:hAnsi="Times New Roman"/>
          <w:color w:val="000000"/>
          <w:sz w:val="20"/>
          <w:szCs w:val="20"/>
        </w:rPr>
        <w:t>ts to repurchase up to $5 billion of shares of the Company’s Class C Common Stock with no established expiration date. The repurchase of shares commenced in the fourth quarter of Fiscal 2022 and, accordingly, as of October 29, 2021 the cumulative authorize</w:t>
      </w:r>
      <w:r>
        <w:rPr>
          <w:rFonts w:ascii="Times New Roman" w:eastAsia="宋体" w:hAnsi="Times New Roman"/>
          <w:color w:val="000000"/>
          <w:sz w:val="20"/>
          <w:szCs w:val="20"/>
        </w:rPr>
        <w:t>d amount remaining for stock repurchases was $5 billion.</w:t>
      </w:r>
    </w:p>
    <w:p w14:paraId="07DCFBA1" w14:textId="77777777" w:rsidR="00AE727E" w:rsidRDefault="00AE727E"/>
    <w:p w14:paraId="07DCFBA2" w14:textId="77777777" w:rsidR="00AE727E" w:rsidRDefault="008433E0">
      <w:r>
        <w:rPr>
          <w:rFonts w:ascii="Times New Roman" w:eastAsia="宋体" w:hAnsi="Times New Roman"/>
          <w:color w:val="000000"/>
          <w:sz w:val="20"/>
          <w:szCs w:val="20"/>
        </w:rPr>
        <w:t>To the extent not retired, shares repurchased under the repurchase program are placed in the Company’s treasury.</w:t>
      </w:r>
    </w:p>
    <w:p w14:paraId="07DCFBA3" w14:textId="77777777" w:rsidR="00AE727E" w:rsidRDefault="00AE727E"/>
    <w:p w14:paraId="07DCFBA4" w14:textId="77777777" w:rsidR="00AE727E" w:rsidRDefault="008433E0">
      <w:r>
        <w:rPr>
          <w:rFonts w:ascii="Times New Roman" w:eastAsia="宋体" w:hAnsi="Times New Roman"/>
          <w:i/>
          <w:iCs/>
          <w:color w:val="000000"/>
          <w:sz w:val="20"/>
          <w:szCs w:val="20"/>
          <w:u w:val="single"/>
        </w:rPr>
        <w:t>VMware, Inc. Class A Common Stock Repurchases by VMware, Inc.</w:t>
      </w:r>
      <w:r>
        <w:rPr>
          <w:rFonts w:ascii="Times New Roman" w:eastAsia="宋体" w:hAnsi="Times New Roman"/>
          <w:color w:val="000000"/>
          <w:sz w:val="20"/>
          <w:szCs w:val="20"/>
          <w:u w:val="single"/>
        </w:rPr>
        <w:t xml:space="preserve"> </w:t>
      </w:r>
    </w:p>
    <w:p w14:paraId="07DCFBA5" w14:textId="77777777" w:rsidR="00AE727E" w:rsidRDefault="00AE727E"/>
    <w:p w14:paraId="07DCFBA6" w14:textId="77777777" w:rsidR="00AE727E" w:rsidRDefault="008433E0">
      <w:r>
        <w:rPr>
          <w:rFonts w:ascii="Times New Roman" w:eastAsia="宋体" w:hAnsi="Times New Roman"/>
          <w:color w:val="000000"/>
          <w:sz w:val="20"/>
          <w:szCs w:val="20"/>
        </w:rPr>
        <w:t>On May 29, 2019, VMware, Inc.’s board of directors authorized the repurchase of up to $1.5 billion of VMware, Inc.’s Class A common stock through January 29, 2021. On July 15, 2020, VMware, Inc.’s board of directors extended authorization of VMware, Inc.’s</w:t>
      </w:r>
      <w:r>
        <w:rPr>
          <w:rFonts w:ascii="Times New Roman" w:eastAsia="宋体" w:hAnsi="Times New Roman"/>
          <w:color w:val="000000"/>
          <w:sz w:val="20"/>
          <w:szCs w:val="20"/>
        </w:rPr>
        <w:t xml:space="preserve"> existing repurchase program and authorized the repurchase of up to an additional $1.0 billion of VMware, Inc.’s Class A common stock through January 28, 2022. On October 7, 2021, VMware authorized the termination of the existing stock repurchase program, </w:t>
      </w:r>
      <w:r>
        <w:rPr>
          <w:rFonts w:ascii="Times New Roman" w:eastAsia="宋体" w:hAnsi="Times New Roman"/>
          <w:color w:val="000000"/>
          <w:sz w:val="20"/>
          <w:szCs w:val="20"/>
        </w:rPr>
        <w:t xml:space="preserve">under which $183 million remained authorized and unpurchased as of October 29, 2021, and authorized a new repurchase program of up to $2.0 billion of Class A common stock through the end of fiscal 2024, in each case, effective upon the close of the VMware </w:t>
      </w:r>
      <w:r>
        <w:rPr>
          <w:rFonts w:ascii="Times New Roman" w:eastAsia="宋体" w:hAnsi="Times New Roman"/>
          <w:color w:val="000000"/>
          <w:sz w:val="20"/>
          <w:szCs w:val="20"/>
        </w:rPr>
        <w:t xml:space="preserve">Spin-off. </w:t>
      </w:r>
    </w:p>
    <w:p w14:paraId="07DCFBA7" w14:textId="77777777" w:rsidR="00AE727E" w:rsidRDefault="00AE727E"/>
    <w:p w14:paraId="07DCFBA8" w14:textId="77777777" w:rsidR="00AE727E" w:rsidRDefault="008433E0">
      <w:r>
        <w:rPr>
          <w:rFonts w:ascii="Times New Roman" w:eastAsia="宋体" w:hAnsi="Times New Roman"/>
          <w:color w:val="000000"/>
          <w:sz w:val="20"/>
          <w:szCs w:val="20"/>
        </w:rPr>
        <w:t>During the nine months ended October 29, 2021, VMware, Inc. repurchased 5.7 million shares of its Class A common stock in the open market for approximately $872 million. During the nine months ended October 30, 2020, VMware, Inc. repurchased ap</w:t>
      </w:r>
      <w:r>
        <w:rPr>
          <w:rFonts w:ascii="Times New Roman" w:eastAsia="宋体" w:hAnsi="Times New Roman"/>
          <w:color w:val="000000"/>
          <w:sz w:val="20"/>
          <w:szCs w:val="20"/>
        </w:rPr>
        <w:t>proximately 4.2 million shares of its Class A common stock in the open market for approximately $566 million.</w:t>
      </w:r>
    </w:p>
    <w:p w14:paraId="07DCFBA9" w14:textId="77777777" w:rsidR="00AE727E" w:rsidRDefault="00AE727E">
      <w:pPr>
        <w:ind w:hanging="360"/>
      </w:pPr>
    </w:p>
    <w:p w14:paraId="07DCFBAA" w14:textId="77777777" w:rsidR="00AE727E" w:rsidRDefault="008433E0">
      <w:r>
        <w:rPr>
          <w:rFonts w:ascii="Times New Roman" w:eastAsia="宋体" w:hAnsi="Times New Roman"/>
          <w:color w:val="000000"/>
          <w:sz w:val="20"/>
          <w:szCs w:val="20"/>
        </w:rPr>
        <w:t>All shares repurchased under VMware, Inc.’s stock repurchase programs are retired.</w:t>
      </w:r>
    </w:p>
    <w:p w14:paraId="07DCFBAB" w14:textId="77777777" w:rsidR="00AE727E" w:rsidRDefault="00AE727E"/>
    <w:p w14:paraId="07DCFBAC" w14:textId="77777777" w:rsidR="00AE727E" w:rsidRDefault="008433E0">
      <w:r>
        <w:rPr>
          <w:rFonts w:ascii="Times New Roman" w:eastAsia="宋体" w:hAnsi="Times New Roman"/>
          <w:color w:val="000000"/>
          <w:sz w:val="20"/>
          <w:szCs w:val="20"/>
        </w:rPr>
        <w:t xml:space="preserve">The above VMware, Inc. Class A common stock </w:t>
      </w:r>
      <w:r>
        <w:rPr>
          <w:rFonts w:ascii="Times New Roman" w:eastAsia="宋体" w:hAnsi="Times New Roman"/>
          <w:color w:val="000000"/>
          <w:sz w:val="20"/>
          <w:szCs w:val="20"/>
        </w:rPr>
        <w:t>repurchases for the nine months ended October 29, 2021 and October 30, 2020 exclude shares repurchased to settle employee tax withholding related to the vesting of VMware, Inc. stock awards of $284 million and $315 million, respectively.</w:t>
      </w:r>
    </w:p>
    <w:p w14:paraId="07DCFBAD" w14:textId="77777777" w:rsidR="00AE727E" w:rsidRDefault="00AE727E"/>
    <w:p w14:paraId="07DCFBAE" w14:textId="77777777" w:rsidR="00AE727E" w:rsidRDefault="00AE727E">
      <w:pPr>
        <w:jc w:val="center"/>
      </w:pPr>
    </w:p>
    <w:p w14:paraId="07DCFBAF" w14:textId="77777777" w:rsidR="00AE727E" w:rsidRDefault="008433E0">
      <w:pPr>
        <w:jc w:val="center"/>
      </w:pPr>
      <w:r>
        <w:rPr>
          <w:rFonts w:ascii="Times New Roman" w:eastAsia="宋体" w:hAnsi="Times New Roman"/>
          <w:color w:val="000000"/>
          <w:sz w:val="20"/>
          <w:szCs w:val="20"/>
        </w:rPr>
        <w:t>49</w:t>
      </w:r>
    </w:p>
    <w:p w14:paraId="07DCFBB0" w14:textId="77777777" w:rsidR="00AE727E" w:rsidRDefault="00AE727E">
      <w:pPr>
        <w:jc w:val="center"/>
      </w:pPr>
    </w:p>
    <w:p w14:paraId="07DCFBB1" w14:textId="77777777" w:rsidR="00AE727E" w:rsidRDefault="008433E0">
      <w:r>
        <w:pict w14:anchorId="07DD1901">
          <v:rect id="_x0000_i1073" style="width:415.3pt;height:1.5pt" o:hralign="center" o:hrstd="t" o:hr="t" fillcolor="#a0a0a0" stroked="f"/>
        </w:pict>
      </w:r>
    </w:p>
    <w:p w14:paraId="07DCFBB2" w14:textId="77777777" w:rsidR="00AE727E" w:rsidRDefault="008433E0">
      <w:hyperlink r:id="rId174" w:anchor="i1c8279be622a460ea19600488436f115_10" w:history="1">
        <w:r>
          <w:rPr>
            <w:rStyle w:val="a5"/>
            <w:rFonts w:ascii="Times New Roman" w:eastAsia="宋体" w:hAnsi="Times New Roman"/>
            <w:sz w:val="20"/>
            <w:szCs w:val="20"/>
          </w:rPr>
          <w:t>Table of Contents</w:t>
        </w:r>
      </w:hyperlink>
    </w:p>
    <w:p w14:paraId="07DCFBB3"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BB4"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BB5" w14:textId="77777777" w:rsidR="00AE727E" w:rsidRDefault="008433E0">
      <w:pPr>
        <w:jc w:val="center"/>
      </w:pPr>
      <w:r>
        <w:rPr>
          <w:rFonts w:ascii="Times New Roman" w:eastAsia="宋体" w:hAnsi="Times New Roman"/>
          <w:b/>
          <w:bCs/>
          <w:color w:val="000000"/>
          <w:sz w:val="20"/>
          <w:szCs w:val="20"/>
          <w:shd w:val="clear" w:color="auto" w:fill="FFFFFF"/>
        </w:rPr>
        <w:t>(u</w:t>
      </w:r>
      <w:r>
        <w:rPr>
          <w:rFonts w:ascii="Times New Roman" w:eastAsia="宋体" w:hAnsi="Times New Roman"/>
          <w:b/>
          <w:bCs/>
          <w:color w:val="000000"/>
          <w:sz w:val="20"/>
          <w:szCs w:val="20"/>
          <w:shd w:val="clear" w:color="auto" w:fill="FFFFFF"/>
        </w:rPr>
        <w:t>naudited)</w:t>
      </w:r>
    </w:p>
    <w:p w14:paraId="07DCFBB6" w14:textId="77777777" w:rsidR="00AE727E" w:rsidRDefault="00AE727E">
      <w:pPr>
        <w:jc w:val="center"/>
      </w:pPr>
    </w:p>
    <w:p w14:paraId="07DCFBB7" w14:textId="77777777" w:rsidR="00AE727E" w:rsidRDefault="008433E0">
      <w:r>
        <w:rPr>
          <w:rFonts w:ascii="Times New Roman" w:eastAsia="宋体" w:hAnsi="Times New Roman"/>
          <w:b/>
          <w:bCs/>
          <w:color w:val="000000"/>
          <w:sz w:val="20"/>
          <w:szCs w:val="20"/>
        </w:rPr>
        <w:t xml:space="preserve">NOTE 14 — EARNINGS PER SHARE </w:t>
      </w:r>
    </w:p>
    <w:p w14:paraId="07DCFBB8" w14:textId="77777777" w:rsidR="00AE727E" w:rsidRDefault="00AE727E">
      <w:pPr>
        <w:jc w:val="both"/>
      </w:pPr>
    </w:p>
    <w:p w14:paraId="07DCFBB9" w14:textId="77777777" w:rsidR="00AE727E" w:rsidRDefault="008433E0">
      <w:r>
        <w:rPr>
          <w:rFonts w:ascii="Times New Roman" w:eastAsia="宋体" w:hAnsi="Times New Roman"/>
          <w:color w:val="000000"/>
          <w:sz w:val="20"/>
          <w:szCs w:val="20"/>
        </w:rPr>
        <w:t xml:space="preserve">Basic earnings per share is based on the weighted-average effect of all common shares issued and outstanding and is calculated by dividing net income by the weighted-average shares outstanding during the </w:t>
      </w:r>
      <w:r>
        <w:rPr>
          <w:rFonts w:ascii="Times New Roman" w:eastAsia="宋体" w:hAnsi="Times New Roman"/>
          <w:color w:val="000000"/>
          <w:sz w:val="20"/>
          <w:szCs w:val="20"/>
        </w:rPr>
        <w:t>period. Diluted earnings per share is calculated by dividing net income by the weighted-average number of common shares used in the basic earnings per share calculation, adjusted for incremental dilution from non-controlling interests, plus the number of c</w:t>
      </w:r>
      <w:r>
        <w:rPr>
          <w:rFonts w:ascii="Times New Roman" w:eastAsia="宋体" w:hAnsi="Times New Roman"/>
          <w:color w:val="000000"/>
          <w:sz w:val="20"/>
          <w:szCs w:val="20"/>
        </w:rPr>
        <w:t>ommon shares that would be issued assuming exercise or conversion of all potentially dilutive instruments. The Company excludes equity instruments from the calculation of diluted earnings per share if the effect of including such instruments is antidilutiv</w:t>
      </w:r>
      <w:r>
        <w:rPr>
          <w:rFonts w:ascii="Times New Roman" w:eastAsia="宋体" w:hAnsi="Times New Roman"/>
          <w:color w:val="000000"/>
          <w:sz w:val="20"/>
          <w:szCs w:val="20"/>
        </w:rPr>
        <w:t>e.</w:t>
      </w:r>
    </w:p>
    <w:p w14:paraId="07DCFBBA" w14:textId="77777777" w:rsidR="00AE727E" w:rsidRDefault="00AE727E"/>
    <w:p w14:paraId="07DCFBBB" w14:textId="77777777" w:rsidR="00AE727E" w:rsidRDefault="008433E0">
      <w:r>
        <w:rPr>
          <w:rFonts w:ascii="Times New Roman" w:eastAsia="宋体" w:hAnsi="Times New Roman"/>
          <w:color w:val="000000"/>
          <w:sz w:val="20"/>
          <w:szCs w:val="20"/>
        </w:rPr>
        <w:t>For purposes of calculating earnings per share, the Company uses the two-class method. As all classes of Dell Technologies Common Stock share the same rights in dividends, basic and diluted earnings per share are the same for each class of Dell Technol</w:t>
      </w:r>
      <w:r>
        <w:rPr>
          <w:rFonts w:ascii="Times New Roman" w:eastAsia="宋体" w:hAnsi="Times New Roman"/>
          <w:color w:val="000000"/>
          <w:sz w:val="20"/>
          <w:szCs w:val="20"/>
        </w:rPr>
        <w:t>ogies Common Stock.</w:t>
      </w:r>
    </w:p>
    <w:p w14:paraId="07DCFBBC" w14:textId="77777777" w:rsidR="00AE727E" w:rsidRDefault="00AE727E"/>
    <w:p w14:paraId="07DCFBBD" w14:textId="77777777" w:rsidR="00AE727E" w:rsidRDefault="008433E0">
      <w:pPr>
        <w:spacing w:after="60"/>
      </w:pPr>
      <w:r>
        <w:rPr>
          <w:rFonts w:ascii="Times New Roman" w:eastAsia="宋体" w:hAnsi="Times New Roman"/>
          <w:color w:val="000000"/>
          <w:sz w:val="20"/>
          <w:szCs w:val="20"/>
        </w:rPr>
        <w:t>The following table presents the basic and diluted earnings per share for Dell Technologies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064"/>
        <w:gridCol w:w="36"/>
        <w:gridCol w:w="121"/>
        <w:gridCol w:w="1060"/>
        <w:gridCol w:w="37"/>
        <w:gridCol w:w="36"/>
        <w:gridCol w:w="36"/>
        <w:gridCol w:w="36"/>
        <w:gridCol w:w="121"/>
        <w:gridCol w:w="1061"/>
        <w:gridCol w:w="37"/>
        <w:gridCol w:w="36"/>
        <w:gridCol w:w="36"/>
        <w:gridCol w:w="36"/>
        <w:gridCol w:w="121"/>
        <w:gridCol w:w="1061"/>
        <w:gridCol w:w="37"/>
        <w:gridCol w:w="36"/>
        <w:gridCol w:w="36"/>
        <w:gridCol w:w="36"/>
        <w:gridCol w:w="121"/>
        <w:gridCol w:w="1061"/>
        <w:gridCol w:w="37"/>
      </w:tblGrid>
      <w:tr w:rsidR="00AE727E" w14:paraId="07DCFBD6" w14:textId="77777777">
        <w:tc>
          <w:tcPr>
            <w:tcW w:w="50" w:type="pct"/>
            <w:shd w:val="clear" w:color="auto" w:fill="auto"/>
            <w:vAlign w:val="bottom"/>
          </w:tcPr>
          <w:p w14:paraId="07DCFBBE" w14:textId="77777777" w:rsidR="00AE727E" w:rsidRDefault="00AE727E">
            <w:pPr>
              <w:rPr>
                <w:rFonts w:ascii="宋体"/>
              </w:rPr>
            </w:pPr>
          </w:p>
        </w:tc>
        <w:tc>
          <w:tcPr>
            <w:tcW w:w="1904" w:type="pct"/>
            <w:shd w:val="clear" w:color="auto" w:fill="auto"/>
            <w:vAlign w:val="bottom"/>
          </w:tcPr>
          <w:p w14:paraId="07DCFBBF" w14:textId="77777777" w:rsidR="00AE727E" w:rsidRDefault="00AE727E">
            <w:pPr>
              <w:rPr>
                <w:rFonts w:ascii="宋体"/>
              </w:rPr>
            </w:pPr>
          </w:p>
        </w:tc>
        <w:tc>
          <w:tcPr>
            <w:tcW w:w="5" w:type="pct"/>
            <w:shd w:val="clear" w:color="auto" w:fill="auto"/>
            <w:vAlign w:val="bottom"/>
          </w:tcPr>
          <w:p w14:paraId="07DCFBC0" w14:textId="77777777" w:rsidR="00AE727E" w:rsidRDefault="00AE727E">
            <w:pPr>
              <w:rPr>
                <w:rFonts w:ascii="宋体"/>
              </w:rPr>
            </w:pPr>
          </w:p>
        </w:tc>
        <w:tc>
          <w:tcPr>
            <w:tcW w:w="50" w:type="pct"/>
            <w:shd w:val="clear" w:color="auto" w:fill="auto"/>
            <w:vAlign w:val="bottom"/>
          </w:tcPr>
          <w:p w14:paraId="07DCFBC1" w14:textId="77777777" w:rsidR="00AE727E" w:rsidRDefault="00AE727E">
            <w:pPr>
              <w:rPr>
                <w:rFonts w:ascii="宋体"/>
              </w:rPr>
            </w:pPr>
          </w:p>
        </w:tc>
        <w:tc>
          <w:tcPr>
            <w:tcW w:w="683" w:type="pct"/>
            <w:shd w:val="clear" w:color="auto" w:fill="auto"/>
            <w:vAlign w:val="bottom"/>
          </w:tcPr>
          <w:p w14:paraId="07DCFBC2" w14:textId="77777777" w:rsidR="00AE727E" w:rsidRDefault="00AE727E">
            <w:pPr>
              <w:rPr>
                <w:rFonts w:ascii="宋体"/>
              </w:rPr>
            </w:pPr>
          </w:p>
        </w:tc>
        <w:tc>
          <w:tcPr>
            <w:tcW w:w="5" w:type="pct"/>
            <w:shd w:val="clear" w:color="auto" w:fill="auto"/>
            <w:vAlign w:val="bottom"/>
          </w:tcPr>
          <w:p w14:paraId="07DCFBC3" w14:textId="77777777" w:rsidR="00AE727E" w:rsidRDefault="00AE727E">
            <w:pPr>
              <w:rPr>
                <w:rFonts w:ascii="宋体"/>
              </w:rPr>
            </w:pPr>
          </w:p>
        </w:tc>
        <w:tc>
          <w:tcPr>
            <w:tcW w:w="5" w:type="pct"/>
            <w:shd w:val="clear" w:color="auto" w:fill="auto"/>
            <w:vAlign w:val="bottom"/>
          </w:tcPr>
          <w:p w14:paraId="07DCFBC4" w14:textId="77777777" w:rsidR="00AE727E" w:rsidRDefault="00AE727E">
            <w:pPr>
              <w:rPr>
                <w:rFonts w:ascii="宋体"/>
              </w:rPr>
            </w:pPr>
          </w:p>
        </w:tc>
        <w:tc>
          <w:tcPr>
            <w:tcW w:w="19" w:type="pct"/>
            <w:shd w:val="clear" w:color="auto" w:fill="auto"/>
            <w:vAlign w:val="bottom"/>
          </w:tcPr>
          <w:p w14:paraId="07DCFBC5" w14:textId="77777777" w:rsidR="00AE727E" w:rsidRDefault="00AE727E">
            <w:pPr>
              <w:rPr>
                <w:rFonts w:ascii="宋体"/>
              </w:rPr>
            </w:pPr>
          </w:p>
        </w:tc>
        <w:tc>
          <w:tcPr>
            <w:tcW w:w="5" w:type="pct"/>
            <w:shd w:val="clear" w:color="auto" w:fill="auto"/>
            <w:vAlign w:val="bottom"/>
          </w:tcPr>
          <w:p w14:paraId="07DCFBC6" w14:textId="77777777" w:rsidR="00AE727E" w:rsidRDefault="00AE727E">
            <w:pPr>
              <w:rPr>
                <w:rFonts w:ascii="宋体"/>
              </w:rPr>
            </w:pPr>
          </w:p>
        </w:tc>
        <w:tc>
          <w:tcPr>
            <w:tcW w:w="50" w:type="pct"/>
            <w:shd w:val="clear" w:color="auto" w:fill="auto"/>
            <w:vAlign w:val="bottom"/>
          </w:tcPr>
          <w:p w14:paraId="07DCFBC7" w14:textId="77777777" w:rsidR="00AE727E" w:rsidRDefault="00AE727E">
            <w:pPr>
              <w:rPr>
                <w:rFonts w:ascii="宋体"/>
              </w:rPr>
            </w:pPr>
          </w:p>
        </w:tc>
        <w:tc>
          <w:tcPr>
            <w:tcW w:w="683" w:type="pct"/>
            <w:shd w:val="clear" w:color="auto" w:fill="auto"/>
            <w:vAlign w:val="bottom"/>
          </w:tcPr>
          <w:p w14:paraId="07DCFBC8" w14:textId="77777777" w:rsidR="00AE727E" w:rsidRDefault="00AE727E">
            <w:pPr>
              <w:rPr>
                <w:rFonts w:ascii="宋体"/>
              </w:rPr>
            </w:pPr>
          </w:p>
        </w:tc>
        <w:tc>
          <w:tcPr>
            <w:tcW w:w="5" w:type="pct"/>
            <w:shd w:val="clear" w:color="auto" w:fill="auto"/>
            <w:vAlign w:val="bottom"/>
          </w:tcPr>
          <w:p w14:paraId="07DCFBC9" w14:textId="77777777" w:rsidR="00AE727E" w:rsidRDefault="00AE727E">
            <w:pPr>
              <w:rPr>
                <w:rFonts w:ascii="宋体"/>
              </w:rPr>
            </w:pPr>
          </w:p>
        </w:tc>
        <w:tc>
          <w:tcPr>
            <w:tcW w:w="5" w:type="pct"/>
            <w:shd w:val="clear" w:color="auto" w:fill="auto"/>
            <w:vAlign w:val="bottom"/>
          </w:tcPr>
          <w:p w14:paraId="07DCFBCA" w14:textId="77777777" w:rsidR="00AE727E" w:rsidRDefault="00AE727E">
            <w:pPr>
              <w:rPr>
                <w:rFonts w:ascii="宋体"/>
              </w:rPr>
            </w:pPr>
          </w:p>
        </w:tc>
        <w:tc>
          <w:tcPr>
            <w:tcW w:w="19" w:type="pct"/>
            <w:shd w:val="clear" w:color="auto" w:fill="auto"/>
            <w:vAlign w:val="bottom"/>
          </w:tcPr>
          <w:p w14:paraId="07DCFBCB" w14:textId="77777777" w:rsidR="00AE727E" w:rsidRDefault="00AE727E">
            <w:pPr>
              <w:rPr>
                <w:rFonts w:ascii="宋体"/>
              </w:rPr>
            </w:pPr>
          </w:p>
        </w:tc>
        <w:tc>
          <w:tcPr>
            <w:tcW w:w="5" w:type="pct"/>
            <w:shd w:val="clear" w:color="auto" w:fill="auto"/>
            <w:vAlign w:val="bottom"/>
          </w:tcPr>
          <w:p w14:paraId="07DCFBCC" w14:textId="77777777" w:rsidR="00AE727E" w:rsidRDefault="00AE727E">
            <w:pPr>
              <w:rPr>
                <w:rFonts w:ascii="宋体"/>
              </w:rPr>
            </w:pPr>
          </w:p>
        </w:tc>
        <w:tc>
          <w:tcPr>
            <w:tcW w:w="50" w:type="pct"/>
            <w:shd w:val="clear" w:color="auto" w:fill="auto"/>
            <w:vAlign w:val="bottom"/>
          </w:tcPr>
          <w:p w14:paraId="07DCFBCD" w14:textId="77777777" w:rsidR="00AE727E" w:rsidRDefault="00AE727E">
            <w:pPr>
              <w:rPr>
                <w:rFonts w:ascii="宋体"/>
              </w:rPr>
            </w:pPr>
          </w:p>
        </w:tc>
        <w:tc>
          <w:tcPr>
            <w:tcW w:w="683" w:type="pct"/>
            <w:shd w:val="clear" w:color="auto" w:fill="auto"/>
            <w:vAlign w:val="bottom"/>
          </w:tcPr>
          <w:p w14:paraId="07DCFBCE" w14:textId="77777777" w:rsidR="00AE727E" w:rsidRDefault="00AE727E">
            <w:pPr>
              <w:rPr>
                <w:rFonts w:ascii="宋体"/>
              </w:rPr>
            </w:pPr>
          </w:p>
        </w:tc>
        <w:tc>
          <w:tcPr>
            <w:tcW w:w="5" w:type="pct"/>
            <w:shd w:val="clear" w:color="auto" w:fill="auto"/>
            <w:vAlign w:val="bottom"/>
          </w:tcPr>
          <w:p w14:paraId="07DCFBCF" w14:textId="77777777" w:rsidR="00AE727E" w:rsidRDefault="00AE727E">
            <w:pPr>
              <w:rPr>
                <w:rFonts w:ascii="宋体"/>
              </w:rPr>
            </w:pPr>
          </w:p>
        </w:tc>
        <w:tc>
          <w:tcPr>
            <w:tcW w:w="5" w:type="pct"/>
            <w:shd w:val="clear" w:color="auto" w:fill="auto"/>
            <w:vAlign w:val="bottom"/>
          </w:tcPr>
          <w:p w14:paraId="07DCFBD0" w14:textId="77777777" w:rsidR="00AE727E" w:rsidRDefault="00AE727E">
            <w:pPr>
              <w:rPr>
                <w:rFonts w:ascii="宋体"/>
              </w:rPr>
            </w:pPr>
          </w:p>
        </w:tc>
        <w:tc>
          <w:tcPr>
            <w:tcW w:w="19" w:type="pct"/>
            <w:shd w:val="clear" w:color="auto" w:fill="auto"/>
            <w:vAlign w:val="bottom"/>
          </w:tcPr>
          <w:p w14:paraId="07DCFBD1" w14:textId="77777777" w:rsidR="00AE727E" w:rsidRDefault="00AE727E">
            <w:pPr>
              <w:rPr>
                <w:rFonts w:ascii="宋体"/>
              </w:rPr>
            </w:pPr>
          </w:p>
        </w:tc>
        <w:tc>
          <w:tcPr>
            <w:tcW w:w="5" w:type="pct"/>
            <w:shd w:val="clear" w:color="auto" w:fill="auto"/>
            <w:vAlign w:val="bottom"/>
          </w:tcPr>
          <w:p w14:paraId="07DCFBD2" w14:textId="77777777" w:rsidR="00AE727E" w:rsidRDefault="00AE727E">
            <w:pPr>
              <w:rPr>
                <w:rFonts w:ascii="宋体"/>
              </w:rPr>
            </w:pPr>
          </w:p>
        </w:tc>
        <w:tc>
          <w:tcPr>
            <w:tcW w:w="50" w:type="pct"/>
            <w:shd w:val="clear" w:color="auto" w:fill="auto"/>
            <w:vAlign w:val="bottom"/>
          </w:tcPr>
          <w:p w14:paraId="07DCFBD3" w14:textId="77777777" w:rsidR="00AE727E" w:rsidRDefault="00AE727E">
            <w:pPr>
              <w:rPr>
                <w:rFonts w:ascii="宋体"/>
              </w:rPr>
            </w:pPr>
          </w:p>
        </w:tc>
        <w:tc>
          <w:tcPr>
            <w:tcW w:w="683" w:type="pct"/>
            <w:shd w:val="clear" w:color="auto" w:fill="auto"/>
            <w:vAlign w:val="bottom"/>
          </w:tcPr>
          <w:p w14:paraId="07DCFBD4" w14:textId="77777777" w:rsidR="00AE727E" w:rsidRDefault="00AE727E">
            <w:pPr>
              <w:rPr>
                <w:rFonts w:ascii="宋体"/>
              </w:rPr>
            </w:pPr>
          </w:p>
        </w:tc>
        <w:tc>
          <w:tcPr>
            <w:tcW w:w="5" w:type="pct"/>
            <w:shd w:val="clear" w:color="auto" w:fill="auto"/>
            <w:vAlign w:val="bottom"/>
          </w:tcPr>
          <w:p w14:paraId="07DCFBD5" w14:textId="77777777" w:rsidR="00AE727E" w:rsidRDefault="00AE727E">
            <w:pPr>
              <w:rPr>
                <w:rFonts w:ascii="宋体"/>
              </w:rPr>
            </w:pPr>
          </w:p>
        </w:tc>
      </w:tr>
      <w:tr w:rsidR="00AE727E" w14:paraId="07DCFBDB" w14:textId="77777777">
        <w:tc>
          <w:tcPr>
            <w:tcW w:w="0" w:type="auto"/>
            <w:gridSpan w:val="3"/>
            <w:shd w:val="clear" w:color="auto" w:fill="auto"/>
            <w:tcMar>
              <w:top w:w="40" w:type="dxa"/>
              <w:left w:w="20" w:type="dxa"/>
              <w:bottom w:w="40" w:type="dxa"/>
              <w:right w:w="20" w:type="dxa"/>
            </w:tcMar>
            <w:vAlign w:val="bottom"/>
          </w:tcPr>
          <w:p w14:paraId="07DCFBD7" w14:textId="77777777" w:rsidR="00AE727E" w:rsidRDefault="008433E0">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DCFBD8"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BD9"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BDA"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FBE4" w14:textId="77777777">
        <w:tc>
          <w:tcPr>
            <w:tcW w:w="0" w:type="auto"/>
            <w:gridSpan w:val="3"/>
            <w:shd w:val="clear" w:color="auto" w:fill="auto"/>
            <w:tcMar>
              <w:top w:w="40" w:type="dxa"/>
              <w:left w:w="20" w:type="dxa"/>
              <w:bottom w:w="40" w:type="dxa"/>
              <w:right w:w="20" w:type="dxa"/>
            </w:tcMar>
            <w:vAlign w:val="bottom"/>
          </w:tcPr>
          <w:p w14:paraId="07DCFBDC" w14:textId="77777777" w:rsidR="00AE727E" w:rsidRDefault="008433E0">
            <w:pPr>
              <w:textAlignment w:val="bottom"/>
            </w:pPr>
            <w:r>
              <w:rPr>
                <w:rFonts w:ascii="Times New Roman" w:eastAsia="宋体" w:hAnsi="Times New Roman"/>
                <w:color w:val="000000"/>
                <w:sz w:val="20"/>
                <w:szCs w:val="20"/>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BD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BD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BDF"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BE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BE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BE2"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BE3"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BEA" w14:textId="77777777">
        <w:tc>
          <w:tcPr>
            <w:tcW w:w="0" w:type="auto"/>
            <w:gridSpan w:val="12"/>
            <w:shd w:val="clear" w:color="auto" w:fill="CCEEFF"/>
            <w:tcMar>
              <w:top w:w="40" w:type="dxa"/>
              <w:left w:w="20" w:type="dxa"/>
              <w:bottom w:w="40" w:type="dxa"/>
              <w:right w:w="20" w:type="dxa"/>
            </w:tcMar>
            <w:vAlign w:val="center"/>
          </w:tcPr>
          <w:p w14:paraId="07DCFBE5" w14:textId="77777777" w:rsidR="00AE727E" w:rsidRDefault="008433E0">
            <w:pPr>
              <w:textAlignment w:val="center"/>
            </w:pPr>
            <w:r>
              <w:rPr>
                <w:rFonts w:ascii="Times New Roman" w:eastAsia="宋体" w:hAnsi="Times New Roman"/>
                <w:i/>
                <w:iCs/>
                <w:color w:val="000000"/>
                <w:sz w:val="20"/>
                <w:szCs w:val="20"/>
              </w:rPr>
              <w:t>Earnings per share attributable to Dell Technologies Inc.</w:t>
            </w:r>
          </w:p>
        </w:tc>
        <w:tc>
          <w:tcPr>
            <w:tcW w:w="0" w:type="auto"/>
            <w:gridSpan w:val="3"/>
            <w:shd w:val="clear" w:color="auto" w:fill="CCEEFF"/>
            <w:tcMar>
              <w:top w:w="0" w:type="dxa"/>
              <w:left w:w="20" w:type="dxa"/>
              <w:bottom w:w="0" w:type="dxa"/>
              <w:right w:w="20" w:type="dxa"/>
            </w:tcMar>
            <w:vAlign w:val="bottom"/>
          </w:tcPr>
          <w:p w14:paraId="07DCFBE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BE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BE8"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BE9" w14:textId="77777777" w:rsidR="00AE727E" w:rsidRDefault="00AE727E">
            <w:pPr>
              <w:rPr>
                <w:rFonts w:ascii="宋体"/>
              </w:rPr>
            </w:pPr>
          </w:p>
        </w:tc>
      </w:tr>
      <w:tr w:rsidR="00AE727E" w14:paraId="07DCFBFB" w14:textId="77777777">
        <w:tc>
          <w:tcPr>
            <w:tcW w:w="0" w:type="auto"/>
            <w:gridSpan w:val="3"/>
            <w:shd w:val="clear" w:color="auto" w:fill="FFFFFF"/>
            <w:tcMar>
              <w:top w:w="40" w:type="dxa"/>
              <w:left w:w="245" w:type="dxa"/>
              <w:bottom w:w="40" w:type="dxa"/>
              <w:right w:w="20" w:type="dxa"/>
            </w:tcMar>
            <w:vAlign w:val="center"/>
          </w:tcPr>
          <w:p w14:paraId="07DCFBEB" w14:textId="77777777" w:rsidR="00AE727E" w:rsidRDefault="008433E0">
            <w:pPr>
              <w:textAlignment w:val="center"/>
            </w:pPr>
            <w:r>
              <w:rPr>
                <w:rFonts w:ascii="Times New Roman" w:eastAsia="宋体" w:hAnsi="Times New Roman"/>
                <w:color w:val="000000"/>
                <w:sz w:val="20"/>
                <w:szCs w:val="20"/>
              </w:rPr>
              <w:t>Dell Technologies Common Stock — Basic</w:t>
            </w:r>
          </w:p>
        </w:tc>
        <w:tc>
          <w:tcPr>
            <w:tcW w:w="0" w:type="auto"/>
            <w:shd w:val="clear" w:color="auto" w:fill="FFFFFF"/>
            <w:tcMar>
              <w:top w:w="40" w:type="dxa"/>
              <w:left w:w="20" w:type="dxa"/>
              <w:bottom w:w="40" w:type="dxa"/>
              <w:right w:w="0" w:type="dxa"/>
            </w:tcMar>
            <w:vAlign w:val="center"/>
          </w:tcPr>
          <w:p w14:paraId="07DCFBE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BED" w14:textId="77777777" w:rsidR="00AE727E" w:rsidRDefault="008433E0">
            <w:pPr>
              <w:jc w:val="right"/>
              <w:textAlignment w:val="center"/>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center"/>
          </w:tcPr>
          <w:p w14:paraId="07DCFB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E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BF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BF1" w14:textId="77777777" w:rsidR="00AE727E" w:rsidRDefault="008433E0">
            <w:pPr>
              <w:jc w:val="right"/>
              <w:textAlignment w:val="center"/>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center"/>
          </w:tcPr>
          <w:p w14:paraId="07DCFBF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F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BF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BF5" w14:textId="77777777" w:rsidR="00AE727E" w:rsidRDefault="008433E0">
            <w:pPr>
              <w:jc w:val="right"/>
              <w:textAlignment w:val="center"/>
            </w:pPr>
            <w:r>
              <w:rPr>
                <w:rFonts w:ascii="Times New Roman" w:eastAsia="宋体" w:hAnsi="Times New Roman"/>
                <w:color w:val="000000"/>
                <w:sz w:val="20"/>
                <w:szCs w:val="20"/>
              </w:rPr>
              <w:t>7.30 </w:t>
            </w:r>
          </w:p>
        </w:tc>
        <w:tc>
          <w:tcPr>
            <w:tcW w:w="0" w:type="auto"/>
            <w:shd w:val="clear" w:color="auto" w:fill="FFFFFF"/>
            <w:tcMar>
              <w:top w:w="40" w:type="dxa"/>
              <w:left w:w="0" w:type="dxa"/>
              <w:bottom w:w="40" w:type="dxa"/>
              <w:right w:w="20" w:type="dxa"/>
            </w:tcMar>
            <w:vAlign w:val="center"/>
          </w:tcPr>
          <w:p w14:paraId="07DCFBF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BF7"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CFBF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CFBF9" w14:textId="77777777" w:rsidR="00AE727E" w:rsidRDefault="008433E0">
            <w:pPr>
              <w:jc w:val="right"/>
              <w:textAlignment w:val="center"/>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center"/>
          </w:tcPr>
          <w:p w14:paraId="07DCFBFA" w14:textId="77777777" w:rsidR="00AE727E" w:rsidRDefault="00AE727E">
            <w:pPr>
              <w:jc w:val="right"/>
              <w:rPr>
                <w:rFonts w:ascii="宋体"/>
              </w:rPr>
            </w:pPr>
          </w:p>
        </w:tc>
      </w:tr>
      <w:tr w:rsidR="00AE727E" w14:paraId="07DCFC0C" w14:textId="77777777">
        <w:tc>
          <w:tcPr>
            <w:tcW w:w="0" w:type="auto"/>
            <w:gridSpan w:val="3"/>
            <w:shd w:val="clear" w:color="auto" w:fill="CCEEFF"/>
            <w:tcMar>
              <w:top w:w="40" w:type="dxa"/>
              <w:left w:w="245" w:type="dxa"/>
              <w:bottom w:w="40" w:type="dxa"/>
              <w:right w:w="20" w:type="dxa"/>
            </w:tcMar>
            <w:vAlign w:val="center"/>
          </w:tcPr>
          <w:p w14:paraId="07DCFBFC" w14:textId="77777777" w:rsidR="00AE727E" w:rsidRDefault="008433E0">
            <w:pPr>
              <w:textAlignment w:val="center"/>
            </w:pPr>
            <w:r>
              <w:rPr>
                <w:rFonts w:ascii="Times New Roman" w:eastAsia="宋体" w:hAnsi="Times New Roman"/>
                <w:color w:val="000000"/>
                <w:sz w:val="20"/>
                <w:szCs w:val="20"/>
              </w:rPr>
              <w:t>Dell Technologies Common Stock — Diluted</w:t>
            </w:r>
          </w:p>
        </w:tc>
        <w:tc>
          <w:tcPr>
            <w:tcW w:w="0" w:type="auto"/>
            <w:shd w:val="clear" w:color="auto" w:fill="CCEEFF"/>
            <w:tcMar>
              <w:top w:w="40" w:type="dxa"/>
              <w:left w:w="20" w:type="dxa"/>
              <w:bottom w:w="40" w:type="dxa"/>
              <w:right w:w="0" w:type="dxa"/>
            </w:tcMar>
            <w:vAlign w:val="center"/>
          </w:tcPr>
          <w:p w14:paraId="07DCFBF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BFE" w14:textId="77777777" w:rsidR="00AE727E" w:rsidRDefault="008433E0">
            <w:pPr>
              <w:jc w:val="right"/>
              <w:textAlignment w:val="center"/>
            </w:pPr>
            <w:r>
              <w:rPr>
                <w:rFonts w:ascii="Times New Roman" w:eastAsia="宋体" w:hAnsi="Times New Roman"/>
                <w:color w:val="000000"/>
                <w:sz w:val="20"/>
                <w:szCs w:val="20"/>
              </w:rPr>
              <w:t>4.87 </w:t>
            </w:r>
          </w:p>
        </w:tc>
        <w:tc>
          <w:tcPr>
            <w:tcW w:w="0" w:type="auto"/>
            <w:shd w:val="clear" w:color="auto" w:fill="CCEEFF"/>
            <w:tcMar>
              <w:top w:w="40" w:type="dxa"/>
              <w:left w:w="0" w:type="dxa"/>
              <w:bottom w:w="40" w:type="dxa"/>
              <w:right w:w="20" w:type="dxa"/>
            </w:tcMar>
            <w:vAlign w:val="center"/>
          </w:tcPr>
          <w:p w14:paraId="07DCFB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0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C0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C02" w14:textId="77777777" w:rsidR="00AE727E" w:rsidRDefault="008433E0">
            <w:pPr>
              <w:jc w:val="right"/>
              <w:textAlignment w:val="center"/>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center"/>
          </w:tcPr>
          <w:p w14:paraId="07DCFC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0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C0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C06" w14:textId="77777777" w:rsidR="00AE727E" w:rsidRDefault="008433E0">
            <w:pPr>
              <w:jc w:val="right"/>
              <w:textAlignment w:val="center"/>
            </w:pPr>
            <w:r>
              <w:rPr>
                <w:rFonts w:ascii="Times New Roman" w:eastAsia="宋体" w:hAnsi="Times New Roman"/>
                <w:color w:val="000000"/>
                <w:sz w:val="20"/>
                <w:szCs w:val="20"/>
              </w:rPr>
              <w:t>7.08 </w:t>
            </w:r>
          </w:p>
        </w:tc>
        <w:tc>
          <w:tcPr>
            <w:tcW w:w="0" w:type="auto"/>
            <w:shd w:val="clear" w:color="auto" w:fill="CCEEFF"/>
            <w:tcMar>
              <w:top w:w="40" w:type="dxa"/>
              <w:left w:w="0" w:type="dxa"/>
              <w:bottom w:w="40" w:type="dxa"/>
              <w:right w:w="20" w:type="dxa"/>
            </w:tcMar>
            <w:vAlign w:val="center"/>
          </w:tcPr>
          <w:p w14:paraId="07DCFC0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0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C0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C0A" w14:textId="77777777" w:rsidR="00AE727E" w:rsidRDefault="008433E0">
            <w:pPr>
              <w:jc w:val="right"/>
              <w:textAlignment w:val="center"/>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center"/>
          </w:tcPr>
          <w:p w14:paraId="07DCFC0B" w14:textId="77777777" w:rsidR="00AE727E" w:rsidRDefault="00AE727E">
            <w:pPr>
              <w:jc w:val="right"/>
              <w:rPr>
                <w:rFonts w:ascii="宋体"/>
              </w:rPr>
            </w:pPr>
          </w:p>
        </w:tc>
      </w:tr>
      <w:tr w:rsidR="00AE727E" w14:paraId="07DCFC15" w14:textId="77777777">
        <w:trPr>
          <w:hidden/>
        </w:trPr>
        <w:tc>
          <w:tcPr>
            <w:tcW w:w="0" w:type="auto"/>
            <w:gridSpan w:val="3"/>
            <w:shd w:val="clear" w:color="auto" w:fill="auto"/>
            <w:vAlign w:val="bottom"/>
          </w:tcPr>
          <w:p w14:paraId="07DCFC0D" w14:textId="77777777" w:rsidR="00AE727E" w:rsidRDefault="00AE727E">
            <w:pPr>
              <w:rPr>
                <w:rFonts w:ascii="宋体"/>
                <w:vanish/>
              </w:rPr>
            </w:pPr>
          </w:p>
        </w:tc>
        <w:tc>
          <w:tcPr>
            <w:tcW w:w="0" w:type="auto"/>
            <w:gridSpan w:val="3"/>
            <w:shd w:val="clear" w:color="auto" w:fill="auto"/>
            <w:vAlign w:val="bottom"/>
          </w:tcPr>
          <w:p w14:paraId="07DCFC0E" w14:textId="77777777" w:rsidR="00AE727E" w:rsidRDefault="00AE727E">
            <w:pPr>
              <w:rPr>
                <w:rFonts w:ascii="宋体"/>
                <w:vanish/>
              </w:rPr>
            </w:pPr>
          </w:p>
        </w:tc>
        <w:tc>
          <w:tcPr>
            <w:tcW w:w="0" w:type="auto"/>
            <w:gridSpan w:val="3"/>
            <w:shd w:val="clear" w:color="auto" w:fill="auto"/>
            <w:vAlign w:val="bottom"/>
          </w:tcPr>
          <w:p w14:paraId="07DCFC0F" w14:textId="77777777" w:rsidR="00AE727E" w:rsidRDefault="00AE727E">
            <w:pPr>
              <w:rPr>
                <w:rFonts w:ascii="宋体"/>
                <w:vanish/>
              </w:rPr>
            </w:pPr>
          </w:p>
        </w:tc>
        <w:tc>
          <w:tcPr>
            <w:tcW w:w="0" w:type="auto"/>
            <w:gridSpan w:val="3"/>
            <w:shd w:val="clear" w:color="auto" w:fill="auto"/>
            <w:vAlign w:val="bottom"/>
          </w:tcPr>
          <w:p w14:paraId="07DCFC10" w14:textId="77777777" w:rsidR="00AE727E" w:rsidRDefault="00AE727E">
            <w:pPr>
              <w:rPr>
                <w:rFonts w:ascii="宋体"/>
                <w:vanish/>
              </w:rPr>
            </w:pPr>
          </w:p>
        </w:tc>
        <w:tc>
          <w:tcPr>
            <w:tcW w:w="0" w:type="auto"/>
            <w:gridSpan w:val="3"/>
            <w:shd w:val="clear" w:color="auto" w:fill="auto"/>
            <w:vAlign w:val="bottom"/>
          </w:tcPr>
          <w:p w14:paraId="07DCFC11" w14:textId="77777777" w:rsidR="00AE727E" w:rsidRDefault="00AE727E">
            <w:pPr>
              <w:rPr>
                <w:rFonts w:ascii="宋体"/>
                <w:vanish/>
              </w:rPr>
            </w:pPr>
          </w:p>
        </w:tc>
        <w:tc>
          <w:tcPr>
            <w:tcW w:w="0" w:type="auto"/>
            <w:gridSpan w:val="3"/>
            <w:shd w:val="clear" w:color="auto" w:fill="auto"/>
            <w:vAlign w:val="bottom"/>
          </w:tcPr>
          <w:p w14:paraId="07DCFC12" w14:textId="77777777" w:rsidR="00AE727E" w:rsidRDefault="00AE727E">
            <w:pPr>
              <w:rPr>
                <w:rFonts w:ascii="宋体"/>
                <w:vanish/>
              </w:rPr>
            </w:pPr>
          </w:p>
        </w:tc>
        <w:tc>
          <w:tcPr>
            <w:tcW w:w="0" w:type="auto"/>
            <w:gridSpan w:val="3"/>
            <w:shd w:val="clear" w:color="auto" w:fill="auto"/>
            <w:vAlign w:val="bottom"/>
          </w:tcPr>
          <w:p w14:paraId="07DCFC13" w14:textId="77777777" w:rsidR="00AE727E" w:rsidRDefault="00AE727E">
            <w:pPr>
              <w:rPr>
                <w:rFonts w:ascii="宋体"/>
                <w:vanish/>
              </w:rPr>
            </w:pPr>
          </w:p>
        </w:tc>
        <w:tc>
          <w:tcPr>
            <w:tcW w:w="0" w:type="auto"/>
            <w:gridSpan w:val="3"/>
            <w:shd w:val="clear" w:color="auto" w:fill="auto"/>
            <w:vAlign w:val="bottom"/>
          </w:tcPr>
          <w:p w14:paraId="07DCFC14" w14:textId="77777777" w:rsidR="00AE727E" w:rsidRDefault="00AE727E">
            <w:pPr>
              <w:rPr>
                <w:rFonts w:ascii="宋体"/>
                <w:vanish/>
              </w:rPr>
            </w:pPr>
          </w:p>
        </w:tc>
      </w:tr>
      <w:tr w:rsidR="00AE727E" w14:paraId="07DCFC1E" w14:textId="77777777">
        <w:trPr>
          <w:hidden/>
        </w:trPr>
        <w:tc>
          <w:tcPr>
            <w:tcW w:w="0" w:type="auto"/>
            <w:gridSpan w:val="3"/>
            <w:shd w:val="clear" w:color="auto" w:fill="auto"/>
            <w:vAlign w:val="bottom"/>
          </w:tcPr>
          <w:p w14:paraId="07DCFC16" w14:textId="77777777" w:rsidR="00AE727E" w:rsidRDefault="00AE727E">
            <w:pPr>
              <w:rPr>
                <w:rFonts w:ascii="宋体"/>
                <w:vanish/>
              </w:rPr>
            </w:pPr>
          </w:p>
        </w:tc>
        <w:tc>
          <w:tcPr>
            <w:tcW w:w="0" w:type="auto"/>
            <w:gridSpan w:val="3"/>
            <w:shd w:val="clear" w:color="auto" w:fill="auto"/>
            <w:vAlign w:val="bottom"/>
          </w:tcPr>
          <w:p w14:paraId="07DCFC17" w14:textId="77777777" w:rsidR="00AE727E" w:rsidRDefault="00AE727E">
            <w:pPr>
              <w:rPr>
                <w:rFonts w:ascii="宋体"/>
                <w:vanish/>
              </w:rPr>
            </w:pPr>
          </w:p>
        </w:tc>
        <w:tc>
          <w:tcPr>
            <w:tcW w:w="0" w:type="auto"/>
            <w:gridSpan w:val="3"/>
            <w:shd w:val="clear" w:color="auto" w:fill="auto"/>
            <w:vAlign w:val="bottom"/>
          </w:tcPr>
          <w:p w14:paraId="07DCFC18" w14:textId="77777777" w:rsidR="00AE727E" w:rsidRDefault="00AE727E">
            <w:pPr>
              <w:rPr>
                <w:rFonts w:ascii="宋体"/>
                <w:vanish/>
              </w:rPr>
            </w:pPr>
          </w:p>
        </w:tc>
        <w:tc>
          <w:tcPr>
            <w:tcW w:w="0" w:type="auto"/>
            <w:gridSpan w:val="3"/>
            <w:shd w:val="clear" w:color="auto" w:fill="auto"/>
            <w:vAlign w:val="bottom"/>
          </w:tcPr>
          <w:p w14:paraId="07DCFC19" w14:textId="77777777" w:rsidR="00AE727E" w:rsidRDefault="00AE727E">
            <w:pPr>
              <w:rPr>
                <w:rFonts w:ascii="宋体"/>
                <w:vanish/>
              </w:rPr>
            </w:pPr>
          </w:p>
        </w:tc>
        <w:tc>
          <w:tcPr>
            <w:tcW w:w="0" w:type="auto"/>
            <w:gridSpan w:val="3"/>
            <w:shd w:val="clear" w:color="auto" w:fill="auto"/>
            <w:vAlign w:val="bottom"/>
          </w:tcPr>
          <w:p w14:paraId="07DCFC1A" w14:textId="77777777" w:rsidR="00AE727E" w:rsidRDefault="00AE727E">
            <w:pPr>
              <w:rPr>
                <w:rFonts w:ascii="宋体"/>
                <w:vanish/>
              </w:rPr>
            </w:pPr>
          </w:p>
        </w:tc>
        <w:tc>
          <w:tcPr>
            <w:tcW w:w="0" w:type="auto"/>
            <w:gridSpan w:val="3"/>
            <w:shd w:val="clear" w:color="auto" w:fill="auto"/>
            <w:vAlign w:val="bottom"/>
          </w:tcPr>
          <w:p w14:paraId="07DCFC1B" w14:textId="77777777" w:rsidR="00AE727E" w:rsidRDefault="00AE727E">
            <w:pPr>
              <w:rPr>
                <w:rFonts w:ascii="宋体"/>
                <w:vanish/>
              </w:rPr>
            </w:pPr>
          </w:p>
        </w:tc>
        <w:tc>
          <w:tcPr>
            <w:tcW w:w="0" w:type="auto"/>
            <w:gridSpan w:val="3"/>
            <w:shd w:val="clear" w:color="auto" w:fill="auto"/>
            <w:vAlign w:val="bottom"/>
          </w:tcPr>
          <w:p w14:paraId="07DCFC1C" w14:textId="77777777" w:rsidR="00AE727E" w:rsidRDefault="00AE727E">
            <w:pPr>
              <w:rPr>
                <w:rFonts w:ascii="宋体"/>
                <w:vanish/>
              </w:rPr>
            </w:pPr>
          </w:p>
        </w:tc>
        <w:tc>
          <w:tcPr>
            <w:tcW w:w="0" w:type="auto"/>
            <w:gridSpan w:val="3"/>
            <w:shd w:val="clear" w:color="auto" w:fill="auto"/>
            <w:vAlign w:val="bottom"/>
          </w:tcPr>
          <w:p w14:paraId="07DCFC1D" w14:textId="77777777" w:rsidR="00AE727E" w:rsidRDefault="00AE727E">
            <w:pPr>
              <w:rPr>
                <w:rFonts w:ascii="宋体"/>
                <w:vanish/>
              </w:rPr>
            </w:pPr>
          </w:p>
        </w:tc>
      </w:tr>
    </w:tbl>
    <w:p w14:paraId="07DCFC1F" w14:textId="77777777" w:rsidR="00AE727E" w:rsidRDefault="00AE727E"/>
    <w:p w14:paraId="07DCFC20" w14:textId="77777777" w:rsidR="00AE727E" w:rsidRDefault="008433E0">
      <w:pPr>
        <w:spacing w:after="60"/>
      </w:pPr>
      <w:r>
        <w:rPr>
          <w:rFonts w:ascii="Times New Roman" w:eastAsia="宋体" w:hAnsi="Times New Roman"/>
          <w:color w:val="000000"/>
          <w:sz w:val="20"/>
          <w:szCs w:val="20"/>
        </w:rPr>
        <w:t>The following table presents the computation of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062"/>
        <w:gridCol w:w="38"/>
        <w:gridCol w:w="121"/>
        <w:gridCol w:w="1060"/>
        <w:gridCol w:w="37"/>
        <w:gridCol w:w="36"/>
        <w:gridCol w:w="36"/>
        <w:gridCol w:w="36"/>
        <w:gridCol w:w="121"/>
        <w:gridCol w:w="1060"/>
        <w:gridCol w:w="37"/>
        <w:gridCol w:w="36"/>
        <w:gridCol w:w="36"/>
        <w:gridCol w:w="36"/>
        <w:gridCol w:w="121"/>
        <w:gridCol w:w="1060"/>
        <w:gridCol w:w="37"/>
        <w:gridCol w:w="36"/>
        <w:gridCol w:w="36"/>
        <w:gridCol w:w="36"/>
        <w:gridCol w:w="121"/>
        <w:gridCol w:w="1061"/>
        <w:gridCol w:w="37"/>
      </w:tblGrid>
      <w:tr w:rsidR="00AE727E" w14:paraId="07DCFC39" w14:textId="77777777">
        <w:tc>
          <w:tcPr>
            <w:tcW w:w="50" w:type="pct"/>
            <w:shd w:val="clear" w:color="auto" w:fill="auto"/>
            <w:vAlign w:val="bottom"/>
          </w:tcPr>
          <w:p w14:paraId="07DCFC21" w14:textId="77777777" w:rsidR="00AE727E" w:rsidRDefault="00AE727E">
            <w:pPr>
              <w:rPr>
                <w:rFonts w:ascii="宋体"/>
              </w:rPr>
            </w:pPr>
          </w:p>
        </w:tc>
        <w:tc>
          <w:tcPr>
            <w:tcW w:w="1904" w:type="pct"/>
            <w:shd w:val="clear" w:color="auto" w:fill="auto"/>
            <w:vAlign w:val="bottom"/>
          </w:tcPr>
          <w:p w14:paraId="07DCFC22" w14:textId="77777777" w:rsidR="00AE727E" w:rsidRDefault="00AE727E">
            <w:pPr>
              <w:rPr>
                <w:rFonts w:ascii="宋体"/>
              </w:rPr>
            </w:pPr>
          </w:p>
        </w:tc>
        <w:tc>
          <w:tcPr>
            <w:tcW w:w="5" w:type="pct"/>
            <w:shd w:val="clear" w:color="auto" w:fill="auto"/>
            <w:vAlign w:val="bottom"/>
          </w:tcPr>
          <w:p w14:paraId="07DCFC23" w14:textId="77777777" w:rsidR="00AE727E" w:rsidRDefault="00AE727E">
            <w:pPr>
              <w:rPr>
                <w:rFonts w:ascii="宋体"/>
              </w:rPr>
            </w:pPr>
          </w:p>
        </w:tc>
        <w:tc>
          <w:tcPr>
            <w:tcW w:w="50" w:type="pct"/>
            <w:shd w:val="clear" w:color="auto" w:fill="auto"/>
            <w:vAlign w:val="bottom"/>
          </w:tcPr>
          <w:p w14:paraId="07DCFC24" w14:textId="77777777" w:rsidR="00AE727E" w:rsidRDefault="00AE727E">
            <w:pPr>
              <w:rPr>
                <w:rFonts w:ascii="宋体"/>
              </w:rPr>
            </w:pPr>
          </w:p>
        </w:tc>
        <w:tc>
          <w:tcPr>
            <w:tcW w:w="683" w:type="pct"/>
            <w:shd w:val="clear" w:color="auto" w:fill="auto"/>
            <w:vAlign w:val="bottom"/>
          </w:tcPr>
          <w:p w14:paraId="07DCFC25" w14:textId="77777777" w:rsidR="00AE727E" w:rsidRDefault="00AE727E">
            <w:pPr>
              <w:rPr>
                <w:rFonts w:ascii="宋体"/>
              </w:rPr>
            </w:pPr>
          </w:p>
        </w:tc>
        <w:tc>
          <w:tcPr>
            <w:tcW w:w="5" w:type="pct"/>
            <w:shd w:val="clear" w:color="auto" w:fill="auto"/>
            <w:vAlign w:val="bottom"/>
          </w:tcPr>
          <w:p w14:paraId="07DCFC26" w14:textId="77777777" w:rsidR="00AE727E" w:rsidRDefault="00AE727E">
            <w:pPr>
              <w:rPr>
                <w:rFonts w:ascii="宋体"/>
              </w:rPr>
            </w:pPr>
          </w:p>
        </w:tc>
        <w:tc>
          <w:tcPr>
            <w:tcW w:w="5" w:type="pct"/>
            <w:shd w:val="clear" w:color="auto" w:fill="auto"/>
            <w:vAlign w:val="bottom"/>
          </w:tcPr>
          <w:p w14:paraId="07DCFC27" w14:textId="77777777" w:rsidR="00AE727E" w:rsidRDefault="00AE727E">
            <w:pPr>
              <w:rPr>
                <w:rFonts w:ascii="宋体"/>
              </w:rPr>
            </w:pPr>
          </w:p>
        </w:tc>
        <w:tc>
          <w:tcPr>
            <w:tcW w:w="19" w:type="pct"/>
            <w:shd w:val="clear" w:color="auto" w:fill="auto"/>
            <w:vAlign w:val="bottom"/>
          </w:tcPr>
          <w:p w14:paraId="07DCFC28" w14:textId="77777777" w:rsidR="00AE727E" w:rsidRDefault="00AE727E">
            <w:pPr>
              <w:rPr>
                <w:rFonts w:ascii="宋体"/>
              </w:rPr>
            </w:pPr>
          </w:p>
        </w:tc>
        <w:tc>
          <w:tcPr>
            <w:tcW w:w="5" w:type="pct"/>
            <w:shd w:val="clear" w:color="auto" w:fill="auto"/>
            <w:vAlign w:val="bottom"/>
          </w:tcPr>
          <w:p w14:paraId="07DCFC29" w14:textId="77777777" w:rsidR="00AE727E" w:rsidRDefault="00AE727E">
            <w:pPr>
              <w:rPr>
                <w:rFonts w:ascii="宋体"/>
              </w:rPr>
            </w:pPr>
          </w:p>
        </w:tc>
        <w:tc>
          <w:tcPr>
            <w:tcW w:w="50" w:type="pct"/>
            <w:shd w:val="clear" w:color="auto" w:fill="auto"/>
            <w:vAlign w:val="bottom"/>
          </w:tcPr>
          <w:p w14:paraId="07DCFC2A" w14:textId="77777777" w:rsidR="00AE727E" w:rsidRDefault="00AE727E">
            <w:pPr>
              <w:rPr>
                <w:rFonts w:ascii="宋体"/>
              </w:rPr>
            </w:pPr>
          </w:p>
        </w:tc>
        <w:tc>
          <w:tcPr>
            <w:tcW w:w="683" w:type="pct"/>
            <w:shd w:val="clear" w:color="auto" w:fill="auto"/>
            <w:vAlign w:val="bottom"/>
          </w:tcPr>
          <w:p w14:paraId="07DCFC2B" w14:textId="77777777" w:rsidR="00AE727E" w:rsidRDefault="00AE727E">
            <w:pPr>
              <w:rPr>
                <w:rFonts w:ascii="宋体"/>
              </w:rPr>
            </w:pPr>
          </w:p>
        </w:tc>
        <w:tc>
          <w:tcPr>
            <w:tcW w:w="5" w:type="pct"/>
            <w:shd w:val="clear" w:color="auto" w:fill="auto"/>
            <w:vAlign w:val="bottom"/>
          </w:tcPr>
          <w:p w14:paraId="07DCFC2C" w14:textId="77777777" w:rsidR="00AE727E" w:rsidRDefault="00AE727E">
            <w:pPr>
              <w:rPr>
                <w:rFonts w:ascii="宋体"/>
              </w:rPr>
            </w:pPr>
          </w:p>
        </w:tc>
        <w:tc>
          <w:tcPr>
            <w:tcW w:w="5" w:type="pct"/>
            <w:shd w:val="clear" w:color="auto" w:fill="auto"/>
            <w:vAlign w:val="bottom"/>
          </w:tcPr>
          <w:p w14:paraId="07DCFC2D" w14:textId="77777777" w:rsidR="00AE727E" w:rsidRDefault="00AE727E">
            <w:pPr>
              <w:rPr>
                <w:rFonts w:ascii="宋体"/>
              </w:rPr>
            </w:pPr>
          </w:p>
        </w:tc>
        <w:tc>
          <w:tcPr>
            <w:tcW w:w="19" w:type="pct"/>
            <w:shd w:val="clear" w:color="auto" w:fill="auto"/>
            <w:vAlign w:val="bottom"/>
          </w:tcPr>
          <w:p w14:paraId="07DCFC2E" w14:textId="77777777" w:rsidR="00AE727E" w:rsidRDefault="00AE727E">
            <w:pPr>
              <w:rPr>
                <w:rFonts w:ascii="宋体"/>
              </w:rPr>
            </w:pPr>
          </w:p>
        </w:tc>
        <w:tc>
          <w:tcPr>
            <w:tcW w:w="5" w:type="pct"/>
            <w:shd w:val="clear" w:color="auto" w:fill="auto"/>
            <w:vAlign w:val="bottom"/>
          </w:tcPr>
          <w:p w14:paraId="07DCFC2F" w14:textId="77777777" w:rsidR="00AE727E" w:rsidRDefault="00AE727E">
            <w:pPr>
              <w:rPr>
                <w:rFonts w:ascii="宋体"/>
              </w:rPr>
            </w:pPr>
          </w:p>
        </w:tc>
        <w:tc>
          <w:tcPr>
            <w:tcW w:w="50" w:type="pct"/>
            <w:shd w:val="clear" w:color="auto" w:fill="auto"/>
            <w:vAlign w:val="bottom"/>
          </w:tcPr>
          <w:p w14:paraId="07DCFC30" w14:textId="77777777" w:rsidR="00AE727E" w:rsidRDefault="00AE727E">
            <w:pPr>
              <w:rPr>
                <w:rFonts w:ascii="宋体"/>
              </w:rPr>
            </w:pPr>
          </w:p>
        </w:tc>
        <w:tc>
          <w:tcPr>
            <w:tcW w:w="683" w:type="pct"/>
            <w:shd w:val="clear" w:color="auto" w:fill="auto"/>
            <w:vAlign w:val="bottom"/>
          </w:tcPr>
          <w:p w14:paraId="07DCFC31" w14:textId="77777777" w:rsidR="00AE727E" w:rsidRDefault="00AE727E">
            <w:pPr>
              <w:rPr>
                <w:rFonts w:ascii="宋体"/>
              </w:rPr>
            </w:pPr>
          </w:p>
        </w:tc>
        <w:tc>
          <w:tcPr>
            <w:tcW w:w="5" w:type="pct"/>
            <w:shd w:val="clear" w:color="auto" w:fill="auto"/>
            <w:vAlign w:val="bottom"/>
          </w:tcPr>
          <w:p w14:paraId="07DCFC32" w14:textId="77777777" w:rsidR="00AE727E" w:rsidRDefault="00AE727E">
            <w:pPr>
              <w:rPr>
                <w:rFonts w:ascii="宋体"/>
              </w:rPr>
            </w:pPr>
          </w:p>
        </w:tc>
        <w:tc>
          <w:tcPr>
            <w:tcW w:w="5" w:type="pct"/>
            <w:shd w:val="clear" w:color="auto" w:fill="auto"/>
            <w:vAlign w:val="bottom"/>
          </w:tcPr>
          <w:p w14:paraId="07DCFC33" w14:textId="77777777" w:rsidR="00AE727E" w:rsidRDefault="00AE727E">
            <w:pPr>
              <w:rPr>
                <w:rFonts w:ascii="宋体"/>
              </w:rPr>
            </w:pPr>
          </w:p>
        </w:tc>
        <w:tc>
          <w:tcPr>
            <w:tcW w:w="19" w:type="pct"/>
            <w:shd w:val="clear" w:color="auto" w:fill="auto"/>
            <w:vAlign w:val="bottom"/>
          </w:tcPr>
          <w:p w14:paraId="07DCFC34" w14:textId="77777777" w:rsidR="00AE727E" w:rsidRDefault="00AE727E">
            <w:pPr>
              <w:rPr>
                <w:rFonts w:ascii="宋体"/>
              </w:rPr>
            </w:pPr>
          </w:p>
        </w:tc>
        <w:tc>
          <w:tcPr>
            <w:tcW w:w="5" w:type="pct"/>
            <w:shd w:val="clear" w:color="auto" w:fill="auto"/>
            <w:vAlign w:val="bottom"/>
          </w:tcPr>
          <w:p w14:paraId="07DCFC35" w14:textId="77777777" w:rsidR="00AE727E" w:rsidRDefault="00AE727E">
            <w:pPr>
              <w:rPr>
                <w:rFonts w:ascii="宋体"/>
              </w:rPr>
            </w:pPr>
          </w:p>
        </w:tc>
        <w:tc>
          <w:tcPr>
            <w:tcW w:w="50" w:type="pct"/>
            <w:shd w:val="clear" w:color="auto" w:fill="auto"/>
            <w:vAlign w:val="bottom"/>
          </w:tcPr>
          <w:p w14:paraId="07DCFC36" w14:textId="77777777" w:rsidR="00AE727E" w:rsidRDefault="00AE727E">
            <w:pPr>
              <w:rPr>
                <w:rFonts w:ascii="宋体"/>
              </w:rPr>
            </w:pPr>
          </w:p>
        </w:tc>
        <w:tc>
          <w:tcPr>
            <w:tcW w:w="683" w:type="pct"/>
            <w:shd w:val="clear" w:color="auto" w:fill="auto"/>
            <w:vAlign w:val="bottom"/>
          </w:tcPr>
          <w:p w14:paraId="07DCFC37" w14:textId="77777777" w:rsidR="00AE727E" w:rsidRDefault="00AE727E">
            <w:pPr>
              <w:rPr>
                <w:rFonts w:ascii="宋体"/>
              </w:rPr>
            </w:pPr>
          </w:p>
        </w:tc>
        <w:tc>
          <w:tcPr>
            <w:tcW w:w="5" w:type="pct"/>
            <w:shd w:val="clear" w:color="auto" w:fill="auto"/>
            <w:vAlign w:val="bottom"/>
          </w:tcPr>
          <w:p w14:paraId="07DCFC38" w14:textId="77777777" w:rsidR="00AE727E" w:rsidRDefault="00AE727E">
            <w:pPr>
              <w:rPr>
                <w:rFonts w:ascii="宋体"/>
              </w:rPr>
            </w:pPr>
          </w:p>
        </w:tc>
      </w:tr>
      <w:tr w:rsidR="00AE727E" w14:paraId="07DCFC3E" w14:textId="77777777">
        <w:tc>
          <w:tcPr>
            <w:tcW w:w="0" w:type="auto"/>
            <w:gridSpan w:val="3"/>
            <w:shd w:val="clear" w:color="auto" w:fill="auto"/>
            <w:tcMar>
              <w:top w:w="0" w:type="dxa"/>
              <w:left w:w="20" w:type="dxa"/>
              <w:bottom w:w="0" w:type="dxa"/>
              <w:right w:w="20" w:type="dxa"/>
            </w:tcMar>
            <w:vAlign w:val="bottom"/>
          </w:tcPr>
          <w:p w14:paraId="07DCFC3A"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C3B"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C3C"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C3D"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FC47" w14:textId="77777777">
        <w:tc>
          <w:tcPr>
            <w:tcW w:w="0" w:type="auto"/>
            <w:gridSpan w:val="3"/>
            <w:shd w:val="clear" w:color="auto" w:fill="auto"/>
            <w:tcMar>
              <w:top w:w="0" w:type="dxa"/>
              <w:left w:w="20" w:type="dxa"/>
              <w:bottom w:w="0" w:type="dxa"/>
              <w:right w:w="20" w:type="dxa"/>
            </w:tcMar>
            <w:vAlign w:val="bottom"/>
          </w:tcPr>
          <w:p w14:paraId="07DCFC3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C4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C4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C42"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C4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C4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C4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C46"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C4A" w14:textId="77777777">
        <w:tc>
          <w:tcPr>
            <w:tcW w:w="0" w:type="auto"/>
            <w:gridSpan w:val="3"/>
            <w:shd w:val="clear" w:color="auto" w:fill="FFFFFF"/>
            <w:tcMar>
              <w:top w:w="0" w:type="dxa"/>
              <w:left w:w="20" w:type="dxa"/>
              <w:bottom w:w="0" w:type="dxa"/>
              <w:right w:w="20" w:type="dxa"/>
            </w:tcMar>
            <w:vAlign w:val="bottom"/>
          </w:tcPr>
          <w:p w14:paraId="07DCFC48" w14:textId="77777777" w:rsidR="00AE727E" w:rsidRDefault="00AE727E">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vAlign w:val="bottom"/>
          </w:tcPr>
          <w:p w14:paraId="07DCFC49"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C53" w14:textId="77777777">
        <w:tc>
          <w:tcPr>
            <w:tcW w:w="0" w:type="auto"/>
            <w:gridSpan w:val="3"/>
            <w:shd w:val="clear" w:color="auto" w:fill="CCEEFF"/>
            <w:tcMar>
              <w:top w:w="40" w:type="dxa"/>
              <w:left w:w="20" w:type="dxa"/>
              <w:bottom w:w="40" w:type="dxa"/>
              <w:right w:w="20" w:type="dxa"/>
            </w:tcMar>
            <w:vAlign w:val="bottom"/>
          </w:tcPr>
          <w:p w14:paraId="07DCFC4B" w14:textId="77777777" w:rsidR="00AE727E" w:rsidRDefault="008433E0">
            <w:pPr>
              <w:textAlignment w:val="bottom"/>
            </w:pPr>
            <w:r>
              <w:rPr>
                <w:rFonts w:ascii="Times New Roman" w:eastAsia="宋体" w:hAnsi="Times New Roman"/>
                <w:i/>
                <w:iCs/>
                <w:color w:val="000000"/>
                <w:sz w:val="20"/>
                <w:szCs w:val="20"/>
              </w:rPr>
              <w:t>Numerator: Dell Technologies Common Stock</w:t>
            </w:r>
          </w:p>
        </w:tc>
        <w:tc>
          <w:tcPr>
            <w:tcW w:w="0" w:type="auto"/>
            <w:gridSpan w:val="3"/>
            <w:shd w:val="clear" w:color="auto" w:fill="CCEEFF"/>
            <w:tcMar>
              <w:top w:w="0" w:type="dxa"/>
              <w:left w:w="20" w:type="dxa"/>
              <w:bottom w:w="0" w:type="dxa"/>
              <w:right w:w="20" w:type="dxa"/>
            </w:tcMar>
            <w:vAlign w:val="bottom"/>
          </w:tcPr>
          <w:p w14:paraId="07DCFC4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4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4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4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5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5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52" w14:textId="77777777" w:rsidR="00AE727E" w:rsidRDefault="00AE727E">
            <w:pPr>
              <w:rPr>
                <w:rFonts w:ascii="宋体"/>
              </w:rPr>
            </w:pPr>
          </w:p>
        </w:tc>
      </w:tr>
      <w:tr w:rsidR="00AE727E" w14:paraId="07DCFC64" w14:textId="77777777">
        <w:tc>
          <w:tcPr>
            <w:tcW w:w="0" w:type="auto"/>
            <w:gridSpan w:val="3"/>
            <w:shd w:val="clear" w:color="auto" w:fill="FFFFFF"/>
            <w:tcMar>
              <w:top w:w="40" w:type="dxa"/>
              <w:left w:w="20" w:type="dxa"/>
              <w:bottom w:w="40" w:type="dxa"/>
              <w:right w:w="20" w:type="dxa"/>
            </w:tcMar>
            <w:vAlign w:val="bottom"/>
          </w:tcPr>
          <w:p w14:paraId="07DCFC54" w14:textId="77777777" w:rsidR="00AE727E" w:rsidRDefault="008433E0">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shd w:val="clear" w:color="auto" w:fill="FFFFFF"/>
            <w:tcMar>
              <w:top w:w="40" w:type="dxa"/>
              <w:left w:w="20" w:type="dxa"/>
              <w:bottom w:w="40" w:type="dxa"/>
              <w:right w:w="0" w:type="dxa"/>
            </w:tcMar>
            <w:vAlign w:val="bottom"/>
          </w:tcPr>
          <w:p w14:paraId="07DCFC5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C56" w14:textId="77777777" w:rsidR="00AE727E" w:rsidRDefault="008433E0">
            <w:pPr>
              <w:jc w:val="right"/>
              <w:textAlignment w:val="bottom"/>
            </w:pPr>
            <w:r>
              <w:rPr>
                <w:rFonts w:ascii="Times New Roman" w:eastAsia="宋体" w:hAnsi="Times New Roman"/>
                <w:color w:val="000000"/>
                <w:sz w:val="20"/>
                <w:szCs w:val="20"/>
              </w:rPr>
              <w:t>3,843 </w:t>
            </w:r>
          </w:p>
        </w:tc>
        <w:tc>
          <w:tcPr>
            <w:tcW w:w="0" w:type="auto"/>
            <w:shd w:val="clear" w:color="auto" w:fill="FFFFFF"/>
            <w:tcMar>
              <w:top w:w="40" w:type="dxa"/>
              <w:left w:w="0" w:type="dxa"/>
              <w:bottom w:w="40" w:type="dxa"/>
              <w:right w:w="20" w:type="dxa"/>
            </w:tcMar>
            <w:vAlign w:val="bottom"/>
          </w:tcPr>
          <w:p w14:paraId="07DCFC5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5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C5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C5A" w14:textId="77777777" w:rsidR="00AE727E" w:rsidRDefault="008433E0">
            <w:pPr>
              <w:jc w:val="right"/>
              <w:textAlignment w:val="bottom"/>
            </w:pPr>
            <w:r>
              <w:rPr>
                <w:rFonts w:ascii="Times New Roman" w:eastAsia="宋体" w:hAnsi="Times New Roman"/>
                <w:color w:val="000000"/>
                <w:sz w:val="20"/>
                <w:szCs w:val="20"/>
              </w:rPr>
              <w:t>832 </w:t>
            </w:r>
          </w:p>
        </w:tc>
        <w:tc>
          <w:tcPr>
            <w:tcW w:w="0" w:type="auto"/>
            <w:shd w:val="clear" w:color="auto" w:fill="FFFFFF"/>
            <w:tcMar>
              <w:top w:w="40" w:type="dxa"/>
              <w:left w:w="0" w:type="dxa"/>
              <w:bottom w:w="40" w:type="dxa"/>
              <w:right w:w="20" w:type="dxa"/>
            </w:tcMar>
            <w:vAlign w:val="bottom"/>
          </w:tcPr>
          <w:p w14:paraId="07DCFC5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5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C5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C5E" w14:textId="77777777" w:rsidR="00AE727E" w:rsidRDefault="008433E0">
            <w:pPr>
              <w:jc w:val="right"/>
              <w:textAlignment w:val="bottom"/>
            </w:pPr>
            <w:r>
              <w:rPr>
                <w:rFonts w:ascii="Times New Roman" w:eastAsia="宋体" w:hAnsi="Times New Roman"/>
                <w:color w:val="000000"/>
                <w:sz w:val="20"/>
                <w:szCs w:val="20"/>
              </w:rPr>
              <w:t>5,561 </w:t>
            </w:r>
          </w:p>
        </w:tc>
        <w:tc>
          <w:tcPr>
            <w:tcW w:w="0" w:type="auto"/>
            <w:shd w:val="clear" w:color="auto" w:fill="FFFFFF"/>
            <w:tcMar>
              <w:top w:w="40" w:type="dxa"/>
              <w:left w:w="0" w:type="dxa"/>
              <w:bottom w:w="40" w:type="dxa"/>
              <w:right w:w="20" w:type="dxa"/>
            </w:tcMar>
            <w:vAlign w:val="bottom"/>
          </w:tcPr>
          <w:p w14:paraId="07DCFC5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6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C6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C62" w14:textId="77777777" w:rsidR="00AE727E" w:rsidRDefault="008433E0">
            <w:pPr>
              <w:jc w:val="right"/>
              <w:textAlignment w:val="bottom"/>
            </w:pPr>
            <w:r>
              <w:rPr>
                <w:rFonts w:ascii="Times New Roman" w:eastAsia="宋体" w:hAnsi="Times New Roman"/>
                <w:color w:val="000000"/>
                <w:sz w:val="20"/>
                <w:szCs w:val="20"/>
              </w:rPr>
              <w:t>2,023 </w:t>
            </w:r>
          </w:p>
        </w:tc>
        <w:tc>
          <w:tcPr>
            <w:tcW w:w="0" w:type="auto"/>
            <w:shd w:val="clear" w:color="auto" w:fill="FFFFFF"/>
            <w:tcMar>
              <w:top w:w="40" w:type="dxa"/>
              <w:left w:w="0" w:type="dxa"/>
              <w:bottom w:w="40" w:type="dxa"/>
              <w:right w:w="20" w:type="dxa"/>
            </w:tcMar>
            <w:vAlign w:val="bottom"/>
          </w:tcPr>
          <w:p w14:paraId="07DCFC63" w14:textId="77777777" w:rsidR="00AE727E" w:rsidRDefault="00AE727E">
            <w:pPr>
              <w:jc w:val="right"/>
              <w:rPr>
                <w:rFonts w:ascii="宋体"/>
              </w:rPr>
            </w:pPr>
          </w:p>
        </w:tc>
      </w:tr>
      <w:tr w:rsidR="00AE727E" w14:paraId="07DCFC71" w14:textId="77777777">
        <w:tc>
          <w:tcPr>
            <w:tcW w:w="0" w:type="auto"/>
            <w:gridSpan w:val="3"/>
            <w:shd w:val="clear" w:color="auto" w:fill="CCEEFF"/>
            <w:tcMar>
              <w:top w:w="40" w:type="dxa"/>
              <w:left w:w="365" w:type="dxa"/>
              <w:bottom w:w="40" w:type="dxa"/>
              <w:right w:w="20" w:type="dxa"/>
            </w:tcMar>
            <w:vAlign w:val="bottom"/>
          </w:tcPr>
          <w:p w14:paraId="07DCFC65" w14:textId="77777777" w:rsidR="00AE727E" w:rsidRDefault="008433E0">
            <w:pPr>
              <w:textAlignment w:val="bottom"/>
            </w:pPr>
            <w:r>
              <w:rPr>
                <w:rFonts w:ascii="Times New Roman" w:eastAsia="宋体" w:hAnsi="Times New Roman"/>
                <w:color w:val="000000"/>
                <w:sz w:val="20"/>
                <w:szCs w:val="20"/>
              </w:rPr>
              <w:t>Incremental dilution from VMware, Inc. attributable to Dell Technologies (a)</w:t>
            </w:r>
          </w:p>
        </w:tc>
        <w:tc>
          <w:tcPr>
            <w:tcW w:w="0" w:type="auto"/>
            <w:gridSpan w:val="2"/>
            <w:shd w:val="clear" w:color="auto" w:fill="CCEEFF"/>
            <w:tcMar>
              <w:top w:w="40" w:type="dxa"/>
              <w:left w:w="20" w:type="dxa"/>
              <w:bottom w:w="40" w:type="dxa"/>
              <w:right w:w="0" w:type="dxa"/>
            </w:tcMar>
            <w:vAlign w:val="bottom"/>
          </w:tcPr>
          <w:p w14:paraId="07DCFC66" w14:textId="77777777" w:rsidR="00AE727E" w:rsidRDefault="008433E0">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07DCFC6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6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69" w14:textId="77777777" w:rsidR="00AE727E" w:rsidRDefault="008433E0">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07DCFC6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6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6C" w14:textId="77777777" w:rsidR="00AE727E" w:rsidRDefault="008433E0">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07DCFC6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6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6F" w14:textId="77777777" w:rsidR="00AE727E" w:rsidRDefault="008433E0">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07DCFC70" w14:textId="77777777" w:rsidR="00AE727E" w:rsidRDefault="00AE727E">
            <w:pPr>
              <w:jc w:val="right"/>
              <w:rPr>
                <w:rFonts w:ascii="宋体"/>
              </w:rPr>
            </w:pPr>
          </w:p>
        </w:tc>
      </w:tr>
      <w:tr w:rsidR="00AE727E" w14:paraId="07DCFC82" w14:textId="77777777">
        <w:tc>
          <w:tcPr>
            <w:tcW w:w="0" w:type="auto"/>
            <w:gridSpan w:val="3"/>
            <w:shd w:val="clear" w:color="auto" w:fill="FFFFFF"/>
            <w:tcMar>
              <w:top w:w="40" w:type="dxa"/>
              <w:left w:w="20" w:type="dxa"/>
              <w:bottom w:w="40" w:type="dxa"/>
              <w:right w:w="20" w:type="dxa"/>
            </w:tcMar>
            <w:vAlign w:val="bottom"/>
          </w:tcPr>
          <w:p w14:paraId="07DCFC72" w14:textId="77777777" w:rsidR="00AE727E" w:rsidRDefault="008433E0">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FC7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C74" w14:textId="77777777" w:rsidR="00AE727E" w:rsidRDefault="008433E0">
            <w:pPr>
              <w:jc w:val="right"/>
              <w:textAlignment w:val="bottom"/>
            </w:pPr>
            <w:r>
              <w:rPr>
                <w:rFonts w:ascii="Times New Roman" w:eastAsia="宋体" w:hAnsi="Times New Roman"/>
                <w:color w:val="000000"/>
                <w:sz w:val="20"/>
                <w:szCs w:val="20"/>
              </w:rPr>
              <w:t>3,841 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C7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76"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C7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C78" w14:textId="77777777" w:rsidR="00AE727E" w:rsidRDefault="008433E0">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C7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7A"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C7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C7C" w14:textId="77777777" w:rsidR="00AE727E" w:rsidRDefault="008433E0">
            <w:pPr>
              <w:jc w:val="right"/>
              <w:textAlignment w:val="bottom"/>
            </w:pPr>
            <w:r>
              <w:rPr>
                <w:rFonts w:ascii="Times New Roman" w:eastAsia="宋体" w:hAnsi="Times New Roman"/>
                <w:color w:val="000000"/>
                <w:sz w:val="20"/>
                <w:szCs w:val="20"/>
              </w:rPr>
              <w:t>5,554 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C7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7E"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C7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C80" w14:textId="77777777" w:rsidR="00AE727E" w:rsidRDefault="008433E0">
            <w:pPr>
              <w:jc w:val="right"/>
              <w:textAlignment w:val="bottom"/>
            </w:pPr>
            <w:r>
              <w:rPr>
                <w:rFonts w:ascii="Times New Roman" w:eastAsia="宋体" w:hAnsi="Times New Roman"/>
                <w:color w:val="000000"/>
                <w:sz w:val="20"/>
                <w:szCs w:val="20"/>
              </w:rPr>
              <w:t>2,015 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C81" w14:textId="77777777" w:rsidR="00AE727E" w:rsidRDefault="00AE727E">
            <w:pPr>
              <w:jc w:val="right"/>
              <w:rPr>
                <w:rFonts w:ascii="宋体"/>
              </w:rPr>
            </w:pPr>
          </w:p>
        </w:tc>
      </w:tr>
      <w:tr w:rsidR="00AE727E" w14:paraId="07DCFC8B" w14:textId="77777777">
        <w:trPr>
          <w:trHeight w:val="280"/>
        </w:trPr>
        <w:tc>
          <w:tcPr>
            <w:tcW w:w="0" w:type="auto"/>
            <w:gridSpan w:val="3"/>
            <w:shd w:val="clear" w:color="auto" w:fill="CCEEFF"/>
            <w:tcMar>
              <w:top w:w="0" w:type="dxa"/>
              <w:left w:w="20" w:type="dxa"/>
              <w:bottom w:w="0" w:type="dxa"/>
              <w:right w:w="20" w:type="dxa"/>
            </w:tcMar>
            <w:vAlign w:val="bottom"/>
          </w:tcPr>
          <w:p w14:paraId="07DCFC83"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C8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85"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C8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87"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C8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C89"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CFC8A" w14:textId="77777777" w:rsidR="00AE727E" w:rsidRDefault="00AE727E">
            <w:pPr>
              <w:rPr>
                <w:rFonts w:ascii="宋体"/>
              </w:rPr>
            </w:pPr>
          </w:p>
        </w:tc>
      </w:tr>
      <w:tr w:rsidR="00AE727E" w14:paraId="07DCFC91" w14:textId="77777777">
        <w:tc>
          <w:tcPr>
            <w:tcW w:w="0" w:type="auto"/>
            <w:gridSpan w:val="12"/>
            <w:shd w:val="clear" w:color="auto" w:fill="FFFFFF"/>
            <w:tcMar>
              <w:top w:w="40" w:type="dxa"/>
              <w:left w:w="20" w:type="dxa"/>
              <w:bottom w:w="40" w:type="dxa"/>
              <w:right w:w="20" w:type="dxa"/>
            </w:tcMar>
            <w:vAlign w:val="bottom"/>
          </w:tcPr>
          <w:p w14:paraId="07DCFC8C" w14:textId="77777777" w:rsidR="00AE727E" w:rsidRDefault="008433E0">
            <w:pPr>
              <w:textAlignment w:val="bottom"/>
            </w:pPr>
            <w:r>
              <w:rPr>
                <w:rFonts w:ascii="Times New Roman" w:eastAsia="宋体" w:hAnsi="Times New Roman"/>
                <w:i/>
                <w:iCs/>
                <w:color w:val="000000"/>
                <w:sz w:val="20"/>
                <w:szCs w:val="20"/>
              </w:rPr>
              <w:t>Denominator: Dell Technologies Common Stock weighted-average shares outstanding</w:t>
            </w:r>
          </w:p>
        </w:tc>
        <w:tc>
          <w:tcPr>
            <w:tcW w:w="0" w:type="auto"/>
            <w:gridSpan w:val="3"/>
            <w:shd w:val="clear" w:color="auto" w:fill="FFFFFF"/>
            <w:tcMar>
              <w:top w:w="0" w:type="dxa"/>
              <w:left w:w="20" w:type="dxa"/>
              <w:bottom w:w="0" w:type="dxa"/>
              <w:right w:w="20" w:type="dxa"/>
            </w:tcMar>
            <w:vAlign w:val="bottom"/>
          </w:tcPr>
          <w:p w14:paraId="07DCFC8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C8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C8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C90" w14:textId="77777777" w:rsidR="00AE727E" w:rsidRDefault="00AE727E">
            <w:pPr>
              <w:rPr>
                <w:rFonts w:ascii="宋体"/>
              </w:rPr>
            </w:pPr>
          </w:p>
        </w:tc>
      </w:tr>
      <w:tr w:rsidR="00AE727E" w14:paraId="07DCFC9E" w14:textId="77777777">
        <w:tc>
          <w:tcPr>
            <w:tcW w:w="0" w:type="auto"/>
            <w:gridSpan w:val="3"/>
            <w:shd w:val="clear" w:color="auto" w:fill="CCEEFF"/>
            <w:tcMar>
              <w:top w:w="40" w:type="dxa"/>
              <w:left w:w="20" w:type="dxa"/>
              <w:bottom w:w="40" w:type="dxa"/>
              <w:right w:w="20" w:type="dxa"/>
            </w:tcMar>
            <w:vAlign w:val="bottom"/>
          </w:tcPr>
          <w:p w14:paraId="07DCFC92" w14:textId="77777777" w:rsidR="00AE727E" w:rsidRDefault="008433E0">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CCEEFF"/>
            <w:tcMar>
              <w:top w:w="40" w:type="dxa"/>
              <w:left w:w="20" w:type="dxa"/>
              <w:bottom w:w="40" w:type="dxa"/>
              <w:right w:w="0" w:type="dxa"/>
            </w:tcMar>
            <w:vAlign w:val="bottom"/>
          </w:tcPr>
          <w:p w14:paraId="07DCFC93" w14:textId="77777777" w:rsidR="00AE727E" w:rsidRDefault="008433E0">
            <w:pPr>
              <w:jc w:val="right"/>
              <w:textAlignment w:val="bottom"/>
            </w:pPr>
            <w:r>
              <w:rPr>
                <w:rFonts w:ascii="Times New Roman" w:eastAsia="宋体" w:hAnsi="Times New Roman"/>
                <w:color w:val="000000"/>
                <w:sz w:val="20"/>
                <w:szCs w:val="20"/>
              </w:rPr>
              <w:t>766 </w:t>
            </w:r>
          </w:p>
        </w:tc>
        <w:tc>
          <w:tcPr>
            <w:tcW w:w="0" w:type="auto"/>
            <w:shd w:val="clear" w:color="auto" w:fill="CCEEFF"/>
            <w:tcMar>
              <w:top w:w="40" w:type="dxa"/>
              <w:left w:w="0" w:type="dxa"/>
              <w:bottom w:w="40" w:type="dxa"/>
              <w:right w:w="20" w:type="dxa"/>
            </w:tcMar>
            <w:vAlign w:val="bottom"/>
          </w:tcPr>
          <w:p w14:paraId="07DCFC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9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96" w14:textId="77777777" w:rsidR="00AE727E" w:rsidRDefault="008433E0">
            <w:pPr>
              <w:jc w:val="right"/>
              <w:textAlignment w:val="bottom"/>
            </w:pPr>
            <w:r>
              <w:rPr>
                <w:rFonts w:ascii="Times New Roman" w:eastAsia="宋体" w:hAnsi="Times New Roman"/>
                <w:color w:val="000000"/>
                <w:sz w:val="20"/>
                <w:szCs w:val="20"/>
              </w:rPr>
              <w:t>747 </w:t>
            </w:r>
          </w:p>
        </w:tc>
        <w:tc>
          <w:tcPr>
            <w:tcW w:w="0" w:type="auto"/>
            <w:shd w:val="clear" w:color="auto" w:fill="CCEEFF"/>
            <w:tcMar>
              <w:top w:w="40" w:type="dxa"/>
              <w:left w:w="0" w:type="dxa"/>
              <w:bottom w:w="40" w:type="dxa"/>
              <w:right w:w="20" w:type="dxa"/>
            </w:tcMar>
            <w:vAlign w:val="bottom"/>
          </w:tcPr>
          <w:p w14:paraId="07DCFC9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9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99" w14:textId="77777777" w:rsidR="00AE727E" w:rsidRDefault="008433E0">
            <w:pPr>
              <w:jc w:val="right"/>
              <w:textAlignment w:val="bottom"/>
            </w:pPr>
            <w:r>
              <w:rPr>
                <w:rFonts w:ascii="Times New Roman" w:eastAsia="宋体" w:hAnsi="Times New Roman"/>
                <w:color w:val="000000"/>
                <w:sz w:val="20"/>
                <w:szCs w:val="20"/>
              </w:rPr>
              <w:t>762 </w:t>
            </w:r>
          </w:p>
        </w:tc>
        <w:tc>
          <w:tcPr>
            <w:tcW w:w="0" w:type="auto"/>
            <w:shd w:val="clear" w:color="auto" w:fill="CCEEFF"/>
            <w:tcMar>
              <w:top w:w="40" w:type="dxa"/>
              <w:left w:w="0" w:type="dxa"/>
              <w:bottom w:w="40" w:type="dxa"/>
              <w:right w:w="20" w:type="dxa"/>
            </w:tcMar>
            <w:vAlign w:val="bottom"/>
          </w:tcPr>
          <w:p w14:paraId="07DCFC9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9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C9C" w14:textId="77777777" w:rsidR="00AE727E" w:rsidRDefault="008433E0">
            <w:pPr>
              <w:jc w:val="right"/>
              <w:textAlignment w:val="bottom"/>
            </w:pPr>
            <w:r>
              <w:rPr>
                <w:rFonts w:ascii="Times New Roman" w:eastAsia="宋体" w:hAnsi="Times New Roman"/>
                <w:color w:val="000000"/>
                <w:sz w:val="20"/>
                <w:szCs w:val="20"/>
              </w:rPr>
              <w:t>742 </w:t>
            </w:r>
          </w:p>
        </w:tc>
        <w:tc>
          <w:tcPr>
            <w:tcW w:w="0" w:type="auto"/>
            <w:shd w:val="clear" w:color="auto" w:fill="CCEEFF"/>
            <w:tcMar>
              <w:top w:w="40" w:type="dxa"/>
              <w:left w:w="0" w:type="dxa"/>
              <w:bottom w:w="40" w:type="dxa"/>
              <w:right w:w="20" w:type="dxa"/>
            </w:tcMar>
            <w:vAlign w:val="bottom"/>
          </w:tcPr>
          <w:p w14:paraId="07DCFC9D" w14:textId="77777777" w:rsidR="00AE727E" w:rsidRDefault="00AE727E">
            <w:pPr>
              <w:jc w:val="right"/>
              <w:rPr>
                <w:rFonts w:ascii="宋体"/>
              </w:rPr>
            </w:pPr>
          </w:p>
        </w:tc>
      </w:tr>
      <w:tr w:rsidR="00AE727E" w14:paraId="07DCFCAB" w14:textId="77777777">
        <w:tc>
          <w:tcPr>
            <w:tcW w:w="0" w:type="auto"/>
            <w:gridSpan w:val="3"/>
            <w:shd w:val="clear" w:color="auto" w:fill="FFFFFF"/>
            <w:tcMar>
              <w:top w:w="40" w:type="dxa"/>
              <w:left w:w="365" w:type="dxa"/>
              <w:bottom w:w="40" w:type="dxa"/>
              <w:right w:w="20" w:type="dxa"/>
            </w:tcMar>
            <w:vAlign w:val="bottom"/>
          </w:tcPr>
          <w:p w14:paraId="07DCFC9F" w14:textId="77777777" w:rsidR="00AE727E" w:rsidRDefault="008433E0">
            <w:pPr>
              <w:textAlignment w:val="bottom"/>
            </w:pPr>
            <w:r>
              <w:rPr>
                <w:rFonts w:ascii="Times New Roman" w:eastAsia="宋体" w:hAnsi="Times New Roman"/>
                <w:color w:val="000000"/>
                <w:sz w:val="20"/>
                <w:szCs w:val="20"/>
              </w:rPr>
              <w:t>Dilutive effect of options, restricted stock units, restricted stock, and other</w:t>
            </w:r>
          </w:p>
        </w:tc>
        <w:tc>
          <w:tcPr>
            <w:tcW w:w="0" w:type="auto"/>
            <w:gridSpan w:val="2"/>
            <w:shd w:val="clear" w:color="auto" w:fill="FFFFFF"/>
            <w:tcMar>
              <w:top w:w="40" w:type="dxa"/>
              <w:left w:w="20" w:type="dxa"/>
              <w:bottom w:w="40" w:type="dxa"/>
              <w:right w:w="0" w:type="dxa"/>
            </w:tcMar>
            <w:vAlign w:val="bottom"/>
          </w:tcPr>
          <w:p w14:paraId="07DCFCA0" w14:textId="77777777" w:rsidR="00AE727E" w:rsidRDefault="008433E0">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DCFCA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A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CA3" w14:textId="77777777" w:rsidR="00AE727E" w:rsidRDefault="008433E0">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DCFCA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A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CA6" w14:textId="77777777" w:rsidR="00AE727E" w:rsidRDefault="008433E0">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07DCFCA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A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CA9" w14:textId="77777777" w:rsidR="00AE727E" w:rsidRDefault="008433E0">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DCFCAA" w14:textId="77777777" w:rsidR="00AE727E" w:rsidRDefault="00AE727E">
            <w:pPr>
              <w:jc w:val="right"/>
              <w:rPr>
                <w:rFonts w:ascii="宋体"/>
              </w:rPr>
            </w:pPr>
          </w:p>
        </w:tc>
      </w:tr>
      <w:tr w:rsidR="00AE727E" w14:paraId="07DCFCB8" w14:textId="77777777">
        <w:tc>
          <w:tcPr>
            <w:tcW w:w="0" w:type="auto"/>
            <w:gridSpan w:val="3"/>
            <w:shd w:val="clear" w:color="auto" w:fill="CCEEFF"/>
            <w:tcMar>
              <w:top w:w="40" w:type="dxa"/>
              <w:left w:w="20" w:type="dxa"/>
              <w:bottom w:w="40" w:type="dxa"/>
              <w:right w:w="20" w:type="dxa"/>
            </w:tcMar>
            <w:vAlign w:val="bottom"/>
          </w:tcPr>
          <w:p w14:paraId="07DCFCAC" w14:textId="77777777" w:rsidR="00AE727E" w:rsidRDefault="008433E0">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CAD" w14:textId="77777777" w:rsidR="00AE727E" w:rsidRDefault="008433E0">
            <w:pPr>
              <w:jc w:val="right"/>
              <w:textAlignment w:val="bottom"/>
            </w:pPr>
            <w:r>
              <w:rPr>
                <w:rFonts w:ascii="Times New Roman" w:eastAsia="宋体" w:hAnsi="Times New Roman"/>
                <w:color w:val="000000"/>
                <w:sz w:val="20"/>
                <w:szCs w:val="20"/>
              </w:rPr>
              <w:t>788 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CA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AF"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CB0" w14:textId="77777777" w:rsidR="00AE727E" w:rsidRDefault="008433E0">
            <w:pPr>
              <w:jc w:val="right"/>
              <w:textAlignment w:val="bottom"/>
            </w:pPr>
            <w:r>
              <w:rPr>
                <w:rFonts w:ascii="Times New Roman" w:eastAsia="宋体" w:hAnsi="Times New Roman"/>
                <w:color w:val="000000"/>
                <w:sz w:val="20"/>
                <w:szCs w:val="20"/>
              </w:rPr>
              <w:t>771 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CB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B2"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CB3" w14:textId="77777777" w:rsidR="00AE727E" w:rsidRDefault="008433E0">
            <w:pPr>
              <w:jc w:val="right"/>
              <w:textAlignment w:val="bottom"/>
            </w:pPr>
            <w:r>
              <w:rPr>
                <w:rFonts w:ascii="Times New Roman" w:eastAsia="宋体" w:hAnsi="Times New Roman"/>
                <w:color w:val="000000"/>
                <w:sz w:val="20"/>
                <w:szCs w:val="20"/>
              </w:rPr>
              <w:t>785 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CB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CB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CB6" w14:textId="77777777" w:rsidR="00AE727E" w:rsidRDefault="008433E0">
            <w:pPr>
              <w:jc w:val="right"/>
              <w:textAlignment w:val="bottom"/>
            </w:pPr>
            <w:r>
              <w:rPr>
                <w:rFonts w:ascii="Times New Roman" w:eastAsia="宋体" w:hAnsi="Times New Roman"/>
                <w:color w:val="000000"/>
                <w:sz w:val="20"/>
                <w:szCs w:val="20"/>
              </w:rPr>
              <w:t>764 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CB7" w14:textId="77777777" w:rsidR="00AE727E" w:rsidRDefault="00AE727E">
            <w:pPr>
              <w:jc w:val="right"/>
              <w:rPr>
                <w:rFonts w:ascii="宋体"/>
              </w:rPr>
            </w:pPr>
          </w:p>
        </w:tc>
      </w:tr>
      <w:tr w:rsidR="00AE727E" w14:paraId="07DCFCC5" w14:textId="77777777">
        <w:tc>
          <w:tcPr>
            <w:tcW w:w="0" w:type="auto"/>
            <w:gridSpan w:val="3"/>
            <w:shd w:val="clear" w:color="auto" w:fill="FFFFFF"/>
            <w:tcMar>
              <w:top w:w="40" w:type="dxa"/>
              <w:left w:w="20" w:type="dxa"/>
              <w:bottom w:w="40" w:type="dxa"/>
              <w:right w:w="20" w:type="dxa"/>
            </w:tcMar>
            <w:vAlign w:val="bottom"/>
          </w:tcPr>
          <w:p w14:paraId="07DCFCB9" w14:textId="77777777" w:rsidR="00AE727E" w:rsidRDefault="008433E0">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7DCFCBA"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CFCB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BC" w14:textId="77777777" w:rsidR="00AE727E" w:rsidRDefault="00AE727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7DCFCBD"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CFCB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BF" w14:textId="77777777" w:rsidR="00AE727E" w:rsidRDefault="00AE727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7DCFCC0"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CFCC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CC2" w14:textId="77777777" w:rsidR="00AE727E" w:rsidRDefault="00AE727E">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7DCFCC3" w14:textId="77777777" w:rsidR="00AE727E" w:rsidRDefault="008433E0">
            <w:pPr>
              <w:jc w:val="right"/>
              <w:textAlignment w:val="bottom"/>
            </w:pPr>
            <w:r>
              <w:rPr>
                <w:rFonts w:ascii="Times New Roman" w:eastAsia="宋体" w:hAnsi="Times New Roman"/>
                <w:color w:val="000000"/>
                <w:sz w:val="20"/>
                <w:szCs w:val="20"/>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CFCC4" w14:textId="77777777" w:rsidR="00AE727E" w:rsidRDefault="00AE727E">
            <w:pPr>
              <w:jc w:val="right"/>
              <w:rPr>
                <w:rFonts w:ascii="宋体"/>
              </w:rPr>
            </w:pPr>
          </w:p>
        </w:tc>
      </w:tr>
    </w:tbl>
    <w:p w14:paraId="07DCFCC6" w14:textId="77777777" w:rsidR="00AE727E" w:rsidRDefault="008433E0">
      <w:r>
        <w:rPr>
          <w:rFonts w:ascii="Times New Roman" w:eastAsia="宋体" w:hAnsi="Times New Roman"/>
          <w:color w:val="000000"/>
          <w:sz w:val="20"/>
          <w:szCs w:val="20"/>
        </w:rPr>
        <w:t>____________________</w:t>
      </w:r>
    </w:p>
    <w:p w14:paraId="07DCFCC7" w14:textId="77777777" w:rsidR="00AE727E" w:rsidRDefault="008433E0">
      <w:pPr>
        <w:ind w:hanging="360"/>
      </w:pPr>
      <w:r>
        <w:rPr>
          <w:rFonts w:ascii="Times New Roman" w:eastAsia="宋体" w:hAnsi="Times New Roman"/>
          <w:color w:val="000000"/>
          <w:sz w:val="20"/>
          <w:szCs w:val="20"/>
        </w:rPr>
        <w:t xml:space="preserve">(a)The incremental dilution from VMware, Inc. attributable to Dell </w:t>
      </w:r>
      <w:r>
        <w:rPr>
          <w:rFonts w:ascii="Times New Roman" w:eastAsia="宋体" w:hAnsi="Times New Roman"/>
          <w:color w:val="000000"/>
          <w:sz w:val="20"/>
          <w:szCs w:val="20"/>
        </w:rPr>
        <w:t>Technologies represents the impact of VMware, Inc.’s dilutive securities on diluted earnings per share of Dell Technologies Common Stock, and is calculated by multiplying the difference between VMware, Inc.’s basic and diluted earnings per share by the num</w:t>
      </w:r>
      <w:r>
        <w:rPr>
          <w:rFonts w:ascii="Times New Roman" w:eastAsia="宋体" w:hAnsi="Times New Roman"/>
          <w:color w:val="000000"/>
          <w:sz w:val="20"/>
          <w:szCs w:val="20"/>
        </w:rPr>
        <w:t>ber of shares of VMware, Inc. common stock held by the Company. For both periods presented, there was no incremental dilution from Secureworks due to its net loss position.</w:t>
      </w:r>
    </w:p>
    <w:p w14:paraId="07DCFCC8" w14:textId="77777777" w:rsidR="00AE727E" w:rsidRDefault="00AE727E">
      <w:pPr>
        <w:jc w:val="center"/>
      </w:pPr>
    </w:p>
    <w:p w14:paraId="07DCFCC9" w14:textId="77777777" w:rsidR="00AE727E" w:rsidRDefault="008433E0">
      <w:pPr>
        <w:jc w:val="center"/>
      </w:pPr>
      <w:r>
        <w:rPr>
          <w:rFonts w:ascii="Times New Roman" w:eastAsia="宋体" w:hAnsi="Times New Roman"/>
          <w:color w:val="000000"/>
          <w:sz w:val="20"/>
          <w:szCs w:val="20"/>
        </w:rPr>
        <w:t>50</w:t>
      </w:r>
    </w:p>
    <w:p w14:paraId="07DCFCCA" w14:textId="77777777" w:rsidR="00AE727E" w:rsidRDefault="00AE727E">
      <w:pPr>
        <w:jc w:val="center"/>
      </w:pPr>
    </w:p>
    <w:p w14:paraId="07DCFCCB" w14:textId="77777777" w:rsidR="00AE727E" w:rsidRDefault="008433E0">
      <w:r>
        <w:pict w14:anchorId="07DD1902">
          <v:rect id="_x0000_i1074" style="width:415.3pt;height:1.5pt" o:hralign="center" o:hrstd="t" o:hr="t" fillcolor="#a0a0a0" stroked="f"/>
        </w:pict>
      </w:r>
    </w:p>
    <w:p w14:paraId="07DCFCCC" w14:textId="77777777" w:rsidR="00AE727E" w:rsidRDefault="008433E0">
      <w:hyperlink r:id="rId175" w:anchor="i1c8279be622a460ea19600488436f115_10" w:history="1">
        <w:r>
          <w:rPr>
            <w:rStyle w:val="a5"/>
            <w:rFonts w:ascii="Times New Roman" w:eastAsia="宋体" w:hAnsi="Times New Roman"/>
            <w:sz w:val="20"/>
            <w:szCs w:val="20"/>
          </w:rPr>
          <w:t>Table of Contents</w:t>
        </w:r>
      </w:hyperlink>
    </w:p>
    <w:p w14:paraId="07DCFCCD"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CCE"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CFCCF"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CD0" w14:textId="77777777" w:rsidR="00AE727E" w:rsidRDefault="00AE727E">
      <w:pPr>
        <w:jc w:val="center"/>
      </w:pPr>
    </w:p>
    <w:p w14:paraId="07DCFCD1" w14:textId="77777777" w:rsidR="00AE727E" w:rsidRDefault="008433E0">
      <w:r>
        <w:rPr>
          <w:rFonts w:ascii="Times New Roman" w:eastAsia="宋体" w:hAnsi="Times New Roman"/>
          <w:b/>
          <w:bCs/>
          <w:color w:val="000000"/>
          <w:sz w:val="20"/>
          <w:szCs w:val="20"/>
        </w:rPr>
        <w:t>NOTE 15</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REDEEMABLE SHARES </w:t>
      </w:r>
    </w:p>
    <w:p w14:paraId="07DCFCD2" w14:textId="77777777" w:rsidR="00AE727E" w:rsidRDefault="00AE727E"/>
    <w:p w14:paraId="07DCFCD3" w14:textId="77777777" w:rsidR="00AE727E" w:rsidRDefault="008433E0">
      <w:r>
        <w:rPr>
          <w:rFonts w:ascii="Times New Roman" w:eastAsia="宋体" w:hAnsi="Times New Roman"/>
          <w:color w:val="000000"/>
          <w:sz w:val="20"/>
          <w:szCs w:val="20"/>
        </w:rPr>
        <w:t>Through June 27, 2021, awards under the Company’s stock incentive plans included certain rights that allowed the holder to exercise a put feature for the underlying Class A or Class C Common</w:t>
      </w:r>
      <w:r>
        <w:rPr>
          <w:rFonts w:ascii="Times New Roman" w:eastAsia="宋体" w:hAnsi="Times New Roman"/>
          <w:color w:val="000000"/>
          <w:sz w:val="20"/>
          <w:szCs w:val="20"/>
        </w:rPr>
        <w:t xml:space="preserve"> Stock after a six month holding period following the issuance of such common stock. The put feature required the Company to purchase the stock at its fair market value. Accordingly, these awards and such common stock were subject to reclassification from </w:t>
      </w:r>
      <w:r>
        <w:rPr>
          <w:rFonts w:ascii="Times New Roman" w:eastAsia="宋体" w:hAnsi="Times New Roman"/>
          <w:color w:val="000000"/>
          <w:sz w:val="20"/>
          <w:szCs w:val="20"/>
        </w:rPr>
        <w:t>equity to temporary equity.</w:t>
      </w:r>
      <w:r>
        <w:rPr>
          <w:rFonts w:ascii="Times New Roman" w:eastAsia="宋体" w:hAnsi="Times New Roman"/>
          <w:color w:val="000000"/>
        </w:rPr>
        <w:t xml:space="preserve"> </w:t>
      </w:r>
      <w:r>
        <w:rPr>
          <w:rFonts w:ascii="Times New Roman" w:eastAsia="宋体" w:hAnsi="Times New Roman"/>
          <w:color w:val="000000"/>
          <w:sz w:val="20"/>
          <w:szCs w:val="20"/>
        </w:rPr>
        <w:t>The put feature expired on June 27, 2021, and as a result there were no issued and outstanding awards that were reclassified as temporary equity as of October 29, 2021.</w:t>
      </w:r>
    </w:p>
    <w:p w14:paraId="07DCFCD4" w14:textId="77777777" w:rsidR="00AE727E" w:rsidRDefault="00AE727E"/>
    <w:p w14:paraId="07DCFCD5" w14:textId="77777777" w:rsidR="00AE727E" w:rsidRDefault="008433E0">
      <w:r>
        <w:rPr>
          <w:rFonts w:ascii="Times New Roman" w:eastAsia="宋体" w:hAnsi="Times New Roman"/>
          <w:color w:val="000000"/>
          <w:sz w:val="20"/>
          <w:szCs w:val="20"/>
        </w:rPr>
        <w:t xml:space="preserve">As of the fiscal year ended January 29, 2021, the Company </w:t>
      </w:r>
      <w:r>
        <w:rPr>
          <w:rFonts w:ascii="Times New Roman" w:eastAsia="宋体" w:hAnsi="Times New Roman"/>
          <w:color w:val="000000"/>
          <w:sz w:val="20"/>
          <w:szCs w:val="20"/>
        </w:rPr>
        <w:t>determined the award amounts to be classified as temporary equity as follows:</w:t>
      </w:r>
    </w:p>
    <w:p w14:paraId="07DCFCD6" w14:textId="77777777" w:rsidR="00AE727E" w:rsidRDefault="00AE727E"/>
    <w:p w14:paraId="07DCFCD7" w14:textId="77777777" w:rsidR="00AE727E" w:rsidRDefault="008433E0">
      <w:pPr>
        <w:ind w:hanging="360"/>
      </w:pPr>
      <w:r>
        <w:rPr>
          <w:rFonts w:ascii="Times New Roman" w:eastAsia="宋体" w:hAnsi="Times New Roman"/>
          <w:color w:val="000000"/>
          <w:sz w:val="20"/>
          <w:szCs w:val="20"/>
        </w:rPr>
        <w:t>•For stock options to purchase Class C Common Stock subject to service requirements, the intrinsic value of the option was multiplied by the portion of the option for which serv</w:t>
      </w:r>
      <w:r>
        <w:rPr>
          <w:rFonts w:ascii="Times New Roman" w:eastAsia="宋体" w:hAnsi="Times New Roman"/>
          <w:color w:val="000000"/>
          <w:sz w:val="20"/>
          <w:szCs w:val="20"/>
        </w:rPr>
        <w:t>ices had been rendered. Upon exercise of the option, the amount in temporary equity represented the fair value of the Class C Common Stock.</w:t>
      </w:r>
    </w:p>
    <w:p w14:paraId="07DCFCD8" w14:textId="77777777" w:rsidR="00AE727E" w:rsidRDefault="00AE727E"/>
    <w:p w14:paraId="07DCFCD9" w14:textId="77777777" w:rsidR="00AE727E" w:rsidRDefault="008433E0">
      <w:pPr>
        <w:ind w:hanging="360"/>
      </w:pPr>
      <w:r>
        <w:rPr>
          <w:rFonts w:ascii="Times New Roman" w:eastAsia="宋体" w:hAnsi="Times New Roman"/>
          <w:color w:val="000000"/>
          <w:sz w:val="20"/>
          <w:szCs w:val="20"/>
        </w:rPr>
        <w:t xml:space="preserve">•For stock appreciation rights, restricted stock units, or restricted stock awards, any of which stock award types </w:t>
      </w:r>
      <w:r>
        <w:rPr>
          <w:rFonts w:ascii="Times New Roman" w:eastAsia="宋体" w:hAnsi="Times New Roman"/>
          <w:color w:val="000000"/>
          <w:sz w:val="20"/>
          <w:szCs w:val="20"/>
        </w:rPr>
        <w:t>are subject to service requirements, the fair value of the share is multiplied by the portion of the share for which services have been rendered.</w:t>
      </w:r>
    </w:p>
    <w:p w14:paraId="07DCFCDA" w14:textId="77777777" w:rsidR="00AE727E" w:rsidRDefault="00AE727E"/>
    <w:p w14:paraId="07DCFCDB" w14:textId="77777777" w:rsidR="00AE727E" w:rsidRDefault="008433E0">
      <w:pPr>
        <w:ind w:hanging="360"/>
      </w:pPr>
      <w:r>
        <w:rPr>
          <w:rFonts w:ascii="Times New Roman" w:eastAsia="宋体" w:hAnsi="Times New Roman"/>
          <w:color w:val="000000"/>
          <w:sz w:val="20"/>
          <w:szCs w:val="20"/>
        </w:rPr>
        <w:t>•For share-based arrangements that were subject to the occurrence of a contingent event, those amounts were r</w:t>
      </w:r>
      <w:r>
        <w:rPr>
          <w:rFonts w:ascii="Times New Roman" w:eastAsia="宋体" w:hAnsi="Times New Roman"/>
          <w:color w:val="000000"/>
          <w:sz w:val="20"/>
          <w:szCs w:val="20"/>
        </w:rPr>
        <w:t>eclassified to temporary equity based on a probability assessment performed by the Company on a periodic basis. Contingent events included the achievement of performance-based metrics.</w:t>
      </w:r>
    </w:p>
    <w:p w14:paraId="07DCFCDC" w14:textId="77777777" w:rsidR="00AE727E" w:rsidRDefault="00AE727E"/>
    <w:p w14:paraId="07DCFCDD" w14:textId="77777777" w:rsidR="00AE727E" w:rsidRDefault="008433E0">
      <w:pPr>
        <w:spacing w:after="60"/>
      </w:pPr>
      <w:r>
        <w:rPr>
          <w:rFonts w:ascii="Times New Roman" w:eastAsia="宋体" w:hAnsi="Times New Roman"/>
          <w:color w:val="000000"/>
          <w:sz w:val="20"/>
          <w:szCs w:val="20"/>
        </w:rPr>
        <w:t>The following table presents the amount of redeemable shares classifie</w:t>
      </w:r>
      <w:r>
        <w:rPr>
          <w:rFonts w:ascii="Times New Roman" w:eastAsia="宋体" w:hAnsi="Times New Roman"/>
          <w:color w:val="000000"/>
          <w:sz w:val="20"/>
          <w:szCs w:val="20"/>
        </w:rPr>
        <w:t>d as temporary equity and summarizes the award type as of the fiscal year ended January 29,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6831"/>
        <w:gridCol w:w="36"/>
        <w:gridCol w:w="36"/>
        <w:gridCol w:w="36"/>
        <w:gridCol w:w="36"/>
        <w:gridCol w:w="36"/>
        <w:gridCol w:w="121"/>
        <w:gridCol w:w="1131"/>
        <w:gridCol w:w="36"/>
      </w:tblGrid>
      <w:tr w:rsidR="00AE727E" w14:paraId="07DCFCE8" w14:textId="77777777">
        <w:tc>
          <w:tcPr>
            <w:tcW w:w="50" w:type="pct"/>
            <w:shd w:val="clear" w:color="auto" w:fill="auto"/>
            <w:vAlign w:val="bottom"/>
          </w:tcPr>
          <w:p w14:paraId="07DCFCDE" w14:textId="77777777" w:rsidR="00AE727E" w:rsidRDefault="00AE727E">
            <w:pPr>
              <w:rPr>
                <w:rFonts w:ascii="宋体"/>
              </w:rPr>
            </w:pPr>
          </w:p>
        </w:tc>
        <w:tc>
          <w:tcPr>
            <w:tcW w:w="4148" w:type="pct"/>
            <w:shd w:val="clear" w:color="auto" w:fill="auto"/>
            <w:vAlign w:val="bottom"/>
          </w:tcPr>
          <w:p w14:paraId="07DCFCDF" w14:textId="77777777" w:rsidR="00AE727E" w:rsidRDefault="00AE727E">
            <w:pPr>
              <w:rPr>
                <w:rFonts w:ascii="宋体"/>
              </w:rPr>
            </w:pPr>
          </w:p>
        </w:tc>
        <w:tc>
          <w:tcPr>
            <w:tcW w:w="5" w:type="pct"/>
            <w:shd w:val="clear" w:color="auto" w:fill="auto"/>
            <w:vAlign w:val="bottom"/>
          </w:tcPr>
          <w:p w14:paraId="07DCFCE0" w14:textId="77777777" w:rsidR="00AE727E" w:rsidRDefault="00AE727E">
            <w:pPr>
              <w:rPr>
                <w:rFonts w:ascii="宋体"/>
              </w:rPr>
            </w:pPr>
          </w:p>
        </w:tc>
        <w:tc>
          <w:tcPr>
            <w:tcW w:w="0" w:type="auto"/>
            <w:shd w:val="clear" w:color="auto" w:fill="auto"/>
            <w:vAlign w:val="bottom"/>
          </w:tcPr>
          <w:p w14:paraId="07DCFCE1" w14:textId="77777777" w:rsidR="00AE727E" w:rsidRDefault="00AE727E">
            <w:pPr>
              <w:rPr>
                <w:rFonts w:ascii="宋体"/>
                <w:vanish/>
              </w:rPr>
            </w:pPr>
          </w:p>
        </w:tc>
        <w:tc>
          <w:tcPr>
            <w:tcW w:w="5" w:type="pct"/>
            <w:shd w:val="clear" w:color="auto" w:fill="auto"/>
            <w:vAlign w:val="bottom"/>
          </w:tcPr>
          <w:p w14:paraId="07DCFCE2" w14:textId="77777777" w:rsidR="00AE727E" w:rsidRDefault="00AE727E">
            <w:pPr>
              <w:rPr>
                <w:rFonts w:ascii="宋体"/>
              </w:rPr>
            </w:pPr>
          </w:p>
        </w:tc>
        <w:tc>
          <w:tcPr>
            <w:tcW w:w="19" w:type="pct"/>
            <w:shd w:val="clear" w:color="auto" w:fill="auto"/>
            <w:vAlign w:val="bottom"/>
          </w:tcPr>
          <w:p w14:paraId="07DCFCE3" w14:textId="77777777" w:rsidR="00AE727E" w:rsidRDefault="00AE727E">
            <w:pPr>
              <w:rPr>
                <w:rFonts w:ascii="宋体"/>
              </w:rPr>
            </w:pPr>
          </w:p>
        </w:tc>
        <w:tc>
          <w:tcPr>
            <w:tcW w:w="5" w:type="pct"/>
            <w:shd w:val="clear" w:color="auto" w:fill="auto"/>
            <w:vAlign w:val="bottom"/>
          </w:tcPr>
          <w:p w14:paraId="07DCFCE4" w14:textId="77777777" w:rsidR="00AE727E" w:rsidRDefault="00AE727E">
            <w:pPr>
              <w:rPr>
                <w:rFonts w:ascii="宋体"/>
              </w:rPr>
            </w:pPr>
          </w:p>
        </w:tc>
        <w:tc>
          <w:tcPr>
            <w:tcW w:w="50" w:type="pct"/>
            <w:shd w:val="clear" w:color="auto" w:fill="auto"/>
            <w:vAlign w:val="bottom"/>
          </w:tcPr>
          <w:p w14:paraId="07DCFCE5" w14:textId="77777777" w:rsidR="00AE727E" w:rsidRDefault="00AE727E">
            <w:pPr>
              <w:rPr>
                <w:rFonts w:ascii="宋体"/>
              </w:rPr>
            </w:pPr>
          </w:p>
        </w:tc>
        <w:tc>
          <w:tcPr>
            <w:tcW w:w="712" w:type="pct"/>
            <w:shd w:val="clear" w:color="auto" w:fill="auto"/>
            <w:vAlign w:val="bottom"/>
          </w:tcPr>
          <w:p w14:paraId="07DCFCE6" w14:textId="77777777" w:rsidR="00AE727E" w:rsidRDefault="00AE727E">
            <w:pPr>
              <w:rPr>
                <w:rFonts w:ascii="宋体"/>
              </w:rPr>
            </w:pPr>
          </w:p>
        </w:tc>
        <w:tc>
          <w:tcPr>
            <w:tcW w:w="5" w:type="pct"/>
            <w:shd w:val="clear" w:color="auto" w:fill="auto"/>
            <w:vAlign w:val="bottom"/>
          </w:tcPr>
          <w:p w14:paraId="07DCFCE7" w14:textId="77777777" w:rsidR="00AE727E" w:rsidRDefault="00AE727E">
            <w:pPr>
              <w:rPr>
                <w:rFonts w:ascii="宋体"/>
              </w:rPr>
            </w:pPr>
          </w:p>
        </w:tc>
      </w:tr>
      <w:tr w:rsidR="00AE727E" w14:paraId="07DCFCED" w14:textId="77777777">
        <w:tc>
          <w:tcPr>
            <w:tcW w:w="0" w:type="auto"/>
            <w:gridSpan w:val="3"/>
            <w:shd w:val="clear" w:color="auto" w:fill="auto"/>
            <w:tcMar>
              <w:top w:w="0" w:type="dxa"/>
              <w:left w:w="20" w:type="dxa"/>
              <w:bottom w:w="0" w:type="dxa"/>
              <w:right w:w="20" w:type="dxa"/>
            </w:tcMar>
            <w:vAlign w:val="bottom"/>
          </w:tcPr>
          <w:p w14:paraId="07DCFCE9" w14:textId="77777777" w:rsidR="00AE727E" w:rsidRDefault="00AE727E">
            <w:pPr>
              <w:rPr>
                <w:rFonts w:ascii="宋体"/>
              </w:rPr>
            </w:pPr>
          </w:p>
        </w:tc>
        <w:tc>
          <w:tcPr>
            <w:tcW w:w="0" w:type="auto"/>
            <w:shd w:val="clear" w:color="auto" w:fill="auto"/>
            <w:vAlign w:val="bottom"/>
          </w:tcPr>
          <w:p w14:paraId="07DCFCEA" w14:textId="77777777" w:rsidR="00AE727E" w:rsidRDefault="00AE727E">
            <w:pPr>
              <w:rPr>
                <w:rFonts w:ascii="宋体"/>
                <w:vanish/>
              </w:rPr>
            </w:pPr>
          </w:p>
        </w:tc>
        <w:tc>
          <w:tcPr>
            <w:tcW w:w="0" w:type="auto"/>
            <w:gridSpan w:val="3"/>
            <w:shd w:val="clear" w:color="auto" w:fill="auto"/>
            <w:tcMar>
              <w:top w:w="0" w:type="dxa"/>
              <w:left w:w="20" w:type="dxa"/>
              <w:bottom w:w="0" w:type="dxa"/>
              <w:right w:w="20" w:type="dxa"/>
            </w:tcMar>
            <w:vAlign w:val="bottom"/>
          </w:tcPr>
          <w:p w14:paraId="07DCFCEB"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CEC"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CF1" w14:textId="77777777">
        <w:tc>
          <w:tcPr>
            <w:tcW w:w="0" w:type="auto"/>
            <w:gridSpan w:val="3"/>
            <w:shd w:val="clear" w:color="auto" w:fill="auto"/>
            <w:tcMar>
              <w:top w:w="0" w:type="dxa"/>
              <w:left w:w="20" w:type="dxa"/>
              <w:bottom w:w="0" w:type="dxa"/>
              <w:right w:w="20" w:type="dxa"/>
            </w:tcMar>
            <w:vAlign w:val="bottom"/>
          </w:tcPr>
          <w:p w14:paraId="07DCFCEE" w14:textId="77777777" w:rsidR="00AE727E" w:rsidRDefault="00AE727E">
            <w:pPr>
              <w:rPr>
                <w:rFonts w:ascii="宋体"/>
              </w:rPr>
            </w:pPr>
          </w:p>
        </w:tc>
        <w:tc>
          <w:tcPr>
            <w:tcW w:w="0" w:type="auto"/>
            <w:shd w:val="clear" w:color="auto" w:fill="auto"/>
            <w:vAlign w:val="bottom"/>
          </w:tcPr>
          <w:p w14:paraId="07DCFCEF" w14:textId="77777777" w:rsidR="00AE727E" w:rsidRDefault="00AE727E">
            <w:pPr>
              <w:rPr>
                <w:rFonts w:ascii="宋体"/>
                <w:vanish/>
              </w:rPr>
            </w:pPr>
          </w:p>
        </w:tc>
        <w:tc>
          <w:tcPr>
            <w:tcW w:w="0" w:type="auto"/>
            <w:gridSpan w:val="6"/>
            <w:shd w:val="clear" w:color="auto" w:fill="auto"/>
            <w:tcMar>
              <w:top w:w="40" w:type="dxa"/>
              <w:left w:w="20" w:type="dxa"/>
              <w:bottom w:w="40" w:type="dxa"/>
              <w:right w:w="20" w:type="dxa"/>
            </w:tcMar>
            <w:vAlign w:val="bottom"/>
          </w:tcPr>
          <w:p w14:paraId="07DCFCF0"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CFCF8" w14:textId="77777777">
        <w:tc>
          <w:tcPr>
            <w:tcW w:w="0" w:type="auto"/>
            <w:gridSpan w:val="3"/>
            <w:shd w:val="clear" w:color="auto" w:fill="CCEEFF"/>
            <w:tcMar>
              <w:top w:w="40" w:type="dxa"/>
              <w:left w:w="20" w:type="dxa"/>
              <w:bottom w:w="40" w:type="dxa"/>
              <w:right w:w="20" w:type="dxa"/>
            </w:tcMar>
            <w:vAlign w:val="center"/>
          </w:tcPr>
          <w:p w14:paraId="07DCFCF2" w14:textId="77777777" w:rsidR="00AE727E" w:rsidRDefault="008433E0">
            <w:pPr>
              <w:textAlignment w:val="center"/>
            </w:pPr>
            <w:r>
              <w:rPr>
                <w:rFonts w:ascii="Times New Roman" w:eastAsia="宋体" w:hAnsi="Times New Roman"/>
                <w:color w:val="000000"/>
                <w:sz w:val="20"/>
                <w:szCs w:val="20"/>
              </w:rPr>
              <w:t>Redeemable shares classified as temporary equity</w:t>
            </w:r>
          </w:p>
        </w:tc>
        <w:tc>
          <w:tcPr>
            <w:tcW w:w="0" w:type="auto"/>
            <w:shd w:val="clear" w:color="auto" w:fill="auto"/>
            <w:vAlign w:val="bottom"/>
          </w:tcPr>
          <w:p w14:paraId="07DCFCF3"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CF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CF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CF6" w14:textId="77777777" w:rsidR="00AE727E" w:rsidRDefault="008433E0">
            <w:pPr>
              <w:jc w:val="right"/>
              <w:textAlignment w:val="center"/>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center"/>
          </w:tcPr>
          <w:p w14:paraId="07DCFCF7" w14:textId="77777777" w:rsidR="00AE727E" w:rsidRDefault="00AE727E">
            <w:pPr>
              <w:jc w:val="right"/>
              <w:rPr>
                <w:rFonts w:ascii="宋体"/>
              </w:rPr>
            </w:pPr>
          </w:p>
        </w:tc>
      </w:tr>
      <w:tr w:rsidR="00AE727E" w14:paraId="07DCFCFE" w14:textId="77777777">
        <w:tc>
          <w:tcPr>
            <w:tcW w:w="0" w:type="auto"/>
            <w:gridSpan w:val="3"/>
            <w:shd w:val="clear" w:color="auto" w:fill="FFFFFF"/>
            <w:tcMar>
              <w:top w:w="40" w:type="dxa"/>
              <w:left w:w="20" w:type="dxa"/>
              <w:bottom w:w="40" w:type="dxa"/>
              <w:right w:w="20" w:type="dxa"/>
            </w:tcMar>
            <w:vAlign w:val="center"/>
          </w:tcPr>
          <w:p w14:paraId="07DCFCF9" w14:textId="77777777" w:rsidR="00AE727E" w:rsidRDefault="008433E0">
            <w:pPr>
              <w:textAlignment w:val="center"/>
            </w:pPr>
            <w:r>
              <w:rPr>
                <w:rFonts w:ascii="Times New Roman" w:eastAsia="宋体" w:hAnsi="Times New Roman"/>
                <w:color w:val="000000"/>
                <w:sz w:val="20"/>
                <w:szCs w:val="20"/>
              </w:rPr>
              <w:t xml:space="preserve">Issued and outstanding unrestricted common </w:t>
            </w:r>
            <w:r>
              <w:rPr>
                <w:rFonts w:ascii="Times New Roman" w:eastAsia="宋体" w:hAnsi="Times New Roman"/>
                <w:color w:val="000000"/>
                <w:sz w:val="20"/>
                <w:szCs w:val="20"/>
              </w:rPr>
              <w:t>shares</w:t>
            </w:r>
          </w:p>
        </w:tc>
        <w:tc>
          <w:tcPr>
            <w:tcW w:w="0" w:type="auto"/>
            <w:shd w:val="clear" w:color="auto" w:fill="auto"/>
            <w:vAlign w:val="bottom"/>
          </w:tcPr>
          <w:p w14:paraId="07DCFCFA" w14:textId="77777777" w:rsidR="00AE727E" w:rsidRDefault="00AE727E">
            <w:pPr>
              <w:rPr>
                <w:rFonts w:ascii="宋体"/>
                <w:vanish/>
              </w:rPr>
            </w:pPr>
          </w:p>
        </w:tc>
        <w:tc>
          <w:tcPr>
            <w:tcW w:w="0" w:type="auto"/>
            <w:gridSpan w:val="3"/>
            <w:shd w:val="clear" w:color="auto" w:fill="FFFFFF"/>
            <w:tcMar>
              <w:top w:w="0" w:type="dxa"/>
              <w:left w:w="20" w:type="dxa"/>
              <w:bottom w:w="0" w:type="dxa"/>
              <w:right w:w="20" w:type="dxa"/>
            </w:tcMar>
            <w:vAlign w:val="bottom"/>
          </w:tcPr>
          <w:p w14:paraId="07DCFCF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CFC" w14:textId="77777777" w:rsidR="00AE727E" w:rsidRDefault="008433E0">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07DCFCFD" w14:textId="77777777" w:rsidR="00AE727E" w:rsidRDefault="00AE727E">
            <w:pPr>
              <w:jc w:val="right"/>
              <w:rPr>
                <w:rFonts w:ascii="宋体"/>
              </w:rPr>
            </w:pPr>
          </w:p>
        </w:tc>
      </w:tr>
      <w:tr w:rsidR="00AE727E" w14:paraId="07DCFD03" w14:textId="77777777">
        <w:trPr>
          <w:hidden/>
        </w:trPr>
        <w:tc>
          <w:tcPr>
            <w:tcW w:w="0" w:type="auto"/>
            <w:gridSpan w:val="3"/>
            <w:shd w:val="clear" w:color="auto" w:fill="auto"/>
            <w:vAlign w:val="bottom"/>
          </w:tcPr>
          <w:p w14:paraId="07DCFCFF" w14:textId="77777777" w:rsidR="00AE727E" w:rsidRDefault="00AE727E">
            <w:pPr>
              <w:rPr>
                <w:rFonts w:ascii="宋体"/>
                <w:vanish/>
              </w:rPr>
            </w:pPr>
          </w:p>
        </w:tc>
        <w:tc>
          <w:tcPr>
            <w:tcW w:w="0" w:type="auto"/>
            <w:shd w:val="clear" w:color="auto" w:fill="auto"/>
            <w:vAlign w:val="bottom"/>
          </w:tcPr>
          <w:p w14:paraId="07DCFD00" w14:textId="77777777" w:rsidR="00AE727E" w:rsidRDefault="00AE727E">
            <w:pPr>
              <w:rPr>
                <w:rFonts w:ascii="宋体"/>
                <w:vanish/>
              </w:rPr>
            </w:pPr>
          </w:p>
        </w:tc>
        <w:tc>
          <w:tcPr>
            <w:tcW w:w="0" w:type="auto"/>
            <w:gridSpan w:val="3"/>
            <w:shd w:val="clear" w:color="auto" w:fill="auto"/>
            <w:vAlign w:val="bottom"/>
          </w:tcPr>
          <w:p w14:paraId="07DCFD01" w14:textId="77777777" w:rsidR="00AE727E" w:rsidRDefault="00AE727E">
            <w:pPr>
              <w:rPr>
                <w:rFonts w:ascii="宋体"/>
                <w:vanish/>
              </w:rPr>
            </w:pPr>
          </w:p>
        </w:tc>
        <w:tc>
          <w:tcPr>
            <w:tcW w:w="0" w:type="auto"/>
            <w:gridSpan w:val="3"/>
            <w:shd w:val="clear" w:color="auto" w:fill="auto"/>
            <w:vAlign w:val="bottom"/>
          </w:tcPr>
          <w:p w14:paraId="07DCFD02" w14:textId="77777777" w:rsidR="00AE727E" w:rsidRDefault="00AE727E">
            <w:pPr>
              <w:rPr>
                <w:rFonts w:ascii="宋体"/>
                <w:vanish/>
              </w:rPr>
            </w:pPr>
          </w:p>
        </w:tc>
      </w:tr>
      <w:tr w:rsidR="00AE727E" w14:paraId="07DCFD08" w14:textId="77777777">
        <w:trPr>
          <w:hidden/>
        </w:trPr>
        <w:tc>
          <w:tcPr>
            <w:tcW w:w="0" w:type="auto"/>
            <w:gridSpan w:val="3"/>
            <w:shd w:val="clear" w:color="auto" w:fill="auto"/>
            <w:vAlign w:val="bottom"/>
          </w:tcPr>
          <w:p w14:paraId="07DCFD04" w14:textId="77777777" w:rsidR="00AE727E" w:rsidRDefault="00AE727E">
            <w:pPr>
              <w:rPr>
                <w:rFonts w:ascii="宋体"/>
                <w:vanish/>
              </w:rPr>
            </w:pPr>
          </w:p>
        </w:tc>
        <w:tc>
          <w:tcPr>
            <w:tcW w:w="0" w:type="auto"/>
            <w:shd w:val="clear" w:color="auto" w:fill="auto"/>
            <w:vAlign w:val="bottom"/>
          </w:tcPr>
          <w:p w14:paraId="07DCFD05" w14:textId="77777777" w:rsidR="00AE727E" w:rsidRDefault="00AE727E">
            <w:pPr>
              <w:rPr>
                <w:rFonts w:ascii="宋体"/>
                <w:vanish/>
              </w:rPr>
            </w:pPr>
          </w:p>
        </w:tc>
        <w:tc>
          <w:tcPr>
            <w:tcW w:w="0" w:type="auto"/>
            <w:gridSpan w:val="3"/>
            <w:shd w:val="clear" w:color="auto" w:fill="auto"/>
            <w:vAlign w:val="bottom"/>
          </w:tcPr>
          <w:p w14:paraId="07DCFD06" w14:textId="77777777" w:rsidR="00AE727E" w:rsidRDefault="00AE727E">
            <w:pPr>
              <w:rPr>
                <w:rFonts w:ascii="宋体"/>
                <w:vanish/>
              </w:rPr>
            </w:pPr>
          </w:p>
        </w:tc>
        <w:tc>
          <w:tcPr>
            <w:tcW w:w="0" w:type="auto"/>
            <w:gridSpan w:val="3"/>
            <w:shd w:val="clear" w:color="auto" w:fill="auto"/>
            <w:vAlign w:val="bottom"/>
          </w:tcPr>
          <w:p w14:paraId="07DCFD07" w14:textId="77777777" w:rsidR="00AE727E" w:rsidRDefault="00AE727E">
            <w:pPr>
              <w:rPr>
                <w:rFonts w:ascii="宋体"/>
                <w:vanish/>
              </w:rPr>
            </w:pPr>
          </w:p>
        </w:tc>
      </w:tr>
      <w:tr w:rsidR="00AE727E" w14:paraId="07DCFD0E" w14:textId="77777777">
        <w:tc>
          <w:tcPr>
            <w:tcW w:w="0" w:type="auto"/>
            <w:gridSpan w:val="3"/>
            <w:shd w:val="clear" w:color="auto" w:fill="CCEEFF"/>
            <w:tcMar>
              <w:top w:w="40" w:type="dxa"/>
              <w:left w:w="20" w:type="dxa"/>
              <w:bottom w:w="40" w:type="dxa"/>
              <w:right w:w="20" w:type="dxa"/>
            </w:tcMar>
            <w:vAlign w:val="center"/>
          </w:tcPr>
          <w:p w14:paraId="07DCFD09" w14:textId="77777777" w:rsidR="00AE727E" w:rsidRDefault="008433E0">
            <w:pPr>
              <w:textAlignment w:val="center"/>
            </w:pPr>
            <w:r>
              <w:rPr>
                <w:rFonts w:ascii="Times New Roman" w:eastAsia="宋体" w:hAnsi="Times New Roman"/>
                <w:color w:val="000000"/>
                <w:sz w:val="20"/>
                <w:szCs w:val="20"/>
              </w:rPr>
              <w:t>Outstanding stock options</w:t>
            </w:r>
          </w:p>
        </w:tc>
        <w:tc>
          <w:tcPr>
            <w:tcW w:w="0" w:type="auto"/>
            <w:shd w:val="clear" w:color="auto" w:fill="auto"/>
            <w:vAlign w:val="bottom"/>
          </w:tcPr>
          <w:p w14:paraId="07DCFD0A" w14:textId="77777777" w:rsidR="00AE727E" w:rsidRDefault="00AE727E">
            <w:pPr>
              <w:rPr>
                <w:rFonts w:ascii="宋体"/>
                <w:vanish/>
              </w:rPr>
            </w:pPr>
          </w:p>
        </w:tc>
        <w:tc>
          <w:tcPr>
            <w:tcW w:w="0" w:type="auto"/>
            <w:gridSpan w:val="3"/>
            <w:shd w:val="clear" w:color="auto" w:fill="CCEEFF"/>
            <w:tcMar>
              <w:top w:w="0" w:type="dxa"/>
              <w:left w:w="20" w:type="dxa"/>
              <w:bottom w:w="0" w:type="dxa"/>
              <w:right w:w="20" w:type="dxa"/>
            </w:tcMar>
            <w:vAlign w:val="bottom"/>
          </w:tcPr>
          <w:p w14:paraId="07DCFD0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D0C" w14:textId="77777777" w:rsidR="00AE727E" w:rsidRDefault="008433E0">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center"/>
          </w:tcPr>
          <w:p w14:paraId="07DCFD0D" w14:textId="77777777" w:rsidR="00AE727E" w:rsidRDefault="00AE727E">
            <w:pPr>
              <w:jc w:val="right"/>
              <w:rPr>
                <w:rFonts w:ascii="宋体"/>
              </w:rPr>
            </w:pPr>
          </w:p>
        </w:tc>
      </w:tr>
    </w:tbl>
    <w:p w14:paraId="07DCFD0F" w14:textId="77777777" w:rsidR="00AE727E" w:rsidRDefault="00AE727E"/>
    <w:p w14:paraId="07DCFD10" w14:textId="77777777" w:rsidR="00AE727E" w:rsidRDefault="00AE727E"/>
    <w:p w14:paraId="07DCFD11" w14:textId="77777777" w:rsidR="00AE727E" w:rsidRDefault="00AE727E">
      <w:pPr>
        <w:jc w:val="center"/>
      </w:pPr>
    </w:p>
    <w:p w14:paraId="07DCFD12" w14:textId="77777777" w:rsidR="00AE727E" w:rsidRDefault="008433E0">
      <w:pPr>
        <w:jc w:val="center"/>
      </w:pPr>
      <w:r>
        <w:rPr>
          <w:rFonts w:ascii="Times New Roman" w:eastAsia="宋体" w:hAnsi="Times New Roman"/>
          <w:color w:val="000000"/>
          <w:sz w:val="20"/>
          <w:szCs w:val="20"/>
        </w:rPr>
        <w:t>51</w:t>
      </w:r>
    </w:p>
    <w:p w14:paraId="07DCFD13" w14:textId="77777777" w:rsidR="00AE727E" w:rsidRDefault="00AE727E">
      <w:pPr>
        <w:jc w:val="center"/>
      </w:pPr>
    </w:p>
    <w:p w14:paraId="07DCFD14" w14:textId="77777777" w:rsidR="00AE727E" w:rsidRDefault="008433E0">
      <w:r>
        <w:pict w14:anchorId="07DD1903">
          <v:rect id="_x0000_i1075" style="width:415.3pt;height:1.5pt" o:hralign="center" o:hrstd="t" o:hr="t" fillcolor="#a0a0a0" stroked="f"/>
        </w:pict>
      </w:r>
    </w:p>
    <w:p w14:paraId="07DCFD15" w14:textId="77777777" w:rsidR="00AE727E" w:rsidRDefault="008433E0">
      <w:hyperlink r:id="rId176" w:anchor="i1c8279be622a460ea19600488436f115_10" w:history="1">
        <w:r>
          <w:rPr>
            <w:rStyle w:val="a5"/>
            <w:rFonts w:ascii="Times New Roman" w:eastAsia="宋体" w:hAnsi="Times New Roman"/>
            <w:sz w:val="20"/>
            <w:szCs w:val="20"/>
          </w:rPr>
          <w:t>Table of Contents</w:t>
        </w:r>
      </w:hyperlink>
    </w:p>
    <w:p w14:paraId="07DCFD16"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D17"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D18"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D19" w14:textId="77777777" w:rsidR="00AE727E" w:rsidRDefault="00AE727E">
      <w:pPr>
        <w:jc w:val="center"/>
      </w:pPr>
    </w:p>
    <w:p w14:paraId="07DCFD1A" w14:textId="77777777" w:rsidR="00AE727E" w:rsidRDefault="008433E0">
      <w:r>
        <w:rPr>
          <w:rFonts w:ascii="Times New Roman" w:eastAsia="宋体" w:hAnsi="Times New Roman"/>
          <w:b/>
          <w:bCs/>
          <w:color w:val="000000"/>
          <w:sz w:val="20"/>
          <w:szCs w:val="20"/>
        </w:rPr>
        <w:t xml:space="preserve">NOTE 16 — SEGMENT INFORMATION </w:t>
      </w:r>
    </w:p>
    <w:p w14:paraId="07DCFD1B" w14:textId="77777777" w:rsidR="00AE727E" w:rsidRDefault="00AE727E"/>
    <w:p w14:paraId="07DCFD1C" w14:textId="77777777" w:rsidR="00AE727E" w:rsidRDefault="008433E0">
      <w:r>
        <w:rPr>
          <w:rFonts w:ascii="Times New Roman" w:eastAsia="宋体" w:hAnsi="Times New Roman"/>
          <w:color w:val="000000"/>
          <w:sz w:val="20"/>
          <w:szCs w:val="20"/>
        </w:rPr>
        <w:t>The Company has three reportable segments that are based on the following business units: Infrastructure Solutions Group (“ISG”); Client Solutions Group (“CSG”); and VMware.</w:t>
      </w:r>
    </w:p>
    <w:p w14:paraId="07DCFD1D" w14:textId="77777777" w:rsidR="00AE727E" w:rsidRDefault="00AE727E"/>
    <w:p w14:paraId="07DCFD1E" w14:textId="77777777" w:rsidR="00AE727E" w:rsidRDefault="008433E0">
      <w:r>
        <w:rPr>
          <w:rFonts w:ascii="Times New Roman" w:eastAsia="宋体" w:hAnsi="Times New Roman"/>
          <w:color w:val="000000"/>
          <w:sz w:val="20"/>
          <w:szCs w:val="20"/>
        </w:rPr>
        <w:t xml:space="preserve">ISG enables the </w:t>
      </w:r>
      <w:r>
        <w:rPr>
          <w:rFonts w:ascii="Times New Roman" w:eastAsia="宋体" w:hAnsi="Times New Roman"/>
          <w:color w:val="000000"/>
          <w:sz w:val="20"/>
          <w:szCs w:val="20"/>
        </w:rPr>
        <w:t>digital transformation of the Company’s customers through its trusted multi-cloud and big data solutions, which are built upon a modern data center infrastructure. The ISG comprehensive portfolio of advanced storage solutions includes traditional as well a</w:t>
      </w:r>
      <w:r>
        <w:rPr>
          <w:rFonts w:ascii="Times New Roman" w:eastAsia="宋体" w:hAnsi="Times New Roman"/>
          <w:color w:val="000000"/>
          <w:sz w:val="20"/>
          <w:szCs w:val="20"/>
        </w:rPr>
        <w:t xml:space="preserve">s next-generation storage solutions (such as all-flash arrays, scale-out file, object platforms, and software-defined solutions), while the Company’s server portfolio includes high-performance rack, blade, tower, and hyperscale servers. The ISG networking </w:t>
      </w:r>
      <w:r>
        <w:rPr>
          <w:rFonts w:ascii="Times New Roman" w:eastAsia="宋体" w:hAnsi="Times New Roman"/>
          <w:color w:val="000000"/>
          <w:sz w:val="20"/>
          <w:szCs w:val="20"/>
        </w:rPr>
        <w:t>portfolio helps business customers transform and modernize their infrastructure, mobilize and enrich end-user experiences, and accelerate business applications and processes. ISG also offers attached software, peripherals, and services, including support a</w:t>
      </w:r>
      <w:r>
        <w:rPr>
          <w:rFonts w:ascii="Times New Roman" w:eastAsia="宋体" w:hAnsi="Times New Roman"/>
          <w:color w:val="000000"/>
          <w:sz w:val="20"/>
          <w:szCs w:val="20"/>
        </w:rPr>
        <w:t>nd deployment, configuration, and extended warranty services.</w:t>
      </w:r>
    </w:p>
    <w:p w14:paraId="07DCFD1F" w14:textId="77777777" w:rsidR="00AE727E" w:rsidRDefault="00AE727E"/>
    <w:p w14:paraId="07DCFD20" w14:textId="77777777" w:rsidR="00AE727E" w:rsidRDefault="008433E0">
      <w:r>
        <w:rPr>
          <w:rFonts w:ascii="Times New Roman" w:eastAsia="宋体" w:hAnsi="Times New Roman"/>
          <w:color w:val="000000"/>
          <w:sz w:val="20"/>
          <w:szCs w:val="20"/>
        </w:rPr>
        <w:t>CSG includes sales to commercial and consumer customers of branded hardware (such as desktops, workstations, and notebooks) and branded peripherals (such as displays and projectors), as well as</w:t>
      </w:r>
      <w:r>
        <w:rPr>
          <w:rFonts w:ascii="Times New Roman" w:eastAsia="宋体" w:hAnsi="Times New Roman"/>
          <w:color w:val="000000"/>
          <w:sz w:val="20"/>
          <w:szCs w:val="20"/>
        </w:rPr>
        <w:t xml:space="preserve"> services and third-party software and peripherals. CSG also offers attached software, peripherals, and services, including support and deployment, configuration, and extended warranty services.</w:t>
      </w:r>
    </w:p>
    <w:p w14:paraId="07DCFD21" w14:textId="77777777" w:rsidR="00AE727E" w:rsidRDefault="00AE727E"/>
    <w:p w14:paraId="07DCFD22" w14:textId="77777777" w:rsidR="00AE727E" w:rsidRDefault="008433E0">
      <w:r>
        <w:rPr>
          <w:rFonts w:ascii="Times New Roman" w:eastAsia="宋体" w:hAnsi="Times New Roman"/>
          <w:color w:val="000000"/>
          <w:sz w:val="20"/>
          <w:szCs w:val="20"/>
        </w:rPr>
        <w:t>VMware works with customers in the areas of hybrid and multi</w:t>
      </w:r>
      <w:r>
        <w:rPr>
          <w:rFonts w:ascii="Times New Roman" w:eastAsia="宋体" w:hAnsi="Times New Roman"/>
          <w:color w:val="000000"/>
          <w:sz w:val="20"/>
          <w:szCs w:val="20"/>
        </w:rPr>
        <w:t>-cloud, virtual cloud networking, digital workspaces, modern applications, and intrinsic security, helping customers manage their IT resources across private clouds and complex multi-cloud, multi-device environments. VMware enables its customers to digital</w:t>
      </w:r>
      <w:r>
        <w:rPr>
          <w:rFonts w:ascii="Times New Roman" w:eastAsia="宋体" w:hAnsi="Times New Roman"/>
          <w:color w:val="000000"/>
          <w:sz w:val="20"/>
          <w:szCs w:val="20"/>
        </w:rPr>
        <w:t xml:space="preserve">ly transform their operations as they ready their applications, infrastructure, and employees for constantly evolving business needs. </w:t>
      </w:r>
    </w:p>
    <w:p w14:paraId="07DCFD23" w14:textId="77777777" w:rsidR="00AE727E" w:rsidRDefault="00AE727E"/>
    <w:p w14:paraId="07DCFD24" w14:textId="77777777" w:rsidR="00AE727E" w:rsidRDefault="008433E0">
      <w:r>
        <w:rPr>
          <w:rFonts w:ascii="Times New Roman" w:eastAsia="宋体" w:hAnsi="Times New Roman"/>
          <w:color w:val="000000"/>
          <w:sz w:val="20"/>
          <w:szCs w:val="20"/>
        </w:rPr>
        <w:t>As described in Note 1 and Note 18 of the Notes to the Condensed Consolidated Financial Statements, the Company complete</w:t>
      </w:r>
      <w:r>
        <w:rPr>
          <w:rFonts w:ascii="Times New Roman" w:eastAsia="宋体" w:hAnsi="Times New Roman"/>
          <w:color w:val="000000"/>
          <w:sz w:val="20"/>
          <w:szCs w:val="20"/>
        </w:rPr>
        <w:t>d the VMware Spin-off on November 1, 2021, subsequent to the close of the third quarter of Fiscal 2022. Beginning in the fourth quarter of Fiscal 2022, the Company’s Consolidated Statements of Income will be recast to reflect VMware results as discontinued</w:t>
      </w:r>
      <w:r>
        <w:rPr>
          <w:rFonts w:ascii="Times New Roman" w:eastAsia="宋体" w:hAnsi="Times New Roman"/>
          <w:color w:val="000000"/>
          <w:sz w:val="20"/>
          <w:szCs w:val="20"/>
        </w:rPr>
        <w:t xml:space="preserve"> operations. As such, VMware will no longer be identified as a reportable segment. Pursuant to the CFA, Dell Technologies will continue to integrate VMware, Inc.’s products and services with Dell Technologies’ offerings and sell them to end users. The resu</w:t>
      </w:r>
      <w:r>
        <w:rPr>
          <w:rFonts w:ascii="Times New Roman" w:eastAsia="宋体" w:hAnsi="Times New Roman"/>
          <w:color w:val="000000"/>
          <w:sz w:val="20"/>
          <w:szCs w:val="20"/>
        </w:rPr>
        <w:t>lts of those transactions will be reflected within CSG and ISG, based on the nature of the underlying offering sold. Dell Technologies will also continue to act as a distributor, purchasing VMware, Inc.’s standalone products and services for resale to end-</w:t>
      </w:r>
      <w:r>
        <w:rPr>
          <w:rFonts w:ascii="Times New Roman" w:eastAsia="宋体" w:hAnsi="Times New Roman"/>
          <w:color w:val="000000"/>
          <w:sz w:val="20"/>
          <w:szCs w:val="20"/>
        </w:rPr>
        <w:t>user customers. The results of this business will be reflected in Other businesses. The Company's prior period segment results will be recast to reflect the change.</w:t>
      </w:r>
    </w:p>
    <w:p w14:paraId="07DCFD25" w14:textId="77777777" w:rsidR="00AE727E" w:rsidRDefault="00AE727E"/>
    <w:p w14:paraId="07DCFD26" w14:textId="77777777" w:rsidR="00AE727E" w:rsidRDefault="008433E0">
      <w:r>
        <w:rPr>
          <w:rFonts w:ascii="Times New Roman" w:eastAsia="宋体" w:hAnsi="Times New Roman"/>
          <w:color w:val="000000"/>
          <w:sz w:val="20"/>
          <w:szCs w:val="20"/>
        </w:rPr>
        <w:t xml:space="preserve">The reportable segments disclosed herein are based on information reviewed by the </w:t>
      </w:r>
      <w:r>
        <w:rPr>
          <w:rFonts w:ascii="Times New Roman" w:eastAsia="宋体" w:hAnsi="Times New Roman"/>
          <w:color w:val="000000"/>
          <w:sz w:val="20"/>
          <w:szCs w:val="20"/>
        </w:rPr>
        <w:t>Company’s management to evaluate the business segment results. The Company’s measure of segment revenue and segment operating income for management reporting purposes excludes the impact of Other businesses, unallocated corporate transactions, the impact o</w:t>
      </w:r>
      <w:r>
        <w:rPr>
          <w:rFonts w:ascii="Times New Roman" w:eastAsia="宋体" w:hAnsi="Times New Roman"/>
          <w:color w:val="000000"/>
          <w:sz w:val="20"/>
          <w:szCs w:val="20"/>
        </w:rPr>
        <w:t>f purchase accounting, amortization of intangible assets, transaction-related expenses, stock-based compensation expense, and other corporate expenses, as applicable. The Company does not allocate assets to its reportable segments for internal reporting pu</w:t>
      </w:r>
      <w:r>
        <w:rPr>
          <w:rFonts w:ascii="Times New Roman" w:eastAsia="宋体" w:hAnsi="Times New Roman"/>
          <w:color w:val="000000"/>
          <w:sz w:val="20"/>
          <w:szCs w:val="20"/>
        </w:rPr>
        <w:t>rposes.</w:t>
      </w:r>
    </w:p>
    <w:p w14:paraId="07DCFD27" w14:textId="77777777" w:rsidR="00AE727E" w:rsidRDefault="00AE727E"/>
    <w:p w14:paraId="07DCFD28" w14:textId="77777777" w:rsidR="00AE727E" w:rsidRDefault="00AE727E">
      <w:pPr>
        <w:jc w:val="center"/>
      </w:pPr>
    </w:p>
    <w:p w14:paraId="07DCFD29" w14:textId="77777777" w:rsidR="00AE727E" w:rsidRDefault="008433E0">
      <w:pPr>
        <w:jc w:val="center"/>
      </w:pPr>
      <w:r>
        <w:rPr>
          <w:rFonts w:ascii="Times New Roman" w:eastAsia="宋体" w:hAnsi="Times New Roman"/>
          <w:color w:val="000000"/>
          <w:sz w:val="20"/>
          <w:szCs w:val="20"/>
        </w:rPr>
        <w:t>52</w:t>
      </w:r>
    </w:p>
    <w:p w14:paraId="07DCFD2A" w14:textId="77777777" w:rsidR="00AE727E" w:rsidRDefault="00AE727E">
      <w:pPr>
        <w:jc w:val="center"/>
      </w:pPr>
    </w:p>
    <w:p w14:paraId="07DCFD2B" w14:textId="77777777" w:rsidR="00AE727E" w:rsidRDefault="008433E0">
      <w:r>
        <w:pict w14:anchorId="07DD1904">
          <v:rect id="_x0000_i1076" style="width:415.3pt;height:1.5pt" o:hralign="center" o:hrstd="t" o:hr="t" fillcolor="#a0a0a0" stroked="f"/>
        </w:pict>
      </w:r>
    </w:p>
    <w:p w14:paraId="07DCFD2C" w14:textId="77777777" w:rsidR="00AE727E" w:rsidRDefault="008433E0">
      <w:hyperlink r:id="rId177" w:anchor="i1c8279be622a460ea19600488436f115_10" w:history="1">
        <w:r>
          <w:rPr>
            <w:rStyle w:val="a5"/>
            <w:rFonts w:ascii="Times New Roman" w:eastAsia="宋体" w:hAnsi="Times New Roman"/>
            <w:sz w:val="20"/>
            <w:szCs w:val="20"/>
          </w:rPr>
          <w:t>Table of Contents</w:t>
        </w:r>
      </w:hyperlink>
    </w:p>
    <w:p w14:paraId="07DCFD2D"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D2E"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w:t>
      </w:r>
      <w:r>
        <w:rPr>
          <w:rFonts w:ascii="Times New Roman" w:eastAsia="宋体" w:hAnsi="Times New Roman"/>
          <w:b/>
          <w:bCs/>
          <w:color w:val="000000"/>
          <w:sz w:val="20"/>
          <w:szCs w:val="20"/>
          <w:shd w:val="clear" w:color="auto" w:fill="FFFFFF"/>
        </w:rPr>
        <w:t xml:space="preserve"> STATEMENTS (Continued)</w:t>
      </w:r>
    </w:p>
    <w:p w14:paraId="07DCFD2F"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D30" w14:textId="77777777" w:rsidR="00AE727E" w:rsidRDefault="00AE727E">
      <w:pPr>
        <w:jc w:val="center"/>
      </w:pPr>
    </w:p>
    <w:p w14:paraId="07DCFD31" w14:textId="77777777" w:rsidR="00AE727E" w:rsidRDefault="008433E0">
      <w:pPr>
        <w:spacing w:after="60"/>
      </w:pPr>
      <w:r>
        <w:rPr>
          <w:rFonts w:ascii="Times New Roman" w:eastAsia="宋体" w:hAnsi="Times New Roman"/>
          <w:color w:val="000000"/>
          <w:sz w:val="20"/>
          <w:szCs w:val="20"/>
        </w:rPr>
        <w:t>The following table presents a reconciliation of net revenue by the Company’s reportable segments to the Company’s consolidated net revenue as well as a reconciliation of consolidated segment operating income to the Com</w:t>
      </w:r>
      <w:r>
        <w:rPr>
          <w:rFonts w:ascii="Times New Roman" w:eastAsia="宋体" w:hAnsi="Times New Roman"/>
          <w:color w:val="000000"/>
          <w:sz w:val="20"/>
          <w:szCs w:val="20"/>
        </w:rPr>
        <w:t>pany’s consolidated operating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609"/>
        <w:gridCol w:w="39"/>
        <w:gridCol w:w="120"/>
        <w:gridCol w:w="1171"/>
        <w:gridCol w:w="36"/>
        <w:gridCol w:w="36"/>
        <w:gridCol w:w="36"/>
        <w:gridCol w:w="36"/>
        <w:gridCol w:w="120"/>
        <w:gridCol w:w="1171"/>
        <w:gridCol w:w="36"/>
        <w:gridCol w:w="36"/>
        <w:gridCol w:w="36"/>
        <w:gridCol w:w="36"/>
        <w:gridCol w:w="120"/>
        <w:gridCol w:w="1172"/>
        <w:gridCol w:w="36"/>
        <w:gridCol w:w="36"/>
        <w:gridCol w:w="36"/>
        <w:gridCol w:w="36"/>
        <w:gridCol w:w="120"/>
        <w:gridCol w:w="1172"/>
        <w:gridCol w:w="36"/>
      </w:tblGrid>
      <w:tr w:rsidR="00AE727E" w14:paraId="07DCFD4A" w14:textId="77777777">
        <w:tc>
          <w:tcPr>
            <w:tcW w:w="50" w:type="pct"/>
            <w:shd w:val="clear" w:color="auto" w:fill="auto"/>
            <w:vAlign w:val="bottom"/>
          </w:tcPr>
          <w:p w14:paraId="07DCFD32" w14:textId="77777777" w:rsidR="00AE727E" w:rsidRDefault="00AE727E">
            <w:pPr>
              <w:rPr>
                <w:rFonts w:ascii="宋体"/>
              </w:rPr>
            </w:pPr>
          </w:p>
        </w:tc>
        <w:tc>
          <w:tcPr>
            <w:tcW w:w="1640" w:type="pct"/>
            <w:shd w:val="clear" w:color="auto" w:fill="auto"/>
            <w:vAlign w:val="bottom"/>
          </w:tcPr>
          <w:p w14:paraId="07DCFD33" w14:textId="77777777" w:rsidR="00AE727E" w:rsidRDefault="00AE727E">
            <w:pPr>
              <w:rPr>
                <w:rFonts w:ascii="宋体"/>
              </w:rPr>
            </w:pPr>
          </w:p>
        </w:tc>
        <w:tc>
          <w:tcPr>
            <w:tcW w:w="5" w:type="pct"/>
            <w:shd w:val="clear" w:color="auto" w:fill="auto"/>
            <w:vAlign w:val="bottom"/>
          </w:tcPr>
          <w:p w14:paraId="07DCFD34" w14:textId="77777777" w:rsidR="00AE727E" w:rsidRDefault="00AE727E">
            <w:pPr>
              <w:rPr>
                <w:rFonts w:ascii="宋体"/>
              </w:rPr>
            </w:pPr>
          </w:p>
        </w:tc>
        <w:tc>
          <w:tcPr>
            <w:tcW w:w="50" w:type="pct"/>
            <w:shd w:val="clear" w:color="auto" w:fill="auto"/>
            <w:vAlign w:val="bottom"/>
          </w:tcPr>
          <w:p w14:paraId="07DCFD35" w14:textId="77777777" w:rsidR="00AE727E" w:rsidRDefault="00AE727E">
            <w:pPr>
              <w:rPr>
                <w:rFonts w:ascii="宋体"/>
              </w:rPr>
            </w:pPr>
          </w:p>
        </w:tc>
        <w:tc>
          <w:tcPr>
            <w:tcW w:w="749" w:type="pct"/>
            <w:shd w:val="clear" w:color="auto" w:fill="auto"/>
            <w:vAlign w:val="bottom"/>
          </w:tcPr>
          <w:p w14:paraId="07DCFD36" w14:textId="77777777" w:rsidR="00AE727E" w:rsidRDefault="00AE727E">
            <w:pPr>
              <w:rPr>
                <w:rFonts w:ascii="宋体"/>
              </w:rPr>
            </w:pPr>
          </w:p>
        </w:tc>
        <w:tc>
          <w:tcPr>
            <w:tcW w:w="5" w:type="pct"/>
            <w:shd w:val="clear" w:color="auto" w:fill="auto"/>
            <w:vAlign w:val="bottom"/>
          </w:tcPr>
          <w:p w14:paraId="07DCFD37" w14:textId="77777777" w:rsidR="00AE727E" w:rsidRDefault="00AE727E">
            <w:pPr>
              <w:rPr>
                <w:rFonts w:ascii="宋体"/>
              </w:rPr>
            </w:pPr>
          </w:p>
        </w:tc>
        <w:tc>
          <w:tcPr>
            <w:tcW w:w="5" w:type="pct"/>
            <w:shd w:val="clear" w:color="auto" w:fill="auto"/>
            <w:vAlign w:val="bottom"/>
          </w:tcPr>
          <w:p w14:paraId="07DCFD38" w14:textId="77777777" w:rsidR="00AE727E" w:rsidRDefault="00AE727E">
            <w:pPr>
              <w:rPr>
                <w:rFonts w:ascii="宋体"/>
              </w:rPr>
            </w:pPr>
          </w:p>
        </w:tc>
        <w:tc>
          <w:tcPr>
            <w:tcW w:w="19" w:type="pct"/>
            <w:shd w:val="clear" w:color="auto" w:fill="auto"/>
            <w:vAlign w:val="bottom"/>
          </w:tcPr>
          <w:p w14:paraId="07DCFD39" w14:textId="77777777" w:rsidR="00AE727E" w:rsidRDefault="00AE727E">
            <w:pPr>
              <w:rPr>
                <w:rFonts w:ascii="宋体"/>
              </w:rPr>
            </w:pPr>
          </w:p>
        </w:tc>
        <w:tc>
          <w:tcPr>
            <w:tcW w:w="5" w:type="pct"/>
            <w:shd w:val="clear" w:color="auto" w:fill="auto"/>
            <w:vAlign w:val="bottom"/>
          </w:tcPr>
          <w:p w14:paraId="07DCFD3A" w14:textId="77777777" w:rsidR="00AE727E" w:rsidRDefault="00AE727E">
            <w:pPr>
              <w:rPr>
                <w:rFonts w:ascii="宋体"/>
              </w:rPr>
            </w:pPr>
          </w:p>
        </w:tc>
        <w:tc>
          <w:tcPr>
            <w:tcW w:w="50" w:type="pct"/>
            <w:shd w:val="clear" w:color="auto" w:fill="auto"/>
            <w:vAlign w:val="bottom"/>
          </w:tcPr>
          <w:p w14:paraId="07DCFD3B" w14:textId="77777777" w:rsidR="00AE727E" w:rsidRDefault="00AE727E">
            <w:pPr>
              <w:rPr>
                <w:rFonts w:ascii="宋体"/>
              </w:rPr>
            </w:pPr>
          </w:p>
        </w:tc>
        <w:tc>
          <w:tcPr>
            <w:tcW w:w="749" w:type="pct"/>
            <w:shd w:val="clear" w:color="auto" w:fill="auto"/>
            <w:vAlign w:val="bottom"/>
          </w:tcPr>
          <w:p w14:paraId="07DCFD3C" w14:textId="77777777" w:rsidR="00AE727E" w:rsidRDefault="00AE727E">
            <w:pPr>
              <w:rPr>
                <w:rFonts w:ascii="宋体"/>
              </w:rPr>
            </w:pPr>
          </w:p>
        </w:tc>
        <w:tc>
          <w:tcPr>
            <w:tcW w:w="5" w:type="pct"/>
            <w:shd w:val="clear" w:color="auto" w:fill="auto"/>
            <w:vAlign w:val="bottom"/>
          </w:tcPr>
          <w:p w14:paraId="07DCFD3D" w14:textId="77777777" w:rsidR="00AE727E" w:rsidRDefault="00AE727E">
            <w:pPr>
              <w:rPr>
                <w:rFonts w:ascii="宋体"/>
              </w:rPr>
            </w:pPr>
          </w:p>
        </w:tc>
        <w:tc>
          <w:tcPr>
            <w:tcW w:w="5" w:type="pct"/>
            <w:shd w:val="clear" w:color="auto" w:fill="auto"/>
            <w:vAlign w:val="bottom"/>
          </w:tcPr>
          <w:p w14:paraId="07DCFD3E" w14:textId="77777777" w:rsidR="00AE727E" w:rsidRDefault="00AE727E">
            <w:pPr>
              <w:rPr>
                <w:rFonts w:ascii="宋体"/>
              </w:rPr>
            </w:pPr>
          </w:p>
        </w:tc>
        <w:tc>
          <w:tcPr>
            <w:tcW w:w="19" w:type="pct"/>
            <w:shd w:val="clear" w:color="auto" w:fill="auto"/>
            <w:vAlign w:val="bottom"/>
          </w:tcPr>
          <w:p w14:paraId="07DCFD3F" w14:textId="77777777" w:rsidR="00AE727E" w:rsidRDefault="00AE727E">
            <w:pPr>
              <w:rPr>
                <w:rFonts w:ascii="宋体"/>
              </w:rPr>
            </w:pPr>
          </w:p>
        </w:tc>
        <w:tc>
          <w:tcPr>
            <w:tcW w:w="5" w:type="pct"/>
            <w:shd w:val="clear" w:color="auto" w:fill="auto"/>
            <w:vAlign w:val="bottom"/>
          </w:tcPr>
          <w:p w14:paraId="07DCFD40" w14:textId="77777777" w:rsidR="00AE727E" w:rsidRDefault="00AE727E">
            <w:pPr>
              <w:rPr>
                <w:rFonts w:ascii="宋体"/>
              </w:rPr>
            </w:pPr>
          </w:p>
        </w:tc>
        <w:tc>
          <w:tcPr>
            <w:tcW w:w="50" w:type="pct"/>
            <w:shd w:val="clear" w:color="auto" w:fill="auto"/>
            <w:vAlign w:val="bottom"/>
          </w:tcPr>
          <w:p w14:paraId="07DCFD41" w14:textId="77777777" w:rsidR="00AE727E" w:rsidRDefault="00AE727E">
            <w:pPr>
              <w:rPr>
                <w:rFonts w:ascii="宋体"/>
              </w:rPr>
            </w:pPr>
          </w:p>
        </w:tc>
        <w:tc>
          <w:tcPr>
            <w:tcW w:w="749" w:type="pct"/>
            <w:shd w:val="clear" w:color="auto" w:fill="auto"/>
            <w:vAlign w:val="bottom"/>
          </w:tcPr>
          <w:p w14:paraId="07DCFD42" w14:textId="77777777" w:rsidR="00AE727E" w:rsidRDefault="00AE727E">
            <w:pPr>
              <w:rPr>
                <w:rFonts w:ascii="宋体"/>
              </w:rPr>
            </w:pPr>
          </w:p>
        </w:tc>
        <w:tc>
          <w:tcPr>
            <w:tcW w:w="5" w:type="pct"/>
            <w:shd w:val="clear" w:color="auto" w:fill="auto"/>
            <w:vAlign w:val="bottom"/>
          </w:tcPr>
          <w:p w14:paraId="07DCFD43" w14:textId="77777777" w:rsidR="00AE727E" w:rsidRDefault="00AE727E">
            <w:pPr>
              <w:rPr>
                <w:rFonts w:ascii="宋体"/>
              </w:rPr>
            </w:pPr>
          </w:p>
        </w:tc>
        <w:tc>
          <w:tcPr>
            <w:tcW w:w="5" w:type="pct"/>
            <w:shd w:val="clear" w:color="auto" w:fill="auto"/>
            <w:vAlign w:val="bottom"/>
          </w:tcPr>
          <w:p w14:paraId="07DCFD44" w14:textId="77777777" w:rsidR="00AE727E" w:rsidRDefault="00AE727E">
            <w:pPr>
              <w:rPr>
                <w:rFonts w:ascii="宋体"/>
              </w:rPr>
            </w:pPr>
          </w:p>
        </w:tc>
        <w:tc>
          <w:tcPr>
            <w:tcW w:w="19" w:type="pct"/>
            <w:shd w:val="clear" w:color="auto" w:fill="auto"/>
            <w:vAlign w:val="bottom"/>
          </w:tcPr>
          <w:p w14:paraId="07DCFD45" w14:textId="77777777" w:rsidR="00AE727E" w:rsidRDefault="00AE727E">
            <w:pPr>
              <w:rPr>
                <w:rFonts w:ascii="宋体"/>
              </w:rPr>
            </w:pPr>
          </w:p>
        </w:tc>
        <w:tc>
          <w:tcPr>
            <w:tcW w:w="5" w:type="pct"/>
            <w:shd w:val="clear" w:color="auto" w:fill="auto"/>
            <w:vAlign w:val="bottom"/>
          </w:tcPr>
          <w:p w14:paraId="07DCFD46" w14:textId="77777777" w:rsidR="00AE727E" w:rsidRDefault="00AE727E">
            <w:pPr>
              <w:rPr>
                <w:rFonts w:ascii="宋体"/>
              </w:rPr>
            </w:pPr>
          </w:p>
        </w:tc>
        <w:tc>
          <w:tcPr>
            <w:tcW w:w="50" w:type="pct"/>
            <w:shd w:val="clear" w:color="auto" w:fill="auto"/>
            <w:vAlign w:val="bottom"/>
          </w:tcPr>
          <w:p w14:paraId="07DCFD47" w14:textId="77777777" w:rsidR="00AE727E" w:rsidRDefault="00AE727E">
            <w:pPr>
              <w:rPr>
                <w:rFonts w:ascii="宋体"/>
              </w:rPr>
            </w:pPr>
          </w:p>
        </w:tc>
        <w:tc>
          <w:tcPr>
            <w:tcW w:w="749" w:type="pct"/>
            <w:shd w:val="clear" w:color="auto" w:fill="auto"/>
            <w:vAlign w:val="bottom"/>
          </w:tcPr>
          <w:p w14:paraId="07DCFD48" w14:textId="77777777" w:rsidR="00AE727E" w:rsidRDefault="00AE727E">
            <w:pPr>
              <w:rPr>
                <w:rFonts w:ascii="宋体"/>
              </w:rPr>
            </w:pPr>
          </w:p>
        </w:tc>
        <w:tc>
          <w:tcPr>
            <w:tcW w:w="5" w:type="pct"/>
            <w:shd w:val="clear" w:color="auto" w:fill="auto"/>
            <w:vAlign w:val="bottom"/>
          </w:tcPr>
          <w:p w14:paraId="07DCFD49" w14:textId="77777777" w:rsidR="00AE727E" w:rsidRDefault="00AE727E">
            <w:pPr>
              <w:rPr>
                <w:rFonts w:ascii="宋体"/>
              </w:rPr>
            </w:pPr>
          </w:p>
        </w:tc>
      </w:tr>
      <w:tr w:rsidR="00AE727E" w14:paraId="07DCFD4F" w14:textId="77777777">
        <w:tc>
          <w:tcPr>
            <w:tcW w:w="0" w:type="auto"/>
            <w:gridSpan w:val="3"/>
            <w:shd w:val="clear" w:color="auto" w:fill="auto"/>
            <w:tcMar>
              <w:top w:w="40" w:type="dxa"/>
              <w:left w:w="20" w:type="dxa"/>
              <w:bottom w:w="40" w:type="dxa"/>
              <w:right w:w="20" w:type="dxa"/>
            </w:tcMar>
            <w:vAlign w:val="bottom"/>
          </w:tcPr>
          <w:p w14:paraId="07DCFD4B"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DCFD4C"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D4D"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D4E"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FD58" w14:textId="77777777">
        <w:tc>
          <w:tcPr>
            <w:tcW w:w="0" w:type="auto"/>
            <w:gridSpan w:val="3"/>
            <w:shd w:val="clear" w:color="auto" w:fill="auto"/>
            <w:tcMar>
              <w:top w:w="40" w:type="dxa"/>
              <w:left w:w="20" w:type="dxa"/>
              <w:bottom w:w="40" w:type="dxa"/>
              <w:right w:w="20" w:type="dxa"/>
            </w:tcMar>
            <w:vAlign w:val="bottom"/>
          </w:tcPr>
          <w:p w14:paraId="07DCFD50"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D5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D5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D53"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D5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D55"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D5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D57"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D5B" w14:textId="77777777">
        <w:tc>
          <w:tcPr>
            <w:tcW w:w="0" w:type="auto"/>
            <w:gridSpan w:val="3"/>
            <w:shd w:val="clear" w:color="auto" w:fill="auto"/>
            <w:tcMar>
              <w:top w:w="40" w:type="dxa"/>
              <w:left w:w="20" w:type="dxa"/>
              <w:bottom w:w="40" w:type="dxa"/>
              <w:right w:w="20" w:type="dxa"/>
            </w:tcMar>
            <w:vAlign w:val="center"/>
          </w:tcPr>
          <w:p w14:paraId="07DCFD59"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CFD5A"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D64" w14:textId="77777777">
        <w:tc>
          <w:tcPr>
            <w:tcW w:w="0" w:type="auto"/>
            <w:gridSpan w:val="3"/>
            <w:shd w:val="clear" w:color="auto" w:fill="CCEEFF"/>
            <w:tcMar>
              <w:top w:w="40" w:type="dxa"/>
              <w:left w:w="20" w:type="dxa"/>
              <w:bottom w:w="40" w:type="dxa"/>
              <w:right w:w="20" w:type="dxa"/>
            </w:tcMar>
            <w:vAlign w:val="bottom"/>
          </w:tcPr>
          <w:p w14:paraId="07DCFD5C" w14:textId="77777777" w:rsidR="00AE727E" w:rsidRDefault="008433E0">
            <w:pPr>
              <w:textAlignment w:val="bottom"/>
            </w:pPr>
            <w:r>
              <w:rPr>
                <w:rFonts w:ascii="Times New Roman" w:eastAsia="宋体" w:hAnsi="Times New Roman"/>
                <w:i/>
                <w:iCs/>
                <w:color w:val="000000"/>
                <w:sz w:val="20"/>
                <w:szCs w:val="20"/>
              </w:rPr>
              <w:t>Consolidated net revenue:</w:t>
            </w:r>
          </w:p>
        </w:tc>
        <w:tc>
          <w:tcPr>
            <w:tcW w:w="0" w:type="auto"/>
            <w:gridSpan w:val="3"/>
            <w:shd w:val="clear" w:color="auto" w:fill="CCEEFF"/>
            <w:tcMar>
              <w:top w:w="40" w:type="dxa"/>
              <w:left w:w="20" w:type="dxa"/>
              <w:bottom w:w="40" w:type="dxa"/>
              <w:right w:w="20" w:type="dxa"/>
            </w:tcMar>
            <w:vAlign w:val="bottom"/>
          </w:tcPr>
          <w:p w14:paraId="07DCFD5D"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D5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60"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D61"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D62"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CFD63" w14:textId="77777777" w:rsidR="00AE727E" w:rsidRDefault="008433E0">
            <w:pPr>
              <w:jc w:val="right"/>
              <w:textAlignment w:val="bottom"/>
            </w:pPr>
            <w:r>
              <w:rPr>
                <w:rFonts w:ascii="Times New Roman" w:eastAsia="宋体" w:hAnsi="Times New Roman"/>
                <w:color w:val="000000"/>
                <w:sz w:val="20"/>
                <w:szCs w:val="20"/>
              </w:rPr>
              <w:t> </w:t>
            </w:r>
          </w:p>
        </w:tc>
      </w:tr>
      <w:tr w:rsidR="00AE727E" w14:paraId="07DCFD75" w14:textId="77777777">
        <w:tc>
          <w:tcPr>
            <w:tcW w:w="0" w:type="auto"/>
            <w:gridSpan w:val="3"/>
            <w:shd w:val="clear" w:color="auto" w:fill="FFFFFF"/>
            <w:tcMar>
              <w:top w:w="40" w:type="dxa"/>
              <w:left w:w="20" w:type="dxa"/>
              <w:bottom w:w="40" w:type="dxa"/>
              <w:right w:w="20" w:type="dxa"/>
            </w:tcMar>
            <w:vAlign w:val="bottom"/>
          </w:tcPr>
          <w:p w14:paraId="07DCFD65" w14:textId="77777777" w:rsidR="00AE727E" w:rsidRDefault="008433E0">
            <w:pPr>
              <w:textAlignment w:val="bottom"/>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bottom"/>
          </w:tcPr>
          <w:p w14:paraId="07DCFD6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67" w14:textId="77777777" w:rsidR="00AE727E" w:rsidRDefault="008433E0">
            <w:pPr>
              <w:jc w:val="right"/>
              <w:textAlignment w:val="bottom"/>
            </w:pPr>
            <w:r>
              <w:rPr>
                <w:rFonts w:ascii="Times New Roman" w:eastAsia="宋体" w:hAnsi="Times New Roman"/>
                <w:color w:val="000000"/>
                <w:sz w:val="20"/>
                <w:szCs w:val="20"/>
              </w:rPr>
              <w:t>8,428 </w:t>
            </w:r>
          </w:p>
        </w:tc>
        <w:tc>
          <w:tcPr>
            <w:tcW w:w="0" w:type="auto"/>
            <w:shd w:val="clear" w:color="auto" w:fill="FFFFFF"/>
            <w:tcMar>
              <w:top w:w="40" w:type="dxa"/>
              <w:left w:w="0" w:type="dxa"/>
              <w:bottom w:w="40" w:type="dxa"/>
              <w:right w:w="20" w:type="dxa"/>
            </w:tcMar>
            <w:vAlign w:val="bottom"/>
          </w:tcPr>
          <w:p w14:paraId="07DCFD6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6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6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6B" w14:textId="77777777" w:rsidR="00AE727E" w:rsidRDefault="008433E0">
            <w:pPr>
              <w:jc w:val="right"/>
              <w:textAlignment w:val="bottom"/>
            </w:pPr>
            <w:r>
              <w:rPr>
                <w:rFonts w:ascii="Times New Roman" w:eastAsia="宋体" w:hAnsi="Times New Roman"/>
                <w:color w:val="000000"/>
                <w:sz w:val="20"/>
                <w:szCs w:val="20"/>
              </w:rPr>
              <w:t>8,024 </w:t>
            </w:r>
          </w:p>
        </w:tc>
        <w:tc>
          <w:tcPr>
            <w:tcW w:w="0" w:type="auto"/>
            <w:shd w:val="clear" w:color="auto" w:fill="FFFFFF"/>
            <w:tcMar>
              <w:top w:w="40" w:type="dxa"/>
              <w:left w:w="0" w:type="dxa"/>
              <w:bottom w:w="40" w:type="dxa"/>
              <w:right w:w="20" w:type="dxa"/>
            </w:tcMar>
            <w:vAlign w:val="bottom"/>
          </w:tcPr>
          <w:p w14:paraId="07DCFD6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6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6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6F" w14:textId="77777777" w:rsidR="00AE727E" w:rsidRDefault="008433E0">
            <w:pPr>
              <w:jc w:val="right"/>
              <w:textAlignment w:val="bottom"/>
            </w:pPr>
            <w:r>
              <w:rPr>
                <w:rFonts w:ascii="Times New Roman" w:eastAsia="宋体" w:hAnsi="Times New Roman"/>
                <w:color w:val="000000"/>
                <w:sz w:val="20"/>
                <w:szCs w:val="20"/>
              </w:rPr>
              <w:t>24,771 </w:t>
            </w:r>
          </w:p>
        </w:tc>
        <w:tc>
          <w:tcPr>
            <w:tcW w:w="0" w:type="auto"/>
            <w:shd w:val="clear" w:color="auto" w:fill="FFFFFF"/>
            <w:tcMar>
              <w:top w:w="40" w:type="dxa"/>
              <w:left w:w="0" w:type="dxa"/>
              <w:bottom w:w="40" w:type="dxa"/>
              <w:right w:w="20" w:type="dxa"/>
            </w:tcMar>
            <w:vAlign w:val="bottom"/>
          </w:tcPr>
          <w:p w14:paraId="07DCFD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7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7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73" w14:textId="77777777" w:rsidR="00AE727E" w:rsidRDefault="008433E0">
            <w:pPr>
              <w:jc w:val="right"/>
              <w:textAlignment w:val="bottom"/>
            </w:pPr>
            <w:r>
              <w:rPr>
                <w:rFonts w:ascii="Times New Roman" w:eastAsia="宋体" w:hAnsi="Times New Roman"/>
                <w:color w:val="000000"/>
                <w:sz w:val="20"/>
                <w:szCs w:val="20"/>
              </w:rPr>
              <w:t>23,800 </w:t>
            </w:r>
          </w:p>
        </w:tc>
        <w:tc>
          <w:tcPr>
            <w:tcW w:w="0" w:type="auto"/>
            <w:shd w:val="clear" w:color="auto" w:fill="FFFFFF"/>
            <w:tcMar>
              <w:top w:w="40" w:type="dxa"/>
              <w:left w:w="0" w:type="dxa"/>
              <w:bottom w:w="40" w:type="dxa"/>
              <w:right w:w="20" w:type="dxa"/>
            </w:tcMar>
            <w:vAlign w:val="bottom"/>
          </w:tcPr>
          <w:p w14:paraId="07DCFD74" w14:textId="77777777" w:rsidR="00AE727E" w:rsidRDefault="00AE727E">
            <w:pPr>
              <w:jc w:val="right"/>
              <w:rPr>
                <w:rFonts w:ascii="宋体"/>
              </w:rPr>
            </w:pPr>
          </w:p>
        </w:tc>
      </w:tr>
      <w:tr w:rsidR="00AE727E" w14:paraId="07DCFD82" w14:textId="77777777">
        <w:tc>
          <w:tcPr>
            <w:tcW w:w="0" w:type="auto"/>
            <w:gridSpan w:val="3"/>
            <w:shd w:val="clear" w:color="auto" w:fill="CCEEFF"/>
            <w:tcMar>
              <w:top w:w="40" w:type="dxa"/>
              <w:left w:w="20" w:type="dxa"/>
              <w:bottom w:w="40" w:type="dxa"/>
              <w:right w:w="20" w:type="dxa"/>
            </w:tcMar>
            <w:vAlign w:val="bottom"/>
          </w:tcPr>
          <w:p w14:paraId="07DCFD76" w14:textId="77777777" w:rsidR="00AE727E" w:rsidRDefault="008433E0">
            <w:pPr>
              <w:textAlignment w:val="bottom"/>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bottom"/>
          </w:tcPr>
          <w:p w14:paraId="07DCFD77" w14:textId="77777777" w:rsidR="00AE727E" w:rsidRDefault="008433E0">
            <w:pPr>
              <w:jc w:val="right"/>
              <w:textAlignment w:val="bottom"/>
            </w:pPr>
            <w:r>
              <w:rPr>
                <w:rFonts w:ascii="Times New Roman" w:eastAsia="宋体" w:hAnsi="Times New Roman"/>
                <w:color w:val="000000"/>
                <w:sz w:val="20"/>
                <w:szCs w:val="20"/>
              </w:rPr>
              <w:t>16,546 </w:t>
            </w:r>
          </w:p>
        </w:tc>
        <w:tc>
          <w:tcPr>
            <w:tcW w:w="0" w:type="auto"/>
            <w:shd w:val="clear" w:color="auto" w:fill="CCEEFF"/>
            <w:tcMar>
              <w:top w:w="40" w:type="dxa"/>
              <w:left w:w="0" w:type="dxa"/>
              <w:bottom w:w="40" w:type="dxa"/>
              <w:right w:w="20" w:type="dxa"/>
            </w:tcMar>
            <w:vAlign w:val="bottom"/>
          </w:tcPr>
          <w:p w14:paraId="07DCFD7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7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7A" w14:textId="77777777" w:rsidR="00AE727E" w:rsidRDefault="008433E0">
            <w:pPr>
              <w:jc w:val="right"/>
              <w:textAlignment w:val="bottom"/>
            </w:pPr>
            <w:r>
              <w:rPr>
                <w:rFonts w:ascii="Times New Roman" w:eastAsia="宋体" w:hAnsi="Times New Roman"/>
                <w:color w:val="000000"/>
                <w:sz w:val="20"/>
                <w:szCs w:val="20"/>
              </w:rPr>
              <w:t>12,286 </w:t>
            </w:r>
          </w:p>
        </w:tc>
        <w:tc>
          <w:tcPr>
            <w:tcW w:w="0" w:type="auto"/>
            <w:shd w:val="clear" w:color="auto" w:fill="CCEEFF"/>
            <w:tcMar>
              <w:top w:w="40" w:type="dxa"/>
              <w:left w:w="0" w:type="dxa"/>
              <w:bottom w:w="40" w:type="dxa"/>
              <w:right w:w="20" w:type="dxa"/>
            </w:tcMar>
            <w:vAlign w:val="bottom"/>
          </w:tcPr>
          <w:p w14:paraId="07DCFD7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7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7D" w14:textId="77777777" w:rsidR="00AE727E" w:rsidRDefault="008433E0">
            <w:pPr>
              <w:jc w:val="right"/>
              <w:textAlignment w:val="bottom"/>
            </w:pPr>
            <w:r>
              <w:rPr>
                <w:rFonts w:ascii="Times New Roman" w:eastAsia="宋体" w:hAnsi="Times New Roman"/>
                <w:color w:val="000000"/>
                <w:sz w:val="20"/>
                <w:szCs w:val="20"/>
              </w:rPr>
              <w:t>44,114 </w:t>
            </w:r>
          </w:p>
        </w:tc>
        <w:tc>
          <w:tcPr>
            <w:tcW w:w="0" w:type="auto"/>
            <w:shd w:val="clear" w:color="auto" w:fill="CCEEFF"/>
            <w:tcMar>
              <w:top w:w="40" w:type="dxa"/>
              <w:left w:w="0" w:type="dxa"/>
              <w:bottom w:w="40" w:type="dxa"/>
              <w:right w:w="20" w:type="dxa"/>
            </w:tcMar>
            <w:vAlign w:val="bottom"/>
          </w:tcPr>
          <w:p w14:paraId="07DCFD7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7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80" w14:textId="77777777" w:rsidR="00AE727E" w:rsidRDefault="008433E0">
            <w:pPr>
              <w:jc w:val="right"/>
              <w:textAlignment w:val="bottom"/>
            </w:pPr>
            <w:r>
              <w:rPr>
                <w:rFonts w:ascii="Times New Roman" w:eastAsia="宋体" w:hAnsi="Times New Roman"/>
                <w:color w:val="000000"/>
                <w:sz w:val="20"/>
                <w:szCs w:val="20"/>
              </w:rPr>
              <w:t>34,593 </w:t>
            </w:r>
          </w:p>
        </w:tc>
        <w:tc>
          <w:tcPr>
            <w:tcW w:w="0" w:type="auto"/>
            <w:shd w:val="clear" w:color="auto" w:fill="CCEEFF"/>
            <w:tcMar>
              <w:top w:w="40" w:type="dxa"/>
              <w:left w:w="0" w:type="dxa"/>
              <w:bottom w:w="40" w:type="dxa"/>
              <w:right w:w="20" w:type="dxa"/>
            </w:tcMar>
            <w:vAlign w:val="bottom"/>
          </w:tcPr>
          <w:p w14:paraId="07DCFD81" w14:textId="77777777" w:rsidR="00AE727E" w:rsidRDefault="00AE727E">
            <w:pPr>
              <w:jc w:val="right"/>
              <w:rPr>
                <w:rFonts w:ascii="宋体"/>
              </w:rPr>
            </w:pPr>
          </w:p>
        </w:tc>
      </w:tr>
      <w:tr w:rsidR="00AE727E" w14:paraId="07DCFD8F" w14:textId="77777777">
        <w:tc>
          <w:tcPr>
            <w:tcW w:w="0" w:type="auto"/>
            <w:gridSpan w:val="3"/>
            <w:shd w:val="clear" w:color="auto" w:fill="FFFFFF"/>
            <w:tcMar>
              <w:top w:w="40" w:type="dxa"/>
              <w:left w:w="20" w:type="dxa"/>
              <w:bottom w:w="40" w:type="dxa"/>
              <w:right w:w="20" w:type="dxa"/>
            </w:tcMar>
            <w:vAlign w:val="bottom"/>
          </w:tcPr>
          <w:p w14:paraId="07DCFD83" w14:textId="77777777" w:rsidR="00AE727E" w:rsidRDefault="008433E0">
            <w:pPr>
              <w:textAlignment w:val="bottom"/>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bottom"/>
          </w:tcPr>
          <w:p w14:paraId="07DCFD84" w14:textId="77777777" w:rsidR="00AE727E" w:rsidRDefault="008433E0">
            <w:pPr>
              <w:jc w:val="right"/>
              <w:textAlignment w:val="bottom"/>
            </w:pPr>
            <w:r>
              <w:rPr>
                <w:rFonts w:ascii="Times New Roman" w:eastAsia="宋体" w:hAnsi="Times New Roman"/>
                <w:color w:val="000000"/>
                <w:sz w:val="20"/>
                <w:szCs w:val="20"/>
              </w:rPr>
              <w:t>3,178 </w:t>
            </w:r>
          </w:p>
        </w:tc>
        <w:tc>
          <w:tcPr>
            <w:tcW w:w="0" w:type="auto"/>
            <w:shd w:val="clear" w:color="auto" w:fill="FFFFFF"/>
            <w:tcMar>
              <w:top w:w="40" w:type="dxa"/>
              <w:left w:w="0" w:type="dxa"/>
              <w:bottom w:w="40" w:type="dxa"/>
              <w:right w:w="20" w:type="dxa"/>
            </w:tcMar>
            <w:vAlign w:val="bottom"/>
          </w:tcPr>
          <w:p w14:paraId="07DCFD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8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87" w14:textId="77777777" w:rsidR="00AE727E" w:rsidRDefault="008433E0">
            <w:pPr>
              <w:jc w:val="right"/>
              <w:textAlignment w:val="bottom"/>
            </w:pPr>
            <w:r>
              <w:rPr>
                <w:rFonts w:ascii="Times New Roman" w:eastAsia="宋体" w:hAnsi="Times New Roman"/>
                <w:color w:val="000000"/>
                <w:sz w:val="20"/>
                <w:szCs w:val="20"/>
              </w:rPr>
              <w:t>2,893 </w:t>
            </w:r>
          </w:p>
        </w:tc>
        <w:tc>
          <w:tcPr>
            <w:tcW w:w="0" w:type="auto"/>
            <w:shd w:val="clear" w:color="auto" w:fill="FFFFFF"/>
            <w:tcMar>
              <w:top w:w="40" w:type="dxa"/>
              <w:left w:w="0" w:type="dxa"/>
              <w:bottom w:w="40" w:type="dxa"/>
              <w:right w:w="20" w:type="dxa"/>
            </w:tcMar>
            <w:vAlign w:val="bottom"/>
          </w:tcPr>
          <w:p w14:paraId="07DCFD8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8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8A" w14:textId="77777777" w:rsidR="00AE727E" w:rsidRDefault="008433E0">
            <w:pPr>
              <w:jc w:val="right"/>
              <w:textAlignment w:val="bottom"/>
            </w:pPr>
            <w:r>
              <w:rPr>
                <w:rFonts w:ascii="Times New Roman" w:eastAsia="宋体" w:hAnsi="Times New Roman"/>
                <w:color w:val="000000"/>
                <w:sz w:val="20"/>
                <w:szCs w:val="20"/>
              </w:rPr>
              <w:t>9,317 </w:t>
            </w:r>
          </w:p>
        </w:tc>
        <w:tc>
          <w:tcPr>
            <w:tcW w:w="0" w:type="auto"/>
            <w:shd w:val="clear" w:color="auto" w:fill="FFFFFF"/>
            <w:tcMar>
              <w:top w:w="40" w:type="dxa"/>
              <w:left w:w="0" w:type="dxa"/>
              <w:bottom w:w="40" w:type="dxa"/>
              <w:right w:w="20" w:type="dxa"/>
            </w:tcMar>
            <w:vAlign w:val="bottom"/>
          </w:tcPr>
          <w:p w14:paraId="07DCFD8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8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8D" w14:textId="77777777" w:rsidR="00AE727E" w:rsidRDefault="008433E0">
            <w:pPr>
              <w:jc w:val="right"/>
              <w:textAlignment w:val="bottom"/>
            </w:pPr>
            <w:r>
              <w:rPr>
                <w:rFonts w:ascii="Times New Roman" w:eastAsia="宋体" w:hAnsi="Times New Roman"/>
                <w:color w:val="000000"/>
                <w:sz w:val="20"/>
                <w:szCs w:val="20"/>
              </w:rPr>
              <w:t>8,556 </w:t>
            </w:r>
          </w:p>
        </w:tc>
        <w:tc>
          <w:tcPr>
            <w:tcW w:w="0" w:type="auto"/>
            <w:shd w:val="clear" w:color="auto" w:fill="FFFFFF"/>
            <w:tcMar>
              <w:top w:w="40" w:type="dxa"/>
              <w:left w:w="0" w:type="dxa"/>
              <w:bottom w:w="40" w:type="dxa"/>
              <w:right w:w="20" w:type="dxa"/>
            </w:tcMar>
            <w:vAlign w:val="bottom"/>
          </w:tcPr>
          <w:p w14:paraId="07DCFD8E" w14:textId="77777777" w:rsidR="00AE727E" w:rsidRDefault="00AE727E">
            <w:pPr>
              <w:jc w:val="right"/>
              <w:rPr>
                <w:rFonts w:ascii="宋体"/>
              </w:rPr>
            </w:pPr>
          </w:p>
        </w:tc>
      </w:tr>
      <w:tr w:rsidR="00AE727E" w14:paraId="07DCFD9C" w14:textId="77777777">
        <w:tc>
          <w:tcPr>
            <w:tcW w:w="0" w:type="auto"/>
            <w:gridSpan w:val="3"/>
            <w:shd w:val="clear" w:color="auto" w:fill="CCEEFF"/>
            <w:tcMar>
              <w:top w:w="40" w:type="dxa"/>
              <w:left w:w="155" w:type="dxa"/>
              <w:bottom w:w="40" w:type="dxa"/>
              <w:right w:w="20" w:type="dxa"/>
            </w:tcMar>
            <w:vAlign w:val="bottom"/>
          </w:tcPr>
          <w:p w14:paraId="07DCFD90" w14:textId="77777777" w:rsidR="00AE727E" w:rsidRDefault="008433E0">
            <w:pPr>
              <w:textAlignment w:val="bottom"/>
            </w:pPr>
            <w:r>
              <w:rPr>
                <w:rFonts w:ascii="Times New Roman" w:eastAsia="宋体" w:hAnsi="Times New Roman"/>
                <w:color w:val="000000"/>
                <w:sz w:val="20"/>
                <w:szCs w:val="20"/>
              </w:rPr>
              <w:t>Reportable segment net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D91" w14:textId="77777777" w:rsidR="00AE727E" w:rsidRDefault="008433E0">
            <w:pPr>
              <w:jc w:val="right"/>
              <w:textAlignment w:val="bottom"/>
            </w:pPr>
            <w:r>
              <w:rPr>
                <w:rFonts w:ascii="Times New Roman" w:eastAsia="宋体" w:hAnsi="Times New Roman"/>
                <w:color w:val="000000"/>
                <w:sz w:val="20"/>
                <w:szCs w:val="20"/>
              </w:rPr>
              <w:t>28,152 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9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93"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D94" w14:textId="77777777" w:rsidR="00AE727E" w:rsidRDefault="008433E0">
            <w:pPr>
              <w:jc w:val="right"/>
              <w:textAlignment w:val="bottom"/>
            </w:pPr>
            <w:r>
              <w:rPr>
                <w:rFonts w:ascii="Times New Roman" w:eastAsia="宋体" w:hAnsi="Times New Roman"/>
                <w:color w:val="000000"/>
                <w:sz w:val="20"/>
                <w:szCs w:val="20"/>
              </w:rPr>
              <w:t>23,203 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9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96"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D97" w14:textId="77777777" w:rsidR="00AE727E" w:rsidRDefault="008433E0">
            <w:pPr>
              <w:jc w:val="right"/>
              <w:textAlignment w:val="bottom"/>
            </w:pPr>
            <w:r>
              <w:rPr>
                <w:rFonts w:ascii="Times New Roman" w:eastAsia="宋体" w:hAnsi="Times New Roman"/>
                <w:color w:val="000000"/>
                <w:sz w:val="20"/>
                <w:szCs w:val="20"/>
              </w:rPr>
              <w:t>78,202 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9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99"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D9A" w14:textId="77777777" w:rsidR="00AE727E" w:rsidRDefault="008433E0">
            <w:pPr>
              <w:jc w:val="right"/>
              <w:textAlignment w:val="bottom"/>
            </w:pPr>
            <w:r>
              <w:rPr>
                <w:rFonts w:ascii="Times New Roman" w:eastAsia="宋体" w:hAnsi="Times New Roman"/>
                <w:color w:val="000000"/>
                <w:sz w:val="20"/>
                <w:szCs w:val="20"/>
              </w:rPr>
              <w:t>66,949 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9B" w14:textId="77777777" w:rsidR="00AE727E" w:rsidRDefault="00AE727E">
            <w:pPr>
              <w:jc w:val="right"/>
              <w:rPr>
                <w:rFonts w:ascii="宋体"/>
              </w:rPr>
            </w:pPr>
          </w:p>
        </w:tc>
      </w:tr>
      <w:tr w:rsidR="00AE727E" w14:paraId="07DCFDA9" w14:textId="77777777">
        <w:tc>
          <w:tcPr>
            <w:tcW w:w="0" w:type="auto"/>
            <w:gridSpan w:val="3"/>
            <w:shd w:val="clear" w:color="auto" w:fill="FFFFFF"/>
            <w:tcMar>
              <w:top w:w="40" w:type="dxa"/>
              <w:left w:w="245" w:type="dxa"/>
              <w:bottom w:w="40" w:type="dxa"/>
              <w:right w:w="20" w:type="dxa"/>
            </w:tcMar>
            <w:vAlign w:val="bottom"/>
          </w:tcPr>
          <w:p w14:paraId="07DCFD9D" w14:textId="77777777" w:rsidR="00AE727E" w:rsidRDefault="008433E0">
            <w:pPr>
              <w:textAlignment w:val="bottom"/>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D9E" w14:textId="77777777" w:rsidR="00AE727E" w:rsidRDefault="008433E0">
            <w:pPr>
              <w:jc w:val="right"/>
              <w:textAlignment w:val="bottom"/>
            </w:pPr>
            <w:r>
              <w:rPr>
                <w:rFonts w:ascii="Times New Roman" w:eastAsia="宋体" w:hAnsi="Times New Roman"/>
                <w:color w:val="000000"/>
                <w:sz w:val="20"/>
                <w:szCs w:val="20"/>
              </w:rPr>
              <w:t>251 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D9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A0"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DA1" w14:textId="77777777" w:rsidR="00AE727E" w:rsidRDefault="008433E0">
            <w:pPr>
              <w:jc w:val="right"/>
              <w:textAlignment w:val="bottom"/>
            </w:pPr>
            <w:r>
              <w:rPr>
                <w:rFonts w:ascii="Times New Roman" w:eastAsia="宋体" w:hAnsi="Times New Roman"/>
                <w:color w:val="000000"/>
                <w:sz w:val="20"/>
                <w:szCs w:val="20"/>
              </w:rPr>
              <w:t>314 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DA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A3"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DA4" w14:textId="77777777" w:rsidR="00AE727E" w:rsidRDefault="008433E0">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DA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A6"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DA7" w14:textId="77777777" w:rsidR="00AE727E" w:rsidRDefault="008433E0">
            <w:pPr>
              <w:jc w:val="right"/>
              <w:textAlignment w:val="bottom"/>
            </w:pPr>
            <w:r>
              <w:rPr>
                <w:rFonts w:ascii="Times New Roman" w:eastAsia="宋体" w:hAnsi="Times New Roman"/>
                <w:color w:val="000000"/>
                <w:sz w:val="20"/>
                <w:szCs w:val="20"/>
              </w:rPr>
              <w:t>1,288 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DA8" w14:textId="77777777" w:rsidR="00AE727E" w:rsidRDefault="00AE727E">
            <w:pPr>
              <w:jc w:val="right"/>
              <w:rPr>
                <w:rFonts w:ascii="宋体"/>
              </w:rPr>
            </w:pPr>
          </w:p>
        </w:tc>
      </w:tr>
      <w:tr w:rsidR="00AE727E" w14:paraId="07DCFDB6" w14:textId="77777777">
        <w:tc>
          <w:tcPr>
            <w:tcW w:w="0" w:type="auto"/>
            <w:gridSpan w:val="3"/>
            <w:shd w:val="clear" w:color="auto" w:fill="CCEEFF"/>
            <w:tcMar>
              <w:top w:w="40" w:type="dxa"/>
              <w:left w:w="245" w:type="dxa"/>
              <w:bottom w:w="40" w:type="dxa"/>
              <w:right w:w="20" w:type="dxa"/>
            </w:tcMar>
            <w:vAlign w:val="bottom"/>
          </w:tcPr>
          <w:p w14:paraId="07DCFDAA" w14:textId="77777777" w:rsidR="00AE727E" w:rsidRDefault="008433E0">
            <w:pPr>
              <w:textAlignment w:val="bottom"/>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bottom"/>
          </w:tcPr>
          <w:p w14:paraId="07DCFDAB" w14:textId="77777777" w:rsidR="00AE727E" w:rsidRDefault="008433E0">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07DCFDA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A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AE"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DCFDA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B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B1" w14:textId="77777777" w:rsidR="00AE727E" w:rsidRDefault="008433E0">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7DCFDB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B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B4"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DCFDB5" w14:textId="77777777" w:rsidR="00AE727E" w:rsidRDefault="00AE727E">
            <w:pPr>
              <w:jc w:val="right"/>
              <w:rPr>
                <w:rFonts w:ascii="宋体"/>
              </w:rPr>
            </w:pPr>
          </w:p>
        </w:tc>
      </w:tr>
      <w:tr w:rsidR="00AE727E" w14:paraId="07DCFDC3" w14:textId="77777777">
        <w:tc>
          <w:tcPr>
            <w:tcW w:w="0" w:type="auto"/>
            <w:gridSpan w:val="3"/>
            <w:shd w:val="clear" w:color="auto" w:fill="FFFFFF"/>
            <w:tcMar>
              <w:top w:w="40" w:type="dxa"/>
              <w:left w:w="245" w:type="dxa"/>
              <w:bottom w:w="40" w:type="dxa"/>
              <w:right w:w="20" w:type="dxa"/>
            </w:tcMar>
            <w:vAlign w:val="bottom"/>
          </w:tcPr>
          <w:p w14:paraId="07DCFDB7" w14:textId="77777777" w:rsidR="00AE727E" w:rsidRDefault="008433E0">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bottom"/>
          </w:tcPr>
          <w:p w14:paraId="07DCFDB8" w14:textId="77777777" w:rsidR="00AE727E" w:rsidRDefault="008433E0">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07DCFDB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B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BB" w14:textId="77777777" w:rsidR="00AE727E" w:rsidRDefault="008433E0">
            <w:pPr>
              <w:jc w:val="right"/>
              <w:textAlignment w:val="bottom"/>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bottom"/>
          </w:tcPr>
          <w:p w14:paraId="07DCFDB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B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BE" w14:textId="77777777" w:rsidR="00AE727E" w:rsidRDefault="008433E0">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07DCFDB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C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DC1" w14:textId="77777777" w:rsidR="00AE727E" w:rsidRDefault="008433E0">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07DCFDC2" w14:textId="77777777" w:rsidR="00AE727E" w:rsidRDefault="00AE727E">
            <w:pPr>
              <w:jc w:val="right"/>
              <w:rPr>
                <w:rFonts w:ascii="宋体"/>
              </w:rPr>
            </w:pPr>
          </w:p>
        </w:tc>
      </w:tr>
      <w:tr w:rsidR="00AE727E" w14:paraId="07DCFDD4" w14:textId="77777777">
        <w:tc>
          <w:tcPr>
            <w:tcW w:w="0" w:type="auto"/>
            <w:gridSpan w:val="3"/>
            <w:shd w:val="clear" w:color="auto" w:fill="CCEEFF"/>
            <w:tcMar>
              <w:top w:w="40" w:type="dxa"/>
              <w:left w:w="380" w:type="dxa"/>
              <w:bottom w:w="40" w:type="dxa"/>
              <w:right w:w="20" w:type="dxa"/>
            </w:tcMar>
            <w:vAlign w:val="bottom"/>
          </w:tcPr>
          <w:p w14:paraId="07DCFDC4" w14:textId="77777777" w:rsidR="00AE727E" w:rsidRDefault="008433E0">
            <w:pPr>
              <w:textAlignment w:val="bottom"/>
            </w:pPr>
            <w:r>
              <w:rPr>
                <w:rFonts w:ascii="Times New Roman" w:eastAsia="宋体" w:hAnsi="Times New Roman"/>
                <w:color w:val="000000"/>
                <w:sz w:val="20"/>
                <w:szCs w:val="20"/>
              </w:rPr>
              <w:t>Total consolidated net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7DCFDC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DC6" w14:textId="77777777" w:rsidR="00AE727E" w:rsidRDefault="008433E0">
            <w:pPr>
              <w:jc w:val="right"/>
              <w:textAlignment w:val="bottom"/>
            </w:pPr>
            <w:r>
              <w:rPr>
                <w:rFonts w:ascii="Times New Roman" w:eastAsia="宋体" w:hAnsi="Times New Roman"/>
                <w:color w:val="000000"/>
                <w:sz w:val="20"/>
                <w:szCs w:val="20"/>
              </w:rPr>
              <w:t>28,394 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C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C8"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DC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DCA" w14:textId="77777777" w:rsidR="00AE727E" w:rsidRDefault="008433E0">
            <w:pPr>
              <w:jc w:val="right"/>
              <w:textAlignment w:val="bottom"/>
            </w:pPr>
            <w:r>
              <w:rPr>
                <w:rFonts w:ascii="Times New Roman" w:eastAsia="宋体" w:hAnsi="Times New Roman"/>
                <w:color w:val="000000"/>
                <w:sz w:val="20"/>
                <w:szCs w:val="20"/>
              </w:rPr>
              <w:t>23,482 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C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C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DC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DCE" w14:textId="77777777" w:rsidR="00AE727E" w:rsidRDefault="008433E0">
            <w:pPr>
              <w:jc w:val="right"/>
              <w:textAlignment w:val="bottom"/>
            </w:pPr>
            <w:r>
              <w:rPr>
                <w:rFonts w:ascii="Times New Roman" w:eastAsia="宋体" w:hAnsi="Times New Roman"/>
                <w:color w:val="000000"/>
                <w:sz w:val="20"/>
                <w:szCs w:val="20"/>
              </w:rPr>
              <w:t>79,003 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C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D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DD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DD2" w14:textId="77777777" w:rsidR="00AE727E" w:rsidRDefault="008433E0">
            <w:pPr>
              <w:jc w:val="right"/>
              <w:textAlignment w:val="bottom"/>
            </w:pPr>
            <w:r>
              <w:rPr>
                <w:rFonts w:ascii="Times New Roman" w:eastAsia="宋体" w:hAnsi="Times New Roman"/>
                <w:color w:val="000000"/>
                <w:sz w:val="20"/>
                <w:szCs w:val="20"/>
              </w:rPr>
              <w:t>68,112 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DD3" w14:textId="77777777" w:rsidR="00AE727E" w:rsidRDefault="00AE727E">
            <w:pPr>
              <w:jc w:val="right"/>
              <w:rPr>
                <w:rFonts w:ascii="宋体"/>
              </w:rPr>
            </w:pPr>
          </w:p>
        </w:tc>
      </w:tr>
      <w:tr w:rsidR="00AE727E" w14:paraId="07DCFDDD" w14:textId="77777777">
        <w:trPr>
          <w:trHeight w:val="280"/>
        </w:trPr>
        <w:tc>
          <w:tcPr>
            <w:tcW w:w="0" w:type="auto"/>
            <w:gridSpan w:val="3"/>
            <w:shd w:val="clear" w:color="auto" w:fill="FFFFFF"/>
            <w:tcMar>
              <w:top w:w="0" w:type="dxa"/>
              <w:left w:w="20" w:type="dxa"/>
              <w:bottom w:w="0" w:type="dxa"/>
              <w:right w:w="20" w:type="dxa"/>
            </w:tcMar>
            <w:vAlign w:val="bottom"/>
          </w:tcPr>
          <w:p w14:paraId="07DCFDD5"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DD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DD7"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DD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DD9"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DD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DDB"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DDC" w14:textId="77777777" w:rsidR="00AE727E" w:rsidRDefault="00AE727E">
            <w:pPr>
              <w:rPr>
                <w:rFonts w:ascii="宋体"/>
              </w:rPr>
            </w:pPr>
          </w:p>
        </w:tc>
      </w:tr>
      <w:tr w:rsidR="00AE727E" w14:paraId="07DCFDE6" w14:textId="77777777">
        <w:tc>
          <w:tcPr>
            <w:tcW w:w="0" w:type="auto"/>
            <w:gridSpan w:val="3"/>
            <w:shd w:val="clear" w:color="auto" w:fill="CCEEFF"/>
            <w:tcMar>
              <w:top w:w="40" w:type="dxa"/>
              <w:left w:w="20" w:type="dxa"/>
              <w:bottom w:w="40" w:type="dxa"/>
              <w:right w:w="20" w:type="dxa"/>
            </w:tcMar>
            <w:vAlign w:val="bottom"/>
          </w:tcPr>
          <w:p w14:paraId="07DCFDDE" w14:textId="77777777" w:rsidR="00AE727E" w:rsidRDefault="008433E0">
            <w:pPr>
              <w:textAlignment w:val="bottom"/>
            </w:pPr>
            <w:r>
              <w:rPr>
                <w:rFonts w:ascii="Times New Roman" w:eastAsia="宋体" w:hAnsi="Times New Roman"/>
                <w:i/>
                <w:iCs/>
                <w:color w:val="000000"/>
                <w:sz w:val="20"/>
                <w:szCs w:val="20"/>
              </w:rPr>
              <w:t>Consolidated operating income:</w:t>
            </w:r>
          </w:p>
        </w:tc>
        <w:tc>
          <w:tcPr>
            <w:tcW w:w="0" w:type="auto"/>
            <w:gridSpan w:val="3"/>
            <w:shd w:val="clear" w:color="auto" w:fill="CCEEFF"/>
            <w:tcMar>
              <w:top w:w="0" w:type="dxa"/>
              <w:left w:w="20" w:type="dxa"/>
              <w:bottom w:w="0" w:type="dxa"/>
              <w:right w:w="20" w:type="dxa"/>
            </w:tcMar>
            <w:vAlign w:val="bottom"/>
          </w:tcPr>
          <w:p w14:paraId="07DCFDD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DE5" w14:textId="77777777" w:rsidR="00AE727E" w:rsidRDefault="00AE727E">
            <w:pPr>
              <w:rPr>
                <w:rFonts w:ascii="宋体"/>
              </w:rPr>
            </w:pPr>
          </w:p>
        </w:tc>
      </w:tr>
      <w:tr w:rsidR="00AE727E" w14:paraId="07DCFDF7" w14:textId="77777777">
        <w:tc>
          <w:tcPr>
            <w:tcW w:w="0" w:type="auto"/>
            <w:gridSpan w:val="3"/>
            <w:shd w:val="clear" w:color="auto" w:fill="FFFFFF"/>
            <w:tcMar>
              <w:top w:w="40" w:type="dxa"/>
              <w:left w:w="20" w:type="dxa"/>
              <w:bottom w:w="40" w:type="dxa"/>
              <w:right w:w="20" w:type="dxa"/>
            </w:tcMar>
            <w:vAlign w:val="bottom"/>
          </w:tcPr>
          <w:p w14:paraId="07DCFDE7" w14:textId="77777777" w:rsidR="00AE727E" w:rsidRDefault="008433E0">
            <w:pPr>
              <w:textAlignment w:val="bottom"/>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bottom"/>
          </w:tcPr>
          <w:p w14:paraId="07DCFDE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E9" w14:textId="77777777" w:rsidR="00AE727E" w:rsidRDefault="008433E0">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07DCFDE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E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E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ED" w14:textId="77777777" w:rsidR="00AE727E" w:rsidRDefault="008433E0">
            <w:pPr>
              <w:jc w:val="right"/>
              <w:textAlignment w:val="bottom"/>
            </w:pPr>
            <w:r>
              <w:rPr>
                <w:rFonts w:ascii="Times New Roman" w:eastAsia="宋体" w:hAnsi="Times New Roman"/>
                <w:color w:val="000000"/>
                <w:sz w:val="20"/>
                <w:szCs w:val="20"/>
              </w:rPr>
              <w:t>882 </w:t>
            </w:r>
          </w:p>
        </w:tc>
        <w:tc>
          <w:tcPr>
            <w:tcW w:w="0" w:type="auto"/>
            <w:shd w:val="clear" w:color="auto" w:fill="FFFFFF"/>
            <w:tcMar>
              <w:top w:w="40" w:type="dxa"/>
              <w:left w:w="0" w:type="dxa"/>
              <w:bottom w:w="40" w:type="dxa"/>
              <w:right w:w="20" w:type="dxa"/>
            </w:tcMar>
            <w:vAlign w:val="bottom"/>
          </w:tcPr>
          <w:p w14:paraId="07DCFD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EF"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F0"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F1" w14:textId="77777777" w:rsidR="00AE727E" w:rsidRDefault="008433E0">
            <w:pPr>
              <w:jc w:val="right"/>
              <w:textAlignment w:val="bottom"/>
            </w:pPr>
            <w:r>
              <w:rPr>
                <w:rFonts w:ascii="Times New Roman" w:eastAsia="宋体" w:hAnsi="Times New Roman"/>
                <w:color w:val="000000"/>
                <w:sz w:val="20"/>
                <w:szCs w:val="20"/>
              </w:rPr>
              <w:t>2,650 </w:t>
            </w:r>
          </w:p>
        </w:tc>
        <w:tc>
          <w:tcPr>
            <w:tcW w:w="0" w:type="auto"/>
            <w:shd w:val="clear" w:color="auto" w:fill="FFFFFF"/>
            <w:tcMar>
              <w:top w:w="40" w:type="dxa"/>
              <w:left w:w="0" w:type="dxa"/>
              <w:bottom w:w="40" w:type="dxa"/>
              <w:right w:w="20" w:type="dxa"/>
            </w:tcMar>
            <w:vAlign w:val="bottom"/>
          </w:tcPr>
          <w:p w14:paraId="07DCFDF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DF3"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DF4"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DF5" w14:textId="77777777" w:rsidR="00AE727E" w:rsidRDefault="008433E0">
            <w:pPr>
              <w:jc w:val="right"/>
              <w:textAlignment w:val="bottom"/>
            </w:pPr>
            <w:r>
              <w:rPr>
                <w:rFonts w:ascii="Times New Roman" w:eastAsia="宋体" w:hAnsi="Times New Roman"/>
                <w:color w:val="000000"/>
                <w:sz w:val="20"/>
                <w:szCs w:val="20"/>
              </w:rPr>
              <w:t>2,587 </w:t>
            </w:r>
          </w:p>
        </w:tc>
        <w:tc>
          <w:tcPr>
            <w:tcW w:w="0" w:type="auto"/>
            <w:shd w:val="clear" w:color="auto" w:fill="FFFFFF"/>
            <w:tcMar>
              <w:top w:w="40" w:type="dxa"/>
              <w:left w:w="0" w:type="dxa"/>
              <w:bottom w:w="40" w:type="dxa"/>
              <w:right w:w="20" w:type="dxa"/>
            </w:tcMar>
            <w:vAlign w:val="bottom"/>
          </w:tcPr>
          <w:p w14:paraId="07DCFDF6" w14:textId="77777777" w:rsidR="00AE727E" w:rsidRDefault="00AE727E">
            <w:pPr>
              <w:jc w:val="right"/>
              <w:rPr>
                <w:rFonts w:ascii="宋体"/>
              </w:rPr>
            </w:pPr>
          </w:p>
        </w:tc>
      </w:tr>
      <w:tr w:rsidR="00AE727E" w14:paraId="07DCFE04" w14:textId="77777777">
        <w:tc>
          <w:tcPr>
            <w:tcW w:w="0" w:type="auto"/>
            <w:gridSpan w:val="3"/>
            <w:shd w:val="clear" w:color="auto" w:fill="CCEEFF"/>
            <w:tcMar>
              <w:top w:w="40" w:type="dxa"/>
              <w:left w:w="20" w:type="dxa"/>
              <w:bottom w:w="40" w:type="dxa"/>
              <w:right w:w="20" w:type="dxa"/>
            </w:tcMar>
            <w:vAlign w:val="bottom"/>
          </w:tcPr>
          <w:p w14:paraId="07DCFDF8" w14:textId="77777777" w:rsidR="00AE727E" w:rsidRDefault="008433E0">
            <w:pPr>
              <w:textAlignment w:val="bottom"/>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bottom"/>
          </w:tcPr>
          <w:p w14:paraId="07DCFDF9" w14:textId="77777777" w:rsidR="00AE727E" w:rsidRDefault="008433E0">
            <w:pPr>
              <w:jc w:val="right"/>
              <w:textAlignment w:val="bottom"/>
            </w:pPr>
            <w:r>
              <w:rPr>
                <w:rFonts w:ascii="Times New Roman" w:eastAsia="宋体" w:hAnsi="Times New Roman"/>
                <w:color w:val="000000"/>
                <w:sz w:val="20"/>
                <w:szCs w:val="20"/>
              </w:rPr>
              <w:t>1,147 </w:t>
            </w:r>
          </w:p>
        </w:tc>
        <w:tc>
          <w:tcPr>
            <w:tcW w:w="0" w:type="auto"/>
            <w:shd w:val="clear" w:color="auto" w:fill="CCEEFF"/>
            <w:tcMar>
              <w:top w:w="40" w:type="dxa"/>
              <w:left w:w="0" w:type="dxa"/>
              <w:bottom w:w="40" w:type="dxa"/>
              <w:right w:w="20" w:type="dxa"/>
            </w:tcMar>
            <w:vAlign w:val="bottom"/>
          </w:tcPr>
          <w:p w14:paraId="07DCFDF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F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FC" w14:textId="77777777" w:rsidR="00AE727E" w:rsidRDefault="008433E0">
            <w:pPr>
              <w:jc w:val="right"/>
              <w:textAlignment w:val="bottom"/>
            </w:pPr>
            <w:r>
              <w:rPr>
                <w:rFonts w:ascii="Times New Roman" w:eastAsia="宋体" w:hAnsi="Times New Roman"/>
                <w:color w:val="000000"/>
                <w:sz w:val="20"/>
                <w:szCs w:val="20"/>
              </w:rPr>
              <w:t>1,002 </w:t>
            </w:r>
          </w:p>
        </w:tc>
        <w:tc>
          <w:tcPr>
            <w:tcW w:w="0" w:type="auto"/>
            <w:shd w:val="clear" w:color="auto" w:fill="CCEEFF"/>
            <w:tcMar>
              <w:top w:w="40" w:type="dxa"/>
              <w:left w:w="0" w:type="dxa"/>
              <w:bottom w:w="40" w:type="dxa"/>
              <w:right w:w="20" w:type="dxa"/>
            </w:tcMar>
            <w:vAlign w:val="bottom"/>
          </w:tcPr>
          <w:p w14:paraId="07DCFDF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DF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DFF" w14:textId="77777777" w:rsidR="00AE727E" w:rsidRDefault="008433E0">
            <w:pPr>
              <w:jc w:val="right"/>
              <w:textAlignment w:val="bottom"/>
            </w:pPr>
            <w:r>
              <w:rPr>
                <w:rFonts w:ascii="Times New Roman" w:eastAsia="宋体" w:hAnsi="Times New Roman"/>
                <w:color w:val="000000"/>
                <w:sz w:val="20"/>
                <w:szCs w:val="20"/>
              </w:rPr>
              <w:t>3,232 </w:t>
            </w:r>
          </w:p>
        </w:tc>
        <w:tc>
          <w:tcPr>
            <w:tcW w:w="0" w:type="auto"/>
            <w:shd w:val="clear" w:color="auto" w:fill="CCEEFF"/>
            <w:tcMar>
              <w:top w:w="40" w:type="dxa"/>
              <w:left w:w="0" w:type="dxa"/>
              <w:bottom w:w="40" w:type="dxa"/>
              <w:right w:w="20" w:type="dxa"/>
            </w:tcMar>
            <w:vAlign w:val="bottom"/>
          </w:tcPr>
          <w:p w14:paraId="07DCFE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0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02" w14:textId="77777777" w:rsidR="00AE727E" w:rsidRDefault="008433E0">
            <w:pPr>
              <w:jc w:val="right"/>
              <w:textAlignment w:val="bottom"/>
            </w:pPr>
            <w:r>
              <w:rPr>
                <w:rFonts w:ascii="Times New Roman" w:eastAsia="宋体" w:hAnsi="Times New Roman"/>
                <w:color w:val="000000"/>
                <w:sz w:val="20"/>
                <w:szCs w:val="20"/>
              </w:rPr>
              <w:t>2,309 </w:t>
            </w:r>
          </w:p>
        </w:tc>
        <w:tc>
          <w:tcPr>
            <w:tcW w:w="0" w:type="auto"/>
            <w:shd w:val="clear" w:color="auto" w:fill="CCEEFF"/>
            <w:tcMar>
              <w:top w:w="40" w:type="dxa"/>
              <w:left w:w="0" w:type="dxa"/>
              <w:bottom w:w="40" w:type="dxa"/>
              <w:right w:w="20" w:type="dxa"/>
            </w:tcMar>
            <w:vAlign w:val="bottom"/>
          </w:tcPr>
          <w:p w14:paraId="07DCFE03" w14:textId="77777777" w:rsidR="00AE727E" w:rsidRDefault="00AE727E">
            <w:pPr>
              <w:jc w:val="right"/>
              <w:rPr>
                <w:rFonts w:ascii="宋体"/>
              </w:rPr>
            </w:pPr>
          </w:p>
        </w:tc>
      </w:tr>
      <w:tr w:rsidR="00AE727E" w14:paraId="07DCFE11" w14:textId="77777777">
        <w:tc>
          <w:tcPr>
            <w:tcW w:w="0" w:type="auto"/>
            <w:gridSpan w:val="3"/>
            <w:shd w:val="clear" w:color="auto" w:fill="FFFFFF"/>
            <w:tcMar>
              <w:top w:w="40" w:type="dxa"/>
              <w:left w:w="20" w:type="dxa"/>
              <w:bottom w:w="40" w:type="dxa"/>
              <w:right w:w="20" w:type="dxa"/>
            </w:tcMar>
            <w:vAlign w:val="bottom"/>
          </w:tcPr>
          <w:p w14:paraId="07DCFE05" w14:textId="77777777" w:rsidR="00AE727E" w:rsidRDefault="008433E0">
            <w:pPr>
              <w:textAlignment w:val="bottom"/>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bottom"/>
          </w:tcPr>
          <w:p w14:paraId="07DCFE06" w14:textId="77777777" w:rsidR="00AE727E" w:rsidRDefault="008433E0">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bottom"/>
          </w:tcPr>
          <w:p w14:paraId="07DCFE0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0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09" w14:textId="77777777" w:rsidR="00AE727E" w:rsidRDefault="008433E0">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bottom"/>
          </w:tcPr>
          <w:p w14:paraId="07DCFE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0C" w14:textId="77777777" w:rsidR="00AE727E" w:rsidRDefault="008433E0">
            <w:pPr>
              <w:jc w:val="right"/>
              <w:textAlignment w:val="bottom"/>
            </w:pPr>
            <w:r>
              <w:rPr>
                <w:rFonts w:ascii="Times New Roman" w:eastAsia="宋体" w:hAnsi="Times New Roman"/>
                <w:color w:val="000000"/>
                <w:sz w:val="20"/>
                <w:szCs w:val="20"/>
              </w:rPr>
              <w:t>2,527 </w:t>
            </w:r>
          </w:p>
        </w:tc>
        <w:tc>
          <w:tcPr>
            <w:tcW w:w="0" w:type="auto"/>
            <w:shd w:val="clear" w:color="auto" w:fill="FFFFFF"/>
            <w:tcMar>
              <w:top w:w="40" w:type="dxa"/>
              <w:left w:w="0" w:type="dxa"/>
              <w:bottom w:w="40" w:type="dxa"/>
              <w:right w:w="20" w:type="dxa"/>
            </w:tcMar>
            <w:vAlign w:val="bottom"/>
          </w:tcPr>
          <w:p w14:paraId="07DCFE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0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0F" w14:textId="77777777" w:rsidR="00AE727E" w:rsidRDefault="008433E0">
            <w:pPr>
              <w:jc w:val="right"/>
              <w:textAlignment w:val="bottom"/>
            </w:pPr>
            <w:r>
              <w:rPr>
                <w:rFonts w:ascii="Times New Roman" w:eastAsia="宋体" w:hAnsi="Times New Roman"/>
                <w:color w:val="000000"/>
                <w:sz w:val="20"/>
                <w:szCs w:val="20"/>
              </w:rPr>
              <w:t>2,504 </w:t>
            </w:r>
          </w:p>
        </w:tc>
        <w:tc>
          <w:tcPr>
            <w:tcW w:w="0" w:type="auto"/>
            <w:shd w:val="clear" w:color="auto" w:fill="FFFFFF"/>
            <w:tcMar>
              <w:top w:w="40" w:type="dxa"/>
              <w:left w:w="0" w:type="dxa"/>
              <w:bottom w:w="40" w:type="dxa"/>
              <w:right w:w="20" w:type="dxa"/>
            </w:tcMar>
            <w:vAlign w:val="bottom"/>
          </w:tcPr>
          <w:p w14:paraId="07DCFE10" w14:textId="77777777" w:rsidR="00AE727E" w:rsidRDefault="00AE727E">
            <w:pPr>
              <w:jc w:val="right"/>
              <w:rPr>
                <w:rFonts w:ascii="宋体"/>
              </w:rPr>
            </w:pPr>
          </w:p>
        </w:tc>
      </w:tr>
      <w:tr w:rsidR="00AE727E" w14:paraId="07DCFE1E" w14:textId="77777777">
        <w:tc>
          <w:tcPr>
            <w:tcW w:w="0" w:type="auto"/>
            <w:gridSpan w:val="3"/>
            <w:shd w:val="clear" w:color="auto" w:fill="CCEEFF"/>
            <w:tcMar>
              <w:top w:w="40" w:type="dxa"/>
              <w:left w:w="155" w:type="dxa"/>
              <w:bottom w:w="40" w:type="dxa"/>
              <w:right w:w="20" w:type="dxa"/>
            </w:tcMar>
            <w:vAlign w:val="bottom"/>
          </w:tcPr>
          <w:p w14:paraId="07DCFE12" w14:textId="77777777" w:rsidR="00AE727E" w:rsidRDefault="008433E0">
            <w:pPr>
              <w:textAlignment w:val="bottom"/>
            </w:pPr>
            <w:r>
              <w:rPr>
                <w:rFonts w:ascii="Times New Roman" w:eastAsia="宋体" w:hAnsi="Times New Roman"/>
                <w:color w:val="000000"/>
                <w:sz w:val="20"/>
                <w:szCs w:val="20"/>
              </w:rPr>
              <w:t>Reportable segment 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E13" w14:textId="77777777" w:rsidR="00AE727E" w:rsidRDefault="008433E0">
            <w:pPr>
              <w:jc w:val="right"/>
              <w:textAlignment w:val="bottom"/>
            </w:pPr>
            <w:r>
              <w:rPr>
                <w:rFonts w:ascii="Times New Roman" w:eastAsia="宋体" w:hAnsi="Times New Roman"/>
                <w:color w:val="000000"/>
                <w:sz w:val="20"/>
                <w:szCs w:val="20"/>
              </w:rPr>
              <w:t>2,876 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E1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15"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E16" w14:textId="77777777" w:rsidR="00AE727E" w:rsidRDefault="008433E0">
            <w:pPr>
              <w:jc w:val="right"/>
              <w:textAlignment w:val="bottom"/>
            </w:pPr>
            <w:r>
              <w:rPr>
                <w:rFonts w:ascii="Times New Roman" w:eastAsia="宋体" w:hAnsi="Times New Roman"/>
                <w:color w:val="000000"/>
                <w:sz w:val="20"/>
                <w:szCs w:val="20"/>
              </w:rPr>
              <w:t>2,721 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E1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18"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E19" w14:textId="77777777" w:rsidR="00AE727E" w:rsidRDefault="008433E0">
            <w:pPr>
              <w:jc w:val="right"/>
              <w:textAlignment w:val="bottom"/>
            </w:pPr>
            <w:r>
              <w:rPr>
                <w:rFonts w:ascii="Times New Roman" w:eastAsia="宋体" w:hAnsi="Times New Roman"/>
                <w:color w:val="000000"/>
                <w:sz w:val="20"/>
                <w:szCs w:val="20"/>
              </w:rPr>
              <w:t>8,409 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E1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1B"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CFE1C" w14:textId="77777777" w:rsidR="00AE727E" w:rsidRDefault="008433E0">
            <w:pPr>
              <w:jc w:val="right"/>
              <w:textAlignment w:val="bottom"/>
            </w:pPr>
            <w:r>
              <w:rPr>
                <w:rFonts w:ascii="Times New Roman" w:eastAsia="宋体" w:hAnsi="Times New Roman"/>
                <w:color w:val="000000"/>
                <w:sz w:val="20"/>
                <w:szCs w:val="20"/>
              </w:rPr>
              <w:t>7,400 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E1D" w14:textId="77777777" w:rsidR="00AE727E" w:rsidRDefault="00AE727E">
            <w:pPr>
              <w:jc w:val="right"/>
              <w:rPr>
                <w:rFonts w:ascii="宋体"/>
              </w:rPr>
            </w:pPr>
          </w:p>
        </w:tc>
      </w:tr>
      <w:tr w:rsidR="00AE727E" w14:paraId="07DCFE2B" w14:textId="77777777">
        <w:tc>
          <w:tcPr>
            <w:tcW w:w="0" w:type="auto"/>
            <w:gridSpan w:val="3"/>
            <w:shd w:val="clear" w:color="auto" w:fill="FFFFFF"/>
            <w:tcMar>
              <w:top w:w="40" w:type="dxa"/>
              <w:left w:w="245" w:type="dxa"/>
              <w:bottom w:w="40" w:type="dxa"/>
              <w:right w:w="20" w:type="dxa"/>
            </w:tcMar>
            <w:vAlign w:val="bottom"/>
          </w:tcPr>
          <w:p w14:paraId="07DCFE1F" w14:textId="77777777" w:rsidR="00AE727E" w:rsidRDefault="008433E0">
            <w:pPr>
              <w:textAlignment w:val="bottom"/>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E20" w14:textId="77777777" w:rsidR="00AE727E" w:rsidRDefault="008433E0">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E2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22"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E23" w14:textId="77777777" w:rsidR="00AE727E" w:rsidRDefault="008433E0">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E2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2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E26" w14:textId="77777777" w:rsidR="00AE727E" w:rsidRDefault="008433E0">
            <w:pPr>
              <w:jc w:val="right"/>
              <w:textAlignment w:val="bottom"/>
            </w:pPr>
            <w:r>
              <w:rPr>
                <w:rFonts w:ascii="Times New Roman" w:eastAsia="宋体" w:hAnsi="Times New Roman"/>
                <w:color w:val="000000"/>
                <w:sz w:val="20"/>
                <w:szCs w:val="20"/>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E2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2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CFE29" w14:textId="77777777" w:rsidR="00AE727E" w:rsidRDefault="008433E0">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E2A" w14:textId="77777777" w:rsidR="00AE727E" w:rsidRDefault="00AE727E">
            <w:pPr>
              <w:jc w:val="right"/>
              <w:rPr>
                <w:rFonts w:ascii="宋体"/>
              </w:rPr>
            </w:pPr>
          </w:p>
        </w:tc>
      </w:tr>
      <w:tr w:rsidR="00AE727E" w14:paraId="07DCFE38" w14:textId="77777777">
        <w:tc>
          <w:tcPr>
            <w:tcW w:w="0" w:type="auto"/>
            <w:gridSpan w:val="3"/>
            <w:shd w:val="clear" w:color="auto" w:fill="CCEEFF"/>
            <w:tcMar>
              <w:top w:w="40" w:type="dxa"/>
              <w:left w:w="245" w:type="dxa"/>
              <w:bottom w:w="40" w:type="dxa"/>
              <w:right w:w="20" w:type="dxa"/>
            </w:tcMar>
            <w:vAlign w:val="bottom"/>
          </w:tcPr>
          <w:p w14:paraId="07DCFE2C" w14:textId="77777777" w:rsidR="00AE727E" w:rsidRDefault="008433E0">
            <w:pPr>
              <w:textAlignment w:val="bottom"/>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bottom"/>
          </w:tcPr>
          <w:p w14:paraId="07DCFE2D"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FE2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2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30"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FE3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3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33"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DCFE3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3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36" w14:textId="77777777" w:rsidR="00AE727E" w:rsidRDefault="008433E0">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7DCFE37" w14:textId="77777777" w:rsidR="00AE727E" w:rsidRDefault="00AE727E">
            <w:pPr>
              <w:jc w:val="right"/>
              <w:rPr>
                <w:rFonts w:ascii="宋体"/>
              </w:rPr>
            </w:pPr>
          </w:p>
        </w:tc>
      </w:tr>
      <w:tr w:rsidR="00AE727E" w14:paraId="07DCFE45" w14:textId="77777777">
        <w:tc>
          <w:tcPr>
            <w:tcW w:w="0" w:type="auto"/>
            <w:gridSpan w:val="3"/>
            <w:shd w:val="clear" w:color="auto" w:fill="FFFFFF"/>
            <w:tcMar>
              <w:top w:w="40" w:type="dxa"/>
              <w:left w:w="245" w:type="dxa"/>
              <w:bottom w:w="40" w:type="dxa"/>
              <w:right w:w="20" w:type="dxa"/>
            </w:tcMar>
            <w:vAlign w:val="bottom"/>
          </w:tcPr>
          <w:p w14:paraId="07DCFE39" w14:textId="77777777" w:rsidR="00AE727E" w:rsidRDefault="008433E0">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bottom"/>
          </w:tcPr>
          <w:p w14:paraId="07DCFE3A" w14:textId="77777777" w:rsidR="00AE727E" w:rsidRDefault="008433E0">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7DCFE3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3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3D" w14:textId="77777777" w:rsidR="00AE727E" w:rsidRDefault="008433E0">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07DCFE3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3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40" w14:textId="77777777" w:rsidR="00AE727E" w:rsidRDefault="008433E0">
            <w:pPr>
              <w:jc w:val="right"/>
              <w:textAlignment w:val="bottom"/>
            </w:pPr>
            <w:r>
              <w:rPr>
                <w:rFonts w:ascii="Times New Roman" w:eastAsia="宋体" w:hAnsi="Times New Roman"/>
                <w:color w:val="000000"/>
                <w:sz w:val="20"/>
                <w:szCs w:val="20"/>
              </w:rPr>
              <w:t>(62)</w:t>
            </w:r>
          </w:p>
        </w:tc>
        <w:tc>
          <w:tcPr>
            <w:tcW w:w="0" w:type="auto"/>
            <w:shd w:val="clear" w:color="auto" w:fill="FFFFFF"/>
            <w:tcMar>
              <w:top w:w="40" w:type="dxa"/>
              <w:left w:w="0" w:type="dxa"/>
              <w:bottom w:w="40" w:type="dxa"/>
              <w:right w:w="20" w:type="dxa"/>
            </w:tcMar>
            <w:vAlign w:val="bottom"/>
          </w:tcPr>
          <w:p w14:paraId="07DCFE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4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43" w14:textId="77777777" w:rsidR="00AE727E" w:rsidRDefault="008433E0">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07DCFE44" w14:textId="77777777" w:rsidR="00AE727E" w:rsidRDefault="00AE727E">
            <w:pPr>
              <w:jc w:val="right"/>
              <w:rPr>
                <w:rFonts w:ascii="宋体"/>
              </w:rPr>
            </w:pPr>
          </w:p>
        </w:tc>
      </w:tr>
      <w:tr w:rsidR="00AE727E" w14:paraId="07DCFE52" w14:textId="77777777">
        <w:tc>
          <w:tcPr>
            <w:tcW w:w="0" w:type="auto"/>
            <w:gridSpan w:val="3"/>
            <w:shd w:val="clear" w:color="auto" w:fill="CCEEFF"/>
            <w:tcMar>
              <w:top w:w="40" w:type="dxa"/>
              <w:left w:w="245" w:type="dxa"/>
              <w:bottom w:w="40" w:type="dxa"/>
              <w:right w:w="20" w:type="dxa"/>
            </w:tcMar>
            <w:vAlign w:val="bottom"/>
          </w:tcPr>
          <w:p w14:paraId="07DCFE46"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bottom"/>
          </w:tcPr>
          <w:p w14:paraId="07DCFE47" w14:textId="77777777" w:rsidR="00AE727E" w:rsidRDefault="008433E0">
            <w:pPr>
              <w:jc w:val="right"/>
              <w:textAlignment w:val="bottom"/>
            </w:pPr>
            <w:r>
              <w:rPr>
                <w:rFonts w:ascii="Times New Roman" w:eastAsia="宋体" w:hAnsi="Times New Roman"/>
                <w:color w:val="000000"/>
                <w:sz w:val="20"/>
                <w:szCs w:val="20"/>
              </w:rPr>
              <w:t>(694)</w:t>
            </w:r>
          </w:p>
        </w:tc>
        <w:tc>
          <w:tcPr>
            <w:tcW w:w="0" w:type="auto"/>
            <w:shd w:val="clear" w:color="auto" w:fill="CCEEFF"/>
            <w:tcMar>
              <w:top w:w="40" w:type="dxa"/>
              <w:left w:w="0" w:type="dxa"/>
              <w:bottom w:w="40" w:type="dxa"/>
              <w:right w:w="20" w:type="dxa"/>
            </w:tcMar>
            <w:vAlign w:val="bottom"/>
          </w:tcPr>
          <w:p w14:paraId="07DCFE4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4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4A" w14:textId="77777777" w:rsidR="00AE727E" w:rsidRDefault="008433E0">
            <w:pPr>
              <w:jc w:val="right"/>
              <w:textAlignment w:val="bottom"/>
            </w:pPr>
            <w:r>
              <w:rPr>
                <w:rFonts w:ascii="Times New Roman" w:eastAsia="宋体" w:hAnsi="Times New Roman"/>
                <w:color w:val="000000"/>
                <w:sz w:val="20"/>
                <w:szCs w:val="20"/>
              </w:rPr>
              <w:t>(845)</w:t>
            </w:r>
          </w:p>
        </w:tc>
        <w:tc>
          <w:tcPr>
            <w:tcW w:w="0" w:type="auto"/>
            <w:shd w:val="clear" w:color="auto" w:fill="CCEEFF"/>
            <w:tcMar>
              <w:top w:w="40" w:type="dxa"/>
              <w:left w:w="0" w:type="dxa"/>
              <w:bottom w:w="40" w:type="dxa"/>
              <w:right w:w="20" w:type="dxa"/>
            </w:tcMar>
            <w:vAlign w:val="bottom"/>
          </w:tcPr>
          <w:p w14:paraId="07DCFE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4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4D" w14:textId="77777777" w:rsidR="00AE727E" w:rsidRDefault="008433E0">
            <w:pPr>
              <w:jc w:val="right"/>
              <w:textAlignment w:val="bottom"/>
            </w:pPr>
            <w:r>
              <w:rPr>
                <w:rFonts w:ascii="Times New Roman" w:eastAsia="宋体" w:hAnsi="Times New Roman"/>
                <w:color w:val="000000"/>
                <w:sz w:val="20"/>
                <w:szCs w:val="20"/>
              </w:rPr>
              <w:t>(2,114)</w:t>
            </w:r>
          </w:p>
        </w:tc>
        <w:tc>
          <w:tcPr>
            <w:tcW w:w="0" w:type="auto"/>
            <w:shd w:val="clear" w:color="auto" w:fill="CCEEFF"/>
            <w:tcMar>
              <w:top w:w="40" w:type="dxa"/>
              <w:left w:w="0" w:type="dxa"/>
              <w:bottom w:w="40" w:type="dxa"/>
              <w:right w:w="20" w:type="dxa"/>
            </w:tcMar>
            <w:vAlign w:val="bottom"/>
          </w:tcPr>
          <w:p w14:paraId="07DCFE4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4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50" w14:textId="77777777" w:rsidR="00AE727E" w:rsidRDefault="008433E0">
            <w:pPr>
              <w:jc w:val="right"/>
              <w:textAlignment w:val="bottom"/>
            </w:pPr>
            <w:r>
              <w:rPr>
                <w:rFonts w:ascii="Times New Roman" w:eastAsia="宋体" w:hAnsi="Times New Roman"/>
                <w:color w:val="000000"/>
                <w:sz w:val="20"/>
                <w:szCs w:val="20"/>
              </w:rPr>
              <w:t>(2,547)</w:t>
            </w:r>
          </w:p>
        </w:tc>
        <w:tc>
          <w:tcPr>
            <w:tcW w:w="0" w:type="auto"/>
            <w:shd w:val="clear" w:color="auto" w:fill="CCEEFF"/>
            <w:tcMar>
              <w:top w:w="40" w:type="dxa"/>
              <w:left w:w="0" w:type="dxa"/>
              <w:bottom w:w="40" w:type="dxa"/>
              <w:right w:w="20" w:type="dxa"/>
            </w:tcMar>
            <w:vAlign w:val="bottom"/>
          </w:tcPr>
          <w:p w14:paraId="07DCFE51" w14:textId="77777777" w:rsidR="00AE727E" w:rsidRDefault="00AE727E">
            <w:pPr>
              <w:jc w:val="right"/>
              <w:rPr>
                <w:rFonts w:ascii="宋体"/>
              </w:rPr>
            </w:pPr>
          </w:p>
        </w:tc>
      </w:tr>
      <w:tr w:rsidR="00AE727E" w14:paraId="07DCFE5F" w14:textId="77777777">
        <w:tc>
          <w:tcPr>
            <w:tcW w:w="0" w:type="auto"/>
            <w:gridSpan w:val="3"/>
            <w:shd w:val="clear" w:color="auto" w:fill="FFFFFF"/>
            <w:tcMar>
              <w:top w:w="40" w:type="dxa"/>
              <w:left w:w="245" w:type="dxa"/>
              <w:bottom w:w="40" w:type="dxa"/>
              <w:right w:w="20" w:type="dxa"/>
            </w:tcMar>
            <w:vAlign w:val="bottom"/>
          </w:tcPr>
          <w:p w14:paraId="07DCFE53" w14:textId="77777777" w:rsidR="00AE727E" w:rsidRDefault="008433E0">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07DCFE54" w14:textId="77777777" w:rsidR="00AE727E" w:rsidRDefault="008433E0">
            <w:pPr>
              <w:jc w:val="right"/>
              <w:textAlignment w:val="bottom"/>
            </w:pPr>
            <w:r>
              <w:rPr>
                <w:rFonts w:ascii="Times New Roman" w:eastAsia="宋体" w:hAnsi="Times New Roman"/>
                <w:color w:val="000000"/>
                <w:sz w:val="20"/>
                <w:szCs w:val="20"/>
              </w:rPr>
              <w:t>(311)</w:t>
            </w:r>
          </w:p>
        </w:tc>
        <w:tc>
          <w:tcPr>
            <w:tcW w:w="0" w:type="auto"/>
            <w:shd w:val="clear" w:color="auto" w:fill="FFFFFF"/>
            <w:tcMar>
              <w:top w:w="40" w:type="dxa"/>
              <w:left w:w="0" w:type="dxa"/>
              <w:bottom w:w="40" w:type="dxa"/>
              <w:right w:w="20" w:type="dxa"/>
            </w:tcMar>
            <w:vAlign w:val="bottom"/>
          </w:tcPr>
          <w:p w14:paraId="07DCFE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5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57" w14:textId="77777777" w:rsidR="00AE727E" w:rsidRDefault="008433E0">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07DCFE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5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5A" w14:textId="77777777" w:rsidR="00AE727E" w:rsidRDefault="008433E0">
            <w:pPr>
              <w:jc w:val="right"/>
              <w:textAlignment w:val="bottom"/>
            </w:pPr>
            <w:r>
              <w:rPr>
                <w:rFonts w:ascii="Times New Roman" w:eastAsia="宋体" w:hAnsi="Times New Roman"/>
                <w:color w:val="000000"/>
                <w:sz w:val="20"/>
                <w:szCs w:val="20"/>
              </w:rPr>
              <w:t>(422)</w:t>
            </w:r>
          </w:p>
        </w:tc>
        <w:tc>
          <w:tcPr>
            <w:tcW w:w="0" w:type="auto"/>
            <w:shd w:val="clear" w:color="auto" w:fill="FFFFFF"/>
            <w:tcMar>
              <w:top w:w="40" w:type="dxa"/>
              <w:left w:w="0" w:type="dxa"/>
              <w:bottom w:w="40" w:type="dxa"/>
              <w:right w:w="20" w:type="dxa"/>
            </w:tcMar>
            <w:vAlign w:val="bottom"/>
          </w:tcPr>
          <w:p w14:paraId="07DCFE5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5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5D" w14:textId="77777777" w:rsidR="00AE727E" w:rsidRDefault="008433E0">
            <w:pPr>
              <w:jc w:val="right"/>
              <w:textAlignment w:val="bottom"/>
            </w:pPr>
            <w:r>
              <w:rPr>
                <w:rFonts w:ascii="Times New Roman" w:eastAsia="宋体" w:hAnsi="Times New Roman"/>
                <w:color w:val="000000"/>
                <w:sz w:val="20"/>
                <w:szCs w:val="20"/>
              </w:rPr>
              <w:t>(211)</w:t>
            </w:r>
          </w:p>
        </w:tc>
        <w:tc>
          <w:tcPr>
            <w:tcW w:w="0" w:type="auto"/>
            <w:shd w:val="clear" w:color="auto" w:fill="FFFFFF"/>
            <w:tcMar>
              <w:top w:w="40" w:type="dxa"/>
              <w:left w:w="0" w:type="dxa"/>
              <w:bottom w:w="40" w:type="dxa"/>
              <w:right w:w="20" w:type="dxa"/>
            </w:tcMar>
            <w:vAlign w:val="bottom"/>
          </w:tcPr>
          <w:p w14:paraId="07DCFE5E" w14:textId="77777777" w:rsidR="00AE727E" w:rsidRDefault="00AE727E">
            <w:pPr>
              <w:jc w:val="right"/>
              <w:rPr>
                <w:rFonts w:ascii="宋体"/>
              </w:rPr>
            </w:pPr>
          </w:p>
        </w:tc>
      </w:tr>
      <w:tr w:rsidR="00AE727E" w14:paraId="07DCFE6C" w14:textId="77777777">
        <w:tc>
          <w:tcPr>
            <w:tcW w:w="0" w:type="auto"/>
            <w:gridSpan w:val="3"/>
            <w:shd w:val="clear" w:color="auto" w:fill="CCEEFF"/>
            <w:tcMar>
              <w:top w:w="40" w:type="dxa"/>
              <w:left w:w="245" w:type="dxa"/>
              <w:bottom w:w="40" w:type="dxa"/>
              <w:right w:w="20" w:type="dxa"/>
            </w:tcMar>
            <w:vAlign w:val="bottom"/>
          </w:tcPr>
          <w:p w14:paraId="07DCFE60" w14:textId="77777777" w:rsidR="00AE727E" w:rsidRDefault="008433E0">
            <w:pPr>
              <w:textAlignment w:val="bottom"/>
            </w:pPr>
            <w:r>
              <w:rPr>
                <w:rFonts w:ascii="Times New Roman" w:eastAsia="宋体" w:hAnsi="Times New Roman"/>
                <w:color w:val="000000"/>
                <w:sz w:val="20"/>
                <w:szCs w:val="20"/>
              </w:rPr>
              <w:t>Stock-based compensation expense (e)</w:t>
            </w:r>
          </w:p>
        </w:tc>
        <w:tc>
          <w:tcPr>
            <w:tcW w:w="0" w:type="auto"/>
            <w:gridSpan w:val="2"/>
            <w:shd w:val="clear" w:color="auto" w:fill="CCEEFF"/>
            <w:tcMar>
              <w:top w:w="40" w:type="dxa"/>
              <w:left w:w="20" w:type="dxa"/>
              <w:bottom w:w="40" w:type="dxa"/>
              <w:right w:w="0" w:type="dxa"/>
            </w:tcMar>
            <w:vAlign w:val="bottom"/>
          </w:tcPr>
          <w:p w14:paraId="07DCFE61" w14:textId="77777777" w:rsidR="00AE727E" w:rsidRDefault="008433E0">
            <w:pPr>
              <w:jc w:val="right"/>
              <w:textAlignment w:val="bottom"/>
            </w:pPr>
            <w:r>
              <w:rPr>
                <w:rFonts w:ascii="Times New Roman" w:eastAsia="宋体" w:hAnsi="Times New Roman"/>
                <w:color w:val="000000"/>
                <w:sz w:val="20"/>
                <w:szCs w:val="20"/>
              </w:rPr>
              <w:t>(472)</w:t>
            </w:r>
          </w:p>
        </w:tc>
        <w:tc>
          <w:tcPr>
            <w:tcW w:w="0" w:type="auto"/>
            <w:shd w:val="clear" w:color="auto" w:fill="CCEEFF"/>
            <w:tcMar>
              <w:top w:w="40" w:type="dxa"/>
              <w:left w:w="0" w:type="dxa"/>
              <w:bottom w:w="40" w:type="dxa"/>
              <w:right w:w="20" w:type="dxa"/>
            </w:tcMar>
            <w:vAlign w:val="bottom"/>
          </w:tcPr>
          <w:p w14:paraId="07DCFE6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6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64" w14:textId="77777777" w:rsidR="00AE727E" w:rsidRDefault="008433E0">
            <w:pPr>
              <w:jc w:val="right"/>
              <w:textAlignment w:val="bottom"/>
            </w:pPr>
            <w:r>
              <w:rPr>
                <w:rFonts w:ascii="Times New Roman" w:eastAsia="宋体" w:hAnsi="Times New Roman"/>
                <w:color w:val="000000"/>
                <w:sz w:val="20"/>
                <w:szCs w:val="20"/>
              </w:rPr>
              <w:t>(436)</w:t>
            </w:r>
          </w:p>
        </w:tc>
        <w:tc>
          <w:tcPr>
            <w:tcW w:w="0" w:type="auto"/>
            <w:shd w:val="clear" w:color="auto" w:fill="CCEEFF"/>
            <w:tcMar>
              <w:top w:w="40" w:type="dxa"/>
              <w:left w:w="0" w:type="dxa"/>
              <w:bottom w:w="40" w:type="dxa"/>
              <w:right w:w="20" w:type="dxa"/>
            </w:tcMar>
            <w:vAlign w:val="bottom"/>
          </w:tcPr>
          <w:p w14:paraId="07DCFE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6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67" w14:textId="77777777" w:rsidR="00AE727E" w:rsidRDefault="008433E0">
            <w:pPr>
              <w:jc w:val="right"/>
              <w:textAlignment w:val="bottom"/>
            </w:pPr>
            <w:r>
              <w:rPr>
                <w:rFonts w:ascii="Times New Roman" w:eastAsia="宋体" w:hAnsi="Times New Roman"/>
                <w:color w:val="000000"/>
                <w:sz w:val="20"/>
                <w:szCs w:val="20"/>
              </w:rPr>
              <w:t>(1,406)</w:t>
            </w:r>
          </w:p>
        </w:tc>
        <w:tc>
          <w:tcPr>
            <w:tcW w:w="0" w:type="auto"/>
            <w:shd w:val="clear" w:color="auto" w:fill="CCEEFF"/>
            <w:tcMar>
              <w:top w:w="40" w:type="dxa"/>
              <w:left w:w="0" w:type="dxa"/>
              <w:bottom w:w="40" w:type="dxa"/>
              <w:right w:w="20" w:type="dxa"/>
            </w:tcMar>
            <w:vAlign w:val="bottom"/>
          </w:tcPr>
          <w:p w14:paraId="07DCFE6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6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E6A" w14:textId="77777777" w:rsidR="00AE727E" w:rsidRDefault="008433E0">
            <w:pPr>
              <w:jc w:val="right"/>
              <w:textAlignment w:val="bottom"/>
            </w:pPr>
            <w:r>
              <w:rPr>
                <w:rFonts w:ascii="Times New Roman" w:eastAsia="宋体" w:hAnsi="Times New Roman"/>
                <w:color w:val="000000"/>
                <w:sz w:val="20"/>
                <w:szCs w:val="20"/>
              </w:rPr>
              <w:t>(1,219)</w:t>
            </w:r>
          </w:p>
        </w:tc>
        <w:tc>
          <w:tcPr>
            <w:tcW w:w="0" w:type="auto"/>
            <w:shd w:val="clear" w:color="auto" w:fill="CCEEFF"/>
            <w:tcMar>
              <w:top w:w="40" w:type="dxa"/>
              <w:left w:w="0" w:type="dxa"/>
              <w:bottom w:w="40" w:type="dxa"/>
              <w:right w:w="20" w:type="dxa"/>
            </w:tcMar>
            <w:vAlign w:val="bottom"/>
          </w:tcPr>
          <w:p w14:paraId="07DCFE6B" w14:textId="77777777" w:rsidR="00AE727E" w:rsidRDefault="00AE727E">
            <w:pPr>
              <w:jc w:val="right"/>
              <w:rPr>
                <w:rFonts w:ascii="宋体"/>
              </w:rPr>
            </w:pPr>
          </w:p>
        </w:tc>
      </w:tr>
      <w:tr w:rsidR="00AE727E" w14:paraId="07DCFE79" w14:textId="77777777">
        <w:tc>
          <w:tcPr>
            <w:tcW w:w="0" w:type="auto"/>
            <w:gridSpan w:val="3"/>
            <w:shd w:val="clear" w:color="auto" w:fill="FFFFFF"/>
            <w:tcMar>
              <w:top w:w="40" w:type="dxa"/>
              <w:left w:w="245" w:type="dxa"/>
              <w:bottom w:w="40" w:type="dxa"/>
              <w:right w:w="20" w:type="dxa"/>
            </w:tcMar>
            <w:vAlign w:val="bottom"/>
          </w:tcPr>
          <w:p w14:paraId="07DCFE6D" w14:textId="77777777" w:rsidR="00AE727E" w:rsidRDefault="008433E0">
            <w:pPr>
              <w:textAlignment w:val="bottom"/>
            </w:pPr>
            <w:r>
              <w:rPr>
                <w:rFonts w:ascii="Times New Roman" w:eastAsia="宋体" w:hAnsi="Times New Roman"/>
                <w:color w:val="000000"/>
                <w:sz w:val="20"/>
                <w:szCs w:val="20"/>
              </w:rPr>
              <w:t>Other corporate expenses (f)</w:t>
            </w:r>
          </w:p>
        </w:tc>
        <w:tc>
          <w:tcPr>
            <w:tcW w:w="0" w:type="auto"/>
            <w:gridSpan w:val="2"/>
            <w:shd w:val="clear" w:color="auto" w:fill="FFFFFF"/>
            <w:tcMar>
              <w:top w:w="40" w:type="dxa"/>
              <w:left w:w="20" w:type="dxa"/>
              <w:bottom w:w="40" w:type="dxa"/>
              <w:right w:w="0" w:type="dxa"/>
            </w:tcMar>
            <w:vAlign w:val="bottom"/>
          </w:tcPr>
          <w:p w14:paraId="07DCFE6E" w14:textId="77777777" w:rsidR="00AE727E" w:rsidRDefault="008433E0">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7DCFE6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7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71" w14:textId="77777777" w:rsidR="00AE727E" w:rsidRDefault="008433E0">
            <w:pPr>
              <w:jc w:val="right"/>
              <w:textAlignment w:val="bottom"/>
            </w:pPr>
            <w:r>
              <w:rPr>
                <w:rFonts w:ascii="Times New Roman" w:eastAsia="宋体" w:hAnsi="Times New Roman"/>
                <w:color w:val="000000"/>
                <w:sz w:val="20"/>
                <w:szCs w:val="20"/>
              </w:rPr>
              <w:t>(214)</w:t>
            </w:r>
          </w:p>
        </w:tc>
        <w:tc>
          <w:tcPr>
            <w:tcW w:w="0" w:type="auto"/>
            <w:shd w:val="clear" w:color="auto" w:fill="FFFFFF"/>
            <w:tcMar>
              <w:top w:w="40" w:type="dxa"/>
              <w:left w:w="0" w:type="dxa"/>
              <w:bottom w:w="40" w:type="dxa"/>
              <w:right w:w="20" w:type="dxa"/>
            </w:tcMar>
            <w:vAlign w:val="bottom"/>
          </w:tcPr>
          <w:p w14:paraId="07DCFE7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7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74" w14:textId="77777777" w:rsidR="00AE727E" w:rsidRDefault="008433E0">
            <w:pPr>
              <w:jc w:val="right"/>
              <w:textAlignment w:val="bottom"/>
            </w:pPr>
            <w:r>
              <w:rPr>
                <w:rFonts w:ascii="Times New Roman" w:eastAsia="宋体" w:hAnsi="Times New Roman"/>
                <w:color w:val="000000"/>
                <w:sz w:val="20"/>
                <w:szCs w:val="20"/>
              </w:rPr>
              <w:t>(293)</w:t>
            </w:r>
          </w:p>
        </w:tc>
        <w:tc>
          <w:tcPr>
            <w:tcW w:w="0" w:type="auto"/>
            <w:shd w:val="clear" w:color="auto" w:fill="FFFFFF"/>
            <w:tcMar>
              <w:top w:w="40" w:type="dxa"/>
              <w:left w:w="0" w:type="dxa"/>
              <w:bottom w:w="40" w:type="dxa"/>
              <w:right w:w="20" w:type="dxa"/>
            </w:tcMar>
            <w:vAlign w:val="bottom"/>
          </w:tcPr>
          <w:p w14:paraId="07DCFE7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7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E77" w14:textId="77777777" w:rsidR="00AE727E" w:rsidRDefault="008433E0">
            <w:pPr>
              <w:jc w:val="right"/>
              <w:textAlignment w:val="bottom"/>
            </w:pPr>
            <w:r>
              <w:rPr>
                <w:rFonts w:ascii="Times New Roman" w:eastAsia="宋体" w:hAnsi="Times New Roman"/>
                <w:color w:val="000000"/>
                <w:sz w:val="20"/>
                <w:szCs w:val="20"/>
              </w:rPr>
              <w:t>(395)</w:t>
            </w:r>
          </w:p>
        </w:tc>
        <w:tc>
          <w:tcPr>
            <w:tcW w:w="0" w:type="auto"/>
            <w:shd w:val="clear" w:color="auto" w:fill="FFFFFF"/>
            <w:tcMar>
              <w:top w:w="40" w:type="dxa"/>
              <w:left w:w="0" w:type="dxa"/>
              <w:bottom w:w="40" w:type="dxa"/>
              <w:right w:w="20" w:type="dxa"/>
            </w:tcMar>
            <w:vAlign w:val="bottom"/>
          </w:tcPr>
          <w:p w14:paraId="07DCFE78" w14:textId="77777777" w:rsidR="00AE727E" w:rsidRDefault="00AE727E">
            <w:pPr>
              <w:jc w:val="right"/>
              <w:rPr>
                <w:rFonts w:ascii="宋体"/>
              </w:rPr>
            </w:pPr>
          </w:p>
        </w:tc>
      </w:tr>
      <w:tr w:rsidR="00AE727E" w14:paraId="07DCFE8A" w14:textId="77777777">
        <w:tc>
          <w:tcPr>
            <w:tcW w:w="0" w:type="auto"/>
            <w:gridSpan w:val="3"/>
            <w:shd w:val="clear" w:color="auto" w:fill="CCEEFF"/>
            <w:tcMar>
              <w:top w:w="40" w:type="dxa"/>
              <w:left w:w="380" w:type="dxa"/>
              <w:bottom w:w="40" w:type="dxa"/>
              <w:right w:w="20" w:type="dxa"/>
            </w:tcMar>
            <w:vAlign w:val="bottom"/>
          </w:tcPr>
          <w:p w14:paraId="07DCFE7A" w14:textId="77777777" w:rsidR="00AE727E" w:rsidRDefault="008433E0">
            <w:pPr>
              <w:textAlignment w:val="bottom"/>
            </w:pPr>
            <w:r>
              <w:rPr>
                <w:rFonts w:ascii="Times New Roman" w:eastAsia="宋体"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E7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E7C" w14:textId="77777777" w:rsidR="00AE727E" w:rsidRDefault="008433E0">
            <w:pPr>
              <w:jc w:val="right"/>
              <w:textAlignment w:val="bottom"/>
            </w:pPr>
            <w:r>
              <w:rPr>
                <w:rFonts w:ascii="Times New Roman" w:eastAsia="宋体" w:hAnsi="Times New Roman"/>
                <w:color w:val="000000"/>
                <w:sz w:val="20"/>
                <w:szCs w:val="20"/>
              </w:rPr>
              <w:t>1,349 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E7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7E"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E7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E80" w14:textId="77777777" w:rsidR="00AE727E" w:rsidRDefault="008433E0">
            <w:pPr>
              <w:jc w:val="right"/>
              <w:textAlignment w:val="bottom"/>
            </w:pPr>
            <w:r>
              <w:rPr>
                <w:rFonts w:ascii="Times New Roman" w:eastAsia="宋体" w:hAnsi="Times New Roman"/>
                <w:color w:val="000000"/>
                <w:sz w:val="20"/>
                <w:szCs w:val="20"/>
              </w:rPr>
              <w:t>1,129 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E8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82"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E8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E84" w14:textId="77777777" w:rsidR="00AE727E" w:rsidRDefault="008433E0">
            <w:pPr>
              <w:jc w:val="right"/>
              <w:textAlignment w:val="bottom"/>
            </w:pPr>
            <w:r>
              <w:rPr>
                <w:rFonts w:ascii="Times New Roman" w:eastAsia="宋体" w:hAnsi="Times New Roman"/>
                <w:color w:val="000000"/>
                <w:sz w:val="20"/>
                <w:szCs w:val="20"/>
              </w:rPr>
              <w:t>4,096 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E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86"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CFE8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CFE88" w14:textId="77777777" w:rsidR="00AE727E" w:rsidRDefault="008433E0">
            <w:pPr>
              <w:jc w:val="right"/>
              <w:textAlignment w:val="bottom"/>
            </w:pPr>
            <w:r>
              <w:rPr>
                <w:rFonts w:ascii="Times New Roman" w:eastAsia="宋体" w:hAnsi="Times New Roman"/>
                <w:color w:val="000000"/>
                <w:sz w:val="20"/>
                <w:szCs w:val="20"/>
              </w:rPr>
              <w:t>2,967 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CFE89" w14:textId="77777777" w:rsidR="00AE727E" w:rsidRDefault="00AE727E">
            <w:pPr>
              <w:jc w:val="right"/>
              <w:rPr>
                <w:rFonts w:ascii="宋体"/>
              </w:rPr>
            </w:pPr>
          </w:p>
        </w:tc>
      </w:tr>
    </w:tbl>
    <w:p w14:paraId="07DCFE8B" w14:textId="77777777" w:rsidR="00AE727E" w:rsidRDefault="008433E0">
      <w:r>
        <w:rPr>
          <w:rFonts w:ascii="Times New Roman" w:eastAsia="宋体" w:hAnsi="Times New Roman"/>
          <w:color w:val="000000"/>
          <w:sz w:val="20"/>
          <w:szCs w:val="20"/>
        </w:rPr>
        <w:t>____________________</w:t>
      </w:r>
    </w:p>
    <w:p w14:paraId="07DCFE8C" w14:textId="77777777" w:rsidR="00AE727E" w:rsidRDefault="008433E0">
      <w:pPr>
        <w:ind w:hanging="360"/>
      </w:pPr>
      <w:r>
        <w:rPr>
          <w:rFonts w:ascii="Times New Roman" w:eastAsia="宋体" w:hAnsi="Times New Roman"/>
          <w:color w:val="000000"/>
          <w:sz w:val="20"/>
          <w:szCs w:val="20"/>
        </w:rPr>
        <w:t>(a)Secureworks and Virtustream constitute Other businesses and do not meet the requir</w:t>
      </w:r>
      <w:r>
        <w:rPr>
          <w:rFonts w:ascii="Times New Roman" w:eastAsia="宋体" w:hAnsi="Times New Roman"/>
          <w:color w:val="000000"/>
          <w:sz w:val="20"/>
          <w:szCs w:val="20"/>
        </w:rPr>
        <w:t>ements for a reportable segment, either individually or collectively. The results of Other businesses are not material to the Company’s overall results. On September 1, 2020, the Company completed the sale of RSA Security. On October 1, 2021, the Company c</w:t>
      </w:r>
      <w:r>
        <w:rPr>
          <w:rFonts w:ascii="Times New Roman" w:eastAsia="宋体" w:hAnsi="Times New Roman"/>
          <w:color w:val="000000"/>
          <w:sz w:val="20"/>
          <w:szCs w:val="20"/>
        </w:rPr>
        <w:t>ompleted the sale of Boomi. Prior to the divestitures, Boomi and RSA Security’s results were included within Other businesses. See Note 1 of the Notes to the Condensed Consolidated Financial Statements for more information about the divestitures of Boomi a</w:t>
      </w:r>
      <w:r>
        <w:rPr>
          <w:rFonts w:ascii="Times New Roman" w:eastAsia="宋体" w:hAnsi="Times New Roman"/>
          <w:color w:val="000000"/>
          <w:sz w:val="20"/>
          <w:szCs w:val="20"/>
        </w:rPr>
        <w:t>nd RSA Security.</w:t>
      </w:r>
    </w:p>
    <w:p w14:paraId="07DCFE8D" w14:textId="77777777" w:rsidR="00AE727E" w:rsidRDefault="008433E0">
      <w:pPr>
        <w:ind w:hanging="360"/>
      </w:pPr>
      <w:r>
        <w:rPr>
          <w:rFonts w:ascii="Times New Roman" w:eastAsia="宋体" w:hAnsi="Times New Roman"/>
          <w:color w:val="000000"/>
          <w:sz w:val="20"/>
          <w:szCs w:val="20"/>
        </w:rPr>
        <w:t>(b)Unallocated transactions includes other corporate items that are not allocated to Dell Technologies’ reportable segments.</w:t>
      </w:r>
    </w:p>
    <w:p w14:paraId="07DCFE8E" w14:textId="77777777" w:rsidR="00AE727E" w:rsidRDefault="008433E0">
      <w:pPr>
        <w:ind w:hanging="360"/>
      </w:pPr>
      <w:r>
        <w:rPr>
          <w:rFonts w:ascii="Times New Roman" w:eastAsia="宋体" w:hAnsi="Times New Roman"/>
          <w:color w:val="000000"/>
          <w:sz w:val="20"/>
          <w:szCs w:val="20"/>
        </w:rPr>
        <w:t>(c)Impact of purchase accounting includes non-cash purchase accounting adjustments that are primarily related to t</w:t>
      </w:r>
      <w:r>
        <w:rPr>
          <w:rFonts w:ascii="Times New Roman" w:eastAsia="宋体" w:hAnsi="Times New Roman"/>
          <w:color w:val="000000"/>
          <w:sz w:val="20"/>
          <w:szCs w:val="20"/>
        </w:rPr>
        <w:t>he EMC merger transaction.</w:t>
      </w:r>
    </w:p>
    <w:p w14:paraId="07DCFE8F" w14:textId="77777777" w:rsidR="00AE727E" w:rsidRDefault="008433E0">
      <w:pPr>
        <w:ind w:hanging="360"/>
      </w:pPr>
      <w:r>
        <w:rPr>
          <w:rFonts w:ascii="Times New Roman" w:eastAsia="宋体" w:hAnsi="Times New Roman"/>
          <w:color w:val="000000"/>
          <w:sz w:val="20"/>
          <w:szCs w:val="20"/>
        </w:rPr>
        <w:t>(d)Transaction-related expenses includes acquisition, integration, and divestiture related costs.</w:t>
      </w:r>
    </w:p>
    <w:p w14:paraId="07DCFE90" w14:textId="77777777" w:rsidR="00AE727E" w:rsidRDefault="008433E0">
      <w:pPr>
        <w:ind w:hanging="360"/>
      </w:pPr>
      <w:r>
        <w:rPr>
          <w:rFonts w:ascii="Times New Roman" w:eastAsia="宋体" w:hAnsi="Times New Roman"/>
          <w:color w:val="000000"/>
          <w:sz w:val="20"/>
          <w:szCs w:val="20"/>
        </w:rPr>
        <w:t>(e)Stock-based compensation expense consists of equity awards granted based on the estimated fair value of those awards at grant da</w:t>
      </w:r>
      <w:r>
        <w:rPr>
          <w:rFonts w:ascii="Times New Roman" w:eastAsia="宋体" w:hAnsi="Times New Roman"/>
          <w:color w:val="000000"/>
          <w:sz w:val="20"/>
          <w:szCs w:val="20"/>
        </w:rPr>
        <w:t xml:space="preserve">te. </w:t>
      </w:r>
    </w:p>
    <w:p w14:paraId="07DCFE91" w14:textId="77777777" w:rsidR="00AE727E" w:rsidRDefault="008433E0">
      <w:pPr>
        <w:ind w:hanging="360"/>
      </w:pPr>
      <w:r>
        <w:rPr>
          <w:rFonts w:ascii="Times New Roman" w:eastAsia="宋体" w:hAnsi="Times New Roman"/>
          <w:color w:val="000000"/>
          <w:sz w:val="20"/>
          <w:szCs w:val="20"/>
        </w:rPr>
        <w:t xml:space="preserve">(f)Other corporate expenses includes impairment charges, incentive charges related to equity investments, severance, facilities action, and other costs. </w:t>
      </w:r>
    </w:p>
    <w:p w14:paraId="07DCFE92" w14:textId="77777777" w:rsidR="00AE727E" w:rsidRDefault="00AE727E"/>
    <w:p w14:paraId="07DCFE93" w14:textId="77777777" w:rsidR="00AE727E" w:rsidRDefault="00AE727E">
      <w:pPr>
        <w:jc w:val="center"/>
      </w:pPr>
    </w:p>
    <w:p w14:paraId="07DCFE94" w14:textId="77777777" w:rsidR="00AE727E" w:rsidRDefault="008433E0">
      <w:pPr>
        <w:jc w:val="center"/>
      </w:pPr>
      <w:r>
        <w:rPr>
          <w:rFonts w:ascii="Times New Roman" w:eastAsia="宋体" w:hAnsi="Times New Roman"/>
          <w:color w:val="000000"/>
          <w:sz w:val="20"/>
          <w:szCs w:val="20"/>
        </w:rPr>
        <w:t>53</w:t>
      </w:r>
    </w:p>
    <w:p w14:paraId="07DCFE95" w14:textId="77777777" w:rsidR="00AE727E" w:rsidRDefault="00AE727E">
      <w:pPr>
        <w:jc w:val="center"/>
      </w:pPr>
    </w:p>
    <w:p w14:paraId="07DCFE96" w14:textId="77777777" w:rsidR="00AE727E" w:rsidRDefault="008433E0">
      <w:r>
        <w:pict w14:anchorId="07DD1905">
          <v:rect id="_x0000_i1077" style="width:415.3pt;height:1.5pt" o:hralign="center" o:hrstd="t" o:hr="t" fillcolor="#a0a0a0" stroked="f"/>
        </w:pict>
      </w:r>
    </w:p>
    <w:p w14:paraId="07DCFE97" w14:textId="77777777" w:rsidR="00AE727E" w:rsidRDefault="008433E0">
      <w:hyperlink r:id="rId178" w:anchor="i1c8279be622a460ea19600488436f115_10" w:history="1">
        <w:r>
          <w:rPr>
            <w:rStyle w:val="a5"/>
            <w:rFonts w:ascii="Times New Roman" w:eastAsia="宋体" w:hAnsi="Times New Roman"/>
            <w:sz w:val="20"/>
            <w:szCs w:val="20"/>
          </w:rPr>
          <w:t>Table of Contents</w:t>
        </w:r>
      </w:hyperlink>
    </w:p>
    <w:p w14:paraId="07DCFE98"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E99"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07DCFE9A"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E9B" w14:textId="77777777" w:rsidR="00AE727E" w:rsidRDefault="00AE727E">
      <w:pPr>
        <w:jc w:val="center"/>
      </w:pPr>
    </w:p>
    <w:p w14:paraId="07DCFE9C" w14:textId="77777777" w:rsidR="00AE727E" w:rsidRDefault="008433E0">
      <w:pPr>
        <w:spacing w:after="60"/>
      </w:pPr>
      <w:r>
        <w:rPr>
          <w:rFonts w:ascii="Times New Roman" w:eastAsia="宋体" w:hAnsi="Times New Roman"/>
          <w:color w:val="000000"/>
          <w:sz w:val="20"/>
          <w:szCs w:val="20"/>
        </w:rPr>
        <w:t>The following table presents the disaggregation of net revenue by reportable segment, and by major product categories within the segments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2573"/>
        <w:gridCol w:w="37"/>
        <w:gridCol w:w="120"/>
        <w:gridCol w:w="1183"/>
        <w:gridCol w:w="36"/>
        <w:gridCol w:w="36"/>
        <w:gridCol w:w="36"/>
        <w:gridCol w:w="36"/>
        <w:gridCol w:w="120"/>
        <w:gridCol w:w="1183"/>
        <w:gridCol w:w="36"/>
        <w:gridCol w:w="36"/>
        <w:gridCol w:w="36"/>
        <w:gridCol w:w="36"/>
        <w:gridCol w:w="120"/>
        <w:gridCol w:w="1184"/>
        <w:gridCol w:w="36"/>
        <w:gridCol w:w="36"/>
        <w:gridCol w:w="36"/>
        <w:gridCol w:w="36"/>
        <w:gridCol w:w="120"/>
        <w:gridCol w:w="1184"/>
        <w:gridCol w:w="36"/>
      </w:tblGrid>
      <w:tr w:rsidR="00AE727E" w14:paraId="07DCFEB5" w14:textId="77777777">
        <w:tc>
          <w:tcPr>
            <w:tcW w:w="50" w:type="pct"/>
            <w:shd w:val="clear" w:color="auto" w:fill="auto"/>
            <w:vAlign w:val="bottom"/>
          </w:tcPr>
          <w:p w14:paraId="07DCFE9D" w14:textId="77777777" w:rsidR="00AE727E" w:rsidRDefault="00AE727E">
            <w:pPr>
              <w:rPr>
                <w:rFonts w:ascii="宋体"/>
              </w:rPr>
            </w:pPr>
          </w:p>
        </w:tc>
        <w:tc>
          <w:tcPr>
            <w:tcW w:w="1611" w:type="pct"/>
            <w:shd w:val="clear" w:color="auto" w:fill="auto"/>
            <w:vAlign w:val="bottom"/>
          </w:tcPr>
          <w:p w14:paraId="07DCFE9E" w14:textId="77777777" w:rsidR="00AE727E" w:rsidRDefault="00AE727E">
            <w:pPr>
              <w:rPr>
                <w:rFonts w:ascii="宋体"/>
              </w:rPr>
            </w:pPr>
          </w:p>
        </w:tc>
        <w:tc>
          <w:tcPr>
            <w:tcW w:w="5" w:type="pct"/>
            <w:shd w:val="clear" w:color="auto" w:fill="auto"/>
            <w:vAlign w:val="bottom"/>
          </w:tcPr>
          <w:p w14:paraId="07DCFE9F" w14:textId="77777777" w:rsidR="00AE727E" w:rsidRDefault="00AE727E">
            <w:pPr>
              <w:rPr>
                <w:rFonts w:ascii="宋体"/>
              </w:rPr>
            </w:pPr>
          </w:p>
        </w:tc>
        <w:tc>
          <w:tcPr>
            <w:tcW w:w="50" w:type="pct"/>
            <w:shd w:val="clear" w:color="auto" w:fill="auto"/>
            <w:vAlign w:val="bottom"/>
          </w:tcPr>
          <w:p w14:paraId="07DCFEA0" w14:textId="77777777" w:rsidR="00AE727E" w:rsidRDefault="00AE727E">
            <w:pPr>
              <w:rPr>
                <w:rFonts w:ascii="宋体"/>
              </w:rPr>
            </w:pPr>
          </w:p>
        </w:tc>
        <w:tc>
          <w:tcPr>
            <w:tcW w:w="756" w:type="pct"/>
            <w:shd w:val="clear" w:color="auto" w:fill="auto"/>
            <w:vAlign w:val="bottom"/>
          </w:tcPr>
          <w:p w14:paraId="07DCFEA1" w14:textId="77777777" w:rsidR="00AE727E" w:rsidRDefault="00AE727E">
            <w:pPr>
              <w:rPr>
                <w:rFonts w:ascii="宋体"/>
              </w:rPr>
            </w:pPr>
          </w:p>
        </w:tc>
        <w:tc>
          <w:tcPr>
            <w:tcW w:w="5" w:type="pct"/>
            <w:shd w:val="clear" w:color="auto" w:fill="auto"/>
            <w:vAlign w:val="bottom"/>
          </w:tcPr>
          <w:p w14:paraId="07DCFEA2" w14:textId="77777777" w:rsidR="00AE727E" w:rsidRDefault="00AE727E">
            <w:pPr>
              <w:rPr>
                <w:rFonts w:ascii="宋体"/>
              </w:rPr>
            </w:pPr>
          </w:p>
        </w:tc>
        <w:tc>
          <w:tcPr>
            <w:tcW w:w="5" w:type="pct"/>
            <w:shd w:val="clear" w:color="auto" w:fill="auto"/>
            <w:vAlign w:val="bottom"/>
          </w:tcPr>
          <w:p w14:paraId="07DCFEA3" w14:textId="77777777" w:rsidR="00AE727E" w:rsidRDefault="00AE727E">
            <w:pPr>
              <w:rPr>
                <w:rFonts w:ascii="宋体"/>
              </w:rPr>
            </w:pPr>
          </w:p>
        </w:tc>
        <w:tc>
          <w:tcPr>
            <w:tcW w:w="19" w:type="pct"/>
            <w:shd w:val="clear" w:color="auto" w:fill="auto"/>
            <w:vAlign w:val="bottom"/>
          </w:tcPr>
          <w:p w14:paraId="07DCFEA4" w14:textId="77777777" w:rsidR="00AE727E" w:rsidRDefault="00AE727E">
            <w:pPr>
              <w:rPr>
                <w:rFonts w:ascii="宋体"/>
              </w:rPr>
            </w:pPr>
          </w:p>
        </w:tc>
        <w:tc>
          <w:tcPr>
            <w:tcW w:w="5" w:type="pct"/>
            <w:shd w:val="clear" w:color="auto" w:fill="auto"/>
            <w:vAlign w:val="bottom"/>
          </w:tcPr>
          <w:p w14:paraId="07DCFEA5" w14:textId="77777777" w:rsidR="00AE727E" w:rsidRDefault="00AE727E">
            <w:pPr>
              <w:rPr>
                <w:rFonts w:ascii="宋体"/>
              </w:rPr>
            </w:pPr>
          </w:p>
        </w:tc>
        <w:tc>
          <w:tcPr>
            <w:tcW w:w="50" w:type="pct"/>
            <w:shd w:val="clear" w:color="auto" w:fill="auto"/>
            <w:vAlign w:val="bottom"/>
          </w:tcPr>
          <w:p w14:paraId="07DCFEA6" w14:textId="77777777" w:rsidR="00AE727E" w:rsidRDefault="00AE727E">
            <w:pPr>
              <w:rPr>
                <w:rFonts w:ascii="宋体"/>
              </w:rPr>
            </w:pPr>
          </w:p>
        </w:tc>
        <w:tc>
          <w:tcPr>
            <w:tcW w:w="756" w:type="pct"/>
            <w:shd w:val="clear" w:color="auto" w:fill="auto"/>
            <w:vAlign w:val="bottom"/>
          </w:tcPr>
          <w:p w14:paraId="07DCFEA7" w14:textId="77777777" w:rsidR="00AE727E" w:rsidRDefault="00AE727E">
            <w:pPr>
              <w:rPr>
                <w:rFonts w:ascii="宋体"/>
              </w:rPr>
            </w:pPr>
          </w:p>
        </w:tc>
        <w:tc>
          <w:tcPr>
            <w:tcW w:w="5" w:type="pct"/>
            <w:shd w:val="clear" w:color="auto" w:fill="auto"/>
            <w:vAlign w:val="bottom"/>
          </w:tcPr>
          <w:p w14:paraId="07DCFEA8" w14:textId="77777777" w:rsidR="00AE727E" w:rsidRDefault="00AE727E">
            <w:pPr>
              <w:rPr>
                <w:rFonts w:ascii="宋体"/>
              </w:rPr>
            </w:pPr>
          </w:p>
        </w:tc>
        <w:tc>
          <w:tcPr>
            <w:tcW w:w="5" w:type="pct"/>
            <w:shd w:val="clear" w:color="auto" w:fill="auto"/>
            <w:vAlign w:val="bottom"/>
          </w:tcPr>
          <w:p w14:paraId="07DCFEA9" w14:textId="77777777" w:rsidR="00AE727E" w:rsidRDefault="00AE727E">
            <w:pPr>
              <w:rPr>
                <w:rFonts w:ascii="宋体"/>
              </w:rPr>
            </w:pPr>
          </w:p>
        </w:tc>
        <w:tc>
          <w:tcPr>
            <w:tcW w:w="19" w:type="pct"/>
            <w:shd w:val="clear" w:color="auto" w:fill="auto"/>
            <w:vAlign w:val="bottom"/>
          </w:tcPr>
          <w:p w14:paraId="07DCFEAA" w14:textId="77777777" w:rsidR="00AE727E" w:rsidRDefault="00AE727E">
            <w:pPr>
              <w:rPr>
                <w:rFonts w:ascii="宋体"/>
              </w:rPr>
            </w:pPr>
          </w:p>
        </w:tc>
        <w:tc>
          <w:tcPr>
            <w:tcW w:w="5" w:type="pct"/>
            <w:shd w:val="clear" w:color="auto" w:fill="auto"/>
            <w:vAlign w:val="bottom"/>
          </w:tcPr>
          <w:p w14:paraId="07DCFEAB" w14:textId="77777777" w:rsidR="00AE727E" w:rsidRDefault="00AE727E">
            <w:pPr>
              <w:rPr>
                <w:rFonts w:ascii="宋体"/>
              </w:rPr>
            </w:pPr>
          </w:p>
        </w:tc>
        <w:tc>
          <w:tcPr>
            <w:tcW w:w="50" w:type="pct"/>
            <w:shd w:val="clear" w:color="auto" w:fill="auto"/>
            <w:vAlign w:val="bottom"/>
          </w:tcPr>
          <w:p w14:paraId="07DCFEAC" w14:textId="77777777" w:rsidR="00AE727E" w:rsidRDefault="00AE727E">
            <w:pPr>
              <w:rPr>
                <w:rFonts w:ascii="宋体"/>
              </w:rPr>
            </w:pPr>
          </w:p>
        </w:tc>
        <w:tc>
          <w:tcPr>
            <w:tcW w:w="756" w:type="pct"/>
            <w:shd w:val="clear" w:color="auto" w:fill="auto"/>
            <w:vAlign w:val="bottom"/>
          </w:tcPr>
          <w:p w14:paraId="07DCFEAD" w14:textId="77777777" w:rsidR="00AE727E" w:rsidRDefault="00AE727E">
            <w:pPr>
              <w:rPr>
                <w:rFonts w:ascii="宋体"/>
              </w:rPr>
            </w:pPr>
          </w:p>
        </w:tc>
        <w:tc>
          <w:tcPr>
            <w:tcW w:w="5" w:type="pct"/>
            <w:shd w:val="clear" w:color="auto" w:fill="auto"/>
            <w:vAlign w:val="bottom"/>
          </w:tcPr>
          <w:p w14:paraId="07DCFEAE" w14:textId="77777777" w:rsidR="00AE727E" w:rsidRDefault="00AE727E">
            <w:pPr>
              <w:rPr>
                <w:rFonts w:ascii="宋体"/>
              </w:rPr>
            </w:pPr>
          </w:p>
        </w:tc>
        <w:tc>
          <w:tcPr>
            <w:tcW w:w="5" w:type="pct"/>
            <w:shd w:val="clear" w:color="auto" w:fill="auto"/>
            <w:vAlign w:val="bottom"/>
          </w:tcPr>
          <w:p w14:paraId="07DCFEAF" w14:textId="77777777" w:rsidR="00AE727E" w:rsidRDefault="00AE727E">
            <w:pPr>
              <w:rPr>
                <w:rFonts w:ascii="宋体"/>
              </w:rPr>
            </w:pPr>
          </w:p>
        </w:tc>
        <w:tc>
          <w:tcPr>
            <w:tcW w:w="19" w:type="pct"/>
            <w:shd w:val="clear" w:color="auto" w:fill="auto"/>
            <w:vAlign w:val="bottom"/>
          </w:tcPr>
          <w:p w14:paraId="07DCFEB0" w14:textId="77777777" w:rsidR="00AE727E" w:rsidRDefault="00AE727E">
            <w:pPr>
              <w:rPr>
                <w:rFonts w:ascii="宋体"/>
              </w:rPr>
            </w:pPr>
          </w:p>
        </w:tc>
        <w:tc>
          <w:tcPr>
            <w:tcW w:w="5" w:type="pct"/>
            <w:shd w:val="clear" w:color="auto" w:fill="auto"/>
            <w:vAlign w:val="bottom"/>
          </w:tcPr>
          <w:p w14:paraId="07DCFEB1" w14:textId="77777777" w:rsidR="00AE727E" w:rsidRDefault="00AE727E">
            <w:pPr>
              <w:rPr>
                <w:rFonts w:ascii="宋体"/>
              </w:rPr>
            </w:pPr>
          </w:p>
        </w:tc>
        <w:tc>
          <w:tcPr>
            <w:tcW w:w="50" w:type="pct"/>
            <w:shd w:val="clear" w:color="auto" w:fill="auto"/>
            <w:vAlign w:val="bottom"/>
          </w:tcPr>
          <w:p w14:paraId="07DCFEB2" w14:textId="77777777" w:rsidR="00AE727E" w:rsidRDefault="00AE727E">
            <w:pPr>
              <w:rPr>
                <w:rFonts w:ascii="宋体"/>
              </w:rPr>
            </w:pPr>
          </w:p>
        </w:tc>
        <w:tc>
          <w:tcPr>
            <w:tcW w:w="756" w:type="pct"/>
            <w:shd w:val="clear" w:color="auto" w:fill="auto"/>
            <w:vAlign w:val="bottom"/>
          </w:tcPr>
          <w:p w14:paraId="07DCFEB3" w14:textId="77777777" w:rsidR="00AE727E" w:rsidRDefault="00AE727E">
            <w:pPr>
              <w:rPr>
                <w:rFonts w:ascii="宋体"/>
              </w:rPr>
            </w:pPr>
          </w:p>
        </w:tc>
        <w:tc>
          <w:tcPr>
            <w:tcW w:w="5" w:type="pct"/>
            <w:shd w:val="clear" w:color="auto" w:fill="auto"/>
            <w:vAlign w:val="bottom"/>
          </w:tcPr>
          <w:p w14:paraId="07DCFEB4" w14:textId="77777777" w:rsidR="00AE727E" w:rsidRDefault="00AE727E">
            <w:pPr>
              <w:rPr>
                <w:rFonts w:ascii="宋体"/>
              </w:rPr>
            </w:pPr>
          </w:p>
        </w:tc>
      </w:tr>
      <w:tr w:rsidR="00AE727E" w14:paraId="07DCFEBA" w14:textId="77777777">
        <w:tc>
          <w:tcPr>
            <w:tcW w:w="0" w:type="auto"/>
            <w:gridSpan w:val="3"/>
            <w:shd w:val="clear" w:color="auto" w:fill="auto"/>
            <w:tcMar>
              <w:top w:w="40" w:type="dxa"/>
              <w:left w:w="20" w:type="dxa"/>
              <w:bottom w:w="40" w:type="dxa"/>
              <w:right w:w="20" w:type="dxa"/>
            </w:tcMar>
            <w:vAlign w:val="bottom"/>
          </w:tcPr>
          <w:p w14:paraId="07DCFEB6"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DCFEB7"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CFEB8"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CFEB9"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CFEC3" w14:textId="77777777">
        <w:tc>
          <w:tcPr>
            <w:tcW w:w="0" w:type="auto"/>
            <w:gridSpan w:val="3"/>
            <w:shd w:val="clear" w:color="auto" w:fill="auto"/>
            <w:tcMar>
              <w:top w:w="40" w:type="dxa"/>
              <w:left w:w="20" w:type="dxa"/>
              <w:bottom w:w="40" w:type="dxa"/>
              <w:right w:w="20" w:type="dxa"/>
            </w:tcMar>
            <w:vAlign w:val="bottom"/>
          </w:tcPr>
          <w:p w14:paraId="07DCFEBB"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CFEBC"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EB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EBE"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CFEB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EC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CFEC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CFEC2"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CFEC6" w14:textId="77777777">
        <w:tc>
          <w:tcPr>
            <w:tcW w:w="0" w:type="auto"/>
            <w:gridSpan w:val="3"/>
            <w:shd w:val="clear" w:color="auto" w:fill="auto"/>
            <w:tcMar>
              <w:top w:w="40" w:type="dxa"/>
              <w:left w:w="20" w:type="dxa"/>
              <w:bottom w:w="40" w:type="dxa"/>
              <w:right w:w="20" w:type="dxa"/>
            </w:tcMar>
            <w:vAlign w:val="center"/>
          </w:tcPr>
          <w:p w14:paraId="07DCFEC4"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CFEC5"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ECF" w14:textId="77777777">
        <w:tc>
          <w:tcPr>
            <w:tcW w:w="0" w:type="auto"/>
            <w:gridSpan w:val="3"/>
            <w:shd w:val="clear" w:color="auto" w:fill="CCEEFF"/>
            <w:tcMar>
              <w:top w:w="40" w:type="dxa"/>
              <w:left w:w="20" w:type="dxa"/>
              <w:bottom w:w="40" w:type="dxa"/>
              <w:right w:w="20" w:type="dxa"/>
            </w:tcMar>
            <w:vAlign w:val="center"/>
          </w:tcPr>
          <w:p w14:paraId="07DCFEC7" w14:textId="77777777" w:rsidR="00AE727E" w:rsidRDefault="008433E0">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center"/>
          </w:tcPr>
          <w:p w14:paraId="07DCFEC8"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EC9"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FECA"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ECB"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center"/>
          </w:tcPr>
          <w:p w14:paraId="07DCFECC" w14:textId="77777777" w:rsidR="00AE727E" w:rsidRDefault="008433E0">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CFEC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ECE" w14:textId="77777777" w:rsidR="00AE727E" w:rsidRDefault="00AE727E">
            <w:pPr>
              <w:rPr>
                <w:rFonts w:ascii="宋体"/>
              </w:rPr>
            </w:pPr>
          </w:p>
        </w:tc>
      </w:tr>
      <w:tr w:rsidR="00AE727E" w14:paraId="07DCFED8" w14:textId="77777777">
        <w:tc>
          <w:tcPr>
            <w:tcW w:w="0" w:type="auto"/>
            <w:gridSpan w:val="3"/>
            <w:shd w:val="clear" w:color="auto" w:fill="FFFFFF"/>
            <w:tcMar>
              <w:top w:w="40" w:type="dxa"/>
              <w:left w:w="155" w:type="dxa"/>
              <w:bottom w:w="40" w:type="dxa"/>
              <w:right w:w="20" w:type="dxa"/>
            </w:tcMar>
            <w:vAlign w:val="center"/>
          </w:tcPr>
          <w:p w14:paraId="07DCFED0" w14:textId="77777777" w:rsidR="00AE727E" w:rsidRDefault="008433E0">
            <w:pPr>
              <w:textAlignment w:val="center"/>
            </w:pPr>
            <w:r>
              <w:rPr>
                <w:rFonts w:ascii="Times New Roman" w:eastAsia="宋体" w:hAnsi="Times New Roman"/>
                <w:i/>
                <w:iCs/>
                <w:color w:val="000000"/>
                <w:sz w:val="20"/>
                <w:szCs w:val="20"/>
              </w:rPr>
              <w:t>Infrastructure Solutions Group:</w:t>
            </w:r>
          </w:p>
        </w:tc>
        <w:tc>
          <w:tcPr>
            <w:tcW w:w="0" w:type="auto"/>
            <w:gridSpan w:val="3"/>
            <w:shd w:val="clear" w:color="auto" w:fill="FFFFFF"/>
            <w:tcMar>
              <w:top w:w="0" w:type="dxa"/>
              <w:left w:w="20" w:type="dxa"/>
              <w:bottom w:w="0" w:type="dxa"/>
              <w:right w:w="20" w:type="dxa"/>
            </w:tcMar>
            <w:vAlign w:val="bottom"/>
          </w:tcPr>
          <w:p w14:paraId="07DCFED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ED7" w14:textId="77777777" w:rsidR="00AE727E" w:rsidRDefault="00AE727E">
            <w:pPr>
              <w:rPr>
                <w:rFonts w:ascii="宋体"/>
              </w:rPr>
            </w:pPr>
          </w:p>
        </w:tc>
      </w:tr>
      <w:tr w:rsidR="00AE727E" w14:paraId="07DCFEE9" w14:textId="77777777">
        <w:tc>
          <w:tcPr>
            <w:tcW w:w="0" w:type="auto"/>
            <w:gridSpan w:val="3"/>
            <w:shd w:val="clear" w:color="auto" w:fill="CCEEFF"/>
            <w:tcMar>
              <w:top w:w="40" w:type="dxa"/>
              <w:left w:w="260" w:type="dxa"/>
              <w:bottom w:w="40" w:type="dxa"/>
              <w:right w:w="20" w:type="dxa"/>
            </w:tcMar>
            <w:vAlign w:val="center"/>
          </w:tcPr>
          <w:p w14:paraId="07DCFED9" w14:textId="77777777" w:rsidR="00AE727E" w:rsidRDefault="008433E0">
            <w:pPr>
              <w:textAlignment w:val="center"/>
            </w:pPr>
            <w:r>
              <w:rPr>
                <w:rFonts w:ascii="Times New Roman" w:eastAsia="宋体" w:hAnsi="Times New Roman"/>
                <w:color w:val="000000"/>
                <w:sz w:val="20"/>
                <w:szCs w:val="20"/>
              </w:rPr>
              <w:t xml:space="preserve">Servers and </w:t>
            </w:r>
            <w:r>
              <w:rPr>
                <w:rFonts w:ascii="Times New Roman" w:eastAsia="宋体" w:hAnsi="Times New Roman"/>
                <w:color w:val="000000"/>
                <w:sz w:val="20"/>
                <w:szCs w:val="20"/>
              </w:rPr>
              <w:t>networking</w:t>
            </w:r>
          </w:p>
        </w:tc>
        <w:tc>
          <w:tcPr>
            <w:tcW w:w="0" w:type="auto"/>
            <w:shd w:val="clear" w:color="auto" w:fill="CCEEFF"/>
            <w:tcMar>
              <w:top w:w="40" w:type="dxa"/>
              <w:left w:w="20" w:type="dxa"/>
              <w:bottom w:w="40" w:type="dxa"/>
              <w:right w:w="0" w:type="dxa"/>
            </w:tcMar>
            <w:vAlign w:val="center"/>
          </w:tcPr>
          <w:p w14:paraId="07DCFED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EDB" w14:textId="77777777" w:rsidR="00AE727E" w:rsidRDefault="008433E0">
            <w:pPr>
              <w:jc w:val="right"/>
              <w:textAlignment w:val="center"/>
            </w:pPr>
            <w:r>
              <w:rPr>
                <w:rFonts w:ascii="Times New Roman" w:eastAsia="宋体" w:hAnsi="Times New Roman"/>
                <w:color w:val="000000"/>
                <w:sz w:val="20"/>
                <w:szCs w:val="20"/>
              </w:rPr>
              <w:t>4,533 </w:t>
            </w:r>
          </w:p>
        </w:tc>
        <w:tc>
          <w:tcPr>
            <w:tcW w:w="0" w:type="auto"/>
            <w:shd w:val="clear" w:color="auto" w:fill="CCEEFF"/>
            <w:tcMar>
              <w:top w:w="40" w:type="dxa"/>
              <w:left w:w="0" w:type="dxa"/>
              <w:bottom w:w="40" w:type="dxa"/>
              <w:right w:w="20" w:type="dxa"/>
            </w:tcMar>
            <w:vAlign w:val="center"/>
          </w:tcPr>
          <w:p w14:paraId="07DCFED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D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ED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EDF" w14:textId="77777777" w:rsidR="00AE727E" w:rsidRDefault="008433E0">
            <w:pPr>
              <w:jc w:val="right"/>
              <w:textAlignment w:val="center"/>
            </w:pPr>
            <w:r>
              <w:rPr>
                <w:rFonts w:ascii="Times New Roman" w:eastAsia="宋体" w:hAnsi="Times New Roman"/>
                <w:color w:val="000000"/>
                <w:sz w:val="20"/>
                <w:szCs w:val="20"/>
              </w:rPr>
              <w:t>4,164 </w:t>
            </w:r>
          </w:p>
        </w:tc>
        <w:tc>
          <w:tcPr>
            <w:tcW w:w="0" w:type="auto"/>
            <w:shd w:val="clear" w:color="auto" w:fill="CCEEFF"/>
            <w:tcMar>
              <w:top w:w="40" w:type="dxa"/>
              <w:left w:w="0" w:type="dxa"/>
              <w:bottom w:w="40" w:type="dxa"/>
              <w:right w:w="20" w:type="dxa"/>
            </w:tcMar>
            <w:vAlign w:val="center"/>
          </w:tcPr>
          <w:p w14:paraId="07DCFEE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E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EE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EE3" w14:textId="77777777" w:rsidR="00AE727E" w:rsidRDefault="008433E0">
            <w:pPr>
              <w:jc w:val="right"/>
              <w:textAlignment w:val="center"/>
            </w:pPr>
            <w:r>
              <w:rPr>
                <w:rFonts w:ascii="Times New Roman" w:eastAsia="宋体" w:hAnsi="Times New Roman"/>
                <w:color w:val="000000"/>
                <w:sz w:val="20"/>
                <w:szCs w:val="20"/>
              </w:rPr>
              <w:t>13,104 </w:t>
            </w:r>
          </w:p>
        </w:tc>
        <w:tc>
          <w:tcPr>
            <w:tcW w:w="0" w:type="auto"/>
            <w:shd w:val="clear" w:color="auto" w:fill="CCEEFF"/>
            <w:tcMar>
              <w:top w:w="40" w:type="dxa"/>
              <w:left w:w="0" w:type="dxa"/>
              <w:bottom w:w="40" w:type="dxa"/>
              <w:right w:w="20" w:type="dxa"/>
            </w:tcMar>
            <w:vAlign w:val="center"/>
          </w:tcPr>
          <w:p w14:paraId="07DCFEE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E5"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CFEE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CFEE7" w14:textId="77777777" w:rsidR="00AE727E" w:rsidRDefault="008433E0">
            <w:pPr>
              <w:jc w:val="right"/>
              <w:textAlignment w:val="center"/>
            </w:pPr>
            <w:r>
              <w:rPr>
                <w:rFonts w:ascii="Times New Roman" w:eastAsia="宋体" w:hAnsi="Times New Roman"/>
                <w:color w:val="000000"/>
                <w:sz w:val="20"/>
                <w:szCs w:val="20"/>
              </w:rPr>
              <w:t>12,118 </w:t>
            </w:r>
          </w:p>
        </w:tc>
        <w:tc>
          <w:tcPr>
            <w:tcW w:w="0" w:type="auto"/>
            <w:shd w:val="clear" w:color="auto" w:fill="CCEEFF"/>
            <w:tcMar>
              <w:top w:w="40" w:type="dxa"/>
              <w:left w:w="0" w:type="dxa"/>
              <w:bottom w:w="40" w:type="dxa"/>
              <w:right w:w="20" w:type="dxa"/>
            </w:tcMar>
            <w:vAlign w:val="center"/>
          </w:tcPr>
          <w:p w14:paraId="07DCFEE8" w14:textId="77777777" w:rsidR="00AE727E" w:rsidRDefault="00AE727E">
            <w:pPr>
              <w:jc w:val="right"/>
              <w:rPr>
                <w:rFonts w:ascii="宋体"/>
              </w:rPr>
            </w:pPr>
          </w:p>
        </w:tc>
      </w:tr>
      <w:tr w:rsidR="00AE727E" w14:paraId="07DCFEF6" w14:textId="77777777">
        <w:tc>
          <w:tcPr>
            <w:tcW w:w="0" w:type="auto"/>
            <w:gridSpan w:val="3"/>
            <w:shd w:val="clear" w:color="auto" w:fill="FFFFFF"/>
            <w:tcMar>
              <w:top w:w="40" w:type="dxa"/>
              <w:left w:w="260" w:type="dxa"/>
              <w:bottom w:w="40" w:type="dxa"/>
              <w:right w:w="20" w:type="dxa"/>
            </w:tcMar>
            <w:vAlign w:val="center"/>
          </w:tcPr>
          <w:p w14:paraId="07DCFEEA" w14:textId="77777777" w:rsidR="00AE727E" w:rsidRDefault="008433E0">
            <w:pPr>
              <w:textAlignment w:val="center"/>
            </w:pPr>
            <w:r>
              <w:rPr>
                <w:rFonts w:ascii="Times New Roman" w:eastAsia="宋体" w:hAnsi="Times New Roman"/>
                <w:color w:val="000000"/>
                <w:sz w:val="20"/>
                <w:szCs w:val="20"/>
              </w:rPr>
              <w:t>Storage</w:t>
            </w:r>
          </w:p>
        </w:tc>
        <w:tc>
          <w:tcPr>
            <w:tcW w:w="0" w:type="auto"/>
            <w:gridSpan w:val="2"/>
            <w:shd w:val="clear" w:color="auto" w:fill="FFFFFF"/>
            <w:tcMar>
              <w:top w:w="40" w:type="dxa"/>
              <w:left w:w="20" w:type="dxa"/>
              <w:bottom w:w="40" w:type="dxa"/>
              <w:right w:w="0" w:type="dxa"/>
            </w:tcMar>
            <w:vAlign w:val="center"/>
          </w:tcPr>
          <w:p w14:paraId="07DCFEEB" w14:textId="77777777" w:rsidR="00AE727E" w:rsidRDefault="008433E0">
            <w:pPr>
              <w:jc w:val="right"/>
              <w:textAlignment w:val="center"/>
            </w:pPr>
            <w:r>
              <w:rPr>
                <w:rFonts w:ascii="Times New Roman" w:eastAsia="宋体" w:hAnsi="Times New Roman"/>
                <w:color w:val="000000"/>
                <w:sz w:val="20"/>
                <w:szCs w:val="20"/>
              </w:rPr>
              <w:t>3,895 </w:t>
            </w:r>
          </w:p>
        </w:tc>
        <w:tc>
          <w:tcPr>
            <w:tcW w:w="0" w:type="auto"/>
            <w:shd w:val="clear" w:color="auto" w:fill="FFFFFF"/>
            <w:tcMar>
              <w:top w:w="40" w:type="dxa"/>
              <w:left w:w="0" w:type="dxa"/>
              <w:bottom w:w="40" w:type="dxa"/>
              <w:right w:w="20" w:type="dxa"/>
            </w:tcMar>
            <w:vAlign w:val="center"/>
          </w:tcPr>
          <w:p w14:paraId="07DCFEE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E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EEE" w14:textId="77777777" w:rsidR="00AE727E" w:rsidRDefault="008433E0">
            <w:pPr>
              <w:jc w:val="right"/>
              <w:textAlignment w:val="center"/>
            </w:pPr>
            <w:r>
              <w:rPr>
                <w:rFonts w:ascii="Times New Roman" w:eastAsia="宋体" w:hAnsi="Times New Roman"/>
                <w:color w:val="000000"/>
                <w:sz w:val="20"/>
                <w:szCs w:val="20"/>
              </w:rPr>
              <w:t>3,860 </w:t>
            </w:r>
          </w:p>
        </w:tc>
        <w:tc>
          <w:tcPr>
            <w:tcW w:w="0" w:type="auto"/>
            <w:shd w:val="clear" w:color="auto" w:fill="FFFFFF"/>
            <w:tcMar>
              <w:top w:w="40" w:type="dxa"/>
              <w:left w:w="0" w:type="dxa"/>
              <w:bottom w:w="40" w:type="dxa"/>
              <w:right w:w="20" w:type="dxa"/>
            </w:tcMar>
            <w:vAlign w:val="center"/>
          </w:tcPr>
          <w:p w14:paraId="07DCFEE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F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EF1" w14:textId="77777777" w:rsidR="00AE727E" w:rsidRDefault="008433E0">
            <w:pPr>
              <w:jc w:val="right"/>
              <w:textAlignment w:val="center"/>
            </w:pPr>
            <w:r>
              <w:rPr>
                <w:rFonts w:ascii="Times New Roman" w:eastAsia="宋体" w:hAnsi="Times New Roman"/>
                <w:color w:val="000000"/>
                <w:sz w:val="20"/>
                <w:szCs w:val="20"/>
              </w:rPr>
              <w:t>11,667 </w:t>
            </w:r>
          </w:p>
        </w:tc>
        <w:tc>
          <w:tcPr>
            <w:tcW w:w="0" w:type="auto"/>
            <w:shd w:val="clear" w:color="auto" w:fill="FFFFFF"/>
            <w:tcMar>
              <w:top w:w="40" w:type="dxa"/>
              <w:left w:w="0" w:type="dxa"/>
              <w:bottom w:w="40" w:type="dxa"/>
              <w:right w:w="20" w:type="dxa"/>
            </w:tcMar>
            <w:vAlign w:val="center"/>
          </w:tcPr>
          <w:p w14:paraId="07DCFEF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EF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EF4" w14:textId="77777777" w:rsidR="00AE727E" w:rsidRDefault="008433E0">
            <w:pPr>
              <w:jc w:val="right"/>
              <w:textAlignment w:val="center"/>
            </w:pPr>
            <w:r>
              <w:rPr>
                <w:rFonts w:ascii="Times New Roman" w:eastAsia="宋体" w:hAnsi="Times New Roman"/>
                <w:color w:val="000000"/>
                <w:sz w:val="20"/>
                <w:szCs w:val="20"/>
              </w:rPr>
              <w:t>11,682 </w:t>
            </w:r>
          </w:p>
        </w:tc>
        <w:tc>
          <w:tcPr>
            <w:tcW w:w="0" w:type="auto"/>
            <w:shd w:val="clear" w:color="auto" w:fill="FFFFFF"/>
            <w:tcMar>
              <w:top w:w="40" w:type="dxa"/>
              <w:left w:w="0" w:type="dxa"/>
              <w:bottom w:w="40" w:type="dxa"/>
              <w:right w:w="20" w:type="dxa"/>
            </w:tcMar>
            <w:vAlign w:val="center"/>
          </w:tcPr>
          <w:p w14:paraId="07DCFEF5" w14:textId="77777777" w:rsidR="00AE727E" w:rsidRDefault="00AE727E">
            <w:pPr>
              <w:jc w:val="right"/>
              <w:rPr>
                <w:rFonts w:ascii="宋体"/>
              </w:rPr>
            </w:pPr>
          </w:p>
        </w:tc>
      </w:tr>
      <w:tr w:rsidR="00AE727E" w14:paraId="07DCFF03" w14:textId="77777777">
        <w:tc>
          <w:tcPr>
            <w:tcW w:w="0" w:type="auto"/>
            <w:gridSpan w:val="3"/>
            <w:shd w:val="clear" w:color="auto" w:fill="CCEEFF"/>
            <w:tcMar>
              <w:top w:w="40" w:type="dxa"/>
              <w:left w:w="485" w:type="dxa"/>
              <w:bottom w:w="40" w:type="dxa"/>
              <w:right w:w="20" w:type="dxa"/>
            </w:tcMar>
            <w:vAlign w:val="center"/>
          </w:tcPr>
          <w:p w14:paraId="07DCFEF7" w14:textId="77777777" w:rsidR="00AE727E" w:rsidRDefault="008433E0">
            <w:pPr>
              <w:textAlignment w:val="center"/>
            </w:pPr>
            <w:r>
              <w:rPr>
                <w:rFonts w:ascii="Times New Roman" w:eastAsia="宋体" w:hAnsi="Times New Roman"/>
                <w:color w:val="000000"/>
                <w:sz w:val="20"/>
                <w:szCs w:val="20"/>
              </w:rPr>
              <w:t>Total ISG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EF8" w14:textId="77777777" w:rsidR="00AE727E" w:rsidRDefault="008433E0">
            <w:pPr>
              <w:jc w:val="right"/>
              <w:textAlignment w:val="center"/>
            </w:pPr>
            <w:r>
              <w:rPr>
                <w:rFonts w:ascii="Times New Roman" w:eastAsia="宋体" w:hAnsi="Times New Roman"/>
                <w:color w:val="000000"/>
                <w:sz w:val="20"/>
                <w:szCs w:val="20"/>
              </w:rPr>
              <w:t>8,428 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EF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FA"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EFB" w14:textId="77777777" w:rsidR="00AE727E" w:rsidRDefault="008433E0">
            <w:pPr>
              <w:jc w:val="right"/>
              <w:textAlignment w:val="center"/>
            </w:pPr>
            <w:r>
              <w:rPr>
                <w:rFonts w:ascii="Times New Roman" w:eastAsia="宋体" w:hAnsi="Times New Roman"/>
                <w:color w:val="000000"/>
                <w:sz w:val="20"/>
                <w:szCs w:val="20"/>
              </w:rPr>
              <w:t>8,024 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EF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EFD"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EFE" w14:textId="77777777" w:rsidR="00AE727E" w:rsidRDefault="008433E0">
            <w:pPr>
              <w:jc w:val="right"/>
              <w:textAlignment w:val="center"/>
            </w:pPr>
            <w:r>
              <w:rPr>
                <w:rFonts w:ascii="Times New Roman" w:eastAsia="宋体" w:hAnsi="Times New Roman"/>
                <w:color w:val="000000"/>
                <w:sz w:val="20"/>
                <w:szCs w:val="20"/>
              </w:rPr>
              <w:t>24,771 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E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0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F01" w14:textId="77777777" w:rsidR="00AE727E" w:rsidRDefault="008433E0">
            <w:pPr>
              <w:jc w:val="right"/>
              <w:textAlignment w:val="center"/>
            </w:pPr>
            <w:r>
              <w:rPr>
                <w:rFonts w:ascii="Times New Roman" w:eastAsia="宋体" w:hAnsi="Times New Roman"/>
                <w:color w:val="000000"/>
                <w:sz w:val="20"/>
                <w:szCs w:val="20"/>
              </w:rPr>
              <w:t>23,800 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F02" w14:textId="77777777" w:rsidR="00AE727E" w:rsidRDefault="00AE727E">
            <w:pPr>
              <w:jc w:val="right"/>
              <w:rPr>
                <w:rFonts w:ascii="宋体"/>
              </w:rPr>
            </w:pPr>
          </w:p>
        </w:tc>
      </w:tr>
      <w:tr w:rsidR="00AE727E" w14:paraId="07DCFF0C" w14:textId="77777777">
        <w:tc>
          <w:tcPr>
            <w:tcW w:w="0" w:type="auto"/>
            <w:gridSpan w:val="3"/>
            <w:shd w:val="clear" w:color="auto" w:fill="FFFFFF"/>
            <w:tcMar>
              <w:top w:w="40" w:type="dxa"/>
              <w:left w:w="155" w:type="dxa"/>
              <w:bottom w:w="40" w:type="dxa"/>
              <w:right w:w="20" w:type="dxa"/>
            </w:tcMar>
            <w:vAlign w:val="center"/>
          </w:tcPr>
          <w:p w14:paraId="07DCFF04" w14:textId="77777777" w:rsidR="00AE727E" w:rsidRDefault="008433E0">
            <w:pPr>
              <w:textAlignment w:val="center"/>
            </w:pPr>
            <w:r>
              <w:rPr>
                <w:rFonts w:ascii="Times New Roman" w:eastAsia="宋体" w:hAnsi="Times New Roman"/>
                <w:i/>
                <w:iCs/>
                <w:color w:val="000000"/>
                <w:sz w:val="20"/>
                <w:szCs w:val="20"/>
              </w:rPr>
              <w:t>Client Solutions Group:</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0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06"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0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08"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0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0A"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0B" w14:textId="77777777" w:rsidR="00AE727E" w:rsidRDefault="00AE727E">
            <w:pPr>
              <w:rPr>
                <w:rFonts w:ascii="宋体"/>
              </w:rPr>
            </w:pPr>
          </w:p>
        </w:tc>
      </w:tr>
      <w:tr w:rsidR="00AE727E" w14:paraId="07DCFF19" w14:textId="77777777">
        <w:tc>
          <w:tcPr>
            <w:tcW w:w="0" w:type="auto"/>
            <w:gridSpan w:val="3"/>
            <w:shd w:val="clear" w:color="auto" w:fill="CCEEFF"/>
            <w:tcMar>
              <w:top w:w="40" w:type="dxa"/>
              <w:left w:w="260" w:type="dxa"/>
              <w:bottom w:w="40" w:type="dxa"/>
              <w:right w:w="20" w:type="dxa"/>
            </w:tcMar>
            <w:vAlign w:val="center"/>
          </w:tcPr>
          <w:p w14:paraId="07DCFF0D" w14:textId="77777777" w:rsidR="00AE727E" w:rsidRDefault="008433E0">
            <w:pPr>
              <w:textAlignment w:val="center"/>
            </w:pPr>
            <w:r>
              <w:rPr>
                <w:rFonts w:ascii="Times New Roman" w:eastAsia="宋体" w:hAnsi="Times New Roman"/>
                <w:color w:val="000000"/>
                <w:sz w:val="20"/>
                <w:szCs w:val="20"/>
              </w:rPr>
              <w:t>Commercial</w:t>
            </w:r>
          </w:p>
        </w:tc>
        <w:tc>
          <w:tcPr>
            <w:tcW w:w="0" w:type="auto"/>
            <w:gridSpan w:val="2"/>
            <w:shd w:val="clear" w:color="auto" w:fill="CCEEFF"/>
            <w:tcMar>
              <w:top w:w="40" w:type="dxa"/>
              <w:left w:w="20" w:type="dxa"/>
              <w:bottom w:w="40" w:type="dxa"/>
              <w:right w:w="0" w:type="dxa"/>
            </w:tcMar>
            <w:vAlign w:val="center"/>
          </w:tcPr>
          <w:p w14:paraId="07DCFF0E" w14:textId="77777777" w:rsidR="00AE727E" w:rsidRDefault="008433E0">
            <w:pPr>
              <w:jc w:val="right"/>
              <w:textAlignment w:val="center"/>
            </w:pPr>
            <w:r>
              <w:rPr>
                <w:rFonts w:ascii="Times New Roman" w:eastAsia="宋体" w:hAnsi="Times New Roman"/>
                <w:color w:val="000000"/>
                <w:sz w:val="20"/>
                <w:szCs w:val="20"/>
              </w:rPr>
              <w:t>12,292 </w:t>
            </w:r>
          </w:p>
        </w:tc>
        <w:tc>
          <w:tcPr>
            <w:tcW w:w="0" w:type="auto"/>
            <w:shd w:val="clear" w:color="auto" w:fill="CCEEFF"/>
            <w:tcMar>
              <w:top w:w="40" w:type="dxa"/>
              <w:left w:w="0" w:type="dxa"/>
              <w:bottom w:w="40" w:type="dxa"/>
              <w:right w:w="20" w:type="dxa"/>
            </w:tcMar>
            <w:vAlign w:val="center"/>
          </w:tcPr>
          <w:p w14:paraId="07DCFF0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1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11" w14:textId="77777777" w:rsidR="00AE727E" w:rsidRDefault="008433E0">
            <w:pPr>
              <w:jc w:val="right"/>
              <w:textAlignment w:val="center"/>
            </w:pPr>
            <w:r>
              <w:rPr>
                <w:rFonts w:ascii="Times New Roman" w:eastAsia="宋体" w:hAnsi="Times New Roman"/>
                <w:color w:val="000000"/>
                <w:sz w:val="20"/>
                <w:szCs w:val="20"/>
              </w:rPr>
              <w:t>8,783 </w:t>
            </w:r>
          </w:p>
        </w:tc>
        <w:tc>
          <w:tcPr>
            <w:tcW w:w="0" w:type="auto"/>
            <w:shd w:val="clear" w:color="auto" w:fill="CCEEFF"/>
            <w:tcMar>
              <w:top w:w="40" w:type="dxa"/>
              <w:left w:w="0" w:type="dxa"/>
              <w:bottom w:w="40" w:type="dxa"/>
              <w:right w:w="20" w:type="dxa"/>
            </w:tcMar>
            <w:vAlign w:val="center"/>
          </w:tcPr>
          <w:p w14:paraId="07DCFF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14" w14:textId="77777777" w:rsidR="00AE727E" w:rsidRDefault="008433E0">
            <w:pPr>
              <w:jc w:val="right"/>
              <w:textAlignment w:val="center"/>
            </w:pPr>
            <w:r>
              <w:rPr>
                <w:rFonts w:ascii="Times New Roman" w:eastAsia="宋体" w:hAnsi="Times New Roman"/>
                <w:color w:val="000000"/>
                <w:sz w:val="20"/>
                <w:szCs w:val="20"/>
              </w:rPr>
              <w:t>32,668 </w:t>
            </w:r>
          </w:p>
        </w:tc>
        <w:tc>
          <w:tcPr>
            <w:tcW w:w="0" w:type="auto"/>
            <w:shd w:val="clear" w:color="auto" w:fill="CCEEFF"/>
            <w:tcMar>
              <w:top w:w="40" w:type="dxa"/>
              <w:left w:w="0" w:type="dxa"/>
              <w:bottom w:w="40" w:type="dxa"/>
              <w:right w:w="20" w:type="dxa"/>
            </w:tcMar>
            <w:vAlign w:val="center"/>
          </w:tcPr>
          <w:p w14:paraId="07DCFF1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1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17" w14:textId="77777777" w:rsidR="00AE727E" w:rsidRDefault="008433E0">
            <w:pPr>
              <w:jc w:val="right"/>
              <w:textAlignment w:val="center"/>
            </w:pPr>
            <w:r>
              <w:rPr>
                <w:rFonts w:ascii="Times New Roman" w:eastAsia="宋体" w:hAnsi="Times New Roman"/>
                <w:color w:val="000000"/>
                <w:sz w:val="20"/>
                <w:szCs w:val="20"/>
              </w:rPr>
              <w:t>25,456 </w:t>
            </w:r>
          </w:p>
        </w:tc>
        <w:tc>
          <w:tcPr>
            <w:tcW w:w="0" w:type="auto"/>
            <w:shd w:val="clear" w:color="auto" w:fill="CCEEFF"/>
            <w:tcMar>
              <w:top w:w="40" w:type="dxa"/>
              <w:left w:w="0" w:type="dxa"/>
              <w:bottom w:w="40" w:type="dxa"/>
              <w:right w:w="20" w:type="dxa"/>
            </w:tcMar>
            <w:vAlign w:val="center"/>
          </w:tcPr>
          <w:p w14:paraId="07DCFF18" w14:textId="77777777" w:rsidR="00AE727E" w:rsidRDefault="00AE727E">
            <w:pPr>
              <w:jc w:val="right"/>
              <w:rPr>
                <w:rFonts w:ascii="宋体"/>
              </w:rPr>
            </w:pPr>
          </w:p>
        </w:tc>
      </w:tr>
      <w:tr w:rsidR="00AE727E" w14:paraId="07DCFF26" w14:textId="77777777">
        <w:tc>
          <w:tcPr>
            <w:tcW w:w="0" w:type="auto"/>
            <w:gridSpan w:val="3"/>
            <w:shd w:val="clear" w:color="auto" w:fill="FFFFFF"/>
            <w:tcMar>
              <w:top w:w="40" w:type="dxa"/>
              <w:left w:w="260" w:type="dxa"/>
              <w:bottom w:w="40" w:type="dxa"/>
              <w:right w:w="20" w:type="dxa"/>
            </w:tcMar>
            <w:vAlign w:val="center"/>
          </w:tcPr>
          <w:p w14:paraId="07DCFF1A" w14:textId="77777777" w:rsidR="00AE727E" w:rsidRDefault="008433E0">
            <w:pPr>
              <w:textAlignment w:val="center"/>
            </w:pPr>
            <w:r>
              <w:rPr>
                <w:rFonts w:ascii="Times New Roman" w:eastAsia="宋体" w:hAnsi="Times New Roman"/>
                <w:color w:val="000000"/>
                <w:sz w:val="20"/>
                <w:szCs w:val="20"/>
              </w:rPr>
              <w:t>Consumer</w:t>
            </w:r>
          </w:p>
        </w:tc>
        <w:tc>
          <w:tcPr>
            <w:tcW w:w="0" w:type="auto"/>
            <w:gridSpan w:val="2"/>
            <w:shd w:val="clear" w:color="auto" w:fill="FFFFFF"/>
            <w:tcMar>
              <w:top w:w="40" w:type="dxa"/>
              <w:left w:w="20" w:type="dxa"/>
              <w:bottom w:w="40" w:type="dxa"/>
              <w:right w:w="0" w:type="dxa"/>
            </w:tcMar>
            <w:vAlign w:val="center"/>
          </w:tcPr>
          <w:p w14:paraId="07DCFF1B" w14:textId="77777777" w:rsidR="00AE727E" w:rsidRDefault="008433E0">
            <w:pPr>
              <w:jc w:val="right"/>
              <w:textAlignment w:val="center"/>
            </w:pPr>
            <w:r>
              <w:rPr>
                <w:rFonts w:ascii="Times New Roman" w:eastAsia="宋体" w:hAnsi="Times New Roman"/>
                <w:color w:val="000000"/>
                <w:sz w:val="20"/>
                <w:szCs w:val="20"/>
              </w:rPr>
              <w:t>4,254 </w:t>
            </w:r>
          </w:p>
        </w:tc>
        <w:tc>
          <w:tcPr>
            <w:tcW w:w="0" w:type="auto"/>
            <w:shd w:val="clear" w:color="auto" w:fill="FFFFFF"/>
            <w:tcMar>
              <w:top w:w="40" w:type="dxa"/>
              <w:left w:w="0" w:type="dxa"/>
              <w:bottom w:w="40" w:type="dxa"/>
              <w:right w:w="20" w:type="dxa"/>
            </w:tcMar>
            <w:vAlign w:val="center"/>
          </w:tcPr>
          <w:p w14:paraId="07DCFF1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1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F1E" w14:textId="77777777" w:rsidR="00AE727E" w:rsidRDefault="008433E0">
            <w:pPr>
              <w:jc w:val="right"/>
              <w:textAlignment w:val="center"/>
            </w:pPr>
            <w:r>
              <w:rPr>
                <w:rFonts w:ascii="Times New Roman" w:eastAsia="宋体" w:hAnsi="Times New Roman"/>
                <w:color w:val="000000"/>
                <w:sz w:val="20"/>
                <w:szCs w:val="20"/>
              </w:rPr>
              <w:t>3,503 </w:t>
            </w:r>
          </w:p>
        </w:tc>
        <w:tc>
          <w:tcPr>
            <w:tcW w:w="0" w:type="auto"/>
            <w:shd w:val="clear" w:color="auto" w:fill="FFFFFF"/>
            <w:tcMar>
              <w:top w:w="40" w:type="dxa"/>
              <w:left w:w="0" w:type="dxa"/>
              <w:bottom w:w="40" w:type="dxa"/>
              <w:right w:w="20" w:type="dxa"/>
            </w:tcMar>
            <w:vAlign w:val="center"/>
          </w:tcPr>
          <w:p w14:paraId="07DCFF1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2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F21" w14:textId="77777777" w:rsidR="00AE727E" w:rsidRDefault="008433E0">
            <w:pPr>
              <w:jc w:val="right"/>
              <w:textAlignment w:val="center"/>
            </w:pPr>
            <w:r>
              <w:rPr>
                <w:rFonts w:ascii="Times New Roman" w:eastAsia="宋体" w:hAnsi="Times New Roman"/>
                <w:color w:val="000000"/>
                <w:sz w:val="20"/>
                <w:szCs w:val="20"/>
              </w:rPr>
              <w:t>11,446 </w:t>
            </w:r>
          </w:p>
        </w:tc>
        <w:tc>
          <w:tcPr>
            <w:tcW w:w="0" w:type="auto"/>
            <w:shd w:val="clear" w:color="auto" w:fill="FFFFFF"/>
            <w:tcMar>
              <w:top w:w="40" w:type="dxa"/>
              <w:left w:w="0" w:type="dxa"/>
              <w:bottom w:w="40" w:type="dxa"/>
              <w:right w:w="20" w:type="dxa"/>
            </w:tcMar>
            <w:vAlign w:val="center"/>
          </w:tcPr>
          <w:p w14:paraId="07DCFF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2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CFF24" w14:textId="77777777" w:rsidR="00AE727E" w:rsidRDefault="008433E0">
            <w:pPr>
              <w:jc w:val="right"/>
              <w:textAlignment w:val="center"/>
            </w:pPr>
            <w:r>
              <w:rPr>
                <w:rFonts w:ascii="Times New Roman" w:eastAsia="宋体" w:hAnsi="Times New Roman"/>
                <w:color w:val="000000"/>
                <w:sz w:val="20"/>
                <w:szCs w:val="20"/>
              </w:rPr>
              <w:t>9,137 </w:t>
            </w:r>
          </w:p>
        </w:tc>
        <w:tc>
          <w:tcPr>
            <w:tcW w:w="0" w:type="auto"/>
            <w:shd w:val="clear" w:color="auto" w:fill="FFFFFF"/>
            <w:tcMar>
              <w:top w:w="40" w:type="dxa"/>
              <w:left w:w="0" w:type="dxa"/>
              <w:bottom w:w="40" w:type="dxa"/>
              <w:right w:w="20" w:type="dxa"/>
            </w:tcMar>
            <w:vAlign w:val="center"/>
          </w:tcPr>
          <w:p w14:paraId="07DCFF25" w14:textId="77777777" w:rsidR="00AE727E" w:rsidRDefault="00AE727E">
            <w:pPr>
              <w:jc w:val="right"/>
              <w:rPr>
                <w:rFonts w:ascii="宋体"/>
              </w:rPr>
            </w:pPr>
          </w:p>
        </w:tc>
      </w:tr>
      <w:tr w:rsidR="00AE727E" w14:paraId="07DCFF33" w14:textId="77777777">
        <w:tc>
          <w:tcPr>
            <w:tcW w:w="0" w:type="auto"/>
            <w:gridSpan w:val="3"/>
            <w:shd w:val="clear" w:color="auto" w:fill="CCEEFF"/>
            <w:tcMar>
              <w:top w:w="40" w:type="dxa"/>
              <w:left w:w="485" w:type="dxa"/>
              <w:bottom w:w="40" w:type="dxa"/>
              <w:right w:w="20" w:type="dxa"/>
            </w:tcMar>
            <w:vAlign w:val="center"/>
          </w:tcPr>
          <w:p w14:paraId="07DCFF27" w14:textId="77777777" w:rsidR="00AE727E" w:rsidRDefault="008433E0">
            <w:pPr>
              <w:textAlignment w:val="center"/>
            </w:pPr>
            <w:r>
              <w:rPr>
                <w:rFonts w:ascii="Times New Roman" w:eastAsia="宋体" w:hAnsi="Times New Roman"/>
                <w:color w:val="000000"/>
                <w:sz w:val="20"/>
                <w:szCs w:val="20"/>
              </w:rPr>
              <w:t>Total CSG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F28" w14:textId="77777777" w:rsidR="00AE727E" w:rsidRDefault="008433E0">
            <w:pPr>
              <w:jc w:val="right"/>
              <w:textAlignment w:val="center"/>
            </w:pPr>
            <w:r>
              <w:rPr>
                <w:rFonts w:ascii="Times New Roman" w:eastAsia="宋体" w:hAnsi="Times New Roman"/>
                <w:color w:val="000000"/>
                <w:sz w:val="20"/>
                <w:szCs w:val="20"/>
              </w:rPr>
              <w:t>16,546 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F2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2A"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F2B" w14:textId="77777777" w:rsidR="00AE727E" w:rsidRDefault="008433E0">
            <w:pPr>
              <w:jc w:val="right"/>
              <w:textAlignment w:val="center"/>
            </w:pPr>
            <w:r>
              <w:rPr>
                <w:rFonts w:ascii="Times New Roman" w:eastAsia="宋体" w:hAnsi="Times New Roman"/>
                <w:color w:val="000000"/>
                <w:sz w:val="20"/>
                <w:szCs w:val="20"/>
              </w:rPr>
              <w:t>12,286 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F2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2D"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F2E" w14:textId="77777777" w:rsidR="00AE727E" w:rsidRDefault="008433E0">
            <w:pPr>
              <w:jc w:val="right"/>
              <w:textAlignment w:val="center"/>
            </w:pPr>
            <w:r>
              <w:rPr>
                <w:rFonts w:ascii="Times New Roman" w:eastAsia="宋体" w:hAnsi="Times New Roman"/>
                <w:color w:val="000000"/>
                <w:sz w:val="20"/>
                <w:szCs w:val="20"/>
              </w:rPr>
              <w:t>44,114 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F2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3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CFF31" w14:textId="77777777" w:rsidR="00AE727E" w:rsidRDefault="008433E0">
            <w:pPr>
              <w:jc w:val="right"/>
              <w:textAlignment w:val="center"/>
            </w:pPr>
            <w:r>
              <w:rPr>
                <w:rFonts w:ascii="Times New Roman" w:eastAsia="宋体" w:hAnsi="Times New Roman"/>
                <w:color w:val="000000"/>
                <w:sz w:val="20"/>
                <w:szCs w:val="20"/>
              </w:rPr>
              <w:t>34,593 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CFF32" w14:textId="77777777" w:rsidR="00AE727E" w:rsidRDefault="00AE727E">
            <w:pPr>
              <w:jc w:val="right"/>
              <w:rPr>
                <w:rFonts w:ascii="宋体"/>
              </w:rPr>
            </w:pPr>
          </w:p>
        </w:tc>
      </w:tr>
      <w:tr w:rsidR="00AE727E" w14:paraId="07DCFF3C" w14:textId="77777777">
        <w:tc>
          <w:tcPr>
            <w:tcW w:w="0" w:type="auto"/>
            <w:gridSpan w:val="3"/>
            <w:shd w:val="clear" w:color="auto" w:fill="FFFFFF"/>
            <w:tcMar>
              <w:top w:w="40" w:type="dxa"/>
              <w:left w:w="155" w:type="dxa"/>
              <w:bottom w:w="40" w:type="dxa"/>
              <w:right w:w="20" w:type="dxa"/>
            </w:tcMar>
            <w:vAlign w:val="center"/>
          </w:tcPr>
          <w:p w14:paraId="07DCFF34" w14:textId="77777777" w:rsidR="00AE727E" w:rsidRDefault="008433E0">
            <w:pPr>
              <w:textAlignment w:val="center"/>
            </w:pPr>
            <w:r>
              <w:rPr>
                <w:rFonts w:ascii="Times New Roman" w:eastAsia="宋体" w:hAnsi="Times New Roman"/>
                <w:i/>
                <w:iCs/>
                <w:color w:val="000000"/>
                <w:sz w:val="20"/>
                <w:szCs w:val="20"/>
              </w:rPr>
              <w:t>VMware: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3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36"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3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38"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3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3A" w14:textId="77777777" w:rsidR="00AE727E" w:rsidRDefault="00AE727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CFF3B" w14:textId="77777777" w:rsidR="00AE727E" w:rsidRDefault="00AE727E">
            <w:pPr>
              <w:rPr>
                <w:rFonts w:ascii="宋体"/>
              </w:rPr>
            </w:pPr>
          </w:p>
        </w:tc>
      </w:tr>
      <w:tr w:rsidR="00AE727E" w14:paraId="07DCFF49" w14:textId="77777777">
        <w:tc>
          <w:tcPr>
            <w:tcW w:w="0" w:type="auto"/>
            <w:gridSpan w:val="3"/>
            <w:shd w:val="clear" w:color="auto" w:fill="CCEEFF"/>
            <w:tcMar>
              <w:top w:w="40" w:type="dxa"/>
              <w:left w:w="485" w:type="dxa"/>
              <w:bottom w:w="40" w:type="dxa"/>
              <w:right w:w="20" w:type="dxa"/>
            </w:tcMar>
            <w:vAlign w:val="center"/>
          </w:tcPr>
          <w:p w14:paraId="07DCFF3D" w14:textId="77777777" w:rsidR="00AE727E" w:rsidRDefault="008433E0">
            <w:pPr>
              <w:textAlignment w:val="center"/>
            </w:pPr>
            <w:r>
              <w:rPr>
                <w:rFonts w:ascii="Times New Roman" w:eastAsia="宋体" w:hAnsi="Times New Roman"/>
                <w:color w:val="000000"/>
                <w:sz w:val="20"/>
                <w:szCs w:val="20"/>
              </w:rPr>
              <w:t>Total VMware net revenue</w:t>
            </w:r>
          </w:p>
        </w:tc>
        <w:tc>
          <w:tcPr>
            <w:tcW w:w="0" w:type="auto"/>
            <w:gridSpan w:val="2"/>
            <w:shd w:val="clear" w:color="auto" w:fill="CCEEFF"/>
            <w:tcMar>
              <w:top w:w="40" w:type="dxa"/>
              <w:left w:w="20" w:type="dxa"/>
              <w:bottom w:w="40" w:type="dxa"/>
              <w:right w:w="0" w:type="dxa"/>
            </w:tcMar>
            <w:vAlign w:val="center"/>
          </w:tcPr>
          <w:p w14:paraId="07DCFF3E" w14:textId="77777777" w:rsidR="00AE727E" w:rsidRDefault="008433E0">
            <w:pPr>
              <w:jc w:val="right"/>
              <w:textAlignment w:val="center"/>
            </w:pPr>
            <w:r>
              <w:rPr>
                <w:rFonts w:ascii="Times New Roman" w:eastAsia="宋体" w:hAnsi="Times New Roman"/>
                <w:color w:val="000000"/>
                <w:sz w:val="20"/>
                <w:szCs w:val="20"/>
              </w:rPr>
              <w:t>3,178 </w:t>
            </w:r>
          </w:p>
        </w:tc>
        <w:tc>
          <w:tcPr>
            <w:tcW w:w="0" w:type="auto"/>
            <w:shd w:val="clear" w:color="auto" w:fill="CCEEFF"/>
            <w:tcMar>
              <w:top w:w="40" w:type="dxa"/>
              <w:left w:w="0" w:type="dxa"/>
              <w:bottom w:w="40" w:type="dxa"/>
              <w:right w:w="20" w:type="dxa"/>
            </w:tcMar>
            <w:vAlign w:val="center"/>
          </w:tcPr>
          <w:p w14:paraId="07DCFF3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4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41" w14:textId="77777777" w:rsidR="00AE727E" w:rsidRDefault="008433E0">
            <w:pPr>
              <w:jc w:val="right"/>
              <w:textAlignment w:val="center"/>
            </w:pPr>
            <w:r>
              <w:rPr>
                <w:rFonts w:ascii="Times New Roman" w:eastAsia="宋体" w:hAnsi="Times New Roman"/>
                <w:color w:val="000000"/>
                <w:sz w:val="20"/>
                <w:szCs w:val="20"/>
              </w:rPr>
              <w:t>2,893 </w:t>
            </w:r>
          </w:p>
        </w:tc>
        <w:tc>
          <w:tcPr>
            <w:tcW w:w="0" w:type="auto"/>
            <w:shd w:val="clear" w:color="auto" w:fill="CCEEFF"/>
            <w:tcMar>
              <w:top w:w="40" w:type="dxa"/>
              <w:left w:w="0" w:type="dxa"/>
              <w:bottom w:w="40" w:type="dxa"/>
              <w:right w:w="20" w:type="dxa"/>
            </w:tcMar>
            <w:vAlign w:val="center"/>
          </w:tcPr>
          <w:p w14:paraId="07DCFF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4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44" w14:textId="77777777" w:rsidR="00AE727E" w:rsidRDefault="008433E0">
            <w:pPr>
              <w:jc w:val="right"/>
              <w:textAlignment w:val="center"/>
            </w:pPr>
            <w:r>
              <w:rPr>
                <w:rFonts w:ascii="Times New Roman" w:eastAsia="宋体" w:hAnsi="Times New Roman"/>
                <w:color w:val="000000"/>
                <w:sz w:val="20"/>
                <w:szCs w:val="20"/>
              </w:rPr>
              <w:t>9,317 </w:t>
            </w:r>
          </w:p>
        </w:tc>
        <w:tc>
          <w:tcPr>
            <w:tcW w:w="0" w:type="auto"/>
            <w:shd w:val="clear" w:color="auto" w:fill="CCEEFF"/>
            <w:tcMar>
              <w:top w:w="40" w:type="dxa"/>
              <w:left w:w="0" w:type="dxa"/>
              <w:bottom w:w="40" w:type="dxa"/>
              <w:right w:w="20" w:type="dxa"/>
            </w:tcMar>
            <w:vAlign w:val="center"/>
          </w:tcPr>
          <w:p w14:paraId="07DCFF4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4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CFF47" w14:textId="77777777" w:rsidR="00AE727E" w:rsidRDefault="008433E0">
            <w:pPr>
              <w:jc w:val="right"/>
              <w:textAlignment w:val="center"/>
            </w:pPr>
            <w:r>
              <w:rPr>
                <w:rFonts w:ascii="Times New Roman" w:eastAsia="宋体" w:hAnsi="Times New Roman"/>
                <w:color w:val="000000"/>
                <w:sz w:val="20"/>
                <w:szCs w:val="20"/>
              </w:rPr>
              <w:t>8,556 </w:t>
            </w:r>
          </w:p>
        </w:tc>
        <w:tc>
          <w:tcPr>
            <w:tcW w:w="0" w:type="auto"/>
            <w:shd w:val="clear" w:color="auto" w:fill="CCEEFF"/>
            <w:tcMar>
              <w:top w:w="40" w:type="dxa"/>
              <w:left w:w="0" w:type="dxa"/>
              <w:bottom w:w="40" w:type="dxa"/>
              <w:right w:w="20" w:type="dxa"/>
            </w:tcMar>
            <w:vAlign w:val="center"/>
          </w:tcPr>
          <w:p w14:paraId="07DCFF48" w14:textId="77777777" w:rsidR="00AE727E" w:rsidRDefault="00AE727E">
            <w:pPr>
              <w:jc w:val="right"/>
              <w:rPr>
                <w:rFonts w:ascii="宋体"/>
              </w:rPr>
            </w:pPr>
          </w:p>
        </w:tc>
      </w:tr>
      <w:tr w:rsidR="00AE727E" w14:paraId="07DCFF5A" w14:textId="77777777">
        <w:tc>
          <w:tcPr>
            <w:tcW w:w="0" w:type="auto"/>
            <w:gridSpan w:val="3"/>
            <w:shd w:val="clear" w:color="auto" w:fill="FFFFFF"/>
            <w:tcMar>
              <w:top w:w="40" w:type="dxa"/>
              <w:left w:w="755" w:type="dxa"/>
              <w:bottom w:w="40" w:type="dxa"/>
              <w:right w:w="20" w:type="dxa"/>
            </w:tcMar>
            <w:vAlign w:val="center"/>
          </w:tcPr>
          <w:p w14:paraId="07DCFF4A" w14:textId="77777777" w:rsidR="00AE727E" w:rsidRDefault="008433E0">
            <w:pPr>
              <w:textAlignment w:val="center"/>
            </w:pPr>
            <w:r>
              <w:rPr>
                <w:rFonts w:ascii="Times New Roman" w:eastAsia="宋体" w:hAnsi="Times New Roman"/>
                <w:color w:val="000000"/>
                <w:sz w:val="20"/>
                <w:szCs w:val="20"/>
              </w:rPr>
              <w:t>Total segment net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F4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F4C" w14:textId="77777777" w:rsidR="00AE727E" w:rsidRDefault="008433E0">
            <w:pPr>
              <w:jc w:val="right"/>
              <w:textAlignment w:val="center"/>
            </w:pPr>
            <w:r>
              <w:rPr>
                <w:rFonts w:ascii="Times New Roman" w:eastAsia="宋体" w:hAnsi="Times New Roman"/>
                <w:color w:val="000000"/>
                <w:sz w:val="20"/>
                <w:szCs w:val="20"/>
              </w:rPr>
              <w:t>28,152 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F4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4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F4F"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F50" w14:textId="77777777" w:rsidR="00AE727E" w:rsidRDefault="008433E0">
            <w:pPr>
              <w:jc w:val="right"/>
              <w:textAlignment w:val="center"/>
            </w:pPr>
            <w:r>
              <w:rPr>
                <w:rFonts w:ascii="Times New Roman" w:eastAsia="宋体" w:hAnsi="Times New Roman"/>
                <w:color w:val="000000"/>
                <w:sz w:val="20"/>
                <w:szCs w:val="20"/>
              </w:rPr>
              <w:t>23,203 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F5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5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F5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F54" w14:textId="77777777" w:rsidR="00AE727E" w:rsidRDefault="008433E0">
            <w:pPr>
              <w:jc w:val="right"/>
              <w:textAlignment w:val="center"/>
            </w:pPr>
            <w:r>
              <w:rPr>
                <w:rFonts w:ascii="Times New Roman" w:eastAsia="宋体" w:hAnsi="Times New Roman"/>
                <w:color w:val="000000"/>
                <w:sz w:val="20"/>
                <w:szCs w:val="20"/>
              </w:rPr>
              <w:t>78,202 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F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5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CFF5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CFF58" w14:textId="77777777" w:rsidR="00AE727E" w:rsidRDefault="008433E0">
            <w:pPr>
              <w:jc w:val="right"/>
              <w:textAlignment w:val="center"/>
            </w:pPr>
            <w:r>
              <w:rPr>
                <w:rFonts w:ascii="Times New Roman" w:eastAsia="宋体" w:hAnsi="Times New Roman"/>
                <w:color w:val="000000"/>
                <w:sz w:val="20"/>
                <w:szCs w:val="20"/>
              </w:rPr>
              <w:t>66,949 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CFF59" w14:textId="77777777" w:rsidR="00AE727E" w:rsidRDefault="00AE727E">
            <w:pPr>
              <w:jc w:val="right"/>
              <w:rPr>
                <w:rFonts w:ascii="宋体"/>
              </w:rPr>
            </w:pPr>
          </w:p>
        </w:tc>
      </w:tr>
    </w:tbl>
    <w:p w14:paraId="07DCFF5B" w14:textId="77777777" w:rsidR="00AE727E" w:rsidRDefault="00AE727E"/>
    <w:p w14:paraId="07DCFF5C" w14:textId="77777777" w:rsidR="00AE727E" w:rsidRDefault="00AE727E">
      <w:pPr>
        <w:jc w:val="center"/>
      </w:pPr>
    </w:p>
    <w:p w14:paraId="07DCFF5D" w14:textId="77777777" w:rsidR="00AE727E" w:rsidRDefault="008433E0">
      <w:pPr>
        <w:jc w:val="center"/>
      </w:pPr>
      <w:r>
        <w:rPr>
          <w:rFonts w:ascii="Times New Roman" w:eastAsia="宋体" w:hAnsi="Times New Roman"/>
          <w:color w:val="000000"/>
          <w:sz w:val="20"/>
          <w:szCs w:val="20"/>
        </w:rPr>
        <w:t>54</w:t>
      </w:r>
    </w:p>
    <w:p w14:paraId="07DCFF5E" w14:textId="77777777" w:rsidR="00AE727E" w:rsidRDefault="00AE727E">
      <w:pPr>
        <w:jc w:val="center"/>
      </w:pPr>
    </w:p>
    <w:p w14:paraId="07DCFF5F" w14:textId="77777777" w:rsidR="00AE727E" w:rsidRDefault="008433E0">
      <w:r>
        <w:pict w14:anchorId="07DD1906">
          <v:rect id="_x0000_i1078" style="width:415.3pt;height:1.5pt" o:hralign="center" o:hrstd="t" o:hr="t" fillcolor="#a0a0a0" stroked="f"/>
        </w:pict>
      </w:r>
    </w:p>
    <w:p w14:paraId="07DCFF60" w14:textId="77777777" w:rsidR="00AE727E" w:rsidRDefault="008433E0">
      <w:hyperlink r:id="rId179" w:anchor="i1c8279be622a460ea19600488436f115_10" w:history="1">
        <w:r>
          <w:rPr>
            <w:rStyle w:val="a5"/>
            <w:rFonts w:ascii="Times New Roman" w:eastAsia="宋体" w:hAnsi="Times New Roman"/>
            <w:sz w:val="20"/>
            <w:szCs w:val="20"/>
          </w:rPr>
          <w:t>Table of Contents</w:t>
        </w:r>
      </w:hyperlink>
    </w:p>
    <w:p w14:paraId="07DCFF61"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CFF62"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CFF63"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CFF64" w14:textId="77777777" w:rsidR="00AE727E" w:rsidRDefault="00AE727E">
      <w:pPr>
        <w:jc w:val="center"/>
      </w:pPr>
    </w:p>
    <w:p w14:paraId="07DCFF65" w14:textId="77777777" w:rsidR="00AE727E" w:rsidRDefault="008433E0">
      <w:r>
        <w:rPr>
          <w:rFonts w:ascii="Times New Roman" w:eastAsia="宋体" w:hAnsi="Times New Roman"/>
          <w:b/>
          <w:bCs/>
          <w:color w:val="000000"/>
          <w:sz w:val="20"/>
          <w:szCs w:val="20"/>
        </w:rPr>
        <w:t xml:space="preserve">NOTE 17 — SUPPLEMENTAL CONSOLIDATED FINANCIAL INFORMATION </w:t>
      </w:r>
    </w:p>
    <w:p w14:paraId="07DCFF66" w14:textId="77777777" w:rsidR="00AE727E" w:rsidRDefault="00AE727E"/>
    <w:p w14:paraId="07DCFF67" w14:textId="77777777" w:rsidR="00AE727E" w:rsidRDefault="008433E0">
      <w:pPr>
        <w:spacing w:after="60"/>
      </w:pPr>
      <w:r>
        <w:rPr>
          <w:rFonts w:ascii="Times New Roman" w:eastAsia="宋体" w:hAnsi="Times New Roman"/>
          <w:color w:val="000000"/>
          <w:sz w:val="20"/>
          <w:szCs w:val="20"/>
        </w:rPr>
        <w:t>The following table presents additional information on selected accounts included in the Condensed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AE727E" w14:paraId="07DCFF74" w14:textId="77777777">
        <w:tc>
          <w:tcPr>
            <w:tcW w:w="50" w:type="pct"/>
            <w:shd w:val="clear" w:color="auto" w:fill="auto"/>
            <w:vAlign w:val="bottom"/>
          </w:tcPr>
          <w:p w14:paraId="07DCFF68" w14:textId="77777777" w:rsidR="00AE727E" w:rsidRDefault="00AE727E">
            <w:pPr>
              <w:rPr>
                <w:rFonts w:ascii="宋体"/>
              </w:rPr>
            </w:pPr>
          </w:p>
        </w:tc>
        <w:tc>
          <w:tcPr>
            <w:tcW w:w="3292" w:type="pct"/>
            <w:shd w:val="clear" w:color="auto" w:fill="auto"/>
            <w:vAlign w:val="bottom"/>
          </w:tcPr>
          <w:p w14:paraId="07DCFF69" w14:textId="77777777" w:rsidR="00AE727E" w:rsidRDefault="00AE727E">
            <w:pPr>
              <w:rPr>
                <w:rFonts w:ascii="宋体"/>
              </w:rPr>
            </w:pPr>
          </w:p>
        </w:tc>
        <w:tc>
          <w:tcPr>
            <w:tcW w:w="5" w:type="pct"/>
            <w:shd w:val="clear" w:color="auto" w:fill="auto"/>
            <w:vAlign w:val="bottom"/>
          </w:tcPr>
          <w:p w14:paraId="07DCFF6A" w14:textId="77777777" w:rsidR="00AE727E" w:rsidRDefault="00AE727E">
            <w:pPr>
              <w:rPr>
                <w:rFonts w:ascii="宋体"/>
              </w:rPr>
            </w:pPr>
          </w:p>
        </w:tc>
        <w:tc>
          <w:tcPr>
            <w:tcW w:w="50" w:type="pct"/>
            <w:shd w:val="clear" w:color="auto" w:fill="auto"/>
            <w:vAlign w:val="bottom"/>
          </w:tcPr>
          <w:p w14:paraId="07DCFF6B" w14:textId="77777777" w:rsidR="00AE727E" w:rsidRDefault="00AE727E">
            <w:pPr>
              <w:rPr>
                <w:rFonts w:ascii="宋体"/>
              </w:rPr>
            </w:pPr>
          </w:p>
        </w:tc>
        <w:tc>
          <w:tcPr>
            <w:tcW w:w="756" w:type="pct"/>
            <w:shd w:val="clear" w:color="auto" w:fill="auto"/>
            <w:vAlign w:val="bottom"/>
          </w:tcPr>
          <w:p w14:paraId="07DCFF6C" w14:textId="77777777" w:rsidR="00AE727E" w:rsidRDefault="00AE727E">
            <w:pPr>
              <w:rPr>
                <w:rFonts w:ascii="宋体"/>
              </w:rPr>
            </w:pPr>
          </w:p>
        </w:tc>
        <w:tc>
          <w:tcPr>
            <w:tcW w:w="5" w:type="pct"/>
            <w:shd w:val="clear" w:color="auto" w:fill="auto"/>
            <w:vAlign w:val="bottom"/>
          </w:tcPr>
          <w:p w14:paraId="07DCFF6D" w14:textId="77777777" w:rsidR="00AE727E" w:rsidRDefault="00AE727E">
            <w:pPr>
              <w:rPr>
                <w:rFonts w:ascii="宋体"/>
              </w:rPr>
            </w:pPr>
          </w:p>
        </w:tc>
        <w:tc>
          <w:tcPr>
            <w:tcW w:w="5" w:type="pct"/>
            <w:shd w:val="clear" w:color="auto" w:fill="auto"/>
            <w:vAlign w:val="bottom"/>
          </w:tcPr>
          <w:p w14:paraId="07DCFF6E" w14:textId="77777777" w:rsidR="00AE727E" w:rsidRDefault="00AE727E">
            <w:pPr>
              <w:rPr>
                <w:rFonts w:ascii="宋体"/>
              </w:rPr>
            </w:pPr>
          </w:p>
        </w:tc>
        <w:tc>
          <w:tcPr>
            <w:tcW w:w="19" w:type="pct"/>
            <w:shd w:val="clear" w:color="auto" w:fill="auto"/>
            <w:vAlign w:val="bottom"/>
          </w:tcPr>
          <w:p w14:paraId="07DCFF6F" w14:textId="77777777" w:rsidR="00AE727E" w:rsidRDefault="00AE727E">
            <w:pPr>
              <w:rPr>
                <w:rFonts w:ascii="宋体"/>
              </w:rPr>
            </w:pPr>
          </w:p>
        </w:tc>
        <w:tc>
          <w:tcPr>
            <w:tcW w:w="5" w:type="pct"/>
            <w:shd w:val="clear" w:color="auto" w:fill="auto"/>
            <w:vAlign w:val="bottom"/>
          </w:tcPr>
          <w:p w14:paraId="07DCFF70" w14:textId="77777777" w:rsidR="00AE727E" w:rsidRDefault="00AE727E">
            <w:pPr>
              <w:rPr>
                <w:rFonts w:ascii="宋体"/>
              </w:rPr>
            </w:pPr>
          </w:p>
        </w:tc>
        <w:tc>
          <w:tcPr>
            <w:tcW w:w="50" w:type="pct"/>
            <w:shd w:val="clear" w:color="auto" w:fill="auto"/>
            <w:vAlign w:val="bottom"/>
          </w:tcPr>
          <w:p w14:paraId="07DCFF71" w14:textId="77777777" w:rsidR="00AE727E" w:rsidRDefault="00AE727E">
            <w:pPr>
              <w:rPr>
                <w:rFonts w:ascii="宋体"/>
              </w:rPr>
            </w:pPr>
          </w:p>
        </w:tc>
        <w:tc>
          <w:tcPr>
            <w:tcW w:w="756" w:type="pct"/>
            <w:shd w:val="clear" w:color="auto" w:fill="auto"/>
            <w:vAlign w:val="bottom"/>
          </w:tcPr>
          <w:p w14:paraId="07DCFF72" w14:textId="77777777" w:rsidR="00AE727E" w:rsidRDefault="00AE727E">
            <w:pPr>
              <w:rPr>
                <w:rFonts w:ascii="宋体"/>
              </w:rPr>
            </w:pPr>
          </w:p>
        </w:tc>
        <w:tc>
          <w:tcPr>
            <w:tcW w:w="5" w:type="pct"/>
            <w:shd w:val="clear" w:color="auto" w:fill="auto"/>
            <w:vAlign w:val="bottom"/>
          </w:tcPr>
          <w:p w14:paraId="07DCFF73" w14:textId="77777777" w:rsidR="00AE727E" w:rsidRDefault="00AE727E">
            <w:pPr>
              <w:rPr>
                <w:rFonts w:ascii="宋体"/>
              </w:rPr>
            </w:pPr>
          </w:p>
        </w:tc>
      </w:tr>
      <w:tr w:rsidR="00AE727E" w14:paraId="07DCFF79" w14:textId="77777777">
        <w:tc>
          <w:tcPr>
            <w:tcW w:w="0" w:type="auto"/>
            <w:gridSpan w:val="3"/>
            <w:shd w:val="clear" w:color="auto" w:fill="auto"/>
            <w:tcMar>
              <w:top w:w="40" w:type="dxa"/>
              <w:left w:w="20" w:type="dxa"/>
              <w:bottom w:w="40" w:type="dxa"/>
              <w:right w:w="20" w:type="dxa"/>
            </w:tcMar>
            <w:vAlign w:val="bottom"/>
          </w:tcPr>
          <w:p w14:paraId="07DCFF75"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DCFF7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CFF77"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CFF78"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CFF7C" w14:textId="77777777">
        <w:tc>
          <w:tcPr>
            <w:tcW w:w="0" w:type="auto"/>
            <w:gridSpan w:val="3"/>
            <w:shd w:val="clear" w:color="auto" w:fill="auto"/>
            <w:tcMar>
              <w:top w:w="40" w:type="dxa"/>
              <w:left w:w="20" w:type="dxa"/>
              <w:bottom w:w="40" w:type="dxa"/>
              <w:right w:w="20" w:type="dxa"/>
            </w:tcMar>
            <w:vAlign w:val="center"/>
          </w:tcPr>
          <w:p w14:paraId="07DCFF7A"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CFF7B"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CFF81" w14:textId="77777777">
        <w:tc>
          <w:tcPr>
            <w:tcW w:w="0" w:type="auto"/>
            <w:gridSpan w:val="3"/>
            <w:shd w:val="clear" w:color="auto" w:fill="CCEEFF"/>
            <w:tcMar>
              <w:top w:w="40" w:type="dxa"/>
              <w:left w:w="20" w:type="dxa"/>
              <w:bottom w:w="40" w:type="dxa"/>
              <w:right w:w="20" w:type="dxa"/>
            </w:tcMar>
            <w:vAlign w:val="bottom"/>
          </w:tcPr>
          <w:p w14:paraId="07DCFF7D" w14:textId="77777777" w:rsidR="00AE727E" w:rsidRDefault="008433E0">
            <w:pPr>
              <w:textAlignment w:val="bottom"/>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bottom"/>
          </w:tcPr>
          <w:p w14:paraId="07DCFF7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F7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F80" w14:textId="77777777" w:rsidR="00AE727E" w:rsidRDefault="00AE727E">
            <w:pPr>
              <w:rPr>
                <w:rFonts w:ascii="宋体"/>
              </w:rPr>
            </w:pPr>
          </w:p>
        </w:tc>
      </w:tr>
      <w:tr w:rsidR="00AE727E" w14:paraId="07DCFF8A" w14:textId="77777777">
        <w:tc>
          <w:tcPr>
            <w:tcW w:w="0" w:type="auto"/>
            <w:gridSpan w:val="3"/>
            <w:shd w:val="clear" w:color="auto" w:fill="FFFFFF"/>
            <w:tcMar>
              <w:top w:w="40" w:type="dxa"/>
              <w:left w:w="155" w:type="dxa"/>
              <w:bottom w:w="40" w:type="dxa"/>
              <w:right w:w="20" w:type="dxa"/>
            </w:tcMar>
            <w:vAlign w:val="bottom"/>
          </w:tcPr>
          <w:p w14:paraId="07DCFF82" w14:textId="77777777" w:rsidR="00AE727E" w:rsidRDefault="008433E0">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DCFF8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F84" w14:textId="77777777" w:rsidR="00AE727E" w:rsidRDefault="008433E0">
            <w:pPr>
              <w:jc w:val="right"/>
              <w:textAlignment w:val="bottom"/>
            </w:pPr>
            <w:r>
              <w:rPr>
                <w:rFonts w:ascii="Times New Roman" w:eastAsia="宋体" w:hAnsi="Times New Roman"/>
                <w:color w:val="000000"/>
                <w:sz w:val="20"/>
                <w:szCs w:val="20"/>
              </w:rPr>
              <w:t>22,406 </w:t>
            </w:r>
          </w:p>
        </w:tc>
        <w:tc>
          <w:tcPr>
            <w:tcW w:w="0" w:type="auto"/>
            <w:shd w:val="clear" w:color="auto" w:fill="FFFFFF"/>
            <w:tcMar>
              <w:top w:w="40" w:type="dxa"/>
              <w:left w:w="0" w:type="dxa"/>
              <w:bottom w:w="40" w:type="dxa"/>
              <w:right w:w="20" w:type="dxa"/>
            </w:tcMar>
            <w:vAlign w:val="bottom"/>
          </w:tcPr>
          <w:p w14:paraId="07DCFF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8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F8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F88" w14:textId="77777777" w:rsidR="00AE727E" w:rsidRDefault="008433E0">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07DCFF89" w14:textId="77777777" w:rsidR="00AE727E" w:rsidRDefault="00AE727E">
            <w:pPr>
              <w:jc w:val="right"/>
              <w:rPr>
                <w:rFonts w:ascii="宋体"/>
              </w:rPr>
            </w:pPr>
          </w:p>
        </w:tc>
      </w:tr>
      <w:tr w:rsidR="00AE727E" w14:paraId="07DCFF91" w14:textId="77777777">
        <w:tc>
          <w:tcPr>
            <w:tcW w:w="0" w:type="auto"/>
            <w:gridSpan w:val="3"/>
            <w:shd w:val="clear" w:color="auto" w:fill="CCEEFF"/>
            <w:tcMar>
              <w:top w:w="40" w:type="dxa"/>
              <w:left w:w="155" w:type="dxa"/>
              <w:bottom w:w="40" w:type="dxa"/>
              <w:right w:w="20" w:type="dxa"/>
            </w:tcMar>
            <w:vAlign w:val="bottom"/>
          </w:tcPr>
          <w:p w14:paraId="07DCFF8B" w14:textId="77777777" w:rsidR="00AE727E" w:rsidRDefault="008433E0">
            <w:pPr>
              <w:textAlignment w:val="bottom"/>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bottom"/>
          </w:tcPr>
          <w:p w14:paraId="07DCFF8C" w14:textId="77777777" w:rsidR="00AE727E" w:rsidRDefault="008433E0">
            <w:pPr>
              <w:jc w:val="right"/>
              <w:textAlignment w:val="bottom"/>
            </w:pPr>
            <w:r>
              <w:rPr>
                <w:rFonts w:ascii="Times New Roman" w:eastAsia="宋体" w:hAnsi="Times New Roman"/>
                <w:color w:val="000000"/>
                <w:sz w:val="20"/>
                <w:szCs w:val="20"/>
              </w:rPr>
              <w:t>889 </w:t>
            </w:r>
          </w:p>
        </w:tc>
        <w:tc>
          <w:tcPr>
            <w:tcW w:w="0" w:type="auto"/>
            <w:shd w:val="clear" w:color="auto" w:fill="CCEEFF"/>
            <w:tcMar>
              <w:top w:w="40" w:type="dxa"/>
              <w:left w:w="0" w:type="dxa"/>
              <w:bottom w:w="40" w:type="dxa"/>
              <w:right w:w="20" w:type="dxa"/>
            </w:tcMar>
            <w:vAlign w:val="bottom"/>
          </w:tcPr>
          <w:p w14:paraId="07DCFF8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8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F8F" w14:textId="77777777" w:rsidR="00AE727E" w:rsidRDefault="008433E0">
            <w:pPr>
              <w:jc w:val="right"/>
              <w:textAlignment w:val="bottom"/>
            </w:pPr>
            <w:r>
              <w:rPr>
                <w:rFonts w:ascii="Times New Roman" w:eastAsia="宋体" w:hAnsi="Times New Roman"/>
                <w:color w:val="000000"/>
                <w:sz w:val="20"/>
                <w:szCs w:val="20"/>
              </w:rPr>
              <w:t>891 </w:t>
            </w:r>
          </w:p>
        </w:tc>
        <w:tc>
          <w:tcPr>
            <w:tcW w:w="0" w:type="auto"/>
            <w:shd w:val="clear" w:color="auto" w:fill="CCEEFF"/>
            <w:tcMar>
              <w:top w:w="40" w:type="dxa"/>
              <w:left w:w="0" w:type="dxa"/>
              <w:bottom w:w="40" w:type="dxa"/>
              <w:right w:w="20" w:type="dxa"/>
            </w:tcMar>
            <w:vAlign w:val="bottom"/>
          </w:tcPr>
          <w:p w14:paraId="07DCFF90" w14:textId="77777777" w:rsidR="00AE727E" w:rsidRDefault="00AE727E">
            <w:pPr>
              <w:jc w:val="right"/>
              <w:rPr>
                <w:rFonts w:ascii="宋体"/>
              </w:rPr>
            </w:pPr>
          </w:p>
        </w:tc>
      </w:tr>
      <w:tr w:rsidR="00AE727E" w14:paraId="07DCFF98" w14:textId="77777777">
        <w:tc>
          <w:tcPr>
            <w:tcW w:w="0" w:type="auto"/>
            <w:gridSpan w:val="3"/>
            <w:shd w:val="clear" w:color="auto" w:fill="FFFFFF"/>
            <w:tcMar>
              <w:top w:w="40" w:type="dxa"/>
              <w:left w:w="155" w:type="dxa"/>
              <w:bottom w:w="40" w:type="dxa"/>
              <w:right w:w="20" w:type="dxa"/>
            </w:tcMar>
            <w:vAlign w:val="bottom"/>
          </w:tcPr>
          <w:p w14:paraId="07DCFF92" w14:textId="77777777" w:rsidR="00AE727E" w:rsidRDefault="008433E0">
            <w:pPr>
              <w:textAlignment w:val="bottom"/>
            </w:pPr>
            <w:r>
              <w:rPr>
                <w:rFonts w:ascii="Times New Roman" w:eastAsia="宋体" w:hAnsi="Times New Roman"/>
                <w:color w:val="000000"/>
                <w:sz w:val="20"/>
                <w:szCs w:val="20"/>
              </w:rPr>
              <w:t xml:space="preserve">Restricted cash - other non-current </w:t>
            </w:r>
            <w:r>
              <w:rPr>
                <w:rFonts w:ascii="Times New Roman" w:eastAsia="宋体" w:hAnsi="Times New Roman"/>
                <w:color w:val="000000"/>
                <w:sz w:val="20"/>
                <w:szCs w:val="20"/>
              </w:rPr>
              <w:t>assets (a)</w:t>
            </w:r>
          </w:p>
        </w:tc>
        <w:tc>
          <w:tcPr>
            <w:tcW w:w="0" w:type="auto"/>
            <w:gridSpan w:val="2"/>
            <w:shd w:val="clear" w:color="auto" w:fill="FFFFFF"/>
            <w:tcMar>
              <w:top w:w="40" w:type="dxa"/>
              <w:left w:w="20" w:type="dxa"/>
              <w:bottom w:w="40" w:type="dxa"/>
              <w:right w:w="0" w:type="dxa"/>
            </w:tcMar>
            <w:vAlign w:val="bottom"/>
          </w:tcPr>
          <w:p w14:paraId="07DCFF93" w14:textId="77777777" w:rsidR="00AE727E" w:rsidRDefault="008433E0">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07DCFF9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9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F96" w14:textId="77777777" w:rsidR="00AE727E" w:rsidRDefault="008433E0">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07DCFF97" w14:textId="77777777" w:rsidR="00AE727E" w:rsidRDefault="00AE727E">
            <w:pPr>
              <w:jc w:val="right"/>
              <w:rPr>
                <w:rFonts w:ascii="宋体"/>
              </w:rPr>
            </w:pPr>
          </w:p>
        </w:tc>
      </w:tr>
      <w:tr w:rsidR="00AE727E" w14:paraId="07DCFFA1" w14:textId="77777777">
        <w:tc>
          <w:tcPr>
            <w:tcW w:w="0" w:type="auto"/>
            <w:gridSpan w:val="3"/>
            <w:shd w:val="clear" w:color="auto" w:fill="CCEEFF"/>
            <w:tcMar>
              <w:top w:w="40" w:type="dxa"/>
              <w:left w:w="245" w:type="dxa"/>
              <w:bottom w:w="40" w:type="dxa"/>
              <w:right w:w="20" w:type="dxa"/>
            </w:tcMar>
            <w:vAlign w:val="bottom"/>
          </w:tcPr>
          <w:p w14:paraId="07DCFF99" w14:textId="77777777" w:rsidR="00AE727E" w:rsidRDefault="008433E0">
            <w:pPr>
              <w:textAlignment w:val="bottom"/>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right w:w="0" w:type="dxa"/>
            </w:tcMar>
            <w:vAlign w:val="bottom"/>
          </w:tcPr>
          <w:p w14:paraId="07DCFF9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F9B" w14:textId="77777777" w:rsidR="00AE727E" w:rsidRDefault="008433E0">
            <w:pPr>
              <w:jc w:val="right"/>
              <w:textAlignment w:val="bottom"/>
            </w:pPr>
            <w:r>
              <w:rPr>
                <w:rFonts w:ascii="Times New Roman" w:eastAsia="宋体" w:hAnsi="Times New Roman"/>
                <w:color w:val="000000"/>
                <w:sz w:val="20"/>
                <w:szCs w:val="20"/>
              </w:rPr>
              <w:t>23,369 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F9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9D"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CFF9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CFF9F" w14:textId="77777777" w:rsidR="00AE727E" w:rsidRDefault="008433E0">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CFFA0" w14:textId="77777777" w:rsidR="00AE727E" w:rsidRDefault="00AE727E">
            <w:pPr>
              <w:jc w:val="right"/>
              <w:rPr>
                <w:rFonts w:ascii="宋体"/>
              </w:rPr>
            </w:pPr>
          </w:p>
        </w:tc>
      </w:tr>
      <w:tr w:rsidR="00AE727E" w14:paraId="07DCFFA6" w14:textId="77777777">
        <w:tc>
          <w:tcPr>
            <w:tcW w:w="0" w:type="auto"/>
            <w:gridSpan w:val="3"/>
            <w:shd w:val="clear" w:color="auto" w:fill="FFFFFF"/>
            <w:tcMar>
              <w:top w:w="40" w:type="dxa"/>
              <w:left w:w="20" w:type="dxa"/>
              <w:bottom w:w="40" w:type="dxa"/>
              <w:right w:w="20" w:type="dxa"/>
            </w:tcMar>
            <w:vAlign w:val="bottom"/>
          </w:tcPr>
          <w:p w14:paraId="07DCFFA2" w14:textId="77777777" w:rsidR="00AE727E" w:rsidRDefault="008433E0">
            <w:pPr>
              <w:textAlignment w:val="bottom"/>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FA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CFFA4"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CFFA5" w14:textId="77777777" w:rsidR="00AE727E" w:rsidRDefault="00AE727E">
            <w:pPr>
              <w:rPr>
                <w:rFonts w:ascii="宋体"/>
              </w:rPr>
            </w:pPr>
          </w:p>
        </w:tc>
      </w:tr>
      <w:tr w:rsidR="00AE727E" w14:paraId="07DCFFAF" w14:textId="77777777">
        <w:tc>
          <w:tcPr>
            <w:tcW w:w="0" w:type="auto"/>
            <w:gridSpan w:val="3"/>
            <w:shd w:val="clear" w:color="auto" w:fill="CCEEFF"/>
            <w:tcMar>
              <w:top w:w="40" w:type="dxa"/>
              <w:left w:w="155" w:type="dxa"/>
              <w:bottom w:w="40" w:type="dxa"/>
              <w:right w:w="20" w:type="dxa"/>
            </w:tcMar>
            <w:vAlign w:val="bottom"/>
          </w:tcPr>
          <w:p w14:paraId="07DCFFA7" w14:textId="77777777" w:rsidR="00AE727E" w:rsidRDefault="008433E0">
            <w:pPr>
              <w:textAlignment w:val="bottom"/>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bottom"/>
          </w:tcPr>
          <w:p w14:paraId="07DCFFA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FA9" w14:textId="77777777" w:rsidR="00AE727E" w:rsidRDefault="008433E0">
            <w:pPr>
              <w:jc w:val="right"/>
              <w:textAlignment w:val="bottom"/>
            </w:pPr>
            <w:r>
              <w:rPr>
                <w:rFonts w:ascii="Times New Roman" w:eastAsia="宋体" w:hAnsi="Times New Roman"/>
                <w:color w:val="000000"/>
                <w:sz w:val="20"/>
                <w:szCs w:val="20"/>
              </w:rPr>
              <w:t>3,209 </w:t>
            </w:r>
          </w:p>
        </w:tc>
        <w:tc>
          <w:tcPr>
            <w:tcW w:w="0" w:type="auto"/>
            <w:shd w:val="clear" w:color="auto" w:fill="CCEEFF"/>
            <w:tcMar>
              <w:top w:w="40" w:type="dxa"/>
              <w:left w:w="0" w:type="dxa"/>
              <w:bottom w:w="40" w:type="dxa"/>
              <w:right w:w="20" w:type="dxa"/>
            </w:tcMar>
            <w:vAlign w:val="bottom"/>
          </w:tcPr>
          <w:p w14:paraId="07DCFFA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AB"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CFFA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CFFAD" w14:textId="77777777" w:rsidR="00AE727E" w:rsidRDefault="008433E0">
            <w:pPr>
              <w:jc w:val="right"/>
              <w:textAlignment w:val="bottom"/>
            </w:pPr>
            <w:r>
              <w:rPr>
                <w:rFonts w:ascii="Times New Roman" w:eastAsia="宋体" w:hAnsi="Times New Roman"/>
                <w:color w:val="000000"/>
                <w:sz w:val="20"/>
                <w:szCs w:val="20"/>
              </w:rPr>
              <w:t>1,717 </w:t>
            </w:r>
          </w:p>
        </w:tc>
        <w:tc>
          <w:tcPr>
            <w:tcW w:w="0" w:type="auto"/>
            <w:shd w:val="clear" w:color="auto" w:fill="CCEEFF"/>
            <w:tcMar>
              <w:top w:w="40" w:type="dxa"/>
              <w:left w:w="0" w:type="dxa"/>
              <w:bottom w:w="40" w:type="dxa"/>
              <w:right w:w="20" w:type="dxa"/>
            </w:tcMar>
            <w:vAlign w:val="bottom"/>
          </w:tcPr>
          <w:p w14:paraId="07DCFFAE" w14:textId="77777777" w:rsidR="00AE727E" w:rsidRDefault="00AE727E">
            <w:pPr>
              <w:jc w:val="right"/>
              <w:rPr>
                <w:rFonts w:ascii="宋体"/>
              </w:rPr>
            </w:pPr>
          </w:p>
        </w:tc>
      </w:tr>
      <w:tr w:rsidR="00AE727E" w14:paraId="07DCFFB6" w14:textId="77777777">
        <w:tc>
          <w:tcPr>
            <w:tcW w:w="0" w:type="auto"/>
            <w:gridSpan w:val="3"/>
            <w:shd w:val="clear" w:color="auto" w:fill="FFFFFF"/>
            <w:tcMar>
              <w:top w:w="40" w:type="dxa"/>
              <w:left w:w="155" w:type="dxa"/>
              <w:bottom w:w="40" w:type="dxa"/>
              <w:right w:w="20" w:type="dxa"/>
            </w:tcMar>
            <w:vAlign w:val="bottom"/>
          </w:tcPr>
          <w:p w14:paraId="07DCFFB0" w14:textId="77777777" w:rsidR="00AE727E" w:rsidRDefault="008433E0">
            <w:pPr>
              <w:textAlignment w:val="bottom"/>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bottom"/>
          </w:tcPr>
          <w:p w14:paraId="07DCFFB1" w14:textId="77777777" w:rsidR="00AE727E" w:rsidRDefault="008433E0">
            <w:pPr>
              <w:jc w:val="right"/>
              <w:textAlignment w:val="bottom"/>
            </w:pPr>
            <w:r>
              <w:rPr>
                <w:rFonts w:ascii="Times New Roman" w:eastAsia="宋体" w:hAnsi="Times New Roman"/>
                <w:color w:val="000000"/>
                <w:sz w:val="20"/>
                <w:szCs w:val="20"/>
              </w:rPr>
              <w:t>812 </w:t>
            </w:r>
          </w:p>
        </w:tc>
        <w:tc>
          <w:tcPr>
            <w:tcW w:w="0" w:type="auto"/>
            <w:shd w:val="clear" w:color="auto" w:fill="FFFFFF"/>
            <w:tcMar>
              <w:top w:w="40" w:type="dxa"/>
              <w:left w:w="0" w:type="dxa"/>
              <w:bottom w:w="40" w:type="dxa"/>
              <w:right w:w="20" w:type="dxa"/>
            </w:tcMar>
            <w:vAlign w:val="bottom"/>
          </w:tcPr>
          <w:p w14:paraId="07DCFFB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B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FB4" w14:textId="77777777" w:rsidR="00AE727E" w:rsidRDefault="008433E0">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07DCFFB5" w14:textId="77777777" w:rsidR="00AE727E" w:rsidRDefault="00AE727E">
            <w:pPr>
              <w:jc w:val="right"/>
              <w:rPr>
                <w:rFonts w:ascii="宋体"/>
              </w:rPr>
            </w:pPr>
          </w:p>
        </w:tc>
      </w:tr>
      <w:tr w:rsidR="00AE727E" w14:paraId="07DCFFBD" w14:textId="77777777">
        <w:tc>
          <w:tcPr>
            <w:tcW w:w="0" w:type="auto"/>
            <w:gridSpan w:val="3"/>
            <w:shd w:val="clear" w:color="auto" w:fill="CCEEFF"/>
            <w:tcMar>
              <w:top w:w="40" w:type="dxa"/>
              <w:left w:w="155" w:type="dxa"/>
              <w:bottom w:w="40" w:type="dxa"/>
              <w:right w:w="20" w:type="dxa"/>
            </w:tcMar>
            <w:vAlign w:val="bottom"/>
          </w:tcPr>
          <w:p w14:paraId="07DCFFB7" w14:textId="77777777" w:rsidR="00AE727E" w:rsidRDefault="008433E0">
            <w:pPr>
              <w:textAlignment w:val="bottom"/>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07DCFFB8" w14:textId="77777777" w:rsidR="00AE727E" w:rsidRDefault="008433E0">
            <w:pPr>
              <w:jc w:val="right"/>
              <w:textAlignment w:val="bottom"/>
            </w:pPr>
            <w:r>
              <w:rPr>
                <w:rFonts w:ascii="Times New Roman" w:eastAsia="宋体" w:hAnsi="Times New Roman"/>
                <w:color w:val="000000"/>
                <w:sz w:val="20"/>
                <w:szCs w:val="20"/>
              </w:rPr>
              <w:t>1,421 </w:t>
            </w:r>
          </w:p>
        </w:tc>
        <w:tc>
          <w:tcPr>
            <w:tcW w:w="0" w:type="auto"/>
            <w:shd w:val="clear" w:color="auto" w:fill="CCEEFF"/>
            <w:tcMar>
              <w:top w:w="40" w:type="dxa"/>
              <w:left w:w="0" w:type="dxa"/>
              <w:bottom w:w="40" w:type="dxa"/>
              <w:right w:w="20" w:type="dxa"/>
            </w:tcMar>
            <w:vAlign w:val="bottom"/>
          </w:tcPr>
          <w:p w14:paraId="07DCFF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FBB" w14:textId="77777777" w:rsidR="00AE727E" w:rsidRDefault="008433E0">
            <w:pPr>
              <w:jc w:val="right"/>
              <w:textAlignment w:val="bottom"/>
            </w:pPr>
            <w:r>
              <w:rPr>
                <w:rFonts w:ascii="Times New Roman" w:eastAsia="宋体" w:hAnsi="Times New Roman"/>
                <w:color w:val="000000"/>
                <w:sz w:val="20"/>
                <w:szCs w:val="20"/>
              </w:rPr>
              <w:t>1,008 </w:t>
            </w:r>
          </w:p>
        </w:tc>
        <w:tc>
          <w:tcPr>
            <w:tcW w:w="0" w:type="auto"/>
            <w:shd w:val="clear" w:color="auto" w:fill="CCEEFF"/>
            <w:tcMar>
              <w:top w:w="40" w:type="dxa"/>
              <w:left w:w="0" w:type="dxa"/>
              <w:bottom w:w="40" w:type="dxa"/>
              <w:right w:w="20" w:type="dxa"/>
            </w:tcMar>
            <w:vAlign w:val="bottom"/>
          </w:tcPr>
          <w:p w14:paraId="07DCFFBC" w14:textId="77777777" w:rsidR="00AE727E" w:rsidRDefault="00AE727E">
            <w:pPr>
              <w:jc w:val="right"/>
              <w:rPr>
                <w:rFonts w:ascii="宋体"/>
              </w:rPr>
            </w:pPr>
          </w:p>
        </w:tc>
      </w:tr>
      <w:tr w:rsidR="00AE727E" w14:paraId="07DCFFC6" w14:textId="77777777">
        <w:tc>
          <w:tcPr>
            <w:tcW w:w="0" w:type="auto"/>
            <w:gridSpan w:val="3"/>
            <w:shd w:val="clear" w:color="auto" w:fill="FFFFFF"/>
            <w:tcMar>
              <w:top w:w="40" w:type="dxa"/>
              <w:left w:w="245" w:type="dxa"/>
              <w:bottom w:w="40" w:type="dxa"/>
              <w:right w:w="20" w:type="dxa"/>
            </w:tcMar>
            <w:vAlign w:val="bottom"/>
          </w:tcPr>
          <w:p w14:paraId="07DCFFBE" w14:textId="77777777" w:rsidR="00AE727E" w:rsidRDefault="008433E0">
            <w:pPr>
              <w:textAlignment w:val="bottom"/>
            </w:pPr>
            <w:r>
              <w:rPr>
                <w:rFonts w:ascii="Times New Roman" w:eastAsia="宋体" w:hAnsi="Times New Roman"/>
                <w:color w:val="000000"/>
                <w:sz w:val="20"/>
                <w:szCs w:val="20"/>
              </w:rPr>
              <w:t>Total inventories,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07DCFFB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FC0" w14:textId="77777777" w:rsidR="00AE727E" w:rsidRDefault="008433E0">
            <w:pPr>
              <w:jc w:val="right"/>
              <w:textAlignment w:val="bottom"/>
            </w:pPr>
            <w:r>
              <w:rPr>
                <w:rFonts w:ascii="Times New Roman" w:eastAsia="宋体" w:hAnsi="Times New Roman"/>
                <w:color w:val="000000"/>
                <w:sz w:val="20"/>
                <w:szCs w:val="20"/>
              </w:rPr>
              <w:t>5,442 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FC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C2"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CFFC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CFFC4" w14:textId="77777777" w:rsidR="00AE727E" w:rsidRDefault="008433E0">
            <w:pPr>
              <w:jc w:val="right"/>
              <w:textAlignment w:val="bottom"/>
            </w:pPr>
            <w:r>
              <w:rPr>
                <w:rFonts w:ascii="Times New Roman" w:eastAsia="宋体" w:hAnsi="Times New Roman"/>
                <w:color w:val="000000"/>
                <w:sz w:val="20"/>
                <w:szCs w:val="20"/>
              </w:rPr>
              <w:t>3,402 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CFFC5" w14:textId="77777777" w:rsidR="00AE727E" w:rsidRDefault="00AE727E">
            <w:pPr>
              <w:jc w:val="right"/>
              <w:rPr>
                <w:rFonts w:ascii="宋体"/>
              </w:rPr>
            </w:pPr>
          </w:p>
        </w:tc>
      </w:tr>
      <w:tr w:rsidR="00AE727E" w14:paraId="07DCFFCB" w14:textId="77777777">
        <w:trPr>
          <w:hidden/>
        </w:trPr>
        <w:tc>
          <w:tcPr>
            <w:tcW w:w="0" w:type="auto"/>
            <w:gridSpan w:val="3"/>
            <w:shd w:val="clear" w:color="auto" w:fill="auto"/>
            <w:vAlign w:val="bottom"/>
          </w:tcPr>
          <w:p w14:paraId="07DCFFC7" w14:textId="77777777" w:rsidR="00AE727E" w:rsidRDefault="00AE727E">
            <w:pPr>
              <w:rPr>
                <w:rFonts w:ascii="宋体"/>
                <w:vanish/>
              </w:rPr>
            </w:pPr>
          </w:p>
        </w:tc>
        <w:tc>
          <w:tcPr>
            <w:tcW w:w="0" w:type="auto"/>
            <w:gridSpan w:val="3"/>
            <w:shd w:val="clear" w:color="auto" w:fill="auto"/>
            <w:vAlign w:val="bottom"/>
          </w:tcPr>
          <w:p w14:paraId="07DCFFC8" w14:textId="77777777" w:rsidR="00AE727E" w:rsidRDefault="00AE727E">
            <w:pPr>
              <w:rPr>
                <w:rFonts w:ascii="宋体"/>
                <w:vanish/>
              </w:rPr>
            </w:pPr>
          </w:p>
        </w:tc>
        <w:tc>
          <w:tcPr>
            <w:tcW w:w="0" w:type="auto"/>
            <w:gridSpan w:val="3"/>
            <w:shd w:val="clear" w:color="auto" w:fill="auto"/>
            <w:vAlign w:val="bottom"/>
          </w:tcPr>
          <w:p w14:paraId="07DCFFC9" w14:textId="77777777" w:rsidR="00AE727E" w:rsidRDefault="00AE727E">
            <w:pPr>
              <w:rPr>
                <w:rFonts w:ascii="宋体"/>
                <w:vanish/>
              </w:rPr>
            </w:pPr>
          </w:p>
        </w:tc>
        <w:tc>
          <w:tcPr>
            <w:tcW w:w="0" w:type="auto"/>
            <w:gridSpan w:val="3"/>
            <w:shd w:val="clear" w:color="auto" w:fill="auto"/>
            <w:vAlign w:val="bottom"/>
          </w:tcPr>
          <w:p w14:paraId="07DCFFCA" w14:textId="77777777" w:rsidR="00AE727E" w:rsidRDefault="00AE727E">
            <w:pPr>
              <w:rPr>
                <w:rFonts w:ascii="宋体"/>
                <w:vanish/>
              </w:rPr>
            </w:pPr>
          </w:p>
        </w:tc>
      </w:tr>
      <w:tr w:rsidR="00AE727E" w14:paraId="07DCFFD0" w14:textId="77777777">
        <w:trPr>
          <w:hidden/>
        </w:trPr>
        <w:tc>
          <w:tcPr>
            <w:tcW w:w="0" w:type="auto"/>
            <w:gridSpan w:val="3"/>
            <w:shd w:val="clear" w:color="auto" w:fill="auto"/>
            <w:vAlign w:val="bottom"/>
          </w:tcPr>
          <w:p w14:paraId="07DCFFCC" w14:textId="77777777" w:rsidR="00AE727E" w:rsidRDefault="00AE727E">
            <w:pPr>
              <w:rPr>
                <w:rFonts w:ascii="宋体"/>
                <w:vanish/>
              </w:rPr>
            </w:pPr>
          </w:p>
        </w:tc>
        <w:tc>
          <w:tcPr>
            <w:tcW w:w="0" w:type="auto"/>
            <w:gridSpan w:val="3"/>
            <w:shd w:val="clear" w:color="auto" w:fill="auto"/>
            <w:vAlign w:val="bottom"/>
          </w:tcPr>
          <w:p w14:paraId="07DCFFCD" w14:textId="77777777" w:rsidR="00AE727E" w:rsidRDefault="00AE727E">
            <w:pPr>
              <w:rPr>
                <w:rFonts w:ascii="宋体"/>
                <w:vanish/>
              </w:rPr>
            </w:pPr>
          </w:p>
        </w:tc>
        <w:tc>
          <w:tcPr>
            <w:tcW w:w="0" w:type="auto"/>
            <w:gridSpan w:val="3"/>
            <w:shd w:val="clear" w:color="auto" w:fill="auto"/>
            <w:vAlign w:val="bottom"/>
          </w:tcPr>
          <w:p w14:paraId="07DCFFCE" w14:textId="77777777" w:rsidR="00AE727E" w:rsidRDefault="00AE727E">
            <w:pPr>
              <w:rPr>
                <w:rFonts w:ascii="宋体"/>
                <w:vanish/>
              </w:rPr>
            </w:pPr>
          </w:p>
        </w:tc>
        <w:tc>
          <w:tcPr>
            <w:tcW w:w="0" w:type="auto"/>
            <w:gridSpan w:val="3"/>
            <w:shd w:val="clear" w:color="auto" w:fill="auto"/>
            <w:vAlign w:val="bottom"/>
          </w:tcPr>
          <w:p w14:paraId="07DCFFCF" w14:textId="77777777" w:rsidR="00AE727E" w:rsidRDefault="00AE727E">
            <w:pPr>
              <w:rPr>
                <w:rFonts w:ascii="宋体"/>
                <w:vanish/>
              </w:rPr>
            </w:pPr>
          </w:p>
        </w:tc>
      </w:tr>
      <w:tr w:rsidR="00AE727E" w14:paraId="07DCFFD5" w14:textId="77777777">
        <w:trPr>
          <w:hidden/>
        </w:trPr>
        <w:tc>
          <w:tcPr>
            <w:tcW w:w="0" w:type="auto"/>
            <w:gridSpan w:val="3"/>
            <w:shd w:val="clear" w:color="auto" w:fill="auto"/>
            <w:vAlign w:val="bottom"/>
          </w:tcPr>
          <w:p w14:paraId="07DCFFD1" w14:textId="77777777" w:rsidR="00AE727E" w:rsidRDefault="00AE727E">
            <w:pPr>
              <w:rPr>
                <w:rFonts w:ascii="宋体"/>
                <w:vanish/>
              </w:rPr>
            </w:pPr>
          </w:p>
        </w:tc>
        <w:tc>
          <w:tcPr>
            <w:tcW w:w="0" w:type="auto"/>
            <w:gridSpan w:val="3"/>
            <w:shd w:val="clear" w:color="auto" w:fill="auto"/>
            <w:vAlign w:val="bottom"/>
          </w:tcPr>
          <w:p w14:paraId="07DCFFD2" w14:textId="77777777" w:rsidR="00AE727E" w:rsidRDefault="00AE727E">
            <w:pPr>
              <w:rPr>
                <w:rFonts w:ascii="宋体"/>
                <w:vanish/>
              </w:rPr>
            </w:pPr>
          </w:p>
        </w:tc>
        <w:tc>
          <w:tcPr>
            <w:tcW w:w="0" w:type="auto"/>
            <w:gridSpan w:val="3"/>
            <w:shd w:val="clear" w:color="auto" w:fill="auto"/>
            <w:vAlign w:val="bottom"/>
          </w:tcPr>
          <w:p w14:paraId="07DCFFD3" w14:textId="77777777" w:rsidR="00AE727E" w:rsidRDefault="00AE727E">
            <w:pPr>
              <w:rPr>
                <w:rFonts w:ascii="宋体"/>
                <w:vanish/>
              </w:rPr>
            </w:pPr>
          </w:p>
        </w:tc>
        <w:tc>
          <w:tcPr>
            <w:tcW w:w="0" w:type="auto"/>
            <w:gridSpan w:val="3"/>
            <w:shd w:val="clear" w:color="auto" w:fill="auto"/>
            <w:vAlign w:val="bottom"/>
          </w:tcPr>
          <w:p w14:paraId="07DCFFD4" w14:textId="77777777" w:rsidR="00AE727E" w:rsidRDefault="00AE727E">
            <w:pPr>
              <w:rPr>
                <w:rFonts w:ascii="宋体"/>
                <w:vanish/>
              </w:rPr>
            </w:pPr>
          </w:p>
        </w:tc>
      </w:tr>
      <w:tr w:rsidR="00AE727E" w14:paraId="07DCFFDA" w14:textId="77777777">
        <w:trPr>
          <w:hidden/>
        </w:trPr>
        <w:tc>
          <w:tcPr>
            <w:tcW w:w="0" w:type="auto"/>
            <w:gridSpan w:val="3"/>
            <w:shd w:val="clear" w:color="auto" w:fill="auto"/>
            <w:vAlign w:val="bottom"/>
          </w:tcPr>
          <w:p w14:paraId="07DCFFD6" w14:textId="77777777" w:rsidR="00AE727E" w:rsidRDefault="00AE727E">
            <w:pPr>
              <w:rPr>
                <w:rFonts w:ascii="宋体"/>
                <w:vanish/>
              </w:rPr>
            </w:pPr>
          </w:p>
        </w:tc>
        <w:tc>
          <w:tcPr>
            <w:tcW w:w="0" w:type="auto"/>
            <w:gridSpan w:val="3"/>
            <w:shd w:val="clear" w:color="auto" w:fill="auto"/>
            <w:vAlign w:val="bottom"/>
          </w:tcPr>
          <w:p w14:paraId="07DCFFD7" w14:textId="77777777" w:rsidR="00AE727E" w:rsidRDefault="00AE727E">
            <w:pPr>
              <w:rPr>
                <w:rFonts w:ascii="宋体"/>
                <w:vanish/>
              </w:rPr>
            </w:pPr>
          </w:p>
        </w:tc>
        <w:tc>
          <w:tcPr>
            <w:tcW w:w="0" w:type="auto"/>
            <w:gridSpan w:val="3"/>
            <w:shd w:val="clear" w:color="auto" w:fill="auto"/>
            <w:vAlign w:val="bottom"/>
          </w:tcPr>
          <w:p w14:paraId="07DCFFD8" w14:textId="77777777" w:rsidR="00AE727E" w:rsidRDefault="00AE727E">
            <w:pPr>
              <w:rPr>
                <w:rFonts w:ascii="宋体"/>
                <w:vanish/>
              </w:rPr>
            </w:pPr>
          </w:p>
        </w:tc>
        <w:tc>
          <w:tcPr>
            <w:tcW w:w="0" w:type="auto"/>
            <w:gridSpan w:val="3"/>
            <w:shd w:val="clear" w:color="auto" w:fill="auto"/>
            <w:vAlign w:val="bottom"/>
          </w:tcPr>
          <w:p w14:paraId="07DCFFD9" w14:textId="77777777" w:rsidR="00AE727E" w:rsidRDefault="00AE727E">
            <w:pPr>
              <w:rPr>
                <w:rFonts w:ascii="宋体"/>
                <w:vanish/>
              </w:rPr>
            </w:pPr>
          </w:p>
        </w:tc>
      </w:tr>
      <w:tr w:rsidR="00AE727E" w14:paraId="07DCFFDF" w14:textId="77777777">
        <w:trPr>
          <w:hidden/>
        </w:trPr>
        <w:tc>
          <w:tcPr>
            <w:tcW w:w="0" w:type="auto"/>
            <w:gridSpan w:val="3"/>
            <w:shd w:val="clear" w:color="auto" w:fill="auto"/>
            <w:vAlign w:val="bottom"/>
          </w:tcPr>
          <w:p w14:paraId="07DCFFDB" w14:textId="77777777" w:rsidR="00AE727E" w:rsidRDefault="00AE727E">
            <w:pPr>
              <w:rPr>
                <w:rFonts w:ascii="宋体"/>
                <w:vanish/>
              </w:rPr>
            </w:pPr>
          </w:p>
        </w:tc>
        <w:tc>
          <w:tcPr>
            <w:tcW w:w="0" w:type="auto"/>
            <w:gridSpan w:val="3"/>
            <w:shd w:val="clear" w:color="auto" w:fill="auto"/>
            <w:vAlign w:val="bottom"/>
          </w:tcPr>
          <w:p w14:paraId="07DCFFDC" w14:textId="77777777" w:rsidR="00AE727E" w:rsidRDefault="00AE727E">
            <w:pPr>
              <w:rPr>
                <w:rFonts w:ascii="宋体"/>
                <w:vanish/>
              </w:rPr>
            </w:pPr>
          </w:p>
        </w:tc>
        <w:tc>
          <w:tcPr>
            <w:tcW w:w="0" w:type="auto"/>
            <w:gridSpan w:val="3"/>
            <w:shd w:val="clear" w:color="auto" w:fill="auto"/>
            <w:vAlign w:val="bottom"/>
          </w:tcPr>
          <w:p w14:paraId="07DCFFDD" w14:textId="77777777" w:rsidR="00AE727E" w:rsidRDefault="00AE727E">
            <w:pPr>
              <w:rPr>
                <w:rFonts w:ascii="宋体"/>
                <w:vanish/>
              </w:rPr>
            </w:pPr>
          </w:p>
        </w:tc>
        <w:tc>
          <w:tcPr>
            <w:tcW w:w="0" w:type="auto"/>
            <w:gridSpan w:val="3"/>
            <w:shd w:val="clear" w:color="auto" w:fill="auto"/>
            <w:vAlign w:val="bottom"/>
          </w:tcPr>
          <w:p w14:paraId="07DCFFDE" w14:textId="77777777" w:rsidR="00AE727E" w:rsidRDefault="00AE727E">
            <w:pPr>
              <w:rPr>
                <w:rFonts w:ascii="宋体"/>
                <w:vanish/>
              </w:rPr>
            </w:pPr>
          </w:p>
        </w:tc>
      </w:tr>
      <w:tr w:rsidR="00AE727E" w14:paraId="07DCFFE4" w14:textId="77777777">
        <w:trPr>
          <w:hidden/>
        </w:trPr>
        <w:tc>
          <w:tcPr>
            <w:tcW w:w="0" w:type="auto"/>
            <w:gridSpan w:val="3"/>
            <w:shd w:val="clear" w:color="auto" w:fill="auto"/>
            <w:vAlign w:val="bottom"/>
          </w:tcPr>
          <w:p w14:paraId="07DCFFE0" w14:textId="77777777" w:rsidR="00AE727E" w:rsidRDefault="00AE727E">
            <w:pPr>
              <w:rPr>
                <w:rFonts w:ascii="宋体"/>
                <w:vanish/>
              </w:rPr>
            </w:pPr>
          </w:p>
        </w:tc>
        <w:tc>
          <w:tcPr>
            <w:tcW w:w="0" w:type="auto"/>
            <w:gridSpan w:val="3"/>
            <w:shd w:val="clear" w:color="auto" w:fill="auto"/>
            <w:vAlign w:val="bottom"/>
          </w:tcPr>
          <w:p w14:paraId="07DCFFE1" w14:textId="77777777" w:rsidR="00AE727E" w:rsidRDefault="00AE727E">
            <w:pPr>
              <w:rPr>
                <w:rFonts w:ascii="宋体"/>
                <w:vanish/>
              </w:rPr>
            </w:pPr>
          </w:p>
        </w:tc>
        <w:tc>
          <w:tcPr>
            <w:tcW w:w="0" w:type="auto"/>
            <w:gridSpan w:val="3"/>
            <w:shd w:val="clear" w:color="auto" w:fill="auto"/>
            <w:vAlign w:val="bottom"/>
          </w:tcPr>
          <w:p w14:paraId="07DCFFE2" w14:textId="77777777" w:rsidR="00AE727E" w:rsidRDefault="00AE727E">
            <w:pPr>
              <w:rPr>
                <w:rFonts w:ascii="宋体"/>
                <w:vanish/>
              </w:rPr>
            </w:pPr>
          </w:p>
        </w:tc>
        <w:tc>
          <w:tcPr>
            <w:tcW w:w="0" w:type="auto"/>
            <w:gridSpan w:val="3"/>
            <w:shd w:val="clear" w:color="auto" w:fill="auto"/>
            <w:vAlign w:val="bottom"/>
          </w:tcPr>
          <w:p w14:paraId="07DCFFE3" w14:textId="77777777" w:rsidR="00AE727E" w:rsidRDefault="00AE727E">
            <w:pPr>
              <w:rPr>
                <w:rFonts w:ascii="宋体"/>
                <w:vanish/>
              </w:rPr>
            </w:pPr>
          </w:p>
        </w:tc>
      </w:tr>
      <w:tr w:rsidR="00AE727E" w14:paraId="07DCFFE9" w14:textId="77777777">
        <w:tc>
          <w:tcPr>
            <w:tcW w:w="0" w:type="auto"/>
            <w:gridSpan w:val="3"/>
            <w:shd w:val="clear" w:color="auto" w:fill="CCEEFF"/>
            <w:tcMar>
              <w:top w:w="40" w:type="dxa"/>
              <w:left w:w="20" w:type="dxa"/>
              <w:bottom w:w="40" w:type="dxa"/>
              <w:right w:w="20" w:type="dxa"/>
            </w:tcMar>
            <w:vAlign w:val="bottom"/>
          </w:tcPr>
          <w:p w14:paraId="07DCFFE5" w14:textId="77777777" w:rsidR="00AE727E" w:rsidRDefault="008433E0">
            <w:pPr>
              <w:textAlignment w:val="bottom"/>
            </w:pPr>
            <w:r>
              <w:rPr>
                <w:rFonts w:ascii="Times New Roman" w:eastAsia="宋体" w:hAnsi="Times New Roman"/>
                <w:i/>
                <w:iCs/>
                <w:color w:val="000000"/>
                <w:sz w:val="20"/>
                <w:szCs w:val="20"/>
              </w:rPr>
              <w:t>Property, plant, and equipment, net:</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FFE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CFFE7"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CFFE8" w14:textId="77777777" w:rsidR="00AE727E" w:rsidRDefault="00AE727E">
            <w:pPr>
              <w:rPr>
                <w:rFonts w:ascii="宋体"/>
              </w:rPr>
            </w:pPr>
          </w:p>
        </w:tc>
      </w:tr>
      <w:tr w:rsidR="00AE727E" w14:paraId="07DCFFF2" w14:textId="77777777">
        <w:tc>
          <w:tcPr>
            <w:tcW w:w="0" w:type="auto"/>
            <w:gridSpan w:val="3"/>
            <w:shd w:val="clear" w:color="auto" w:fill="FFFFFF"/>
            <w:tcMar>
              <w:top w:w="40" w:type="dxa"/>
              <w:left w:w="155" w:type="dxa"/>
              <w:bottom w:w="40" w:type="dxa"/>
              <w:right w:w="20" w:type="dxa"/>
            </w:tcMar>
            <w:vAlign w:val="bottom"/>
          </w:tcPr>
          <w:p w14:paraId="07DCFFEA" w14:textId="77777777" w:rsidR="00AE727E" w:rsidRDefault="008433E0">
            <w:pPr>
              <w:textAlignment w:val="bottom"/>
            </w:pPr>
            <w:r>
              <w:rPr>
                <w:rFonts w:ascii="Times New Roman" w:eastAsia="宋体" w:hAnsi="Times New Roman"/>
                <w:color w:val="000000"/>
                <w:sz w:val="20"/>
                <w:szCs w:val="20"/>
              </w:rPr>
              <w:t>Computer equipment</w:t>
            </w:r>
          </w:p>
        </w:tc>
        <w:tc>
          <w:tcPr>
            <w:tcW w:w="0" w:type="auto"/>
            <w:shd w:val="clear" w:color="auto" w:fill="FFFFFF"/>
            <w:tcMar>
              <w:top w:w="40" w:type="dxa"/>
              <w:left w:w="20" w:type="dxa"/>
              <w:bottom w:w="40" w:type="dxa"/>
              <w:right w:w="0" w:type="dxa"/>
            </w:tcMar>
            <w:vAlign w:val="bottom"/>
          </w:tcPr>
          <w:p w14:paraId="07DCFFE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FEC" w14:textId="77777777" w:rsidR="00AE727E" w:rsidRDefault="008433E0">
            <w:pPr>
              <w:jc w:val="right"/>
              <w:textAlignment w:val="bottom"/>
            </w:pPr>
            <w:r>
              <w:rPr>
                <w:rFonts w:ascii="Times New Roman" w:eastAsia="宋体" w:hAnsi="Times New Roman"/>
                <w:color w:val="000000"/>
                <w:sz w:val="20"/>
                <w:szCs w:val="20"/>
              </w:rPr>
              <w:t>7,628 </w:t>
            </w:r>
          </w:p>
        </w:tc>
        <w:tc>
          <w:tcPr>
            <w:tcW w:w="0" w:type="auto"/>
            <w:shd w:val="clear" w:color="auto" w:fill="FFFFFF"/>
            <w:tcMar>
              <w:top w:w="40" w:type="dxa"/>
              <w:left w:w="0" w:type="dxa"/>
              <w:bottom w:w="40" w:type="dxa"/>
              <w:right w:w="20" w:type="dxa"/>
            </w:tcMar>
            <w:vAlign w:val="bottom"/>
          </w:tcPr>
          <w:p w14:paraId="07DCFFE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E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CFFE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CFFF0" w14:textId="77777777" w:rsidR="00AE727E" w:rsidRDefault="008433E0">
            <w:pPr>
              <w:jc w:val="right"/>
              <w:textAlignment w:val="bottom"/>
            </w:pPr>
            <w:r>
              <w:rPr>
                <w:rFonts w:ascii="Times New Roman" w:eastAsia="宋体" w:hAnsi="Times New Roman"/>
                <w:color w:val="000000"/>
                <w:sz w:val="20"/>
                <w:szCs w:val="20"/>
              </w:rPr>
              <w:t>6,506 </w:t>
            </w:r>
          </w:p>
        </w:tc>
        <w:tc>
          <w:tcPr>
            <w:tcW w:w="0" w:type="auto"/>
            <w:shd w:val="clear" w:color="auto" w:fill="FFFFFF"/>
            <w:tcMar>
              <w:top w:w="40" w:type="dxa"/>
              <w:left w:w="0" w:type="dxa"/>
              <w:bottom w:w="40" w:type="dxa"/>
              <w:right w:w="20" w:type="dxa"/>
            </w:tcMar>
            <w:vAlign w:val="bottom"/>
          </w:tcPr>
          <w:p w14:paraId="07DCFFF1" w14:textId="77777777" w:rsidR="00AE727E" w:rsidRDefault="00AE727E">
            <w:pPr>
              <w:jc w:val="right"/>
              <w:rPr>
                <w:rFonts w:ascii="宋体"/>
              </w:rPr>
            </w:pPr>
          </w:p>
        </w:tc>
      </w:tr>
      <w:tr w:rsidR="00AE727E" w14:paraId="07DCFFF9" w14:textId="77777777">
        <w:tc>
          <w:tcPr>
            <w:tcW w:w="0" w:type="auto"/>
            <w:gridSpan w:val="3"/>
            <w:shd w:val="clear" w:color="auto" w:fill="CCEEFF"/>
            <w:tcMar>
              <w:top w:w="40" w:type="dxa"/>
              <w:left w:w="155" w:type="dxa"/>
              <w:bottom w:w="40" w:type="dxa"/>
              <w:right w:w="20" w:type="dxa"/>
            </w:tcMar>
            <w:vAlign w:val="bottom"/>
          </w:tcPr>
          <w:p w14:paraId="07DCFFF3" w14:textId="77777777" w:rsidR="00AE727E" w:rsidRDefault="008433E0">
            <w:pPr>
              <w:textAlignment w:val="bottom"/>
            </w:pPr>
            <w:r>
              <w:rPr>
                <w:rFonts w:ascii="Times New Roman" w:eastAsia="宋体" w:hAnsi="Times New Roman"/>
                <w:color w:val="000000"/>
                <w:sz w:val="20"/>
                <w:szCs w:val="20"/>
              </w:rPr>
              <w:t>Land and buildings</w:t>
            </w:r>
          </w:p>
        </w:tc>
        <w:tc>
          <w:tcPr>
            <w:tcW w:w="0" w:type="auto"/>
            <w:gridSpan w:val="2"/>
            <w:shd w:val="clear" w:color="auto" w:fill="CCEEFF"/>
            <w:tcMar>
              <w:top w:w="40" w:type="dxa"/>
              <w:left w:w="20" w:type="dxa"/>
              <w:bottom w:w="40" w:type="dxa"/>
              <w:right w:w="0" w:type="dxa"/>
            </w:tcMar>
            <w:vAlign w:val="bottom"/>
          </w:tcPr>
          <w:p w14:paraId="07DCFFF4" w14:textId="77777777" w:rsidR="00AE727E" w:rsidRDefault="008433E0">
            <w:pPr>
              <w:jc w:val="right"/>
              <w:textAlignment w:val="bottom"/>
            </w:pPr>
            <w:r>
              <w:rPr>
                <w:rFonts w:ascii="Times New Roman" w:eastAsia="宋体" w:hAnsi="Times New Roman"/>
                <w:color w:val="000000"/>
                <w:sz w:val="20"/>
                <w:szCs w:val="20"/>
              </w:rPr>
              <w:t>4,775 </w:t>
            </w:r>
          </w:p>
        </w:tc>
        <w:tc>
          <w:tcPr>
            <w:tcW w:w="0" w:type="auto"/>
            <w:shd w:val="clear" w:color="auto" w:fill="CCEEFF"/>
            <w:tcMar>
              <w:top w:w="40" w:type="dxa"/>
              <w:left w:w="0" w:type="dxa"/>
              <w:bottom w:w="40" w:type="dxa"/>
              <w:right w:w="20" w:type="dxa"/>
            </w:tcMar>
            <w:vAlign w:val="bottom"/>
          </w:tcPr>
          <w:p w14:paraId="07DCFFF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CFFF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CFFF7" w14:textId="77777777" w:rsidR="00AE727E" w:rsidRDefault="008433E0">
            <w:pPr>
              <w:jc w:val="right"/>
              <w:textAlignment w:val="bottom"/>
            </w:pPr>
            <w:r>
              <w:rPr>
                <w:rFonts w:ascii="Times New Roman" w:eastAsia="宋体" w:hAnsi="Times New Roman"/>
                <w:color w:val="000000"/>
                <w:sz w:val="20"/>
                <w:szCs w:val="20"/>
              </w:rPr>
              <w:t>4,745 </w:t>
            </w:r>
          </w:p>
        </w:tc>
        <w:tc>
          <w:tcPr>
            <w:tcW w:w="0" w:type="auto"/>
            <w:shd w:val="clear" w:color="auto" w:fill="CCEEFF"/>
            <w:tcMar>
              <w:top w:w="40" w:type="dxa"/>
              <w:left w:w="0" w:type="dxa"/>
              <w:bottom w:w="40" w:type="dxa"/>
              <w:right w:w="20" w:type="dxa"/>
            </w:tcMar>
            <w:vAlign w:val="bottom"/>
          </w:tcPr>
          <w:p w14:paraId="07DCFFF8" w14:textId="77777777" w:rsidR="00AE727E" w:rsidRDefault="00AE727E">
            <w:pPr>
              <w:jc w:val="right"/>
              <w:rPr>
                <w:rFonts w:ascii="宋体"/>
              </w:rPr>
            </w:pPr>
          </w:p>
        </w:tc>
      </w:tr>
      <w:tr w:rsidR="00AE727E" w14:paraId="07DD0000" w14:textId="77777777">
        <w:tc>
          <w:tcPr>
            <w:tcW w:w="0" w:type="auto"/>
            <w:gridSpan w:val="3"/>
            <w:shd w:val="clear" w:color="auto" w:fill="FFFFFF"/>
            <w:tcMar>
              <w:top w:w="40" w:type="dxa"/>
              <w:left w:w="155" w:type="dxa"/>
              <w:bottom w:w="40" w:type="dxa"/>
              <w:right w:w="20" w:type="dxa"/>
            </w:tcMar>
            <w:vAlign w:val="bottom"/>
          </w:tcPr>
          <w:p w14:paraId="07DCFFFA" w14:textId="77777777" w:rsidR="00AE727E" w:rsidRDefault="008433E0">
            <w:pPr>
              <w:textAlignment w:val="bottom"/>
            </w:pPr>
            <w:r>
              <w:rPr>
                <w:rFonts w:ascii="Times New Roman" w:eastAsia="宋体" w:hAnsi="Times New Roman"/>
                <w:color w:val="000000"/>
                <w:sz w:val="20"/>
                <w:szCs w:val="20"/>
              </w:rPr>
              <w:t>Machinery and other equipment</w:t>
            </w:r>
          </w:p>
        </w:tc>
        <w:tc>
          <w:tcPr>
            <w:tcW w:w="0" w:type="auto"/>
            <w:gridSpan w:val="2"/>
            <w:shd w:val="clear" w:color="auto" w:fill="FFFFFF"/>
            <w:tcMar>
              <w:top w:w="40" w:type="dxa"/>
              <w:left w:w="20" w:type="dxa"/>
              <w:bottom w:w="40" w:type="dxa"/>
              <w:right w:w="0" w:type="dxa"/>
            </w:tcMar>
            <w:vAlign w:val="bottom"/>
          </w:tcPr>
          <w:p w14:paraId="07DCFFFB" w14:textId="77777777" w:rsidR="00AE727E" w:rsidRDefault="008433E0">
            <w:pPr>
              <w:jc w:val="right"/>
              <w:textAlignment w:val="bottom"/>
            </w:pPr>
            <w:r>
              <w:rPr>
                <w:rFonts w:ascii="Times New Roman" w:eastAsia="宋体" w:hAnsi="Times New Roman"/>
                <w:color w:val="000000"/>
                <w:sz w:val="20"/>
                <w:szCs w:val="20"/>
              </w:rPr>
              <w:t>4,173 </w:t>
            </w:r>
          </w:p>
        </w:tc>
        <w:tc>
          <w:tcPr>
            <w:tcW w:w="0" w:type="auto"/>
            <w:shd w:val="clear" w:color="auto" w:fill="FFFFFF"/>
            <w:tcMar>
              <w:top w:w="40" w:type="dxa"/>
              <w:left w:w="0" w:type="dxa"/>
              <w:bottom w:w="40" w:type="dxa"/>
              <w:right w:w="20" w:type="dxa"/>
            </w:tcMar>
            <w:vAlign w:val="bottom"/>
          </w:tcPr>
          <w:p w14:paraId="07DCFF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CFF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CFFFE" w14:textId="77777777" w:rsidR="00AE727E" w:rsidRDefault="008433E0">
            <w:pPr>
              <w:jc w:val="right"/>
              <w:textAlignment w:val="bottom"/>
            </w:pPr>
            <w:r>
              <w:rPr>
                <w:rFonts w:ascii="Times New Roman" w:eastAsia="宋体" w:hAnsi="Times New Roman"/>
                <w:color w:val="000000"/>
                <w:sz w:val="20"/>
                <w:szCs w:val="20"/>
              </w:rPr>
              <w:t>3,933 </w:t>
            </w:r>
          </w:p>
        </w:tc>
        <w:tc>
          <w:tcPr>
            <w:tcW w:w="0" w:type="auto"/>
            <w:shd w:val="clear" w:color="auto" w:fill="FFFFFF"/>
            <w:tcMar>
              <w:top w:w="40" w:type="dxa"/>
              <w:left w:w="0" w:type="dxa"/>
              <w:bottom w:w="40" w:type="dxa"/>
              <w:right w:w="20" w:type="dxa"/>
            </w:tcMar>
            <w:vAlign w:val="bottom"/>
          </w:tcPr>
          <w:p w14:paraId="07DCFFFF" w14:textId="77777777" w:rsidR="00AE727E" w:rsidRDefault="00AE727E">
            <w:pPr>
              <w:jc w:val="right"/>
              <w:rPr>
                <w:rFonts w:ascii="宋体"/>
              </w:rPr>
            </w:pPr>
          </w:p>
        </w:tc>
      </w:tr>
      <w:tr w:rsidR="00AE727E" w14:paraId="07DD0007" w14:textId="77777777">
        <w:tc>
          <w:tcPr>
            <w:tcW w:w="0" w:type="auto"/>
            <w:gridSpan w:val="3"/>
            <w:shd w:val="clear" w:color="auto" w:fill="CCEEFF"/>
            <w:tcMar>
              <w:top w:w="40" w:type="dxa"/>
              <w:left w:w="245" w:type="dxa"/>
              <w:bottom w:w="40" w:type="dxa"/>
              <w:right w:w="20" w:type="dxa"/>
            </w:tcMar>
            <w:vAlign w:val="bottom"/>
          </w:tcPr>
          <w:p w14:paraId="07DD0001" w14:textId="77777777" w:rsidR="00AE727E" w:rsidRDefault="008433E0">
            <w:pPr>
              <w:textAlignment w:val="bottom"/>
            </w:pPr>
            <w:r>
              <w:rPr>
                <w:rFonts w:ascii="Times New Roman" w:eastAsia="宋体" w:hAnsi="Times New Roman"/>
                <w:color w:val="000000"/>
                <w:sz w:val="20"/>
                <w:szCs w:val="20"/>
              </w:rPr>
              <w:t xml:space="preserve">Total property, plant, and </w:t>
            </w:r>
            <w:r>
              <w:rPr>
                <w:rFonts w:ascii="Times New Roman" w:eastAsia="宋体" w:hAnsi="Times New Roman"/>
                <w:color w:val="000000"/>
                <w:sz w:val="20"/>
                <w:szCs w:val="20"/>
              </w:rPr>
              <w:t>equipment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D0002" w14:textId="77777777" w:rsidR="00AE727E" w:rsidRDefault="008433E0">
            <w:pPr>
              <w:jc w:val="right"/>
              <w:textAlignment w:val="bottom"/>
            </w:pPr>
            <w:r>
              <w:rPr>
                <w:rFonts w:ascii="Times New Roman" w:eastAsia="宋体" w:hAnsi="Times New Roman"/>
                <w:color w:val="000000"/>
                <w:sz w:val="20"/>
                <w:szCs w:val="20"/>
              </w:rPr>
              <w:t>16,576 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0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04"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DD0005" w14:textId="77777777" w:rsidR="00AE727E" w:rsidRDefault="008433E0">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006" w14:textId="77777777" w:rsidR="00AE727E" w:rsidRDefault="00AE727E">
            <w:pPr>
              <w:jc w:val="right"/>
              <w:rPr>
                <w:rFonts w:ascii="宋体"/>
              </w:rPr>
            </w:pPr>
          </w:p>
        </w:tc>
      </w:tr>
      <w:tr w:rsidR="00AE727E" w14:paraId="07DD000E" w14:textId="77777777">
        <w:tc>
          <w:tcPr>
            <w:tcW w:w="0" w:type="auto"/>
            <w:gridSpan w:val="3"/>
            <w:shd w:val="clear" w:color="auto" w:fill="FFFFFF"/>
            <w:tcMar>
              <w:top w:w="40" w:type="dxa"/>
              <w:left w:w="155" w:type="dxa"/>
              <w:bottom w:w="40" w:type="dxa"/>
              <w:right w:w="20" w:type="dxa"/>
            </w:tcMar>
            <w:vAlign w:val="bottom"/>
          </w:tcPr>
          <w:p w14:paraId="07DD0008" w14:textId="77777777" w:rsidR="00AE727E" w:rsidRDefault="008433E0">
            <w:pPr>
              <w:textAlignment w:val="bottom"/>
            </w:pPr>
            <w:r>
              <w:rPr>
                <w:rFonts w:ascii="Times New Roman" w:eastAsia="宋体" w:hAnsi="Times New Roman"/>
                <w:color w:val="000000"/>
                <w:sz w:val="20"/>
                <w:szCs w:val="20"/>
              </w:rPr>
              <w:t>Accumulated depreciation and amortization</w:t>
            </w:r>
          </w:p>
        </w:tc>
        <w:tc>
          <w:tcPr>
            <w:tcW w:w="0" w:type="auto"/>
            <w:gridSpan w:val="2"/>
            <w:shd w:val="clear" w:color="auto" w:fill="FFFFFF"/>
            <w:tcMar>
              <w:top w:w="40" w:type="dxa"/>
              <w:left w:w="20" w:type="dxa"/>
              <w:bottom w:w="40" w:type="dxa"/>
              <w:right w:w="0" w:type="dxa"/>
            </w:tcMar>
            <w:vAlign w:val="bottom"/>
          </w:tcPr>
          <w:p w14:paraId="07DD0009" w14:textId="77777777" w:rsidR="00AE727E" w:rsidRDefault="008433E0">
            <w:pPr>
              <w:jc w:val="right"/>
              <w:textAlignment w:val="bottom"/>
            </w:pPr>
            <w:r>
              <w:rPr>
                <w:rFonts w:ascii="Times New Roman" w:eastAsia="宋体" w:hAnsi="Times New Roman"/>
                <w:color w:val="000000"/>
                <w:sz w:val="20"/>
                <w:szCs w:val="20"/>
              </w:rPr>
              <w:t>(9,651)</w:t>
            </w:r>
          </w:p>
        </w:tc>
        <w:tc>
          <w:tcPr>
            <w:tcW w:w="0" w:type="auto"/>
            <w:shd w:val="clear" w:color="auto" w:fill="FFFFFF"/>
            <w:tcMar>
              <w:top w:w="40" w:type="dxa"/>
              <w:left w:w="0" w:type="dxa"/>
              <w:bottom w:w="40" w:type="dxa"/>
              <w:right w:w="20" w:type="dxa"/>
            </w:tcMar>
            <w:vAlign w:val="bottom"/>
          </w:tcPr>
          <w:p w14:paraId="07DD00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0C" w14:textId="77777777" w:rsidR="00AE727E" w:rsidRDefault="008433E0">
            <w:pPr>
              <w:jc w:val="right"/>
              <w:textAlignment w:val="bottom"/>
            </w:pPr>
            <w:r>
              <w:rPr>
                <w:rFonts w:ascii="Times New Roman" w:eastAsia="宋体" w:hAnsi="Times New Roman"/>
                <w:color w:val="000000"/>
                <w:sz w:val="20"/>
                <w:szCs w:val="20"/>
              </w:rPr>
              <w:t>(8,753)</w:t>
            </w:r>
          </w:p>
        </w:tc>
        <w:tc>
          <w:tcPr>
            <w:tcW w:w="0" w:type="auto"/>
            <w:shd w:val="clear" w:color="auto" w:fill="FFFFFF"/>
            <w:tcMar>
              <w:top w:w="40" w:type="dxa"/>
              <w:left w:w="0" w:type="dxa"/>
              <w:bottom w:w="40" w:type="dxa"/>
              <w:right w:w="20" w:type="dxa"/>
            </w:tcMar>
            <w:vAlign w:val="bottom"/>
          </w:tcPr>
          <w:p w14:paraId="07DD000D" w14:textId="77777777" w:rsidR="00AE727E" w:rsidRDefault="00AE727E">
            <w:pPr>
              <w:jc w:val="right"/>
              <w:rPr>
                <w:rFonts w:ascii="宋体"/>
              </w:rPr>
            </w:pPr>
          </w:p>
        </w:tc>
      </w:tr>
      <w:tr w:rsidR="00AE727E" w14:paraId="07DD0017" w14:textId="77777777">
        <w:tc>
          <w:tcPr>
            <w:tcW w:w="0" w:type="auto"/>
            <w:gridSpan w:val="3"/>
            <w:shd w:val="clear" w:color="auto" w:fill="CCEEFF"/>
            <w:tcMar>
              <w:top w:w="40" w:type="dxa"/>
              <w:left w:w="245" w:type="dxa"/>
              <w:bottom w:w="40" w:type="dxa"/>
              <w:right w:w="20" w:type="dxa"/>
            </w:tcMar>
            <w:vAlign w:val="bottom"/>
          </w:tcPr>
          <w:p w14:paraId="07DD000F" w14:textId="77777777" w:rsidR="00AE727E" w:rsidRDefault="008433E0">
            <w:pPr>
              <w:textAlignment w:val="bottom"/>
            </w:pPr>
            <w:r>
              <w:rPr>
                <w:rFonts w:ascii="Times New Roman" w:eastAsia="宋体" w:hAnsi="Times New Roman"/>
                <w:color w:val="000000"/>
                <w:sz w:val="20"/>
                <w:szCs w:val="20"/>
              </w:rPr>
              <w:t>Total property, plant, and equipment,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07DD001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011" w14:textId="77777777" w:rsidR="00AE727E" w:rsidRDefault="008433E0">
            <w:pPr>
              <w:jc w:val="right"/>
              <w:textAlignment w:val="bottom"/>
            </w:pPr>
            <w:r>
              <w:rPr>
                <w:rFonts w:ascii="Times New Roman" w:eastAsia="宋体" w:hAnsi="Times New Roman"/>
                <w:color w:val="000000"/>
                <w:sz w:val="20"/>
                <w:szCs w:val="20"/>
              </w:rPr>
              <w:t>6,925 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01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13"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D001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015" w14:textId="77777777" w:rsidR="00AE727E" w:rsidRDefault="008433E0">
            <w:pPr>
              <w:jc w:val="right"/>
              <w:textAlignment w:val="bottom"/>
            </w:pPr>
            <w:r>
              <w:rPr>
                <w:rFonts w:ascii="Times New Roman" w:eastAsia="宋体" w:hAnsi="Times New Roman"/>
                <w:color w:val="000000"/>
                <w:sz w:val="20"/>
                <w:szCs w:val="20"/>
              </w:rPr>
              <w:t>6,431 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016" w14:textId="77777777" w:rsidR="00AE727E" w:rsidRDefault="00AE727E">
            <w:pPr>
              <w:jc w:val="right"/>
              <w:rPr>
                <w:rFonts w:ascii="宋体"/>
              </w:rPr>
            </w:pPr>
          </w:p>
        </w:tc>
      </w:tr>
      <w:tr w:rsidR="00AE727E" w14:paraId="07DD001C" w14:textId="77777777">
        <w:tc>
          <w:tcPr>
            <w:tcW w:w="0" w:type="auto"/>
            <w:gridSpan w:val="3"/>
            <w:shd w:val="clear" w:color="auto" w:fill="FFFFFF"/>
            <w:tcMar>
              <w:top w:w="40" w:type="dxa"/>
              <w:left w:w="20" w:type="dxa"/>
              <w:bottom w:w="40" w:type="dxa"/>
              <w:right w:w="20" w:type="dxa"/>
            </w:tcMar>
            <w:vAlign w:val="bottom"/>
          </w:tcPr>
          <w:p w14:paraId="07DD0018" w14:textId="77777777" w:rsidR="00AE727E" w:rsidRDefault="008433E0">
            <w:pPr>
              <w:textAlignment w:val="bottom"/>
            </w:pPr>
            <w:r>
              <w:rPr>
                <w:rFonts w:ascii="Times New Roman" w:eastAsia="宋体" w:hAnsi="Times New Roman"/>
                <w:i/>
                <w:iCs/>
                <w:color w:val="000000"/>
                <w:sz w:val="20"/>
                <w:szCs w:val="20"/>
              </w:rPr>
              <w:t>Other non-current assets: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01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01A"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01B" w14:textId="77777777" w:rsidR="00AE727E" w:rsidRDefault="00AE727E">
            <w:pPr>
              <w:rPr>
                <w:rFonts w:ascii="宋体"/>
              </w:rPr>
            </w:pPr>
          </w:p>
        </w:tc>
      </w:tr>
      <w:tr w:rsidR="00AE727E" w14:paraId="07DD0025" w14:textId="77777777">
        <w:tc>
          <w:tcPr>
            <w:tcW w:w="0" w:type="auto"/>
            <w:gridSpan w:val="3"/>
            <w:shd w:val="clear" w:color="auto" w:fill="CCEEFF"/>
            <w:tcMar>
              <w:top w:w="40" w:type="dxa"/>
              <w:left w:w="155" w:type="dxa"/>
              <w:bottom w:w="40" w:type="dxa"/>
              <w:right w:w="20" w:type="dxa"/>
            </w:tcMar>
            <w:vAlign w:val="bottom"/>
          </w:tcPr>
          <w:p w14:paraId="07DD001D" w14:textId="77777777" w:rsidR="00AE727E" w:rsidRDefault="008433E0">
            <w:pPr>
              <w:textAlignment w:val="bottom"/>
            </w:pPr>
            <w:r>
              <w:rPr>
                <w:rFonts w:ascii="Times New Roman" w:eastAsia="宋体" w:hAnsi="Times New Roman"/>
                <w:color w:val="000000"/>
                <w:sz w:val="20"/>
                <w:szCs w:val="20"/>
              </w:rPr>
              <w:t xml:space="preserve">Deferred and other tax assets </w:t>
            </w:r>
          </w:p>
        </w:tc>
        <w:tc>
          <w:tcPr>
            <w:tcW w:w="0" w:type="auto"/>
            <w:shd w:val="clear" w:color="auto" w:fill="CCEEFF"/>
            <w:tcMar>
              <w:top w:w="40" w:type="dxa"/>
              <w:left w:w="20" w:type="dxa"/>
              <w:bottom w:w="40" w:type="dxa"/>
              <w:right w:w="0" w:type="dxa"/>
            </w:tcMar>
            <w:vAlign w:val="bottom"/>
          </w:tcPr>
          <w:p w14:paraId="07DD001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01F" w14:textId="77777777" w:rsidR="00AE727E" w:rsidRDefault="008433E0">
            <w:pPr>
              <w:jc w:val="right"/>
              <w:textAlignment w:val="bottom"/>
            </w:pPr>
            <w:r>
              <w:rPr>
                <w:rFonts w:ascii="Times New Roman" w:eastAsia="宋体" w:hAnsi="Times New Roman"/>
                <w:color w:val="000000"/>
                <w:sz w:val="20"/>
                <w:szCs w:val="20"/>
              </w:rPr>
              <w:t>6,450 </w:t>
            </w:r>
          </w:p>
        </w:tc>
        <w:tc>
          <w:tcPr>
            <w:tcW w:w="0" w:type="auto"/>
            <w:shd w:val="clear" w:color="auto" w:fill="CCEEFF"/>
            <w:tcMar>
              <w:top w:w="40" w:type="dxa"/>
              <w:left w:w="0" w:type="dxa"/>
              <w:bottom w:w="40" w:type="dxa"/>
              <w:right w:w="20" w:type="dxa"/>
            </w:tcMar>
            <w:vAlign w:val="bottom"/>
          </w:tcPr>
          <w:p w14:paraId="07DD002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21"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02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023" w14:textId="77777777" w:rsidR="00AE727E" w:rsidRDefault="008433E0">
            <w:pPr>
              <w:jc w:val="right"/>
              <w:textAlignment w:val="bottom"/>
            </w:pPr>
            <w:r>
              <w:rPr>
                <w:rFonts w:ascii="Times New Roman" w:eastAsia="宋体" w:hAnsi="Times New Roman"/>
                <w:color w:val="000000"/>
                <w:sz w:val="20"/>
                <w:szCs w:val="20"/>
              </w:rPr>
              <w:t>6,230 </w:t>
            </w:r>
          </w:p>
        </w:tc>
        <w:tc>
          <w:tcPr>
            <w:tcW w:w="0" w:type="auto"/>
            <w:shd w:val="clear" w:color="auto" w:fill="CCEEFF"/>
            <w:tcMar>
              <w:top w:w="40" w:type="dxa"/>
              <w:left w:w="0" w:type="dxa"/>
              <w:bottom w:w="40" w:type="dxa"/>
              <w:right w:w="20" w:type="dxa"/>
            </w:tcMar>
            <w:vAlign w:val="bottom"/>
          </w:tcPr>
          <w:p w14:paraId="07DD0024" w14:textId="77777777" w:rsidR="00AE727E" w:rsidRDefault="00AE727E">
            <w:pPr>
              <w:jc w:val="right"/>
              <w:rPr>
                <w:rFonts w:ascii="宋体"/>
              </w:rPr>
            </w:pPr>
          </w:p>
        </w:tc>
      </w:tr>
      <w:tr w:rsidR="00AE727E" w14:paraId="07DD002C" w14:textId="77777777">
        <w:tc>
          <w:tcPr>
            <w:tcW w:w="0" w:type="auto"/>
            <w:gridSpan w:val="3"/>
            <w:shd w:val="clear" w:color="auto" w:fill="FFFFFF"/>
            <w:tcMar>
              <w:top w:w="40" w:type="dxa"/>
              <w:left w:w="155" w:type="dxa"/>
              <w:bottom w:w="40" w:type="dxa"/>
              <w:right w:w="20" w:type="dxa"/>
            </w:tcMar>
            <w:vAlign w:val="bottom"/>
          </w:tcPr>
          <w:p w14:paraId="07DD0026" w14:textId="77777777" w:rsidR="00AE727E" w:rsidRDefault="008433E0">
            <w:pPr>
              <w:textAlignment w:val="bottom"/>
            </w:pPr>
            <w:r>
              <w:rPr>
                <w:rFonts w:ascii="Times New Roman" w:eastAsia="宋体" w:hAnsi="Times New Roman"/>
                <w:color w:val="000000"/>
                <w:sz w:val="20"/>
                <w:szCs w:val="20"/>
              </w:rPr>
              <w:t xml:space="preserve">Operating lease right of use assets </w:t>
            </w:r>
          </w:p>
        </w:tc>
        <w:tc>
          <w:tcPr>
            <w:tcW w:w="0" w:type="auto"/>
            <w:gridSpan w:val="2"/>
            <w:shd w:val="clear" w:color="auto" w:fill="FFFFFF"/>
            <w:tcMar>
              <w:top w:w="40" w:type="dxa"/>
              <w:left w:w="20" w:type="dxa"/>
              <w:bottom w:w="40" w:type="dxa"/>
              <w:right w:w="0" w:type="dxa"/>
            </w:tcMar>
            <w:vAlign w:val="bottom"/>
          </w:tcPr>
          <w:p w14:paraId="07DD0027" w14:textId="77777777" w:rsidR="00AE727E" w:rsidRDefault="008433E0">
            <w:pPr>
              <w:jc w:val="right"/>
              <w:textAlignment w:val="bottom"/>
            </w:pPr>
            <w:r>
              <w:rPr>
                <w:rFonts w:ascii="Times New Roman" w:eastAsia="宋体" w:hAnsi="Times New Roman"/>
                <w:color w:val="000000"/>
                <w:sz w:val="20"/>
                <w:szCs w:val="20"/>
              </w:rPr>
              <w:t>1,953 </w:t>
            </w:r>
          </w:p>
        </w:tc>
        <w:tc>
          <w:tcPr>
            <w:tcW w:w="0" w:type="auto"/>
            <w:shd w:val="clear" w:color="auto" w:fill="FFFFFF"/>
            <w:tcMar>
              <w:top w:w="40" w:type="dxa"/>
              <w:left w:w="0" w:type="dxa"/>
              <w:bottom w:w="40" w:type="dxa"/>
              <w:right w:w="20" w:type="dxa"/>
            </w:tcMar>
            <w:vAlign w:val="bottom"/>
          </w:tcPr>
          <w:p w14:paraId="07DD002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2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2A" w14:textId="77777777" w:rsidR="00AE727E" w:rsidRDefault="008433E0">
            <w:pPr>
              <w:jc w:val="right"/>
              <w:textAlignment w:val="bottom"/>
            </w:pPr>
            <w:r>
              <w:rPr>
                <w:rFonts w:ascii="Times New Roman" w:eastAsia="宋体" w:hAnsi="Times New Roman"/>
                <w:color w:val="000000"/>
                <w:sz w:val="20"/>
                <w:szCs w:val="20"/>
              </w:rPr>
              <w:t>2,117 </w:t>
            </w:r>
          </w:p>
        </w:tc>
        <w:tc>
          <w:tcPr>
            <w:tcW w:w="0" w:type="auto"/>
            <w:shd w:val="clear" w:color="auto" w:fill="FFFFFF"/>
            <w:tcMar>
              <w:top w:w="40" w:type="dxa"/>
              <w:left w:w="0" w:type="dxa"/>
              <w:bottom w:w="40" w:type="dxa"/>
              <w:right w:w="20" w:type="dxa"/>
            </w:tcMar>
            <w:vAlign w:val="bottom"/>
          </w:tcPr>
          <w:p w14:paraId="07DD002B" w14:textId="77777777" w:rsidR="00AE727E" w:rsidRDefault="00AE727E">
            <w:pPr>
              <w:jc w:val="right"/>
              <w:rPr>
                <w:rFonts w:ascii="宋体"/>
              </w:rPr>
            </w:pPr>
          </w:p>
        </w:tc>
      </w:tr>
      <w:tr w:rsidR="00AE727E" w14:paraId="07DD0033" w14:textId="77777777">
        <w:tc>
          <w:tcPr>
            <w:tcW w:w="0" w:type="auto"/>
            <w:gridSpan w:val="3"/>
            <w:shd w:val="clear" w:color="auto" w:fill="CCEEFF"/>
            <w:tcMar>
              <w:top w:w="40" w:type="dxa"/>
              <w:left w:w="155" w:type="dxa"/>
              <w:bottom w:w="40" w:type="dxa"/>
              <w:right w:w="20" w:type="dxa"/>
            </w:tcMar>
            <w:vAlign w:val="bottom"/>
          </w:tcPr>
          <w:p w14:paraId="07DD002D" w14:textId="77777777" w:rsidR="00AE727E" w:rsidRDefault="008433E0">
            <w:pPr>
              <w:textAlignment w:val="bottom"/>
            </w:pPr>
            <w:r>
              <w:rPr>
                <w:rFonts w:ascii="Times New Roman" w:eastAsia="宋体" w:hAnsi="Times New Roman"/>
                <w:color w:val="000000"/>
                <w:sz w:val="20"/>
                <w:szCs w:val="20"/>
              </w:rPr>
              <w:t>Deferred commissions</w:t>
            </w:r>
          </w:p>
        </w:tc>
        <w:tc>
          <w:tcPr>
            <w:tcW w:w="0" w:type="auto"/>
            <w:gridSpan w:val="2"/>
            <w:shd w:val="clear" w:color="auto" w:fill="CCEEFF"/>
            <w:tcMar>
              <w:top w:w="40" w:type="dxa"/>
              <w:left w:w="20" w:type="dxa"/>
              <w:bottom w:w="40" w:type="dxa"/>
              <w:right w:w="0" w:type="dxa"/>
            </w:tcMar>
            <w:vAlign w:val="bottom"/>
          </w:tcPr>
          <w:p w14:paraId="07DD002E" w14:textId="77777777" w:rsidR="00AE727E" w:rsidRDefault="008433E0">
            <w:pPr>
              <w:jc w:val="right"/>
              <w:textAlignment w:val="bottom"/>
            </w:pPr>
            <w:r>
              <w:rPr>
                <w:rFonts w:ascii="Times New Roman" w:eastAsia="宋体" w:hAnsi="Times New Roman"/>
                <w:color w:val="000000"/>
                <w:sz w:val="20"/>
                <w:szCs w:val="20"/>
              </w:rPr>
              <w:t>1,158 </w:t>
            </w:r>
          </w:p>
        </w:tc>
        <w:tc>
          <w:tcPr>
            <w:tcW w:w="0" w:type="auto"/>
            <w:shd w:val="clear" w:color="auto" w:fill="CCEEFF"/>
            <w:tcMar>
              <w:top w:w="40" w:type="dxa"/>
              <w:left w:w="0" w:type="dxa"/>
              <w:bottom w:w="40" w:type="dxa"/>
              <w:right w:w="20" w:type="dxa"/>
            </w:tcMar>
            <w:vAlign w:val="bottom"/>
          </w:tcPr>
          <w:p w14:paraId="07DD002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3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31" w14:textId="77777777" w:rsidR="00AE727E" w:rsidRDefault="008433E0">
            <w:pPr>
              <w:jc w:val="right"/>
              <w:textAlignment w:val="bottom"/>
            </w:pPr>
            <w:r>
              <w:rPr>
                <w:rFonts w:ascii="Times New Roman" w:eastAsia="宋体" w:hAnsi="Times New Roman"/>
                <w:color w:val="000000"/>
                <w:sz w:val="20"/>
                <w:szCs w:val="20"/>
              </w:rPr>
              <w:t>1,094 </w:t>
            </w:r>
          </w:p>
        </w:tc>
        <w:tc>
          <w:tcPr>
            <w:tcW w:w="0" w:type="auto"/>
            <w:shd w:val="clear" w:color="auto" w:fill="CCEEFF"/>
            <w:tcMar>
              <w:top w:w="40" w:type="dxa"/>
              <w:left w:w="0" w:type="dxa"/>
              <w:bottom w:w="40" w:type="dxa"/>
              <w:right w:w="20" w:type="dxa"/>
            </w:tcMar>
            <w:vAlign w:val="bottom"/>
          </w:tcPr>
          <w:p w14:paraId="07DD0032" w14:textId="77777777" w:rsidR="00AE727E" w:rsidRDefault="00AE727E">
            <w:pPr>
              <w:jc w:val="right"/>
              <w:rPr>
                <w:rFonts w:ascii="宋体"/>
              </w:rPr>
            </w:pPr>
          </w:p>
        </w:tc>
      </w:tr>
      <w:tr w:rsidR="00AE727E" w14:paraId="07DD003A" w14:textId="77777777">
        <w:tc>
          <w:tcPr>
            <w:tcW w:w="0" w:type="auto"/>
            <w:gridSpan w:val="3"/>
            <w:shd w:val="clear" w:color="auto" w:fill="FFFFFF"/>
            <w:tcMar>
              <w:top w:w="40" w:type="dxa"/>
              <w:left w:w="155" w:type="dxa"/>
              <w:bottom w:w="40" w:type="dxa"/>
              <w:right w:w="20" w:type="dxa"/>
            </w:tcMar>
            <w:vAlign w:val="bottom"/>
          </w:tcPr>
          <w:p w14:paraId="07DD0034"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D0035" w14:textId="77777777" w:rsidR="00AE727E" w:rsidRDefault="008433E0">
            <w:pPr>
              <w:jc w:val="right"/>
              <w:textAlignment w:val="bottom"/>
            </w:pPr>
            <w:r>
              <w:rPr>
                <w:rFonts w:ascii="Times New Roman" w:eastAsia="宋体" w:hAnsi="Times New Roman"/>
                <w:color w:val="000000"/>
                <w:sz w:val="20"/>
                <w:szCs w:val="20"/>
              </w:rPr>
              <w:t>1,895 </w:t>
            </w:r>
          </w:p>
        </w:tc>
        <w:tc>
          <w:tcPr>
            <w:tcW w:w="0" w:type="auto"/>
            <w:shd w:val="clear" w:color="auto" w:fill="FFFFFF"/>
            <w:tcMar>
              <w:top w:w="40" w:type="dxa"/>
              <w:left w:w="0" w:type="dxa"/>
              <w:bottom w:w="40" w:type="dxa"/>
              <w:right w:w="20" w:type="dxa"/>
            </w:tcMar>
            <w:vAlign w:val="bottom"/>
          </w:tcPr>
          <w:p w14:paraId="07DD003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3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38" w14:textId="77777777" w:rsidR="00AE727E" w:rsidRDefault="008433E0">
            <w:pPr>
              <w:jc w:val="right"/>
              <w:textAlignment w:val="bottom"/>
            </w:pPr>
            <w:r>
              <w:rPr>
                <w:rFonts w:ascii="Times New Roman" w:eastAsia="宋体" w:hAnsi="Times New Roman"/>
                <w:color w:val="000000"/>
                <w:sz w:val="20"/>
                <w:szCs w:val="20"/>
              </w:rPr>
              <w:t>1,755 </w:t>
            </w:r>
          </w:p>
        </w:tc>
        <w:tc>
          <w:tcPr>
            <w:tcW w:w="0" w:type="auto"/>
            <w:shd w:val="clear" w:color="auto" w:fill="FFFFFF"/>
            <w:tcMar>
              <w:top w:w="40" w:type="dxa"/>
              <w:left w:w="0" w:type="dxa"/>
              <w:bottom w:w="40" w:type="dxa"/>
              <w:right w:w="20" w:type="dxa"/>
            </w:tcMar>
            <w:vAlign w:val="bottom"/>
          </w:tcPr>
          <w:p w14:paraId="07DD0039" w14:textId="77777777" w:rsidR="00AE727E" w:rsidRDefault="00AE727E">
            <w:pPr>
              <w:jc w:val="right"/>
              <w:rPr>
                <w:rFonts w:ascii="宋体"/>
              </w:rPr>
            </w:pPr>
          </w:p>
        </w:tc>
      </w:tr>
      <w:tr w:rsidR="00AE727E" w14:paraId="07DD0043" w14:textId="77777777">
        <w:tc>
          <w:tcPr>
            <w:tcW w:w="0" w:type="auto"/>
            <w:gridSpan w:val="3"/>
            <w:shd w:val="clear" w:color="auto" w:fill="CCEEFF"/>
            <w:tcMar>
              <w:top w:w="40" w:type="dxa"/>
              <w:left w:w="245" w:type="dxa"/>
              <w:bottom w:w="40" w:type="dxa"/>
              <w:right w:w="20" w:type="dxa"/>
            </w:tcMar>
            <w:vAlign w:val="bottom"/>
          </w:tcPr>
          <w:p w14:paraId="07DD003B" w14:textId="77777777" w:rsidR="00AE727E" w:rsidRDefault="008433E0">
            <w:pPr>
              <w:textAlignment w:val="bottom"/>
            </w:pPr>
            <w:r>
              <w:rPr>
                <w:rFonts w:ascii="Times New Roman" w:eastAsia="宋体" w:hAnsi="Times New Roman"/>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03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03D" w14:textId="77777777" w:rsidR="00AE727E" w:rsidRDefault="008433E0">
            <w:pPr>
              <w:jc w:val="right"/>
              <w:textAlignment w:val="bottom"/>
            </w:pPr>
            <w:r>
              <w:rPr>
                <w:rFonts w:ascii="Times New Roman" w:eastAsia="宋体" w:hAnsi="Times New Roman"/>
                <w:color w:val="000000"/>
                <w:sz w:val="20"/>
                <w:szCs w:val="20"/>
              </w:rPr>
              <w:t>11,456 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03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3F"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04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041" w14:textId="77777777" w:rsidR="00AE727E" w:rsidRDefault="008433E0">
            <w:pPr>
              <w:jc w:val="right"/>
              <w:textAlignment w:val="bottom"/>
            </w:pPr>
            <w:r>
              <w:rPr>
                <w:rFonts w:ascii="Times New Roman" w:eastAsia="宋体" w:hAnsi="Times New Roman"/>
                <w:color w:val="000000"/>
                <w:sz w:val="20"/>
                <w:szCs w:val="20"/>
              </w:rPr>
              <w:t>11,196 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042" w14:textId="77777777" w:rsidR="00AE727E" w:rsidRDefault="00AE727E">
            <w:pPr>
              <w:jc w:val="right"/>
              <w:rPr>
                <w:rFonts w:ascii="宋体"/>
              </w:rPr>
            </w:pPr>
          </w:p>
        </w:tc>
      </w:tr>
      <w:tr w:rsidR="00AE727E" w14:paraId="07DD0048" w14:textId="77777777">
        <w:trPr>
          <w:hidden/>
        </w:trPr>
        <w:tc>
          <w:tcPr>
            <w:tcW w:w="0" w:type="auto"/>
            <w:gridSpan w:val="3"/>
            <w:shd w:val="clear" w:color="auto" w:fill="auto"/>
            <w:vAlign w:val="bottom"/>
          </w:tcPr>
          <w:p w14:paraId="07DD0044" w14:textId="77777777" w:rsidR="00AE727E" w:rsidRDefault="00AE727E">
            <w:pPr>
              <w:rPr>
                <w:rFonts w:ascii="宋体"/>
                <w:vanish/>
              </w:rPr>
            </w:pPr>
          </w:p>
        </w:tc>
        <w:tc>
          <w:tcPr>
            <w:tcW w:w="0" w:type="auto"/>
            <w:gridSpan w:val="3"/>
            <w:shd w:val="clear" w:color="auto" w:fill="auto"/>
            <w:vAlign w:val="bottom"/>
          </w:tcPr>
          <w:p w14:paraId="07DD0045" w14:textId="77777777" w:rsidR="00AE727E" w:rsidRDefault="00AE727E">
            <w:pPr>
              <w:rPr>
                <w:rFonts w:ascii="宋体"/>
                <w:vanish/>
              </w:rPr>
            </w:pPr>
          </w:p>
        </w:tc>
        <w:tc>
          <w:tcPr>
            <w:tcW w:w="0" w:type="auto"/>
            <w:gridSpan w:val="3"/>
            <w:shd w:val="clear" w:color="auto" w:fill="auto"/>
            <w:vAlign w:val="bottom"/>
          </w:tcPr>
          <w:p w14:paraId="07DD0046" w14:textId="77777777" w:rsidR="00AE727E" w:rsidRDefault="00AE727E">
            <w:pPr>
              <w:rPr>
                <w:rFonts w:ascii="宋体"/>
                <w:vanish/>
              </w:rPr>
            </w:pPr>
          </w:p>
        </w:tc>
        <w:tc>
          <w:tcPr>
            <w:tcW w:w="0" w:type="auto"/>
            <w:gridSpan w:val="3"/>
            <w:shd w:val="clear" w:color="auto" w:fill="auto"/>
            <w:vAlign w:val="bottom"/>
          </w:tcPr>
          <w:p w14:paraId="07DD0047" w14:textId="77777777" w:rsidR="00AE727E" w:rsidRDefault="00AE727E">
            <w:pPr>
              <w:rPr>
                <w:rFonts w:ascii="宋体"/>
                <w:vanish/>
              </w:rPr>
            </w:pPr>
          </w:p>
        </w:tc>
      </w:tr>
      <w:tr w:rsidR="00AE727E" w14:paraId="07DD004D" w14:textId="77777777">
        <w:trPr>
          <w:hidden/>
        </w:trPr>
        <w:tc>
          <w:tcPr>
            <w:tcW w:w="0" w:type="auto"/>
            <w:gridSpan w:val="3"/>
            <w:shd w:val="clear" w:color="auto" w:fill="auto"/>
            <w:vAlign w:val="bottom"/>
          </w:tcPr>
          <w:p w14:paraId="07DD0049" w14:textId="77777777" w:rsidR="00AE727E" w:rsidRDefault="00AE727E">
            <w:pPr>
              <w:rPr>
                <w:rFonts w:ascii="宋体"/>
                <w:vanish/>
              </w:rPr>
            </w:pPr>
          </w:p>
        </w:tc>
        <w:tc>
          <w:tcPr>
            <w:tcW w:w="0" w:type="auto"/>
            <w:gridSpan w:val="3"/>
            <w:shd w:val="clear" w:color="auto" w:fill="auto"/>
            <w:vAlign w:val="bottom"/>
          </w:tcPr>
          <w:p w14:paraId="07DD004A" w14:textId="77777777" w:rsidR="00AE727E" w:rsidRDefault="00AE727E">
            <w:pPr>
              <w:rPr>
                <w:rFonts w:ascii="宋体"/>
                <w:vanish/>
              </w:rPr>
            </w:pPr>
          </w:p>
        </w:tc>
        <w:tc>
          <w:tcPr>
            <w:tcW w:w="0" w:type="auto"/>
            <w:gridSpan w:val="3"/>
            <w:shd w:val="clear" w:color="auto" w:fill="auto"/>
            <w:vAlign w:val="bottom"/>
          </w:tcPr>
          <w:p w14:paraId="07DD004B" w14:textId="77777777" w:rsidR="00AE727E" w:rsidRDefault="00AE727E">
            <w:pPr>
              <w:rPr>
                <w:rFonts w:ascii="宋体"/>
                <w:vanish/>
              </w:rPr>
            </w:pPr>
          </w:p>
        </w:tc>
        <w:tc>
          <w:tcPr>
            <w:tcW w:w="0" w:type="auto"/>
            <w:gridSpan w:val="3"/>
            <w:shd w:val="clear" w:color="auto" w:fill="auto"/>
            <w:vAlign w:val="bottom"/>
          </w:tcPr>
          <w:p w14:paraId="07DD004C" w14:textId="77777777" w:rsidR="00AE727E" w:rsidRDefault="00AE727E">
            <w:pPr>
              <w:rPr>
                <w:rFonts w:ascii="宋体"/>
                <w:vanish/>
              </w:rPr>
            </w:pPr>
          </w:p>
        </w:tc>
      </w:tr>
      <w:tr w:rsidR="00AE727E" w14:paraId="07DD0052" w14:textId="77777777">
        <w:trPr>
          <w:hidden/>
        </w:trPr>
        <w:tc>
          <w:tcPr>
            <w:tcW w:w="0" w:type="auto"/>
            <w:gridSpan w:val="3"/>
            <w:shd w:val="clear" w:color="auto" w:fill="auto"/>
            <w:vAlign w:val="bottom"/>
          </w:tcPr>
          <w:p w14:paraId="07DD004E" w14:textId="77777777" w:rsidR="00AE727E" w:rsidRDefault="00AE727E">
            <w:pPr>
              <w:rPr>
                <w:rFonts w:ascii="宋体"/>
                <w:vanish/>
              </w:rPr>
            </w:pPr>
          </w:p>
        </w:tc>
        <w:tc>
          <w:tcPr>
            <w:tcW w:w="0" w:type="auto"/>
            <w:gridSpan w:val="3"/>
            <w:shd w:val="clear" w:color="auto" w:fill="auto"/>
            <w:vAlign w:val="bottom"/>
          </w:tcPr>
          <w:p w14:paraId="07DD004F" w14:textId="77777777" w:rsidR="00AE727E" w:rsidRDefault="00AE727E">
            <w:pPr>
              <w:rPr>
                <w:rFonts w:ascii="宋体"/>
                <w:vanish/>
              </w:rPr>
            </w:pPr>
          </w:p>
        </w:tc>
        <w:tc>
          <w:tcPr>
            <w:tcW w:w="0" w:type="auto"/>
            <w:gridSpan w:val="3"/>
            <w:shd w:val="clear" w:color="auto" w:fill="auto"/>
            <w:vAlign w:val="bottom"/>
          </w:tcPr>
          <w:p w14:paraId="07DD0050" w14:textId="77777777" w:rsidR="00AE727E" w:rsidRDefault="00AE727E">
            <w:pPr>
              <w:rPr>
                <w:rFonts w:ascii="宋体"/>
                <w:vanish/>
              </w:rPr>
            </w:pPr>
          </w:p>
        </w:tc>
        <w:tc>
          <w:tcPr>
            <w:tcW w:w="0" w:type="auto"/>
            <w:gridSpan w:val="3"/>
            <w:shd w:val="clear" w:color="auto" w:fill="auto"/>
            <w:vAlign w:val="bottom"/>
          </w:tcPr>
          <w:p w14:paraId="07DD0051" w14:textId="77777777" w:rsidR="00AE727E" w:rsidRDefault="00AE727E">
            <w:pPr>
              <w:rPr>
                <w:rFonts w:ascii="宋体"/>
                <w:vanish/>
              </w:rPr>
            </w:pPr>
          </w:p>
        </w:tc>
      </w:tr>
      <w:tr w:rsidR="00AE727E" w14:paraId="07DD0057" w14:textId="77777777">
        <w:trPr>
          <w:hidden/>
        </w:trPr>
        <w:tc>
          <w:tcPr>
            <w:tcW w:w="0" w:type="auto"/>
            <w:gridSpan w:val="3"/>
            <w:shd w:val="clear" w:color="auto" w:fill="auto"/>
            <w:vAlign w:val="bottom"/>
          </w:tcPr>
          <w:p w14:paraId="07DD0053" w14:textId="77777777" w:rsidR="00AE727E" w:rsidRDefault="00AE727E">
            <w:pPr>
              <w:rPr>
                <w:rFonts w:ascii="宋体"/>
                <w:vanish/>
              </w:rPr>
            </w:pPr>
          </w:p>
        </w:tc>
        <w:tc>
          <w:tcPr>
            <w:tcW w:w="0" w:type="auto"/>
            <w:gridSpan w:val="3"/>
            <w:shd w:val="clear" w:color="auto" w:fill="auto"/>
            <w:vAlign w:val="bottom"/>
          </w:tcPr>
          <w:p w14:paraId="07DD0054" w14:textId="77777777" w:rsidR="00AE727E" w:rsidRDefault="00AE727E">
            <w:pPr>
              <w:rPr>
                <w:rFonts w:ascii="宋体"/>
                <w:vanish/>
              </w:rPr>
            </w:pPr>
          </w:p>
        </w:tc>
        <w:tc>
          <w:tcPr>
            <w:tcW w:w="0" w:type="auto"/>
            <w:gridSpan w:val="3"/>
            <w:shd w:val="clear" w:color="auto" w:fill="auto"/>
            <w:vAlign w:val="bottom"/>
          </w:tcPr>
          <w:p w14:paraId="07DD0055" w14:textId="77777777" w:rsidR="00AE727E" w:rsidRDefault="00AE727E">
            <w:pPr>
              <w:rPr>
                <w:rFonts w:ascii="宋体"/>
                <w:vanish/>
              </w:rPr>
            </w:pPr>
          </w:p>
        </w:tc>
        <w:tc>
          <w:tcPr>
            <w:tcW w:w="0" w:type="auto"/>
            <w:gridSpan w:val="3"/>
            <w:shd w:val="clear" w:color="auto" w:fill="auto"/>
            <w:vAlign w:val="bottom"/>
          </w:tcPr>
          <w:p w14:paraId="07DD0056" w14:textId="77777777" w:rsidR="00AE727E" w:rsidRDefault="00AE727E">
            <w:pPr>
              <w:rPr>
                <w:rFonts w:ascii="宋体"/>
                <w:vanish/>
              </w:rPr>
            </w:pPr>
          </w:p>
        </w:tc>
      </w:tr>
      <w:tr w:rsidR="00AE727E" w14:paraId="07DD005C" w14:textId="77777777">
        <w:trPr>
          <w:hidden/>
        </w:trPr>
        <w:tc>
          <w:tcPr>
            <w:tcW w:w="0" w:type="auto"/>
            <w:gridSpan w:val="3"/>
            <w:shd w:val="clear" w:color="auto" w:fill="auto"/>
            <w:vAlign w:val="bottom"/>
          </w:tcPr>
          <w:p w14:paraId="07DD0058" w14:textId="77777777" w:rsidR="00AE727E" w:rsidRDefault="00AE727E">
            <w:pPr>
              <w:rPr>
                <w:rFonts w:ascii="宋体"/>
                <w:vanish/>
              </w:rPr>
            </w:pPr>
          </w:p>
        </w:tc>
        <w:tc>
          <w:tcPr>
            <w:tcW w:w="0" w:type="auto"/>
            <w:gridSpan w:val="3"/>
            <w:shd w:val="clear" w:color="auto" w:fill="auto"/>
            <w:vAlign w:val="bottom"/>
          </w:tcPr>
          <w:p w14:paraId="07DD0059" w14:textId="77777777" w:rsidR="00AE727E" w:rsidRDefault="00AE727E">
            <w:pPr>
              <w:rPr>
                <w:rFonts w:ascii="宋体"/>
                <w:vanish/>
              </w:rPr>
            </w:pPr>
          </w:p>
        </w:tc>
        <w:tc>
          <w:tcPr>
            <w:tcW w:w="0" w:type="auto"/>
            <w:gridSpan w:val="3"/>
            <w:shd w:val="clear" w:color="auto" w:fill="auto"/>
            <w:vAlign w:val="bottom"/>
          </w:tcPr>
          <w:p w14:paraId="07DD005A" w14:textId="77777777" w:rsidR="00AE727E" w:rsidRDefault="00AE727E">
            <w:pPr>
              <w:rPr>
                <w:rFonts w:ascii="宋体"/>
                <w:vanish/>
              </w:rPr>
            </w:pPr>
          </w:p>
        </w:tc>
        <w:tc>
          <w:tcPr>
            <w:tcW w:w="0" w:type="auto"/>
            <w:gridSpan w:val="3"/>
            <w:shd w:val="clear" w:color="auto" w:fill="auto"/>
            <w:vAlign w:val="bottom"/>
          </w:tcPr>
          <w:p w14:paraId="07DD005B" w14:textId="77777777" w:rsidR="00AE727E" w:rsidRDefault="00AE727E">
            <w:pPr>
              <w:rPr>
                <w:rFonts w:ascii="宋体"/>
                <w:vanish/>
              </w:rPr>
            </w:pPr>
          </w:p>
        </w:tc>
      </w:tr>
      <w:tr w:rsidR="00AE727E" w14:paraId="07DD0061" w14:textId="77777777">
        <w:trPr>
          <w:hidden/>
        </w:trPr>
        <w:tc>
          <w:tcPr>
            <w:tcW w:w="0" w:type="auto"/>
            <w:gridSpan w:val="3"/>
            <w:shd w:val="clear" w:color="auto" w:fill="auto"/>
            <w:vAlign w:val="bottom"/>
          </w:tcPr>
          <w:p w14:paraId="07DD005D" w14:textId="77777777" w:rsidR="00AE727E" w:rsidRDefault="00AE727E">
            <w:pPr>
              <w:rPr>
                <w:rFonts w:ascii="宋体"/>
                <w:vanish/>
              </w:rPr>
            </w:pPr>
          </w:p>
        </w:tc>
        <w:tc>
          <w:tcPr>
            <w:tcW w:w="0" w:type="auto"/>
            <w:gridSpan w:val="3"/>
            <w:shd w:val="clear" w:color="auto" w:fill="auto"/>
            <w:vAlign w:val="bottom"/>
          </w:tcPr>
          <w:p w14:paraId="07DD005E" w14:textId="77777777" w:rsidR="00AE727E" w:rsidRDefault="00AE727E">
            <w:pPr>
              <w:rPr>
                <w:rFonts w:ascii="宋体"/>
                <w:vanish/>
              </w:rPr>
            </w:pPr>
          </w:p>
        </w:tc>
        <w:tc>
          <w:tcPr>
            <w:tcW w:w="0" w:type="auto"/>
            <w:gridSpan w:val="3"/>
            <w:shd w:val="clear" w:color="auto" w:fill="auto"/>
            <w:vAlign w:val="bottom"/>
          </w:tcPr>
          <w:p w14:paraId="07DD005F" w14:textId="77777777" w:rsidR="00AE727E" w:rsidRDefault="00AE727E">
            <w:pPr>
              <w:rPr>
                <w:rFonts w:ascii="宋体"/>
                <w:vanish/>
              </w:rPr>
            </w:pPr>
          </w:p>
        </w:tc>
        <w:tc>
          <w:tcPr>
            <w:tcW w:w="0" w:type="auto"/>
            <w:gridSpan w:val="3"/>
            <w:shd w:val="clear" w:color="auto" w:fill="auto"/>
            <w:vAlign w:val="bottom"/>
          </w:tcPr>
          <w:p w14:paraId="07DD0060" w14:textId="77777777" w:rsidR="00AE727E" w:rsidRDefault="00AE727E">
            <w:pPr>
              <w:rPr>
                <w:rFonts w:ascii="宋体"/>
                <w:vanish/>
              </w:rPr>
            </w:pPr>
          </w:p>
        </w:tc>
      </w:tr>
    </w:tbl>
    <w:p w14:paraId="07DD0062" w14:textId="77777777" w:rsidR="00AE727E" w:rsidRDefault="008433E0">
      <w:r>
        <w:rPr>
          <w:rFonts w:ascii="Times New Roman" w:eastAsia="宋体" w:hAnsi="Times New Roman"/>
          <w:color w:val="000000"/>
          <w:sz w:val="20"/>
          <w:szCs w:val="20"/>
        </w:rPr>
        <w:t>____________________</w:t>
      </w:r>
    </w:p>
    <w:p w14:paraId="07DD0063" w14:textId="77777777" w:rsidR="00AE727E" w:rsidRDefault="008433E0">
      <w:pPr>
        <w:ind w:hanging="360"/>
      </w:pPr>
      <w:r>
        <w:rPr>
          <w:rFonts w:ascii="Times New Roman" w:eastAsia="宋体" w:hAnsi="Times New Roman"/>
          <w:color w:val="000000"/>
          <w:sz w:val="20"/>
          <w:szCs w:val="20"/>
        </w:rPr>
        <w:t>(a)    Restricted cash primarily includes cash required to be held in escrow pursuant to DFS securitization arrangements.</w:t>
      </w:r>
    </w:p>
    <w:p w14:paraId="07DD0064" w14:textId="77777777" w:rsidR="00AE727E" w:rsidRDefault="00AE727E">
      <w:pPr>
        <w:ind w:hanging="360"/>
      </w:pPr>
    </w:p>
    <w:p w14:paraId="07DD0065" w14:textId="77777777" w:rsidR="00AE727E" w:rsidRDefault="00AE727E">
      <w:pPr>
        <w:jc w:val="center"/>
      </w:pPr>
    </w:p>
    <w:p w14:paraId="07DD0066" w14:textId="77777777" w:rsidR="00AE727E" w:rsidRDefault="008433E0">
      <w:pPr>
        <w:jc w:val="center"/>
      </w:pPr>
      <w:r>
        <w:rPr>
          <w:rFonts w:ascii="Times New Roman" w:eastAsia="宋体" w:hAnsi="Times New Roman"/>
          <w:color w:val="000000"/>
          <w:sz w:val="20"/>
          <w:szCs w:val="20"/>
        </w:rPr>
        <w:t>55</w:t>
      </w:r>
    </w:p>
    <w:p w14:paraId="07DD0067" w14:textId="77777777" w:rsidR="00AE727E" w:rsidRDefault="00AE727E">
      <w:pPr>
        <w:jc w:val="center"/>
      </w:pPr>
    </w:p>
    <w:p w14:paraId="07DD0068" w14:textId="77777777" w:rsidR="00AE727E" w:rsidRDefault="008433E0">
      <w:r>
        <w:pict w14:anchorId="07DD1907">
          <v:rect id="_x0000_i1079" style="width:415.3pt;height:1.5pt" o:hralign="center" o:hrstd="t" o:hr="t" fillcolor="#a0a0a0" stroked="f"/>
        </w:pict>
      </w:r>
    </w:p>
    <w:p w14:paraId="07DD0069" w14:textId="77777777" w:rsidR="00AE727E" w:rsidRDefault="008433E0">
      <w:hyperlink r:id="rId180" w:anchor="i1c8279be622a460ea19600488436f115_10" w:history="1">
        <w:r>
          <w:rPr>
            <w:rStyle w:val="a5"/>
            <w:rFonts w:ascii="Times New Roman" w:eastAsia="宋体" w:hAnsi="Times New Roman"/>
            <w:sz w:val="20"/>
            <w:szCs w:val="20"/>
          </w:rPr>
          <w:t>Table of Contents</w:t>
        </w:r>
      </w:hyperlink>
    </w:p>
    <w:p w14:paraId="07DD006A"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D006B"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D006C"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D006D" w14:textId="77777777" w:rsidR="00AE727E" w:rsidRDefault="00AE727E">
      <w:pPr>
        <w:jc w:val="center"/>
      </w:pPr>
    </w:p>
    <w:p w14:paraId="07DD006E" w14:textId="77777777" w:rsidR="00AE727E" w:rsidRDefault="008433E0">
      <w:r>
        <w:rPr>
          <w:rFonts w:ascii="Times New Roman" w:eastAsia="宋体" w:hAnsi="Times New Roman"/>
          <w:b/>
          <w:bCs/>
          <w:color w:val="000000"/>
          <w:sz w:val="20"/>
          <w:szCs w:val="20"/>
        </w:rPr>
        <w:t>Trade Receivables — Allowance for Expected Credit Losses</w:t>
      </w:r>
    </w:p>
    <w:p w14:paraId="07DD006F" w14:textId="77777777" w:rsidR="00AE727E" w:rsidRDefault="00AE727E"/>
    <w:p w14:paraId="07DD0070" w14:textId="77777777" w:rsidR="00AE727E" w:rsidRDefault="008433E0">
      <w:pPr>
        <w:spacing w:after="60"/>
      </w:pPr>
      <w:r>
        <w:rPr>
          <w:rFonts w:ascii="Times New Roman" w:eastAsia="宋体" w:hAnsi="Times New Roman"/>
          <w:color w:val="000000"/>
          <w:sz w:val="20"/>
          <w:szCs w:val="20"/>
        </w:rPr>
        <w:t>The following table presents the changes in the Company’s allowance for expected credit losses for the periods indicated:</w:t>
      </w:r>
    </w:p>
    <w:tbl>
      <w:tblPr>
        <w:tblW w:w="4949" w:type="pct"/>
        <w:tblCellMar>
          <w:top w:w="15" w:type="dxa"/>
          <w:left w:w="15" w:type="dxa"/>
          <w:bottom w:w="15" w:type="dxa"/>
          <w:right w:w="15" w:type="dxa"/>
        </w:tblCellMar>
        <w:tblLook w:val="04A0" w:firstRow="1" w:lastRow="0" w:firstColumn="1" w:lastColumn="0" w:noHBand="0" w:noVBand="1"/>
      </w:tblPr>
      <w:tblGrid>
        <w:gridCol w:w="38"/>
        <w:gridCol w:w="3073"/>
        <w:gridCol w:w="38"/>
        <w:gridCol w:w="122"/>
        <w:gridCol w:w="1036"/>
        <w:gridCol w:w="38"/>
        <w:gridCol w:w="36"/>
        <w:gridCol w:w="36"/>
        <w:gridCol w:w="36"/>
        <w:gridCol w:w="121"/>
        <w:gridCol w:w="1036"/>
        <w:gridCol w:w="37"/>
        <w:gridCol w:w="36"/>
        <w:gridCol w:w="36"/>
        <w:gridCol w:w="36"/>
        <w:gridCol w:w="121"/>
        <w:gridCol w:w="1036"/>
        <w:gridCol w:w="37"/>
        <w:gridCol w:w="36"/>
        <w:gridCol w:w="36"/>
        <w:gridCol w:w="36"/>
        <w:gridCol w:w="121"/>
        <w:gridCol w:w="1036"/>
        <w:gridCol w:w="37"/>
      </w:tblGrid>
      <w:tr w:rsidR="00AE727E" w14:paraId="07DD0089" w14:textId="77777777">
        <w:tc>
          <w:tcPr>
            <w:tcW w:w="50" w:type="pct"/>
            <w:shd w:val="clear" w:color="auto" w:fill="auto"/>
            <w:vAlign w:val="bottom"/>
          </w:tcPr>
          <w:p w14:paraId="07DD0071" w14:textId="77777777" w:rsidR="00AE727E" w:rsidRDefault="00AE727E">
            <w:pPr>
              <w:rPr>
                <w:rFonts w:ascii="宋体"/>
              </w:rPr>
            </w:pPr>
          </w:p>
        </w:tc>
        <w:tc>
          <w:tcPr>
            <w:tcW w:w="1931" w:type="pct"/>
            <w:shd w:val="clear" w:color="auto" w:fill="auto"/>
            <w:vAlign w:val="bottom"/>
          </w:tcPr>
          <w:p w14:paraId="07DD0072" w14:textId="77777777" w:rsidR="00AE727E" w:rsidRDefault="00AE727E">
            <w:pPr>
              <w:rPr>
                <w:rFonts w:ascii="宋体"/>
              </w:rPr>
            </w:pPr>
          </w:p>
        </w:tc>
        <w:tc>
          <w:tcPr>
            <w:tcW w:w="5" w:type="pct"/>
            <w:shd w:val="clear" w:color="auto" w:fill="auto"/>
            <w:vAlign w:val="bottom"/>
          </w:tcPr>
          <w:p w14:paraId="07DD0073" w14:textId="77777777" w:rsidR="00AE727E" w:rsidRDefault="00AE727E">
            <w:pPr>
              <w:rPr>
                <w:rFonts w:ascii="宋体"/>
              </w:rPr>
            </w:pPr>
          </w:p>
        </w:tc>
        <w:tc>
          <w:tcPr>
            <w:tcW w:w="50" w:type="pct"/>
            <w:shd w:val="clear" w:color="auto" w:fill="auto"/>
            <w:vAlign w:val="bottom"/>
          </w:tcPr>
          <w:p w14:paraId="07DD0074" w14:textId="77777777" w:rsidR="00AE727E" w:rsidRDefault="00AE727E">
            <w:pPr>
              <w:rPr>
                <w:rFonts w:ascii="宋体"/>
              </w:rPr>
            </w:pPr>
          </w:p>
        </w:tc>
        <w:tc>
          <w:tcPr>
            <w:tcW w:w="676" w:type="pct"/>
            <w:shd w:val="clear" w:color="auto" w:fill="auto"/>
            <w:vAlign w:val="bottom"/>
          </w:tcPr>
          <w:p w14:paraId="07DD0075" w14:textId="77777777" w:rsidR="00AE727E" w:rsidRDefault="00AE727E">
            <w:pPr>
              <w:rPr>
                <w:rFonts w:ascii="宋体"/>
              </w:rPr>
            </w:pPr>
          </w:p>
        </w:tc>
        <w:tc>
          <w:tcPr>
            <w:tcW w:w="5" w:type="pct"/>
            <w:shd w:val="clear" w:color="auto" w:fill="auto"/>
            <w:vAlign w:val="bottom"/>
          </w:tcPr>
          <w:p w14:paraId="07DD0076" w14:textId="77777777" w:rsidR="00AE727E" w:rsidRDefault="00AE727E">
            <w:pPr>
              <w:rPr>
                <w:rFonts w:ascii="宋体"/>
              </w:rPr>
            </w:pPr>
          </w:p>
        </w:tc>
        <w:tc>
          <w:tcPr>
            <w:tcW w:w="5" w:type="pct"/>
            <w:shd w:val="clear" w:color="auto" w:fill="auto"/>
            <w:vAlign w:val="bottom"/>
          </w:tcPr>
          <w:p w14:paraId="07DD0077" w14:textId="77777777" w:rsidR="00AE727E" w:rsidRDefault="00AE727E">
            <w:pPr>
              <w:rPr>
                <w:rFonts w:ascii="宋体"/>
              </w:rPr>
            </w:pPr>
          </w:p>
        </w:tc>
        <w:tc>
          <w:tcPr>
            <w:tcW w:w="19" w:type="pct"/>
            <w:shd w:val="clear" w:color="auto" w:fill="auto"/>
            <w:vAlign w:val="bottom"/>
          </w:tcPr>
          <w:p w14:paraId="07DD0078" w14:textId="77777777" w:rsidR="00AE727E" w:rsidRDefault="00AE727E">
            <w:pPr>
              <w:rPr>
                <w:rFonts w:ascii="宋体"/>
              </w:rPr>
            </w:pPr>
          </w:p>
        </w:tc>
        <w:tc>
          <w:tcPr>
            <w:tcW w:w="5" w:type="pct"/>
            <w:shd w:val="clear" w:color="auto" w:fill="auto"/>
            <w:vAlign w:val="bottom"/>
          </w:tcPr>
          <w:p w14:paraId="07DD0079" w14:textId="77777777" w:rsidR="00AE727E" w:rsidRDefault="00AE727E">
            <w:pPr>
              <w:rPr>
                <w:rFonts w:ascii="宋体"/>
              </w:rPr>
            </w:pPr>
          </w:p>
        </w:tc>
        <w:tc>
          <w:tcPr>
            <w:tcW w:w="50" w:type="pct"/>
            <w:shd w:val="clear" w:color="auto" w:fill="auto"/>
            <w:vAlign w:val="bottom"/>
          </w:tcPr>
          <w:p w14:paraId="07DD007A" w14:textId="77777777" w:rsidR="00AE727E" w:rsidRDefault="00AE727E">
            <w:pPr>
              <w:rPr>
                <w:rFonts w:ascii="宋体"/>
              </w:rPr>
            </w:pPr>
          </w:p>
        </w:tc>
        <w:tc>
          <w:tcPr>
            <w:tcW w:w="676" w:type="pct"/>
            <w:shd w:val="clear" w:color="auto" w:fill="auto"/>
            <w:vAlign w:val="bottom"/>
          </w:tcPr>
          <w:p w14:paraId="07DD007B" w14:textId="77777777" w:rsidR="00AE727E" w:rsidRDefault="00AE727E">
            <w:pPr>
              <w:rPr>
                <w:rFonts w:ascii="宋体"/>
              </w:rPr>
            </w:pPr>
          </w:p>
        </w:tc>
        <w:tc>
          <w:tcPr>
            <w:tcW w:w="5" w:type="pct"/>
            <w:shd w:val="clear" w:color="auto" w:fill="auto"/>
            <w:vAlign w:val="bottom"/>
          </w:tcPr>
          <w:p w14:paraId="07DD007C" w14:textId="77777777" w:rsidR="00AE727E" w:rsidRDefault="00AE727E">
            <w:pPr>
              <w:rPr>
                <w:rFonts w:ascii="宋体"/>
              </w:rPr>
            </w:pPr>
          </w:p>
        </w:tc>
        <w:tc>
          <w:tcPr>
            <w:tcW w:w="5" w:type="pct"/>
            <w:shd w:val="clear" w:color="auto" w:fill="auto"/>
            <w:vAlign w:val="bottom"/>
          </w:tcPr>
          <w:p w14:paraId="07DD007D" w14:textId="77777777" w:rsidR="00AE727E" w:rsidRDefault="00AE727E">
            <w:pPr>
              <w:rPr>
                <w:rFonts w:ascii="宋体"/>
              </w:rPr>
            </w:pPr>
          </w:p>
        </w:tc>
        <w:tc>
          <w:tcPr>
            <w:tcW w:w="19" w:type="pct"/>
            <w:shd w:val="clear" w:color="auto" w:fill="auto"/>
            <w:vAlign w:val="bottom"/>
          </w:tcPr>
          <w:p w14:paraId="07DD007E" w14:textId="77777777" w:rsidR="00AE727E" w:rsidRDefault="00AE727E">
            <w:pPr>
              <w:rPr>
                <w:rFonts w:ascii="宋体"/>
              </w:rPr>
            </w:pPr>
          </w:p>
        </w:tc>
        <w:tc>
          <w:tcPr>
            <w:tcW w:w="5" w:type="pct"/>
            <w:shd w:val="clear" w:color="auto" w:fill="auto"/>
            <w:vAlign w:val="bottom"/>
          </w:tcPr>
          <w:p w14:paraId="07DD007F" w14:textId="77777777" w:rsidR="00AE727E" w:rsidRDefault="00AE727E">
            <w:pPr>
              <w:rPr>
                <w:rFonts w:ascii="宋体"/>
              </w:rPr>
            </w:pPr>
          </w:p>
        </w:tc>
        <w:tc>
          <w:tcPr>
            <w:tcW w:w="50" w:type="pct"/>
            <w:shd w:val="clear" w:color="auto" w:fill="auto"/>
            <w:vAlign w:val="bottom"/>
          </w:tcPr>
          <w:p w14:paraId="07DD0080" w14:textId="77777777" w:rsidR="00AE727E" w:rsidRDefault="00AE727E">
            <w:pPr>
              <w:rPr>
                <w:rFonts w:ascii="宋体"/>
              </w:rPr>
            </w:pPr>
          </w:p>
        </w:tc>
        <w:tc>
          <w:tcPr>
            <w:tcW w:w="676" w:type="pct"/>
            <w:shd w:val="clear" w:color="auto" w:fill="auto"/>
            <w:vAlign w:val="bottom"/>
          </w:tcPr>
          <w:p w14:paraId="07DD0081" w14:textId="77777777" w:rsidR="00AE727E" w:rsidRDefault="00AE727E">
            <w:pPr>
              <w:rPr>
                <w:rFonts w:ascii="宋体"/>
              </w:rPr>
            </w:pPr>
          </w:p>
        </w:tc>
        <w:tc>
          <w:tcPr>
            <w:tcW w:w="5" w:type="pct"/>
            <w:shd w:val="clear" w:color="auto" w:fill="auto"/>
            <w:vAlign w:val="bottom"/>
          </w:tcPr>
          <w:p w14:paraId="07DD0082" w14:textId="77777777" w:rsidR="00AE727E" w:rsidRDefault="00AE727E">
            <w:pPr>
              <w:rPr>
                <w:rFonts w:ascii="宋体"/>
              </w:rPr>
            </w:pPr>
          </w:p>
        </w:tc>
        <w:tc>
          <w:tcPr>
            <w:tcW w:w="5" w:type="pct"/>
            <w:shd w:val="clear" w:color="auto" w:fill="auto"/>
            <w:vAlign w:val="bottom"/>
          </w:tcPr>
          <w:p w14:paraId="07DD0083" w14:textId="77777777" w:rsidR="00AE727E" w:rsidRDefault="00AE727E">
            <w:pPr>
              <w:rPr>
                <w:rFonts w:ascii="宋体"/>
              </w:rPr>
            </w:pPr>
          </w:p>
        </w:tc>
        <w:tc>
          <w:tcPr>
            <w:tcW w:w="19" w:type="pct"/>
            <w:shd w:val="clear" w:color="auto" w:fill="auto"/>
            <w:vAlign w:val="bottom"/>
          </w:tcPr>
          <w:p w14:paraId="07DD0084" w14:textId="77777777" w:rsidR="00AE727E" w:rsidRDefault="00AE727E">
            <w:pPr>
              <w:rPr>
                <w:rFonts w:ascii="宋体"/>
              </w:rPr>
            </w:pPr>
          </w:p>
        </w:tc>
        <w:tc>
          <w:tcPr>
            <w:tcW w:w="5" w:type="pct"/>
            <w:shd w:val="clear" w:color="auto" w:fill="auto"/>
            <w:vAlign w:val="bottom"/>
          </w:tcPr>
          <w:p w14:paraId="07DD0085" w14:textId="77777777" w:rsidR="00AE727E" w:rsidRDefault="00AE727E">
            <w:pPr>
              <w:rPr>
                <w:rFonts w:ascii="宋体"/>
              </w:rPr>
            </w:pPr>
          </w:p>
        </w:tc>
        <w:tc>
          <w:tcPr>
            <w:tcW w:w="50" w:type="pct"/>
            <w:shd w:val="clear" w:color="auto" w:fill="auto"/>
            <w:vAlign w:val="bottom"/>
          </w:tcPr>
          <w:p w14:paraId="07DD0086" w14:textId="77777777" w:rsidR="00AE727E" w:rsidRDefault="00AE727E">
            <w:pPr>
              <w:rPr>
                <w:rFonts w:ascii="宋体"/>
              </w:rPr>
            </w:pPr>
          </w:p>
        </w:tc>
        <w:tc>
          <w:tcPr>
            <w:tcW w:w="676" w:type="pct"/>
            <w:shd w:val="clear" w:color="auto" w:fill="auto"/>
            <w:vAlign w:val="bottom"/>
          </w:tcPr>
          <w:p w14:paraId="07DD0087" w14:textId="77777777" w:rsidR="00AE727E" w:rsidRDefault="00AE727E">
            <w:pPr>
              <w:rPr>
                <w:rFonts w:ascii="宋体"/>
              </w:rPr>
            </w:pPr>
          </w:p>
        </w:tc>
        <w:tc>
          <w:tcPr>
            <w:tcW w:w="5" w:type="pct"/>
            <w:shd w:val="clear" w:color="auto" w:fill="auto"/>
            <w:vAlign w:val="bottom"/>
          </w:tcPr>
          <w:p w14:paraId="07DD0088" w14:textId="77777777" w:rsidR="00AE727E" w:rsidRDefault="00AE727E">
            <w:pPr>
              <w:rPr>
                <w:rFonts w:ascii="宋体"/>
              </w:rPr>
            </w:pPr>
          </w:p>
        </w:tc>
      </w:tr>
      <w:tr w:rsidR="00AE727E" w14:paraId="07DD008E" w14:textId="77777777">
        <w:tc>
          <w:tcPr>
            <w:tcW w:w="0" w:type="auto"/>
            <w:gridSpan w:val="3"/>
            <w:shd w:val="clear" w:color="auto" w:fill="auto"/>
            <w:tcMar>
              <w:top w:w="0" w:type="dxa"/>
              <w:left w:w="20" w:type="dxa"/>
              <w:bottom w:w="0" w:type="dxa"/>
              <w:right w:w="20" w:type="dxa"/>
            </w:tcMar>
            <w:vAlign w:val="bottom"/>
          </w:tcPr>
          <w:p w14:paraId="07DD008A"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08B"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08C"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08D"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097" w14:textId="77777777">
        <w:tc>
          <w:tcPr>
            <w:tcW w:w="0" w:type="auto"/>
            <w:gridSpan w:val="3"/>
            <w:shd w:val="clear" w:color="auto" w:fill="auto"/>
            <w:tcMar>
              <w:top w:w="0" w:type="dxa"/>
              <w:left w:w="20" w:type="dxa"/>
              <w:bottom w:w="0" w:type="dxa"/>
              <w:right w:w="20" w:type="dxa"/>
            </w:tcMar>
            <w:vAlign w:val="bottom"/>
          </w:tcPr>
          <w:p w14:paraId="07DD008F"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09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09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092"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09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09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09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096"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09A" w14:textId="77777777">
        <w:tc>
          <w:tcPr>
            <w:tcW w:w="0" w:type="auto"/>
            <w:gridSpan w:val="3"/>
            <w:shd w:val="clear" w:color="auto" w:fill="auto"/>
            <w:tcMar>
              <w:top w:w="0" w:type="dxa"/>
              <w:left w:w="20" w:type="dxa"/>
              <w:bottom w:w="0" w:type="dxa"/>
              <w:right w:w="20" w:type="dxa"/>
            </w:tcMar>
            <w:vAlign w:val="bottom"/>
          </w:tcPr>
          <w:p w14:paraId="07DD0098"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D0099"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D00A2" w14:textId="77777777">
        <w:tc>
          <w:tcPr>
            <w:tcW w:w="0" w:type="auto"/>
            <w:gridSpan w:val="6"/>
            <w:shd w:val="clear" w:color="auto" w:fill="CCEEFF"/>
            <w:tcMar>
              <w:top w:w="40" w:type="dxa"/>
              <w:left w:w="20" w:type="dxa"/>
              <w:bottom w:w="40" w:type="dxa"/>
              <w:right w:w="20" w:type="dxa"/>
            </w:tcMar>
            <w:vAlign w:val="center"/>
          </w:tcPr>
          <w:p w14:paraId="07DD009B" w14:textId="77777777" w:rsidR="00AE727E" w:rsidRDefault="008433E0">
            <w:pPr>
              <w:textAlignment w:val="center"/>
            </w:pPr>
            <w:r>
              <w:rPr>
                <w:rFonts w:ascii="Times New Roman" w:eastAsia="宋体" w:hAnsi="Times New Roman"/>
                <w:i/>
                <w:iCs/>
                <w:color w:val="000000"/>
                <w:sz w:val="20"/>
                <w:szCs w:val="20"/>
              </w:rPr>
              <w:t xml:space="preserve">Trade Receivables </w:t>
            </w:r>
            <w:r>
              <w:rPr>
                <w:rFonts w:ascii="Times New Roman" w:eastAsia="宋体" w:hAnsi="Times New Roman"/>
                <w:b/>
                <w:bCs/>
                <w:i/>
                <w:iCs/>
                <w:color w:val="000000"/>
                <w:sz w:val="20"/>
                <w:szCs w:val="20"/>
              </w:rPr>
              <w:t>—</w:t>
            </w:r>
            <w:r>
              <w:rPr>
                <w:rFonts w:ascii="Times New Roman" w:eastAsia="宋体" w:hAnsi="Times New Roman"/>
                <w:i/>
                <w:iCs/>
                <w:color w:val="000000"/>
                <w:sz w:val="20"/>
                <w:szCs w:val="20"/>
              </w:rPr>
              <w:t xml:space="preserve"> Allowance for expected credit losses:</w:t>
            </w:r>
          </w:p>
        </w:tc>
        <w:tc>
          <w:tcPr>
            <w:tcW w:w="0" w:type="auto"/>
            <w:gridSpan w:val="3"/>
            <w:shd w:val="clear" w:color="auto" w:fill="CCEEFF"/>
            <w:tcMar>
              <w:top w:w="0" w:type="dxa"/>
              <w:left w:w="20" w:type="dxa"/>
              <w:bottom w:w="0" w:type="dxa"/>
              <w:right w:w="20" w:type="dxa"/>
            </w:tcMar>
            <w:vAlign w:val="bottom"/>
          </w:tcPr>
          <w:p w14:paraId="07DD009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09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09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09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0A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0A1" w14:textId="77777777" w:rsidR="00AE727E" w:rsidRDefault="00AE727E">
            <w:pPr>
              <w:rPr>
                <w:rFonts w:ascii="宋体"/>
              </w:rPr>
            </w:pPr>
          </w:p>
        </w:tc>
      </w:tr>
      <w:tr w:rsidR="00AE727E" w14:paraId="07DD00B3" w14:textId="77777777">
        <w:tc>
          <w:tcPr>
            <w:tcW w:w="0" w:type="auto"/>
            <w:gridSpan w:val="3"/>
            <w:shd w:val="clear" w:color="auto" w:fill="FFFFFF"/>
            <w:tcMar>
              <w:top w:w="40" w:type="dxa"/>
              <w:left w:w="20" w:type="dxa"/>
              <w:bottom w:w="40" w:type="dxa"/>
              <w:right w:w="20" w:type="dxa"/>
            </w:tcMar>
            <w:vAlign w:val="center"/>
          </w:tcPr>
          <w:p w14:paraId="07DD00A3" w14:textId="77777777" w:rsidR="00AE727E" w:rsidRDefault="008433E0">
            <w:pPr>
              <w:textAlignment w:val="center"/>
            </w:pPr>
            <w:r>
              <w:rPr>
                <w:rFonts w:ascii="Times New Roman" w:eastAsia="宋体" w:hAnsi="Times New Roman"/>
                <w:color w:val="000000"/>
                <w:sz w:val="20"/>
                <w:szCs w:val="20"/>
              </w:rPr>
              <w:t xml:space="preserve">Balance at beginning of </w:t>
            </w:r>
            <w:r>
              <w:rPr>
                <w:rFonts w:ascii="Times New Roman" w:eastAsia="宋体" w:hAnsi="Times New Roman"/>
                <w:color w:val="000000"/>
                <w:sz w:val="20"/>
                <w:szCs w:val="20"/>
              </w:rPr>
              <w:t>period</w:t>
            </w:r>
          </w:p>
        </w:tc>
        <w:tc>
          <w:tcPr>
            <w:tcW w:w="0" w:type="auto"/>
            <w:shd w:val="clear" w:color="auto" w:fill="FFFFFF"/>
            <w:tcMar>
              <w:top w:w="40" w:type="dxa"/>
              <w:left w:w="20" w:type="dxa"/>
              <w:bottom w:w="40" w:type="dxa"/>
              <w:right w:w="0" w:type="dxa"/>
            </w:tcMar>
            <w:vAlign w:val="center"/>
          </w:tcPr>
          <w:p w14:paraId="07DD00A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0A5" w14:textId="77777777" w:rsidR="00AE727E" w:rsidRDefault="008433E0">
            <w:pPr>
              <w:jc w:val="right"/>
              <w:textAlignment w:val="center"/>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center"/>
          </w:tcPr>
          <w:p w14:paraId="07DD00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A7"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0A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0A9" w14:textId="77777777" w:rsidR="00AE727E" w:rsidRDefault="008433E0">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07DD00A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A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0A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0AD" w14:textId="77777777" w:rsidR="00AE727E" w:rsidRDefault="008433E0">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07DD00A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AF"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0B0"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0B1" w14:textId="77777777" w:rsidR="00AE727E" w:rsidRDefault="008433E0">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07DD00B2" w14:textId="77777777" w:rsidR="00AE727E" w:rsidRDefault="00AE727E">
            <w:pPr>
              <w:jc w:val="right"/>
              <w:rPr>
                <w:rFonts w:ascii="宋体"/>
              </w:rPr>
            </w:pPr>
          </w:p>
        </w:tc>
      </w:tr>
      <w:tr w:rsidR="00AE727E" w14:paraId="07DD00C0" w14:textId="77777777">
        <w:tc>
          <w:tcPr>
            <w:tcW w:w="0" w:type="auto"/>
            <w:gridSpan w:val="3"/>
            <w:shd w:val="clear" w:color="auto" w:fill="CCEEFF"/>
            <w:tcMar>
              <w:top w:w="40" w:type="dxa"/>
              <w:left w:w="140" w:type="dxa"/>
              <w:bottom w:w="40" w:type="dxa"/>
              <w:right w:w="20" w:type="dxa"/>
            </w:tcMar>
            <w:vAlign w:val="center"/>
          </w:tcPr>
          <w:p w14:paraId="07DD00B4" w14:textId="77777777" w:rsidR="00AE727E" w:rsidRDefault="008433E0">
            <w:pPr>
              <w:textAlignment w:val="center"/>
            </w:pPr>
            <w:r>
              <w:rPr>
                <w:rFonts w:ascii="Times New Roman" w:eastAsia="宋体" w:hAnsi="Times New Roman"/>
                <w:color w:val="000000"/>
                <w:sz w:val="20"/>
                <w:szCs w:val="20"/>
              </w:rPr>
              <w:t>Adjustment for adoption of accounting standard (a)</w:t>
            </w:r>
          </w:p>
        </w:tc>
        <w:tc>
          <w:tcPr>
            <w:tcW w:w="0" w:type="auto"/>
            <w:gridSpan w:val="2"/>
            <w:shd w:val="clear" w:color="auto" w:fill="CCEEFF"/>
            <w:tcMar>
              <w:top w:w="40" w:type="dxa"/>
              <w:left w:w="20" w:type="dxa"/>
              <w:bottom w:w="40" w:type="dxa"/>
              <w:right w:w="0" w:type="dxa"/>
            </w:tcMar>
            <w:vAlign w:val="bottom"/>
          </w:tcPr>
          <w:p w14:paraId="07DD00B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00B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B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B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00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B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00B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B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BE" w14:textId="77777777" w:rsidR="00AE727E" w:rsidRDefault="008433E0">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7DD00BF" w14:textId="77777777" w:rsidR="00AE727E" w:rsidRDefault="00AE727E">
            <w:pPr>
              <w:jc w:val="right"/>
              <w:rPr>
                <w:rFonts w:ascii="宋体"/>
              </w:rPr>
            </w:pPr>
          </w:p>
        </w:tc>
      </w:tr>
      <w:tr w:rsidR="00AE727E" w14:paraId="07DD00C9" w14:textId="77777777">
        <w:trPr>
          <w:hidden/>
        </w:trPr>
        <w:tc>
          <w:tcPr>
            <w:tcW w:w="0" w:type="auto"/>
            <w:gridSpan w:val="3"/>
            <w:shd w:val="clear" w:color="auto" w:fill="auto"/>
            <w:vAlign w:val="bottom"/>
          </w:tcPr>
          <w:p w14:paraId="07DD00C1" w14:textId="77777777" w:rsidR="00AE727E" w:rsidRDefault="00AE727E">
            <w:pPr>
              <w:rPr>
                <w:rFonts w:ascii="宋体"/>
                <w:vanish/>
              </w:rPr>
            </w:pPr>
          </w:p>
        </w:tc>
        <w:tc>
          <w:tcPr>
            <w:tcW w:w="0" w:type="auto"/>
            <w:gridSpan w:val="3"/>
            <w:shd w:val="clear" w:color="auto" w:fill="auto"/>
            <w:vAlign w:val="bottom"/>
          </w:tcPr>
          <w:p w14:paraId="07DD00C2" w14:textId="77777777" w:rsidR="00AE727E" w:rsidRDefault="00AE727E">
            <w:pPr>
              <w:rPr>
                <w:rFonts w:ascii="宋体"/>
                <w:vanish/>
              </w:rPr>
            </w:pPr>
          </w:p>
        </w:tc>
        <w:tc>
          <w:tcPr>
            <w:tcW w:w="0" w:type="auto"/>
            <w:gridSpan w:val="3"/>
            <w:shd w:val="clear" w:color="auto" w:fill="auto"/>
            <w:vAlign w:val="bottom"/>
          </w:tcPr>
          <w:p w14:paraId="07DD00C3" w14:textId="77777777" w:rsidR="00AE727E" w:rsidRDefault="00AE727E">
            <w:pPr>
              <w:rPr>
                <w:rFonts w:ascii="宋体"/>
                <w:vanish/>
              </w:rPr>
            </w:pPr>
          </w:p>
        </w:tc>
        <w:tc>
          <w:tcPr>
            <w:tcW w:w="0" w:type="auto"/>
            <w:gridSpan w:val="3"/>
            <w:shd w:val="clear" w:color="auto" w:fill="auto"/>
            <w:vAlign w:val="bottom"/>
          </w:tcPr>
          <w:p w14:paraId="07DD00C4" w14:textId="77777777" w:rsidR="00AE727E" w:rsidRDefault="00AE727E">
            <w:pPr>
              <w:rPr>
                <w:rFonts w:ascii="宋体"/>
                <w:vanish/>
              </w:rPr>
            </w:pPr>
          </w:p>
        </w:tc>
        <w:tc>
          <w:tcPr>
            <w:tcW w:w="0" w:type="auto"/>
            <w:gridSpan w:val="3"/>
            <w:shd w:val="clear" w:color="auto" w:fill="auto"/>
            <w:vAlign w:val="bottom"/>
          </w:tcPr>
          <w:p w14:paraId="07DD00C5" w14:textId="77777777" w:rsidR="00AE727E" w:rsidRDefault="00AE727E">
            <w:pPr>
              <w:rPr>
                <w:rFonts w:ascii="宋体"/>
                <w:vanish/>
              </w:rPr>
            </w:pPr>
          </w:p>
        </w:tc>
        <w:tc>
          <w:tcPr>
            <w:tcW w:w="0" w:type="auto"/>
            <w:gridSpan w:val="3"/>
            <w:shd w:val="clear" w:color="auto" w:fill="auto"/>
            <w:vAlign w:val="bottom"/>
          </w:tcPr>
          <w:p w14:paraId="07DD00C6" w14:textId="77777777" w:rsidR="00AE727E" w:rsidRDefault="00AE727E">
            <w:pPr>
              <w:rPr>
                <w:rFonts w:ascii="宋体"/>
                <w:vanish/>
              </w:rPr>
            </w:pPr>
          </w:p>
        </w:tc>
        <w:tc>
          <w:tcPr>
            <w:tcW w:w="0" w:type="auto"/>
            <w:gridSpan w:val="3"/>
            <w:shd w:val="clear" w:color="auto" w:fill="auto"/>
            <w:vAlign w:val="bottom"/>
          </w:tcPr>
          <w:p w14:paraId="07DD00C7" w14:textId="77777777" w:rsidR="00AE727E" w:rsidRDefault="00AE727E">
            <w:pPr>
              <w:rPr>
                <w:rFonts w:ascii="宋体"/>
                <w:vanish/>
              </w:rPr>
            </w:pPr>
          </w:p>
        </w:tc>
        <w:tc>
          <w:tcPr>
            <w:tcW w:w="0" w:type="auto"/>
            <w:gridSpan w:val="3"/>
            <w:shd w:val="clear" w:color="auto" w:fill="auto"/>
            <w:vAlign w:val="bottom"/>
          </w:tcPr>
          <w:p w14:paraId="07DD00C8" w14:textId="77777777" w:rsidR="00AE727E" w:rsidRDefault="00AE727E">
            <w:pPr>
              <w:rPr>
                <w:rFonts w:ascii="宋体"/>
                <w:vanish/>
              </w:rPr>
            </w:pPr>
          </w:p>
        </w:tc>
      </w:tr>
      <w:tr w:rsidR="00AE727E" w14:paraId="07DD00D6" w14:textId="77777777">
        <w:tc>
          <w:tcPr>
            <w:tcW w:w="0" w:type="auto"/>
            <w:gridSpan w:val="3"/>
            <w:shd w:val="clear" w:color="auto" w:fill="FFFFFF"/>
            <w:tcMar>
              <w:top w:w="40" w:type="dxa"/>
              <w:left w:w="140" w:type="dxa"/>
              <w:bottom w:w="40" w:type="dxa"/>
              <w:right w:w="20" w:type="dxa"/>
            </w:tcMar>
            <w:vAlign w:val="center"/>
          </w:tcPr>
          <w:p w14:paraId="07DD00CA" w14:textId="77777777" w:rsidR="00AE727E" w:rsidRDefault="008433E0">
            <w:pPr>
              <w:textAlignment w:val="center"/>
            </w:pPr>
            <w:r>
              <w:rPr>
                <w:rFonts w:ascii="Times New Roman" w:eastAsia="宋体" w:hAnsi="Times New Roman"/>
                <w:color w:val="000000"/>
                <w:sz w:val="20"/>
                <w:szCs w:val="20"/>
              </w:rPr>
              <w:t>Allowance charged to provision</w:t>
            </w:r>
          </w:p>
        </w:tc>
        <w:tc>
          <w:tcPr>
            <w:tcW w:w="0" w:type="auto"/>
            <w:gridSpan w:val="2"/>
            <w:shd w:val="clear" w:color="auto" w:fill="FFFFFF"/>
            <w:tcMar>
              <w:top w:w="40" w:type="dxa"/>
              <w:left w:w="20" w:type="dxa"/>
              <w:bottom w:w="40" w:type="dxa"/>
              <w:right w:w="0" w:type="dxa"/>
            </w:tcMar>
            <w:vAlign w:val="center"/>
          </w:tcPr>
          <w:p w14:paraId="07DD00CB"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07DD00C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C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CE" w14:textId="77777777" w:rsidR="00AE727E" w:rsidRDefault="008433E0">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07DD00C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D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D1" w14:textId="77777777" w:rsidR="00AE727E" w:rsidRDefault="008433E0">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7DD00D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D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0D4" w14:textId="77777777" w:rsidR="00AE727E" w:rsidRDefault="008433E0">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07DD00D5" w14:textId="77777777" w:rsidR="00AE727E" w:rsidRDefault="00AE727E">
            <w:pPr>
              <w:jc w:val="right"/>
              <w:rPr>
                <w:rFonts w:ascii="宋体"/>
              </w:rPr>
            </w:pPr>
          </w:p>
        </w:tc>
      </w:tr>
      <w:tr w:rsidR="00AE727E" w14:paraId="07DD00E3" w14:textId="77777777">
        <w:tc>
          <w:tcPr>
            <w:tcW w:w="0" w:type="auto"/>
            <w:gridSpan w:val="3"/>
            <w:shd w:val="clear" w:color="auto" w:fill="CCEEFF"/>
            <w:tcMar>
              <w:top w:w="40" w:type="dxa"/>
              <w:left w:w="140" w:type="dxa"/>
              <w:bottom w:w="40" w:type="dxa"/>
              <w:right w:w="20" w:type="dxa"/>
            </w:tcMar>
            <w:vAlign w:val="center"/>
          </w:tcPr>
          <w:p w14:paraId="07DD00D7" w14:textId="77777777" w:rsidR="00AE727E" w:rsidRDefault="008433E0">
            <w:pPr>
              <w:textAlignment w:val="center"/>
            </w:pPr>
            <w:r>
              <w:rPr>
                <w:rFonts w:ascii="Times New Roman" w:eastAsia="宋体" w:hAnsi="Times New Roman"/>
                <w:color w:val="000000"/>
                <w:sz w:val="20"/>
                <w:szCs w:val="20"/>
              </w:rPr>
              <w:t>Bad debt write-offs</w:t>
            </w:r>
          </w:p>
        </w:tc>
        <w:tc>
          <w:tcPr>
            <w:tcW w:w="0" w:type="auto"/>
            <w:gridSpan w:val="2"/>
            <w:shd w:val="clear" w:color="auto" w:fill="CCEEFF"/>
            <w:tcMar>
              <w:top w:w="40" w:type="dxa"/>
              <w:left w:w="20" w:type="dxa"/>
              <w:bottom w:w="40" w:type="dxa"/>
              <w:right w:w="0" w:type="dxa"/>
            </w:tcMar>
            <w:vAlign w:val="center"/>
          </w:tcPr>
          <w:p w14:paraId="07DD00D8" w14:textId="77777777" w:rsidR="00AE727E" w:rsidRDefault="008433E0">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07DD00D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D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DB" w14:textId="77777777" w:rsidR="00AE727E" w:rsidRDefault="008433E0">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07DD00D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D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DE" w14:textId="77777777" w:rsidR="00AE727E" w:rsidRDefault="008433E0">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07DD00D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0E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0E1" w14:textId="77777777" w:rsidR="00AE727E" w:rsidRDefault="008433E0">
            <w:pPr>
              <w:jc w:val="right"/>
              <w:textAlignment w:val="bottom"/>
            </w:pPr>
            <w:r>
              <w:rPr>
                <w:rFonts w:ascii="Times New Roman" w:eastAsia="宋体" w:hAnsi="Times New Roman"/>
                <w:color w:val="000000"/>
                <w:sz w:val="20"/>
                <w:szCs w:val="20"/>
              </w:rPr>
              <w:t>(49)</w:t>
            </w:r>
          </w:p>
        </w:tc>
        <w:tc>
          <w:tcPr>
            <w:tcW w:w="0" w:type="auto"/>
            <w:shd w:val="clear" w:color="auto" w:fill="CCEEFF"/>
            <w:tcMar>
              <w:top w:w="40" w:type="dxa"/>
              <w:left w:w="0" w:type="dxa"/>
              <w:bottom w:w="40" w:type="dxa"/>
              <w:right w:w="20" w:type="dxa"/>
            </w:tcMar>
            <w:vAlign w:val="bottom"/>
          </w:tcPr>
          <w:p w14:paraId="07DD00E2" w14:textId="77777777" w:rsidR="00AE727E" w:rsidRDefault="00AE727E">
            <w:pPr>
              <w:jc w:val="right"/>
              <w:rPr>
                <w:rFonts w:ascii="宋体"/>
              </w:rPr>
            </w:pPr>
          </w:p>
        </w:tc>
      </w:tr>
      <w:tr w:rsidR="00AE727E" w14:paraId="07DD00F4" w14:textId="77777777">
        <w:tc>
          <w:tcPr>
            <w:tcW w:w="0" w:type="auto"/>
            <w:gridSpan w:val="3"/>
            <w:shd w:val="clear" w:color="auto" w:fill="FFFFFF"/>
            <w:tcMar>
              <w:top w:w="40" w:type="dxa"/>
              <w:left w:w="20" w:type="dxa"/>
              <w:bottom w:w="40" w:type="dxa"/>
              <w:right w:w="20" w:type="dxa"/>
            </w:tcMar>
            <w:vAlign w:val="center"/>
          </w:tcPr>
          <w:p w14:paraId="07DD00E4" w14:textId="77777777" w:rsidR="00AE727E" w:rsidRDefault="008433E0">
            <w:pPr>
              <w:textAlignment w:val="center"/>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0E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0E6" w14:textId="77777777" w:rsidR="00AE727E" w:rsidRDefault="008433E0">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0E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E8"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0E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0EA" w14:textId="77777777" w:rsidR="00AE727E" w:rsidRDefault="008433E0">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0E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E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0E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0EE" w14:textId="77777777" w:rsidR="00AE727E" w:rsidRDefault="008433E0">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0E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0F0"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0F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0F2" w14:textId="77777777" w:rsidR="00AE727E" w:rsidRDefault="008433E0">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0F3" w14:textId="77777777" w:rsidR="00AE727E" w:rsidRDefault="00AE727E">
            <w:pPr>
              <w:jc w:val="right"/>
              <w:rPr>
                <w:rFonts w:ascii="宋体"/>
              </w:rPr>
            </w:pPr>
          </w:p>
        </w:tc>
      </w:tr>
    </w:tbl>
    <w:p w14:paraId="07DD00F5" w14:textId="77777777" w:rsidR="00AE727E" w:rsidRDefault="008433E0">
      <w:pPr>
        <w:ind w:hanging="360"/>
      </w:pPr>
      <w:r>
        <w:rPr>
          <w:rFonts w:ascii="Times New Roman" w:eastAsia="宋体" w:hAnsi="Times New Roman"/>
          <w:color w:val="000000"/>
          <w:sz w:val="20"/>
          <w:szCs w:val="20"/>
        </w:rPr>
        <w:t>____________________</w:t>
      </w:r>
    </w:p>
    <w:p w14:paraId="07DD00F6" w14:textId="77777777" w:rsidR="00AE727E" w:rsidRDefault="008433E0">
      <w:pPr>
        <w:ind w:hanging="360"/>
      </w:pPr>
      <w:r>
        <w:rPr>
          <w:rFonts w:ascii="Times New Roman" w:eastAsia="宋体" w:hAnsi="Times New Roman"/>
          <w:color w:val="000000"/>
          <w:sz w:val="20"/>
          <w:szCs w:val="20"/>
        </w:rPr>
        <w:t>(a)The Company adopted the current expected credit losses standard as of February 1, 20</w:t>
      </w:r>
      <w:r>
        <w:rPr>
          <w:rFonts w:ascii="Times New Roman" w:eastAsia="宋体" w:hAnsi="Times New Roman"/>
          <w:color w:val="000000"/>
          <w:sz w:val="20"/>
          <w:szCs w:val="20"/>
        </w:rPr>
        <w:t>20 using the modified retrospective method, with the cumulative-effect adjustment to the opening balance of stockholders’ equity (deficit) as of the adoption date.</w:t>
      </w:r>
    </w:p>
    <w:p w14:paraId="07DD00F7" w14:textId="77777777" w:rsidR="00AE727E" w:rsidRDefault="00AE727E"/>
    <w:p w14:paraId="07DD00F8" w14:textId="77777777" w:rsidR="00AE727E" w:rsidRDefault="008433E0">
      <w:r>
        <w:rPr>
          <w:rFonts w:ascii="Times New Roman" w:eastAsia="宋体" w:hAnsi="Times New Roman"/>
          <w:b/>
          <w:bCs/>
          <w:color w:val="000000"/>
          <w:sz w:val="20"/>
          <w:szCs w:val="20"/>
        </w:rPr>
        <w:t>Warranty Liability</w:t>
      </w:r>
    </w:p>
    <w:p w14:paraId="07DD00F9" w14:textId="77777777" w:rsidR="00AE727E" w:rsidRDefault="00AE727E"/>
    <w:p w14:paraId="07DD00FA" w14:textId="77777777" w:rsidR="00AE727E" w:rsidRDefault="008433E0">
      <w:pPr>
        <w:spacing w:after="60"/>
      </w:pPr>
      <w:r>
        <w:rPr>
          <w:rFonts w:ascii="Times New Roman" w:eastAsia="宋体" w:hAnsi="Times New Roman"/>
          <w:color w:val="000000"/>
          <w:sz w:val="20"/>
          <w:szCs w:val="20"/>
        </w:rPr>
        <w:t>The following table presents changes in the Company’s liability for sta</w:t>
      </w:r>
      <w:r>
        <w:rPr>
          <w:rFonts w:ascii="Times New Roman" w:eastAsia="宋体" w:hAnsi="Times New Roman"/>
          <w:color w:val="000000"/>
          <w:sz w:val="20"/>
          <w:szCs w:val="20"/>
        </w:rPr>
        <w:t>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88"/>
        <w:gridCol w:w="37"/>
        <w:gridCol w:w="121"/>
        <w:gridCol w:w="1182"/>
        <w:gridCol w:w="37"/>
        <w:gridCol w:w="36"/>
        <w:gridCol w:w="36"/>
        <w:gridCol w:w="36"/>
        <w:gridCol w:w="121"/>
        <w:gridCol w:w="1171"/>
        <w:gridCol w:w="37"/>
        <w:gridCol w:w="36"/>
        <w:gridCol w:w="36"/>
        <w:gridCol w:w="36"/>
        <w:gridCol w:w="121"/>
        <w:gridCol w:w="1182"/>
        <w:gridCol w:w="37"/>
        <w:gridCol w:w="36"/>
        <w:gridCol w:w="36"/>
        <w:gridCol w:w="36"/>
        <w:gridCol w:w="121"/>
        <w:gridCol w:w="1182"/>
        <w:gridCol w:w="37"/>
      </w:tblGrid>
      <w:tr w:rsidR="00AE727E" w14:paraId="07DD0113" w14:textId="77777777">
        <w:tc>
          <w:tcPr>
            <w:tcW w:w="50" w:type="pct"/>
            <w:shd w:val="clear" w:color="auto" w:fill="auto"/>
            <w:vAlign w:val="bottom"/>
          </w:tcPr>
          <w:p w14:paraId="07DD00FB" w14:textId="77777777" w:rsidR="00AE727E" w:rsidRDefault="00AE727E">
            <w:pPr>
              <w:rPr>
                <w:rFonts w:ascii="宋体"/>
              </w:rPr>
            </w:pPr>
          </w:p>
        </w:tc>
        <w:tc>
          <w:tcPr>
            <w:tcW w:w="1618" w:type="pct"/>
            <w:shd w:val="clear" w:color="auto" w:fill="auto"/>
            <w:vAlign w:val="bottom"/>
          </w:tcPr>
          <w:p w14:paraId="07DD00FC" w14:textId="77777777" w:rsidR="00AE727E" w:rsidRDefault="00AE727E">
            <w:pPr>
              <w:rPr>
                <w:rFonts w:ascii="宋体"/>
              </w:rPr>
            </w:pPr>
          </w:p>
        </w:tc>
        <w:tc>
          <w:tcPr>
            <w:tcW w:w="5" w:type="pct"/>
            <w:shd w:val="clear" w:color="auto" w:fill="auto"/>
            <w:vAlign w:val="bottom"/>
          </w:tcPr>
          <w:p w14:paraId="07DD00FD" w14:textId="77777777" w:rsidR="00AE727E" w:rsidRDefault="00AE727E">
            <w:pPr>
              <w:rPr>
                <w:rFonts w:ascii="宋体"/>
              </w:rPr>
            </w:pPr>
          </w:p>
        </w:tc>
        <w:tc>
          <w:tcPr>
            <w:tcW w:w="50" w:type="pct"/>
            <w:shd w:val="clear" w:color="auto" w:fill="auto"/>
            <w:vAlign w:val="bottom"/>
          </w:tcPr>
          <w:p w14:paraId="07DD00FE" w14:textId="77777777" w:rsidR="00AE727E" w:rsidRDefault="00AE727E">
            <w:pPr>
              <w:rPr>
                <w:rFonts w:ascii="宋体"/>
              </w:rPr>
            </w:pPr>
          </w:p>
        </w:tc>
        <w:tc>
          <w:tcPr>
            <w:tcW w:w="756" w:type="pct"/>
            <w:shd w:val="clear" w:color="auto" w:fill="auto"/>
            <w:vAlign w:val="bottom"/>
          </w:tcPr>
          <w:p w14:paraId="07DD00FF" w14:textId="77777777" w:rsidR="00AE727E" w:rsidRDefault="00AE727E">
            <w:pPr>
              <w:rPr>
                <w:rFonts w:ascii="宋体"/>
              </w:rPr>
            </w:pPr>
          </w:p>
        </w:tc>
        <w:tc>
          <w:tcPr>
            <w:tcW w:w="5" w:type="pct"/>
            <w:shd w:val="clear" w:color="auto" w:fill="auto"/>
            <w:vAlign w:val="bottom"/>
          </w:tcPr>
          <w:p w14:paraId="07DD0100" w14:textId="77777777" w:rsidR="00AE727E" w:rsidRDefault="00AE727E">
            <w:pPr>
              <w:rPr>
                <w:rFonts w:ascii="宋体"/>
              </w:rPr>
            </w:pPr>
          </w:p>
        </w:tc>
        <w:tc>
          <w:tcPr>
            <w:tcW w:w="5" w:type="pct"/>
            <w:shd w:val="clear" w:color="auto" w:fill="auto"/>
            <w:vAlign w:val="bottom"/>
          </w:tcPr>
          <w:p w14:paraId="07DD0101" w14:textId="77777777" w:rsidR="00AE727E" w:rsidRDefault="00AE727E">
            <w:pPr>
              <w:rPr>
                <w:rFonts w:ascii="宋体"/>
              </w:rPr>
            </w:pPr>
          </w:p>
        </w:tc>
        <w:tc>
          <w:tcPr>
            <w:tcW w:w="19" w:type="pct"/>
            <w:shd w:val="clear" w:color="auto" w:fill="auto"/>
            <w:vAlign w:val="bottom"/>
          </w:tcPr>
          <w:p w14:paraId="07DD0102" w14:textId="77777777" w:rsidR="00AE727E" w:rsidRDefault="00AE727E">
            <w:pPr>
              <w:rPr>
                <w:rFonts w:ascii="宋体"/>
              </w:rPr>
            </w:pPr>
          </w:p>
        </w:tc>
        <w:tc>
          <w:tcPr>
            <w:tcW w:w="5" w:type="pct"/>
            <w:shd w:val="clear" w:color="auto" w:fill="auto"/>
            <w:vAlign w:val="bottom"/>
          </w:tcPr>
          <w:p w14:paraId="07DD0103" w14:textId="77777777" w:rsidR="00AE727E" w:rsidRDefault="00AE727E">
            <w:pPr>
              <w:rPr>
                <w:rFonts w:ascii="宋体"/>
              </w:rPr>
            </w:pPr>
          </w:p>
        </w:tc>
        <w:tc>
          <w:tcPr>
            <w:tcW w:w="50" w:type="pct"/>
            <w:shd w:val="clear" w:color="auto" w:fill="auto"/>
            <w:vAlign w:val="bottom"/>
          </w:tcPr>
          <w:p w14:paraId="07DD0104" w14:textId="77777777" w:rsidR="00AE727E" w:rsidRDefault="00AE727E">
            <w:pPr>
              <w:rPr>
                <w:rFonts w:ascii="宋体"/>
              </w:rPr>
            </w:pPr>
          </w:p>
        </w:tc>
        <w:tc>
          <w:tcPr>
            <w:tcW w:w="749" w:type="pct"/>
            <w:shd w:val="clear" w:color="auto" w:fill="auto"/>
            <w:vAlign w:val="bottom"/>
          </w:tcPr>
          <w:p w14:paraId="07DD0105" w14:textId="77777777" w:rsidR="00AE727E" w:rsidRDefault="00AE727E">
            <w:pPr>
              <w:rPr>
                <w:rFonts w:ascii="宋体"/>
              </w:rPr>
            </w:pPr>
          </w:p>
        </w:tc>
        <w:tc>
          <w:tcPr>
            <w:tcW w:w="5" w:type="pct"/>
            <w:shd w:val="clear" w:color="auto" w:fill="auto"/>
            <w:vAlign w:val="bottom"/>
          </w:tcPr>
          <w:p w14:paraId="07DD0106" w14:textId="77777777" w:rsidR="00AE727E" w:rsidRDefault="00AE727E">
            <w:pPr>
              <w:rPr>
                <w:rFonts w:ascii="宋体"/>
              </w:rPr>
            </w:pPr>
          </w:p>
        </w:tc>
        <w:tc>
          <w:tcPr>
            <w:tcW w:w="5" w:type="pct"/>
            <w:shd w:val="clear" w:color="auto" w:fill="auto"/>
            <w:vAlign w:val="bottom"/>
          </w:tcPr>
          <w:p w14:paraId="07DD0107" w14:textId="77777777" w:rsidR="00AE727E" w:rsidRDefault="00AE727E">
            <w:pPr>
              <w:rPr>
                <w:rFonts w:ascii="宋体"/>
              </w:rPr>
            </w:pPr>
          </w:p>
        </w:tc>
        <w:tc>
          <w:tcPr>
            <w:tcW w:w="19" w:type="pct"/>
            <w:shd w:val="clear" w:color="auto" w:fill="auto"/>
            <w:vAlign w:val="bottom"/>
          </w:tcPr>
          <w:p w14:paraId="07DD0108" w14:textId="77777777" w:rsidR="00AE727E" w:rsidRDefault="00AE727E">
            <w:pPr>
              <w:rPr>
                <w:rFonts w:ascii="宋体"/>
              </w:rPr>
            </w:pPr>
          </w:p>
        </w:tc>
        <w:tc>
          <w:tcPr>
            <w:tcW w:w="5" w:type="pct"/>
            <w:shd w:val="clear" w:color="auto" w:fill="auto"/>
            <w:vAlign w:val="bottom"/>
          </w:tcPr>
          <w:p w14:paraId="07DD0109" w14:textId="77777777" w:rsidR="00AE727E" w:rsidRDefault="00AE727E">
            <w:pPr>
              <w:rPr>
                <w:rFonts w:ascii="宋体"/>
              </w:rPr>
            </w:pPr>
          </w:p>
        </w:tc>
        <w:tc>
          <w:tcPr>
            <w:tcW w:w="50" w:type="pct"/>
            <w:shd w:val="clear" w:color="auto" w:fill="auto"/>
            <w:vAlign w:val="bottom"/>
          </w:tcPr>
          <w:p w14:paraId="07DD010A" w14:textId="77777777" w:rsidR="00AE727E" w:rsidRDefault="00AE727E">
            <w:pPr>
              <w:rPr>
                <w:rFonts w:ascii="宋体"/>
              </w:rPr>
            </w:pPr>
          </w:p>
        </w:tc>
        <w:tc>
          <w:tcPr>
            <w:tcW w:w="756" w:type="pct"/>
            <w:shd w:val="clear" w:color="auto" w:fill="auto"/>
            <w:vAlign w:val="bottom"/>
          </w:tcPr>
          <w:p w14:paraId="07DD010B" w14:textId="77777777" w:rsidR="00AE727E" w:rsidRDefault="00AE727E">
            <w:pPr>
              <w:rPr>
                <w:rFonts w:ascii="宋体"/>
              </w:rPr>
            </w:pPr>
          </w:p>
        </w:tc>
        <w:tc>
          <w:tcPr>
            <w:tcW w:w="5" w:type="pct"/>
            <w:shd w:val="clear" w:color="auto" w:fill="auto"/>
            <w:vAlign w:val="bottom"/>
          </w:tcPr>
          <w:p w14:paraId="07DD010C" w14:textId="77777777" w:rsidR="00AE727E" w:rsidRDefault="00AE727E">
            <w:pPr>
              <w:rPr>
                <w:rFonts w:ascii="宋体"/>
              </w:rPr>
            </w:pPr>
          </w:p>
        </w:tc>
        <w:tc>
          <w:tcPr>
            <w:tcW w:w="5" w:type="pct"/>
            <w:shd w:val="clear" w:color="auto" w:fill="auto"/>
            <w:vAlign w:val="bottom"/>
          </w:tcPr>
          <w:p w14:paraId="07DD010D" w14:textId="77777777" w:rsidR="00AE727E" w:rsidRDefault="00AE727E">
            <w:pPr>
              <w:rPr>
                <w:rFonts w:ascii="宋体"/>
              </w:rPr>
            </w:pPr>
          </w:p>
        </w:tc>
        <w:tc>
          <w:tcPr>
            <w:tcW w:w="19" w:type="pct"/>
            <w:shd w:val="clear" w:color="auto" w:fill="auto"/>
            <w:vAlign w:val="bottom"/>
          </w:tcPr>
          <w:p w14:paraId="07DD010E" w14:textId="77777777" w:rsidR="00AE727E" w:rsidRDefault="00AE727E">
            <w:pPr>
              <w:rPr>
                <w:rFonts w:ascii="宋体"/>
              </w:rPr>
            </w:pPr>
          </w:p>
        </w:tc>
        <w:tc>
          <w:tcPr>
            <w:tcW w:w="5" w:type="pct"/>
            <w:shd w:val="clear" w:color="auto" w:fill="auto"/>
            <w:vAlign w:val="bottom"/>
          </w:tcPr>
          <w:p w14:paraId="07DD010F" w14:textId="77777777" w:rsidR="00AE727E" w:rsidRDefault="00AE727E">
            <w:pPr>
              <w:rPr>
                <w:rFonts w:ascii="宋体"/>
              </w:rPr>
            </w:pPr>
          </w:p>
        </w:tc>
        <w:tc>
          <w:tcPr>
            <w:tcW w:w="50" w:type="pct"/>
            <w:shd w:val="clear" w:color="auto" w:fill="auto"/>
            <w:vAlign w:val="bottom"/>
          </w:tcPr>
          <w:p w14:paraId="07DD0110" w14:textId="77777777" w:rsidR="00AE727E" w:rsidRDefault="00AE727E">
            <w:pPr>
              <w:rPr>
                <w:rFonts w:ascii="宋体"/>
              </w:rPr>
            </w:pPr>
          </w:p>
        </w:tc>
        <w:tc>
          <w:tcPr>
            <w:tcW w:w="756" w:type="pct"/>
            <w:shd w:val="clear" w:color="auto" w:fill="auto"/>
            <w:vAlign w:val="bottom"/>
          </w:tcPr>
          <w:p w14:paraId="07DD0111" w14:textId="77777777" w:rsidR="00AE727E" w:rsidRDefault="00AE727E">
            <w:pPr>
              <w:rPr>
                <w:rFonts w:ascii="宋体"/>
              </w:rPr>
            </w:pPr>
          </w:p>
        </w:tc>
        <w:tc>
          <w:tcPr>
            <w:tcW w:w="5" w:type="pct"/>
            <w:shd w:val="clear" w:color="auto" w:fill="auto"/>
            <w:vAlign w:val="bottom"/>
          </w:tcPr>
          <w:p w14:paraId="07DD0112" w14:textId="77777777" w:rsidR="00AE727E" w:rsidRDefault="00AE727E">
            <w:pPr>
              <w:rPr>
                <w:rFonts w:ascii="宋体"/>
              </w:rPr>
            </w:pPr>
          </w:p>
        </w:tc>
      </w:tr>
      <w:tr w:rsidR="00AE727E" w14:paraId="07DD0118" w14:textId="77777777">
        <w:tc>
          <w:tcPr>
            <w:tcW w:w="0" w:type="auto"/>
            <w:gridSpan w:val="3"/>
            <w:shd w:val="clear" w:color="auto" w:fill="auto"/>
            <w:tcMar>
              <w:top w:w="0" w:type="dxa"/>
              <w:left w:w="20" w:type="dxa"/>
              <w:bottom w:w="0" w:type="dxa"/>
              <w:right w:w="20" w:type="dxa"/>
            </w:tcMar>
            <w:vAlign w:val="bottom"/>
          </w:tcPr>
          <w:p w14:paraId="07DD0114"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115"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116"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117"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121" w14:textId="77777777">
        <w:tc>
          <w:tcPr>
            <w:tcW w:w="0" w:type="auto"/>
            <w:gridSpan w:val="3"/>
            <w:shd w:val="clear" w:color="auto" w:fill="auto"/>
            <w:tcMar>
              <w:top w:w="0" w:type="dxa"/>
              <w:left w:w="20" w:type="dxa"/>
              <w:bottom w:w="0" w:type="dxa"/>
              <w:right w:w="20" w:type="dxa"/>
            </w:tcMar>
            <w:vAlign w:val="bottom"/>
          </w:tcPr>
          <w:p w14:paraId="07DD0119"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11A"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11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1C"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11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1E"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11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20"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124" w14:textId="77777777">
        <w:tc>
          <w:tcPr>
            <w:tcW w:w="0" w:type="auto"/>
            <w:gridSpan w:val="3"/>
            <w:shd w:val="clear" w:color="auto" w:fill="auto"/>
            <w:tcMar>
              <w:top w:w="0" w:type="dxa"/>
              <w:left w:w="20" w:type="dxa"/>
              <w:bottom w:w="0" w:type="dxa"/>
              <w:right w:w="20" w:type="dxa"/>
            </w:tcMar>
            <w:vAlign w:val="bottom"/>
          </w:tcPr>
          <w:p w14:paraId="07DD0122"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7DD0123"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D012D" w14:textId="77777777">
        <w:tc>
          <w:tcPr>
            <w:tcW w:w="0" w:type="auto"/>
            <w:gridSpan w:val="3"/>
            <w:shd w:val="clear" w:color="auto" w:fill="CCEEFF"/>
            <w:tcMar>
              <w:top w:w="40" w:type="dxa"/>
              <w:left w:w="20" w:type="dxa"/>
              <w:bottom w:w="40" w:type="dxa"/>
              <w:right w:w="20" w:type="dxa"/>
            </w:tcMar>
            <w:vAlign w:val="bottom"/>
          </w:tcPr>
          <w:p w14:paraId="07DD0125" w14:textId="77777777" w:rsidR="00AE727E" w:rsidRDefault="008433E0">
            <w:pPr>
              <w:textAlignment w:val="bottom"/>
            </w:pPr>
            <w:r>
              <w:rPr>
                <w:rFonts w:ascii="Times New Roman" w:eastAsia="宋体" w:hAnsi="Times New Roman"/>
                <w:i/>
                <w:iCs/>
                <w:color w:val="000000"/>
                <w:sz w:val="20"/>
                <w:szCs w:val="20"/>
              </w:rPr>
              <w:t>Warranty liability:</w:t>
            </w:r>
          </w:p>
        </w:tc>
        <w:tc>
          <w:tcPr>
            <w:tcW w:w="0" w:type="auto"/>
            <w:gridSpan w:val="3"/>
            <w:shd w:val="clear" w:color="auto" w:fill="CCEEFF"/>
            <w:tcMar>
              <w:top w:w="0" w:type="dxa"/>
              <w:left w:w="20" w:type="dxa"/>
              <w:bottom w:w="0" w:type="dxa"/>
              <w:right w:w="20" w:type="dxa"/>
            </w:tcMar>
            <w:vAlign w:val="bottom"/>
          </w:tcPr>
          <w:p w14:paraId="07DD012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2C" w14:textId="77777777" w:rsidR="00AE727E" w:rsidRDefault="00AE727E">
            <w:pPr>
              <w:rPr>
                <w:rFonts w:ascii="宋体"/>
              </w:rPr>
            </w:pPr>
          </w:p>
        </w:tc>
      </w:tr>
      <w:tr w:rsidR="00AE727E" w14:paraId="07DD013E" w14:textId="77777777">
        <w:tc>
          <w:tcPr>
            <w:tcW w:w="0" w:type="auto"/>
            <w:gridSpan w:val="3"/>
            <w:shd w:val="clear" w:color="auto" w:fill="FFFFFF"/>
            <w:tcMar>
              <w:top w:w="40" w:type="dxa"/>
              <w:left w:w="20" w:type="dxa"/>
              <w:bottom w:w="40" w:type="dxa"/>
              <w:right w:w="20" w:type="dxa"/>
            </w:tcMar>
            <w:vAlign w:val="bottom"/>
          </w:tcPr>
          <w:p w14:paraId="07DD012E" w14:textId="77777777" w:rsidR="00AE727E" w:rsidRDefault="008433E0">
            <w:pPr>
              <w:textAlignment w:val="bottom"/>
            </w:pPr>
            <w:r>
              <w:rPr>
                <w:rFonts w:ascii="Times New Roman" w:eastAsia="宋体" w:hAnsi="Times New Roman"/>
                <w:color w:val="000000"/>
                <w:sz w:val="20"/>
                <w:szCs w:val="20"/>
              </w:rPr>
              <w:t>Warranty liability at beginning of period</w:t>
            </w:r>
          </w:p>
        </w:tc>
        <w:tc>
          <w:tcPr>
            <w:tcW w:w="0" w:type="auto"/>
            <w:shd w:val="clear" w:color="auto" w:fill="FFFFFF"/>
            <w:tcMar>
              <w:top w:w="40" w:type="dxa"/>
              <w:left w:w="20" w:type="dxa"/>
              <w:bottom w:w="40" w:type="dxa"/>
              <w:right w:w="0" w:type="dxa"/>
            </w:tcMar>
            <w:vAlign w:val="bottom"/>
          </w:tcPr>
          <w:p w14:paraId="07DD012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30" w14:textId="77777777" w:rsidR="00AE727E" w:rsidRDefault="008433E0">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07DD013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3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3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34" w14:textId="77777777" w:rsidR="00AE727E" w:rsidRDefault="008433E0">
            <w:pPr>
              <w:jc w:val="right"/>
              <w:textAlignment w:val="bottom"/>
            </w:pPr>
            <w:r>
              <w:rPr>
                <w:rFonts w:ascii="Times New Roman" w:eastAsia="宋体" w:hAnsi="Times New Roman"/>
                <w:color w:val="000000"/>
                <w:sz w:val="20"/>
                <w:szCs w:val="20"/>
              </w:rPr>
              <w:t>479 </w:t>
            </w:r>
          </w:p>
        </w:tc>
        <w:tc>
          <w:tcPr>
            <w:tcW w:w="0" w:type="auto"/>
            <w:shd w:val="clear" w:color="auto" w:fill="FFFFFF"/>
            <w:tcMar>
              <w:top w:w="40" w:type="dxa"/>
              <w:left w:w="0" w:type="dxa"/>
              <w:bottom w:w="40" w:type="dxa"/>
              <w:right w:w="20" w:type="dxa"/>
            </w:tcMar>
            <w:vAlign w:val="bottom"/>
          </w:tcPr>
          <w:p w14:paraId="07DD013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3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3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38" w14:textId="77777777" w:rsidR="00AE727E" w:rsidRDefault="008433E0">
            <w:pPr>
              <w:jc w:val="right"/>
              <w:textAlignment w:val="bottom"/>
            </w:pPr>
            <w:r>
              <w:rPr>
                <w:rFonts w:ascii="Times New Roman" w:eastAsia="宋体" w:hAnsi="Times New Roman"/>
                <w:color w:val="000000"/>
                <w:sz w:val="20"/>
                <w:szCs w:val="20"/>
              </w:rPr>
              <w:t>473 </w:t>
            </w:r>
          </w:p>
        </w:tc>
        <w:tc>
          <w:tcPr>
            <w:tcW w:w="0" w:type="auto"/>
            <w:shd w:val="clear" w:color="auto" w:fill="FFFFFF"/>
            <w:tcMar>
              <w:top w:w="40" w:type="dxa"/>
              <w:left w:w="0" w:type="dxa"/>
              <w:bottom w:w="40" w:type="dxa"/>
              <w:right w:w="20" w:type="dxa"/>
            </w:tcMar>
            <w:vAlign w:val="bottom"/>
          </w:tcPr>
          <w:p w14:paraId="07DD013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3A"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3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3C" w14:textId="77777777" w:rsidR="00AE727E" w:rsidRDefault="008433E0">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07DD013D" w14:textId="77777777" w:rsidR="00AE727E" w:rsidRDefault="00AE727E">
            <w:pPr>
              <w:jc w:val="right"/>
              <w:rPr>
                <w:rFonts w:ascii="宋体"/>
              </w:rPr>
            </w:pPr>
          </w:p>
        </w:tc>
      </w:tr>
      <w:tr w:rsidR="00AE727E" w14:paraId="07DD0147" w14:textId="77777777">
        <w:trPr>
          <w:hidden/>
        </w:trPr>
        <w:tc>
          <w:tcPr>
            <w:tcW w:w="0" w:type="auto"/>
            <w:gridSpan w:val="3"/>
            <w:shd w:val="clear" w:color="auto" w:fill="auto"/>
            <w:vAlign w:val="bottom"/>
          </w:tcPr>
          <w:p w14:paraId="07DD013F" w14:textId="77777777" w:rsidR="00AE727E" w:rsidRDefault="00AE727E">
            <w:pPr>
              <w:rPr>
                <w:rFonts w:ascii="宋体"/>
                <w:vanish/>
              </w:rPr>
            </w:pPr>
          </w:p>
        </w:tc>
        <w:tc>
          <w:tcPr>
            <w:tcW w:w="0" w:type="auto"/>
            <w:gridSpan w:val="3"/>
            <w:shd w:val="clear" w:color="auto" w:fill="auto"/>
            <w:vAlign w:val="bottom"/>
          </w:tcPr>
          <w:p w14:paraId="07DD0140" w14:textId="77777777" w:rsidR="00AE727E" w:rsidRDefault="00AE727E">
            <w:pPr>
              <w:rPr>
                <w:rFonts w:ascii="宋体"/>
                <w:vanish/>
              </w:rPr>
            </w:pPr>
          </w:p>
        </w:tc>
        <w:tc>
          <w:tcPr>
            <w:tcW w:w="0" w:type="auto"/>
            <w:gridSpan w:val="3"/>
            <w:shd w:val="clear" w:color="auto" w:fill="auto"/>
            <w:vAlign w:val="bottom"/>
          </w:tcPr>
          <w:p w14:paraId="07DD0141" w14:textId="77777777" w:rsidR="00AE727E" w:rsidRDefault="00AE727E">
            <w:pPr>
              <w:rPr>
                <w:rFonts w:ascii="宋体"/>
                <w:vanish/>
              </w:rPr>
            </w:pPr>
          </w:p>
        </w:tc>
        <w:tc>
          <w:tcPr>
            <w:tcW w:w="0" w:type="auto"/>
            <w:gridSpan w:val="3"/>
            <w:shd w:val="clear" w:color="auto" w:fill="auto"/>
            <w:vAlign w:val="bottom"/>
          </w:tcPr>
          <w:p w14:paraId="07DD0142" w14:textId="77777777" w:rsidR="00AE727E" w:rsidRDefault="00AE727E">
            <w:pPr>
              <w:rPr>
                <w:rFonts w:ascii="宋体"/>
                <w:vanish/>
              </w:rPr>
            </w:pPr>
          </w:p>
        </w:tc>
        <w:tc>
          <w:tcPr>
            <w:tcW w:w="0" w:type="auto"/>
            <w:gridSpan w:val="3"/>
            <w:shd w:val="clear" w:color="auto" w:fill="auto"/>
            <w:vAlign w:val="bottom"/>
          </w:tcPr>
          <w:p w14:paraId="07DD0143" w14:textId="77777777" w:rsidR="00AE727E" w:rsidRDefault="00AE727E">
            <w:pPr>
              <w:rPr>
                <w:rFonts w:ascii="宋体"/>
                <w:vanish/>
              </w:rPr>
            </w:pPr>
          </w:p>
        </w:tc>
        <w:tc>
          <w:tcPr>
            <w:tcW w:w="0" w:type="auto"/>
            <w:gridSpan w:val="3"/>
            <w:shd w:val="clear" w:color="auto" w:fill="auto"/>
            <w:vAlign w:val="bottom"/>
          </w:tcPr>
          <w:p w14:paraId="07DD0144" w14:textId="77777777" w:rsidR="00AE727E" w:rsidRDefault="00AE727E">
            <w:pPr>
              <w:rPr>
                <w:rFonts w:ascii="宋体"/>
                <w:vanish/>
              </w:rPr>
            </w:pPr>
          </w:p>
        </w:tc>
        <w:tc>
          <w:tcPr>
            <w:tcW w:w="0" w:type="auto"/>
            <w:gridSpan w:val="3"/>
            <w:shd w:val="clear" w:color="auto" w:fill="auto"/>
            <w:vAlign w:val="bottom"/>
          </w:tcPr>
          <w:p w14:paraId="07DD0145" w14:textId="77777777" w:rsidR="00AE727E" w:rsidRDefault="00AE727E">
            <w:pPr>
              <w:rPr>
                <w:rFonts w:ascii="宋体"/>
                <w:vanish/>
              </w:rPr>
            </w:pPr>
          </w:p>
        </w:tc>
        <w:tc>
          <w:tcPr>
            <w:tcW w:w="0" w:type="auto"/>
            <w:gridSpan w:val="3"/>
            <w:shd w:val="clear" w:color="auto" w:fill="auto"/>
            <w:vAlign w:val="bottom"/>
          </w:tcPr>
          <w:p w14:paraId="07DD0146" w14:textId="77777777" w:rsidR="00AE727E" w:rsidRDefault="00AE727E">
            <w:pPr>
              <w:rPr>
                <w:rFonts w:ascii="宋体"/>
                <w:vanish/>
              </w:rPr>
            </w:pPr>
          </w:p>
        </w:tc>
      </w:tr>
      <w:tr w:rsidR="00AE727E" w14:paraId="07DD0154" w14:textId="77777777">
        <w:tc>
          <w:tcPr>
            <w:tcW w:w="0" w:type="auto"/>
            <w:gridSpan w:val="3"/>
            <w:shd w:val="clear" w:color="auto" w:fill="CCEEFF"/>
            <w:tcMar>
              <w:top w:w="40" w:type="dxa"/>
              <w:left w:w="155" w:type="dxa"/>
              <w:bottom w:w="40" w:type="dxa"/>
              <w:right w:w="20" w:type="dxa"/>
            </w:tcMar>
            <w:vAlign w:val="bottom"/>
          </w:tcPr>
          <w:p w14:paraId="07DD0148" w14:textId="77777777" w:rsidR="00AE727E" w:rsidRDefault="008433E0">
            <w:pPr>
              <w:textAlignment w:val="bottom"/>
            </w:pPr>
            <w:r>
              <w:rPr>
                <w:rFonts w:ascii="Times New Roman" w:eastAsia="宋体" w:hAnsi="Times New Roman"/>
                <w:color w:val="000000"/>
                <w:sz w:val="20"/>
                <w:szCs w:val="20"/>
              </w:rPr>
              <w:t>Costs accrued for new warranty contracts and changes in estimates for pre-existing warranties (a) (b)</w:t>
            </w:r>
          </w:p>
        </w:tc>
        <w:tc>
          <w:tcPr>
            <w:tcW w:w="0" w:type="auto"/>
            <w:gridSpan w:val="2"/>
            <w:shd w:val="clear" w:color="auto" w:fill="CCEEFF"/>
            <w:tcMar>
              <w:top w:w="40" w:type="dxa"/>
              <w:left w:w="20" w:type="dxa"/>
              <w:bottom w:w="40" w:type="dxa"/>
              <w:right w:w="0" w:type="dxa"/>
            </w:tcMar>
            <w:vAlign w:val="bottom"/>
          </w:tcPr>
          <w:p w14:paraId="07DD0149" w14:textId="77777777" w:rsidR="00AE727E" w:rsidRDefault="008433E0">
            <w:pPr>
              <w:jc w:val="right"/>
              <w:textAlignment w:val="bottom"/>
            </w:pPr>
            <w:r>
              <w:rPr>
                <w:rFonts w:ascii="Times New Roman" w:eastAsia="宋体" w:hAnsi="Times New Roman"/>
                <w:color w:val="000000"/>
                <w:sz w:val="20"/>
                <w:szCs w:val="20"/>
              </w:rPr>
              <w:t>281 </w:t>
            </w:r>
          </w:p>
        </w:tc>
        <w:tc>
          <w:tcPr>
            <w:tcW w:w="0" w:type="auto"/>
            <w:shd w:val="clear" w:color="auto" w:fill="CCEEFF"/>
            <w:tcMar>
              <w:top w:w="40" w:type="dxa"/>
              <w:left w:w="0" w:type="dxa"/>
              <w:bottom w:w="40" w:type="dxa"/>
              <w:right w:w="20" w:type="dxa"/>
            </w:tcMar>
            <w:vAlign w:val="bottom"/>
          </w:tcPr>
          <w:p w14:paraId="07DD014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4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4C" w14:textId="77777777" w:rsidR="00AE727E" w:rsidRDefault="008433E0">
            <w:pPr>
              <w:jc w:val="right"/>
              <w:textAlignment w:val="bottom"/>
            </w:pPr>
            <w:r>
              <w:rPr>
                <w:rFonts w:ascii="Times New Roman" w:eastAsia="宋体" w:hAnsi="Times New Roman"/>
                <w:color w:val="000000"/>
                <w:sz w:val="20"/>
                <w:szCs w:val="20"/>
              </w:rPr>
              <w:t>219 </w:t>
            </w:r>
          </w:p>
        </w:tc>
        <w:tc>
          <w:tcPr>
            <w:tcW w:w="0" w:type="auto"/>
            <w:shd w:val="clear" w:color="auto" w:fill="CCEEFF"/>
            <w:tcMar>
              <w:top w:w="40" w:type="dxa"/>
              <w:left w:w="0" w:type="dxa"/>
              <w:bottom w:w="40" w:type="dxa"/>
              <w:right w:w="20" w:type="dxa"/>
            </w:tcMar>
            <w:vAlign w:val="bottom"/>
          </w:tcPr>
          <w:p w14:paraId="07DD014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4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4F" w14:textId="77777777" w:rsidR="00AE727E" w:rsidRDefault="008433E0">
            <w:pPr>
              <w:jc w:val="right"/>
              <w:textAlignment w:val="bottom"/>
            </w:pPr>
            <w:r>
              <w:rPr>
                <w:rFonts w:ascii="Times New Roman" w:eastAsia="宋体" w:hAnsi="Times New Roman"/>
                <w:color w:val="000000"/>
                <w:sz w:val="20"/>
                <w:szCs w:val="20"/>
              </w:rPr>
              <w:t>724 </w:t>
            </w:r>
          </w:p>
        </w:tc>
        <w:tc>
          <w:tcPr>
            <w:tcW w:w="0" w:type="auto"/>
            <w:shd w:val="clear" w:color="auto" w:fill="CCEEFF"/>
            <w:tcMar>
              <w:top w:w="40" w:type="dxa"/>
              <w:left w:w="0" w:type="dxa"/>
              <w:bottom w:w="40" w:type="dxa"/>
              <w:right w:w="20" w:type="dxa"/>
            </w:tcMar>
            <w:vAlign w:val="bottom"/>
          </w:tcPr>
          <w:p w14:paraId="07DD015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5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52" w14:textId="77777777" w:rsidR="00AE727E" w:rsidRDefault="008433E0">
            <w:pPr>
              <w:jc w:val="right"/>
              <w:textAlignment w:val="bottom"/>
            </w:pPr>
            <w:r>
              <w:rPr>
                <w:rFonts w:ascii="Times New Roman" w:eastAsia="宋体" w:hAnsi="Times New Roman"/>
                <w:color w:val="000000"/>
                <w:sz w:val="20"/>
                <w:szCs w:val="20"/>
              </w:rPr>
              <w:t>573 </w:t>
            </w:r>
          </w:p>
        </w:tc>
        <w:tc>
          <w:tcPr>
            <w:tcW w:w="0" w:type="auto"/>
            <w:shd w:val="clear" w:color="auto" w:fill="CCEEFF"/>
            <w:tcMar>
              <w:top w:w="40" w:type="dxa"/>
              <w:left w:w="0" w:type="dxa"/>
              <w:bottom w:w="40" w:type="dxa"/>
              <w:right w:w="20" w:type="dxa"/>
            </w:tcMar>
            <w:vAlign w:val="bottom"/>
          </w:tcPr>
          <w:p w14:paraId="07DD0153" w14:textId="77777777" w:rsidR="00AE727E" w:rsidRDefault="00AE727E">
            <w:pPr>
              <w:jc w:val="right"/>
              <w:rPr>
                <w:rFonts w:ascii="宋体"/>
              </w:rPr>
            </w:pPr>
          </w:p>
        </w:tc>
      </w:tr>
      <w:tr w:rsidR="00AE727E" w14:paraId="07DD0161" w14:textId="77777777">
        <w:tc>
          <w:tcPr>
            <w:tcW w:w="0" w:type="auto"/>
            <w:gridSpan w:val="3"/>
            <w:shd w:val="clear" w:color="auto" w:fill="FFFFFF"/>
            <w:tcMar>
              <w:top w:w="40" w:type="dxa"/>
              <w:left w:w="155" w:type="dxa"/>
              <w:bottom w:w="40" w:type="dxa"/>
              <w:right w:w="20" w:type="dxa"/>
            </w:tcMar>
            <w:vAlign w:val="bottom"/>
          </w:tcPr>
          <w:p w14:paraId="07DD0155" w14:textId="77777777" w:rsidR="00AE727E" w:rsidRDefault="008433E0">
            <w:pPr>
              <w:textAlignment w:val="bottom"/>
            </w:pPr>
            <w:r>
              <w:rPr>
                <w:rFonts w:ascii="Times New Roman" w:eastAsia="宋体" w:hAnsi="Times New Roman"/>
                <w:color w:val="000000"/>
                <w:sz w:val="20"/>
                <w:szCs w:val="20"/>
              </w:rPr>
              <w:t>Service obligations honored</w:t>
            </w:r>
          </w:p>
        </w:tc>
        <w:tc>
          <w:tcPr>
            <w:tcW w:w="0" w:type="auto"/>
            <w:gridSpan w:val="2"/>
            <w:shd w:val="clear" w:color="auto" w:fill="FFFFFF"/>
            <w:tcMar>
              <w:top w:w="40" w:type="dxa"/>
              <w:left w:w="20" w:type="dxa"/>
              <w:bottom w:w="40" w:type="dxa"/>
              <w:right w:w="0" w:type="dxa"/>
            </w:tcMar>
            <w:vAlign w:val="bottom"/>
          </w:tcPr>
          <w:p w14:paraId="07DD0156" w14:textId="77777777" w:rsidR="00AE727E" w:rsidRDefault="008433E0">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07DD015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5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159" w14:textId="77777777" w:rsidR="00AE727E" w:rsidRDefault="008433E0">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left w:w="0" w:type="dxa"/>
              <w:bottom w:w="40" w:type="dxa"/>
              <w:right w:w="20" w:type="dxa"/>
            </w:tcMar>
            <w:vAlign w:val="bottom"/>
          </w:tcPr>
          <w:p w14:paraId="07DD015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5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15C" w14:textId="77777777" w:rsidR="00AE727E" w:rsidRDefault="008433E0">
            <w:pPr>
              <w:jc w:val="right"/>
              <w:textAlignment w:val="bottom"/>
            </w:pPr>
            <w:r>
              <w:rPr>
                <w:rFonts w:ascii="Times New Roman" w:eastAsia="宋体" w:hAnsi="Times New Roman"/>
                <w:color w:val="000000"/>
                <w:sz w:val="20"/>
                <w:szCs w:val="20"/>
              </w:rPr>
              <w:t>(693)</w:t>
            </w:r>
          </w:p>
        </w:tc>
        <w:tc>
          <w:tcPr>
            <w:tcW w:w="0" w:type="auto"/>
            <w:shd w:val="clear" w:color="auto" w:fill="FFFFFF"/>
            <w:tcMar>
              <w:top w:w="40" w:type="dxa"/>
              <w:left w:w="0" w:type="dxa"/>
              <w:bottom w:w="40" w:type="dxa"/>
              <w:right w:w="20" w:type="dxa"/>
            </w:tcMar>
            <w:vAlign w:val="bottom"/>
          </w:tcPr>
          <w:p w14:paraId="07DD015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5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15F" w14:textId="77777777" w:rsidR="00AE727E" w:rsidRDefault="008433E0">
            <w:pPr>
              <w:jc w:val="right"/>
              <w:textAlignment w:val="bottom"/>
            </w:pPr>
            <w:r>
              <w:rPr>
                <w:rFonts w:ascii="Times New Roman" w:eastAsia="宋体" w:hAnsi="Times New Roman"/>
                <w:color w:val="000000"/>
                <w:sz w:val="20"/>
                <w:szCs w:val="20"/>
              </w:rPr>
              <w:t>(577)</w:t>
            </w:r>
          </w:p>
        </w:tc>
        <w:tc>
          <w:tcPr>
            <w:tcW w:w="0" w:type="auto"/>
            <w:shd w:val="clear" w:color="auto" w:fill="FFFFFF"/>
            <w:tcMar>
              <w:top w:w="40" w:type="dxa"/>
              <w:left w:w="0" w:type="dxa"/>
              <w:bottom w:w="40" w:type="dxa"/>
              <w:right w:w="20" w:type="dxa"/>
            </w:tcMar>
            <w:vAlign w:val="bottom"/>
          </w:tcPr>
          <w:p w14:paraId="07DD0160" w14:textId="77777777" w:rsidR="00AE727E" w:rsidRDefault="00AE727E">
            <w:pPr>
              <w:jc w:val="right"/>
              <w:rPr>
                <w:rFonts w:ascii="宋体"/>
              </w:rPr>
            </w:pPr>
          </w:p>
        </w:tc>
      </w:tr>
      <w:tr w:rsidR="00AE727E" w14:paraId="07DD0172" w14:textId="77777777">
        <w:tc>
          <w:tcPr>
            <w:tcW w:w="0" w:type="auto"/>
            <w:gridSpan w:val="3"/>
            <w:shd w:val="clear" w:color="auto" w:fill="CCEEFF"/>
            <w:tcMar>
              <w:top w:w="40" w:type="dxa"/>
              <w:left w:w="20" w:type="dxa"/>
              <w:bottom w:w="40" w:type="dxa"/>
              <w:right w:w="20" w:type="dxa"/>
            </w:tcMar>
            <w:vAlign w:val="bottom"/>
          </w:tcPr>
          <w:p w14:paraId="07DD0162" w14:textId="77777777" w:rsidR="00AE727E" w:rsidRDefault="008433E0">
            <w:pPr>
              <w:textAlignment w:val="bottom"/>
            </w:pPr>
            <w:r>
              <w:rPr>
                <w:rFonts w:ascii="Times New Roman" w:eastAsia="宋体" w:hAnsi="Times New Roman"/>
                <w:color w:val="000000"/>
                <w:sz w:val="20"/>
                <w:szCs w:val="20"/>
              </w:rPr>
              <w:t>Warranty liability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7DD016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164" w14:textId="77777777" w:rsidR="00AE727E" w:rsidRDefault="008433E0">
            <w:pPr>
              <w:jc w:val="right"/>
              <w:textAlignment w:val="bottom"/>
            </w:pPr>
            <w:r>
              <w:rPr>
                <w:rFonts w:ascii="Times New Roman" w:eastAsia="宋体" w:hAnsi="Times New Roman"/>
                <w:color w:val="000000"/>
                <w:sz w:val="20"/>
                <w:szCs w:val="20"/>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16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66"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D016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168" w14:textId="77777777" w:rsidR="00AE727E" w:rsidRDefault="008433E0">
            <w:pPr>
              <w:jc w:val="right"/>
              <w:textAlignment w:val="bottom"/>
            </w:pPr>
            <w:r>
              <w:rPr>
                <w:rFonts w:ascii="Times New Roman" w:eastAsia="宋体" w:hAnsi="Times New Roman"/>
                <w:color w:val="000000"/>
                <w:sz w:val="20"/>
                <w:szCs w:val="20"/>
              </w:rPr>
              <w:t>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16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6A"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D016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16C" w14:textId="77777777" w:rsidR="00AE727E" w:rsidRDefault="008433E0">
            <w:pPr>
              <w:jc w:val="right"/>
              <w:textAlignment w:val="bottom"/>
            </w:pPr>
            <w:r>
              <w:rPr>
                <w:rFonts w:ascii="Times New Roman" w:eastAsia="宋体" w:hAnsi="Times New Roman"/>
                <w:color w:val="000000"/>
                <w:sz w:val="20"/>
                <w:szCs w:val="20"/>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16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6E"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DD016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0170" w14:textId="77777777" w:rsidR="00AE727E" w:rsidRDefault="008433E0">
            <w:pPr>
              <w:jc w:val="right"/>
              <w:textAlignment w:val="bottom"/>
            </w:pPr>
            <w:r>
              <w:rPr>
                <w:rFonts w:ascii="Times New Roman" w:eastAsia="宋体" w:hAnsi="Times New Roman"/>
                <w:color w:val="000000"/>
                <w:sz w:val="20"/>
                <w:szCs w:val="20"/>
              </w:rPr>
              <w:t>492 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0171" w14:textId="77777777" w:rsidR="00AE727E" w:rsidRDefault="00AE727E">
            <w:pPr>
              <w:jc w:val="right"/>
              <w:rPr>
                <w:rFonts w:ascii="宋体"/>
              </w:rPr>
            </w:pPr>
          </w:p>
        </w:tc>
      </w:tr>
      <w:tr w:rsidR="00AE727E" w14:paraId="07DD0183" w14:textId="77777777">
        <w:tc>
          <w:tcPr>
            <w:tcW w:w="0" w:type="auto"/>
            <w:gridSpan w:val="3"/>
            <w:shd w:val="clear" w:color="auto" w:fill="FFFFFF"/>
            <w:tcMar>
              <w:top w:w="40" w:type="dxa"/>
              <w:left w:w="155" w:type="dxa"/>
              <w:bottom w:w="40" w:type="dxa"/>
              <w:right w:w="20" w:type="dxa"/>
            </w:tcMar>
            <w:vAlign w:val="bottom"/>
          </w:tcPr>
          <w:p w14:paraId="07DD0173" w14:textId="77777777" w:rsidR="00AE727E" w:rsidRDefault="008433E0">
            <w:pPr>
              <w:textAlignment w:val="bottom"/>
            </w:pPr>
            <w:r>
              <w:rPr>
                <w:rFonts w:ascii="Times New Roman" w:eastAsia="宋体" w:hAnsi="Times New Roman"/>
                <w:color w:val="000000"/>
                <w:sz w:val="20"/>
                <w:szCs w:val="20"/>
              </w:rPr>
              <w:t>Current portion</w:t>
            </w:r>
          </w:p>
        </w:tc>
        <w:tc>
          <w:tcPr>
            <w:tcW w:w="0" w:type="auto"/>
            <w:tcBorders>
              <w:top w:val="double" w:sz="6" w:space="0" w:color="000000"/>
            </w:tcBorders>
            <w:shd w:val="clear" w:color="auto" w:fill="FFFFFF"/>
            <w:tcMar>
              <w:top w:w="40" w:type="dxa"/>
              <w:left w:w="20" w:type="dxa"/>
              <w:bottom w:w="40" w:type="dxa"/>
              <w:right w:w="0" w:type="dxa"/>
            </w:tcMar>
            <w:vAlign w:val="bottom"/>
          </w:tcPr>
          <w:p w14:paraId="07DD017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D0175" w14:textId="77777777" w:rsidR="00AE727E" w:rsidRDefault="008433E0">
            <w:pPr>
              <w:jc w:val="right"/>
              <w:textAlignment w:val="bottom"/>
            </w:pPr>
            <w:r>
              <w:rPr>
                <w:rFonts w:ascii="Times New Roman" w:eastAsia="宋体" w:hAnsi="Times New Roman"/>
                <w:color w:val="000000"/>
                <w:sz w:val="20"/>
                <w:szCs w:val="20"/>
              </w:rPr>
              <w:t>377 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D017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77" w14:textId="77777777" w:rsidR="00AE727E" w:rsidRDefault="00AE727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D017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D0179" w14:textId="77777777" w:rsidR="00AE727E" w:rsidRDefault="008433E0">
            <w:pPr>
              <w:jc w:val="right"/>
              <w:textAlignment w:val="bottom"/>
            </w:pPr>
            <w:r>
              <w:rPr>
                <w:rFonts w:ascii="Times New Roman" w:eastAsia="宋体" w:hAnsi="Times New Roman"/>
                <w:color w:val="000000"/>
                <w:sz w:val="20"/>
                <w:szCs w:val="20"/>
              </w:rPr>
              <w:t>362 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D017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7B" w14:textId="77777777" w:rsidR="00AE727E" w:rsidRDefault="00AE727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D017C"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D017D" w14:textId="77777777" w:rsidR="00AE727E" w:rsidRDefault="008433E0">
            <w:pPr>
              <w:jc w:val="right"/>
              <w:textAlignment w:val="bottom"/>
            </w:pPr>
            <w:r>
              <w:rPr>
                <w:rFonts w:ascii="Times New Roman" w:eastAsia="宋体" w:hAnsi="Times New Roman"/>
                <w:color w:val="000000"/>
                <w:sz w:val="20"/>
                <w:szCs w:val="20"/>
              </w:rPr>
              <w:t>377 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D017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7F" w14:textId="77777777" w:rsidR="00AE727E" w:rsidRDefault="00AE727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D0180" w14:textId="77777777" w:rsidR="00AE727E" w:rsidRDefault="008433E0">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D0181" w14:textId="77777777" w:rsidR="00AE727E" w:rsidRDefault="008433E0">
            <w:pPr>
              <w:jc w:val="right"/>
              <w:textAlignment w:val="bottom"/>
            </w:pPr>
            <w:r>
              <w:rPr>
                <w:rFonts w:ascii="Times New Roman" w:eastAsia="宋体" w:hAnsi="Times New Roman"/>
                <w:color w:val="000000"/>
                <w:sz w:val="20"/>
                <w:szCs w:val="20"/>
              </w:rPr>
              <w:t>362 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D0182" w14:textId="77777777" w:rsidR="00AE727E" w:rsidRDefault="00AE727E">
            <w:pPr>
              <w:jc w:val="right"/>
              <w:rPr>
                <w:rFonts w:ascii="宋体"/>
              </w:rPr>
            </w:pPr>
          </w:p>
        </w:tc>
      </w:tr>
      <w:tr w:rsidR="00AE727E" w14:paraId="07DD0194" w14:textId="77777777">
        <w:tc>
          <w:tcPr>
            <w:tcW w:w="0" w:type="auto"/>
            <w:gridSpan w:val="3"/>
            <w:shd w:val="clear" w:color="auto" w:fill="CCEEFF"/>
            <w:tcMar>
              <w:top w:w="40" w:type="dxa"/>
              <w:left w:w="155" w:type="dxa"/>
              <w:bottom w:w="40" w:type="dxa"/>
              <w:right w:w="20" w:type="dxa"/>
            </w:tcMar>
            <w:vAlign w:val="bottom"/>
          </w:tcPr>
          <w:p w14:paraId="07DD0184" w14:textId="77777777" w:rsidR="00AE727E" w:rsidRDefault="008433E0">
            <w:pPr>
              <w:textAlignment w:val="bottom"/>
            </w:pPr>
            <w:r>
              <w:rPr>
                <w:rFonts w:ascii="Times New Roman" w:eastAsia="宋体" w:hAnsi="Times New Roman"/>
                <w:color w:val="000000"/>
                <w:sz w:val="20"/>
                <w:szCs w:val="20"/>
              </w:rPr>
              <w:t>Non-current portion</w:t>
            </w:r>
          </w:p>
        </w:tc>
        <w:tc>
          <w:tcPr>
            <w:tcW w:w="0" w:type="auto"/>
            <w:shd w:val="clear" w:color="auto" w:fill="CCEEFF"/>
            <w:tcMar>
              <w:top w:w="40" w:type="dxa"/>
              <w:left w:w="20" w:type="dxa"/>
              <w:bottom w:w="40" w:type="dxa"/>
              <w:right w:w="0" w:type="dxa"/>
            </w:tcMar>
            <w:vAlign w:val="bottom"/>
          </w:tcPr>
          <w:p w14:paraId="07DD018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186" w14:textId="77777777" w:rsidR="00AE727E" w:rsidRDefault="008433E0">
            <w:pPr>
              <w:jc w:val="right"/>
              <w:textAlignment w:val="bottom"/>
            </w:pPr>
            <w:r>
              <w:rPr>
                <w:rFonts w:ascii="Times New Roman" w:eastAsia="宋体" w:hAnsi="Times New Roman"/>
                <w:color w:val="000000"/>
                <w:sz w:val="20"/>
                <w:szCs w:val="20"/>
              </w:rPr>
              <w:t>127 </w:t>
            </w:r>
          </w:p>
        </w:tc>
        <w:tc>
          <w:tcPr>
            <w:tcW w:w="0" w:type="auto"/>
            <w:shd w:val="clear" w:color="auto" w:fill="CCEEFF"/>
            <w:tcMar>
              <w:top w:w="40" w:type="dxa"/>
              <w:left w:w="0" w:type="dxa"/>
              <w:bottom w:w="40" w:type="dxa"/>
              <w:right w:w="20" w:type="dxa"/>
            </w:tcMar>
            <w:vAlign w:val="bottom"/>
          </w:tcPr>
          <w:p w14:paraId="07DD018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88"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18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18A" w14:textId="77777777" w:rsidR="00AE727E" w:rsidRDefault="008433E0">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07DD018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8C"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18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18E" w14:textId="77777777" w:rsidR="00AE727E" w:rsidRDefault="008433E0">
            <w:pPr>
              <w:jc w:val="right"/>
              <w:textAlignment w:val="bottom"/>
            </w:pPr>
            <w:r>
              <w:rPr>
                <w:rFonts w:ascii="Times New Roman" w:eastAsia="宋体" w:hAnsi="Times New Roman"/>
                <w:color w:val="000000"/>
                <w:sz w:val="20"/>
                <w:szCs w:val="20"/>
              </w:rPr>
              <w:t>127 </w:t>
            </w:r>
          </w:p>
        </w:tc>
        <w:tc>
          <w:tcPr>
            <w:tcW w:w="0" w:type="auto"/>
            <w:shd w:val="clear" w:color="auto" w:fill="CCEEFF"/>
            <w:tcMar>
              <w:top w:w="40" w:type="dxa"/>
              <w:left w:w="0" w:type="dxa"/>
              <w:bottom w:w="40" w:type="dxa"/>
              <w:right w:w="20" w:type="dxa"/>
            </w:tcMar>
            <w:vAlign w:val="bottom"/>
          </w:tcPr>
          <w:p w14:paraId="07DD018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90"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19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192" w14:textId="77777777" w:rsidR="00AE727E" w:rsidRDefault="008433E0">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07DD0193" w14:textId="77777777" w:rsidR="00AE727E" w:rsidRDefault="00AE727E">
            <w:pPr>
              <w:jc w:val="right"/>
              <w:rPr>
                <w:rFonts w:ascii="宋体"/>
              </w:rPr>
            </w:pPr>
          </w:p>
        </w:tc>
      </w:tr>
    </w:tbl>
    <w:p w14:paraId="07DD0195" w14:textId="77777777" w:rsidR="00AE727E" w:rsidRDefault="008433E0">
      <w:pPr>
        <w:ind w:hanging="360"/>
      </w:pPr>
      <w:r>
        <w:rPr>
          <w:rFonts w:ascii="Times New Roman" w:eastAsia="宋体" w:hAnsi="Times New Roman"/>
          <w:color w:val="000000"/>
          <w:sz w:val="20"/>
          <w:szCs w:val="20"/>
        </w:rPr>
        <w:t>____________________</w:t>
      </w:r>
    </w:p>
    <w:p w14:paraId="07DD0196" w14:textId="77777777" w:rsidR="00AE727E" w:rsidRDefault="008433E0">
      <w:pPr>
        <w:ind w:hanging="360"/>
      </w:pPr>
      <w:r>
        <w:rPr>
          <w:rFonts w:ascii="Times New Roman" w:eastAsia="宋体" w:hAnsi="Times New Roman"/>
          <w:color w:val="000000"/>
          <w:sz w:val="20"/>
          <w:szCs w:val="20"/>
        </w:rPr>
        <w:t xml:space="preserve">(a)Changes in cost estimates related to pre-existing warranties are aggregated with accruals for new standard warranty contracts. The Company’s warranty liability process does not differentiate between estimates made </w:t>
      </w:r>
      <w:r>
        <w:rPr>
          <w:rFonts w:ascii="Times New Roman" w:eastAsia="宋体" w:hAnsi="Times New Roman"/>
          <w:color w:val="000000"/>
          <w:sz w:val="20"/>
          <w:szCs w:val="20"/>
        </w:rPr>
        <w:t>for pre-existing warranties and new warranty obligations.</w:t>
      </w:r>
    </w:p>
    <w:p w14:paraId="07DD0197" w14:textId="77777777" w:rsidR="00AE727E" w:rsidRDefault="008433E0">
      <w:pPr>
        <w:ind w:hanging="360"/>
      </w:pPr>
      <w:r>
        <w:rPr>
          <w:rFonts w:ascii="Times New Roman" w:eastAsia="宋体" w:hAnsi="Times New Roman"/>
          <w:color w:val="000000"/>
          <w:sz w:val="20"/>
          <w:szCs w:val="20"/>
        </w:rPr>
        <w:t>(b)Includes the impact of foreign currency exchange rate fluctuations.</w:t>
      </w:r>
    </w:p>
    <w:p w14:paraId="07DD0198" w14:textId="77777777" w:rsidR="00AE727E" w:rsidRDefault="00AE727E"/>
    <w:p w14:paraId="07DD0199" w14:textId="77777777" w:rsidR="00AE727E" w:rsidRDefault="00AE727E"/>
    <w:p w14:paraId="07DD019A" w14:textId="77777777" w:rsidR="00AE727E" w:rsidRDefault="00AE727E"/>
    <w:p w14:paraId="07DD019B" w14:textId="77777777" w:rsidR="00AE727E" w:rsidRDefault="00AE727E">
      <w:pPr>
        <w:jc w:val="center"/>
      </w:pPr>
    </w:p>
    <w:p w14:paraId="07DD019C" w14:textId="77777777" w:rsidR="00AE727E" w:rsidRDefault="008433E0">
      <w:pPr>
        <w:jc w:val="center"/>
      </w:pPr>
      <w:r>
        <w:rPr>
          <w:rFonts w:ascii="Times New Roman" w:eastAsia="宋体" w:hAnsi="Times New Roman"/>
          <w:color w:val="000000"/>
          <w:sz w:val="20"/>
          <w:szCs w:val="20"/>
        </w:rPr>
        <w:t>56</w:t>
      </w:r>
    </w:p>
    <w:p w14:paraId="07DD019D" w14:textId="77777777" w:rsidR="00AE727E" w:rsidRDefault="00AE727E">
      <w:pPr>
        <w:jc w:val="center"/>
      </w:pPr>
    </w:p>
    <w:p w14:paraId="07DD019E" w14:textId="77777777" w:rsidR="00AE727E" w:rsidRDefault="008433E0">
      <w:r>
        <w:pict w14:anchorId="07DD1908">
          <v:rect id="_x0000_i1080" style="width:415.3pt;height:1.5pt" o:hralign="center" o:hrstd="t" o:hr="t" fillcolor="#a0a0a0" stroked="f"/>
        </w:pict>
      </w:r>
    </w:p>
    <w:p w14:paraId="07DD019F" w14:textId="77777777" w:rsidR="00AE727E" w:rsidRDefault="008433E0">
      <w:hyperlink r:id="rId181" w:anchor="i1c8279be622a460ea19600488436f115_10" w:history="1">
        <w:r>
          <w:rPr>
            <w:rStyle w:val="a5"/>
            <w:rFonts w:ascii="Times New Roman" w:eastAsia="宋体" w:hAnsi="Times New Roman"/>
            <w:sz w:val="20"/>
            <w:szCs w:val="20"/>
          </w:rPr>
          <w:t>Table of Contents</w:t>
        </w:r>
      </w:hyperlink>
    </w:p>
    <w:p w14:paraId="07DD01A0"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D01A1"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D01A2"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D01A3" w14:textId="77777777" w:rsidR="00AE727E" w:rsidRDefault="00AE727E">
      <w:pPr>
        <w:jc w:val="center"/>
      </w:pPr>
    </w:p>
    <w:p w14:paraId="07DD01A4" w14:textId="77777777" w:rsidR="00AE727E" w:rsidRDefault="008433E0">
      <w:r>
        <w:rPr>
          <w:rFonts w:ascii="Times New Roman" w:eastAsia="宋体" w:hAnsi="Times New Roman"/>
          <w:b/>
          <w:bCs/>
          <w:color w:val="000000"/>
          <w:sz w:val="20"/>
          <w:szCs w:val="20"/>
        </w:rPr>
        <w:t>Severance Charges</w:t>
      </w:r>
    </w:p>
    <w:p w14:paraId="07DD01A5" w14:textId="77777777" w:rsidR="00AE727E" w:rsidRDefault="00AE727E"/>
    <w:p w14:paraId="07DD01A6" w14:textId="77777777" w:rsidR="00AE727E" w:rsidRDefault="008433E0">
      <w:pPr>
        <w:spacing w:after="60"/>
      </w:pPr>
      <w:r>
        <w:rPr>
          <w:rFonts w:ascii="Times New Roman" w:eastAsia="宋体" w:hAnsi="Times New Roman"/>
          <w:color w:val="000000"/>
          <w:sz w:val="20"/>
          <w:szCs w:val="20"/>
        </w:rPr>
        <w:t xml:space="preserve">The Company incurs costs related to employee severance and records a </w:t>
      </w:r>
      <w:r>
        <w:rPr>
          <w:rFonts w:ascii="Times New Roman" w:eastAsia="宋体" w:hAnsi="Times New Roman"/>
          <w:color w:val="000000"/>
          <w:sz w:val="20"/>
          <w:szCs w:val="20"/>
        </w:rPr>
        <w:t xml:space="preserve">liability for these costs when it is probable that employees will be entitled to termination benefits and the amounts can be reasonably estimated. The liability related to these actions is included in accrued and other current liabilities in the Condensed </w:t>
      </w:r>
      <w:r>
        <w:rPr>
          <w:rFonts w:ascii="Times New Roman" w:eastAsia="宋体" w:hAnsi="Times New Roman"/>
          <w:color w:val="000000"/>
          <w:sz w:val="20"/>
          <w:szCs w:val="20"/>
        </w:rPr>
        <w:t>Consolidated Statements of Financial Position. The following table presents the activity related to the Company’s severance liability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2"/>
        <w:gridCol w:w="37"/>
        <w:gridCol w:w="36"/>
        <w:gridCol w:w="36"/>
        <w:gridCol w:w="36"/>
        <w:gridCol w:w="121"/>
        <w:gridCol w:w="1182"/>
        <w:gridCol w:w="37"/>
        <w:gridCol w:w="36"/>
        <w:gridCol w:w="36"/>
        <w:gridCol w:w="36"/>
        <w:gridCol w:w="121"/>
        <w:gridCol w:w="1182"/>
        <w:gridCol w:w="37"/>
        <w:gridCol w:w="36"/>
        <w:gridCol w:w="36"/>
        <w:gridCol w:w="36"/>
        <w:gridCol w:w="121"/>
        <w:gridCol w:w="1182"/>
        <w:gridCol w:w="37"/>
      </w:tblGrid>
      <w:tr w:rsidR="00AE727E" w14:paraId="07DD01BF" w14:textId="77777777">
        <w:tc>
          <w:tcPr>
            <w:tcW w:w="50" w:type="pct"/>
            <w:shd w:val="clear" w:color="auto" w:fill="auto"/>
            <w:vAlign w:val="bottom"/>
          </w:tcPr>
          <w:p w14:paraId="07DD01A7" w14:textId="77777777" w:rsidR="00AE727E" w:rsidRDefault="00AE727E">
            <w:pPr>
              <w:rPr>
                <w:rFonts w:ascii="宋体"/>
              </w:rPr>
            </w:pPr>
          </w:p>
        </w:tc>
        <w:tc>
          <w:tcPr>
            <w:tcW w:w="1611" w:type="pct"/>
            <w:shd w:val="clear" w:color="auto" w:fill="auto"/>
            <w:vAlign w:val="bottom"/>
          </w:tcPr>
          <w:p w14:paraId="07DD01A8" w14:textId="77777777" w:rsidR="00AE727E" w:rsidRDefault="00AE727E">
            <w:pPr>
              <w:rPr>
                <w:rFonts w:ascii="宋体"/>
              </w:rPr>
            </w:pPr>
          </w:p>
        </w:tc>
        <w:tc>
          <w:tcPr>
            <w:tcW w:w="5" w:type="pct"/>
            <w:shd w:val="clear" w:color="auto" w:fill="auto"/>
            <w:vAlign w:val="bottom"/>
          </w:tcPr>
          <w:p w14:paraId="07DD01A9" w14:textId="77777777" w:rsidR="00AE727E" w:rsidRDefault="00AE727E">
            <w:pPr>
              <w:rPr>
                <w:rFonts w:ascii="宋体"/>
              </w:rPr>
            </w:pPr>
          </w:p>
        </w:tc>
        <w:tc>
          <w:tcPr>
            <w:tcW w:w="50" w:type="pct"/>
            <w:shd w:val="clear" w:color="auto" w:fill="auto"/>
            <w:vAlign w:val="bottom"/>
          </w:tcPr>
          <w:p w14:paraId="07DD01AA" w14:textId="77777777" w:rsidR="00AE727E" w:rsidRDefault="00AE727E">
            <w:pPr>
              <w:rPr>
                <w:rFonts w:ascii="宋体"/>
              </w:rPr>
            </w:pPr>
          </w:p>
        </w:tc>
        <w:tc>
          <w:tcPr>
            <w:tcW w:w="756" w:type="pct"/>
            <w:shd w:val="clear" w:color="auto" w:fill="auto"/>
            <w:vAlign w:val="bottom"/>
          </w:tcPr>
          <w:p w14:paraId="07DD01AB" w14:textId="77777777" w:rsidR="00AE727E" w:rsidRDefault="00AE727E">
            <w:pPr>
              <w:rPr>
                <w:rFonts w:ascii="宋体"/>
              </w:rPr>
            </w:pPr>
          </w:p>
        </w:tc>
        <w:tc>
          <w:tcPr>
            <w:tcW w:w="5" w:type="pct"/>
            <w:shd w:val="clear" w:color="auto" w:fill="auto"/>
            <w:vAlign w:val="bottom"/>
          </w:tcPr>
          <w:p w14:paraId="07DD01AC" w14:textId="77777777" w:rsidR="00AE727E" w:rsidRDefault="00AE727E">
            <w:pPr>
              <w:rPr>
                <w:rFonts w:ascii="宋体"/>
              </w:rPr>
            </w:pPr>
          </w:p>
        </w:tc>
        <w:tc>
          <w:tcPr>
            <w:tcW w:w="5" w:type="pct"/>
            <w:shd w:val="clear" w:color="auto" w:fill="auto"/>
            <w:vAlign w:val="bottom"/>
          </w:tcPr>
          <w:p w14:paraId="07DD01AD" w14:textId="77777777" w:rsidR="00AE727E" w:rsidRDefault="00AE727E">
            <w:pPr>
              <w:rPr>
                <w:rFonts w:ascii="宋体"/>
              </w:rPr>
            </w:pPr>
          </w:p>
        </w:tc>
        <w:tc>
          <w:tcPr>
            <w:tcW w:w="19" w:type="pct"/>
            <w:shd w:val="clear" w:color="auto" w:fill="auto"/>
            <w:vAlign w:val="bottom"/>
          </w:tcPr>
          <w:p w14:paraId="07DD01AE" w14:textId="77777777" w:rsidR="00AE727E" w:rsidRDefault="00AE727E">
            <w:pPr>
              <w:rPr>
                <w:rFonts w:ascii="宋体"/>
              </w:rPr>
            </w:pPr>
          </w:p>
        </w:tc>
        <w:tc>
          <w:tcPr>
            <w:tcW w:w="5" w:type="pct"/>
            <w:shd w:val="clear" w:color="auto" w:fill="auto"/>
            <w:vAlign w:val="bottom"/>
          </w:tcPr>
          <w:p w14:paraId="07DD01AF" w14:textId="77777777" w:rsidR="00AE727E" w:rsidRDefault="00AE727E">
            <w:pPr>
              <w:rPr>
                <w:rFonts w:ascii="宋体"/>
              </w:rPr>
            </w:pPr>
          </w:p>
        </w:tc>
        <w:tc>
          <w:tcPr>
            <w:tcW w:w="50" w:type="pct"/>
            <w:shd w:val="clear" w:color="auto" w:fill="auto"/>
            <w:vAlign w:val="bottom"/>
          </w:tcPr>
          <w:p w14:paraId="07DD01B0" w14:textId="77777777" w:rsidR="00AE727E" w:rsidRDefault="00AE727E">
            <w:pPr>
              <w:rPr>
                <w:rFonts w:ascii="宋体"/>
              </w:rPr>
            </w:pPr>
          </w:p>
        </w:tc>
        <w:tc>
          <w:tcPr>
            <w:tcW w:w="756" w:type="pct"/>
            <w:shd w:val="clear" w:color="auto" w:fill="auto"/>
            <w:vAlign w:val="bottom"/>
          </w:tcPr>
          <w:p w14:paraId="07DD01B1" w14:textId="77777777" w:rsidR="00AE727E" w:rsidRDefault="00AE727E">
            <w:pPr>
              <w:rPr>
                <w:rFonts w:ascii="宋体"/>
              </w:rPr>
            </w:pPr>
          </w:p>
        </w:tc>
        <w:tc>
          <w:tcPr>
            <w:tcW w:w="5" w:type="pct"/>
            <w:shd w:val="clear" w:color="auto" w:fill="auto"/>
            <w:vAlign w:val="bottom"/>
          </w:tcPr>
          <w:p w14:paraId="07DD01B2" w14:textId="77777777" w:rsidR="00AE727E" w:rsidRDefault="00AE727E">
            <w:pPr>
              <w:rPr>
                <w:rFonts w:ascii="宋体"/>
              </w:rPr>
            </w:pPr>
          </w:p>
        </w:tc>
        <w:tc>
          <w:tcPr>
            <w:tcW w:w="5" w:type="pct"/>
            <w:shd w:val="clear" w:color="auto" w:fill="auto"/>
            <w:vAlign w:val="bottom"/>
          </w:tcPr>
          <w:p w14:paraId="07DD01B3" w14:textId="77777777" w:rsidR="00AE727E" w:rsidRDefault="00AE727E">
            <w:pPr>
              <w:rPr>
                <w:rFonts w:ascii="宋体"/>
              </w:rPr>
            </w:pPr>
          </w:p>
        </w:tc>
        <w:tc>
          <w:tcPr>
            <w:tcW w:w="19" w:type="pct"/>
            <w:shd w:val="clear" w:color="auto" w:fill="auto"/>
            <w:vAlign w:val="bottom"/>
          </w:tcPr>
          <w:p w14:paraId="07DD01B4" w14:textId="77777777" w:rsidR="00AE727E" w:rsidRDefault="00AE727E">
            <w:pPr>
              <w:rPr>
                <w:rFonts w:ascii="宋体"/>
              </w:rPr>
            </w:pPr>
          </w:p>
        </w:tc>
        <w:tc>
          <w:tcPr>
            <w:tcW w:w="5" w:type="pct"/>
            <w:shd w:val="clear" w:color="auto" w:fill="auto"/>
            <w:vAlign w:val="bottom"/>
          </w:tcPr>
          <w:p w14:paraId="07DD01B5" w14:textId="77777777" w:rsidR="00AE727E" w:rsidRDefault="00AE727E">
            <w:pPr>
              <w:rPr>
                <w:rFonts w:ascii="宋体"/>
              </w:rPr>
            </w:pPr>
          </w:p>
        </w:tc>
        <w:tc>
          <w:tcPr>
            <w:tcW w:w="50" w:type="pct"/>
            <w:shd w:val="clear" w:color="auto" w:fill="auto"/>
            <w:vAlign w:val="bottom"/>
          </w:tcPr>
          <w:p w14:paraId="07DD01B6" w14:textId="77777777" w:rsidR="00AE727E" w:rsidRDefault="00AE727E">
            <w:pPr>
              <w:rPr>
                <w:rFonts w:ascii="宋体"/>
              </w:rPr>
            </w:pPr>
          </w:p>
        </w:tc>
        <w:tc>
          <w:tcPr>
            <w:tcW w:w="756" w:type="pct"/>
            <w:shd w:val="clear" w:color="auto" w:fill="auto"/>
            <w:vAlign w:val="bottom"/>
          </w:tcPr>
          <w:p w14:paraId="07DD01B7" w14:textId="77777777" w:rsidR="00AE727E" w:rsidRDefault="00AE727E">
            <w:pPr>
              <w:rPr>
                <w:rFonts w:ascii="宋体"/>
              </w:rPr>
            </w:pPr>
          </w:p>
        </w:tc>
        <w:tc>
          <w:tcPr>
            <w:tcW w:w="5" w:type="pct"/>
            <w:shd w:val="clear" w:color="auto" w:fill="auto"/>
            <w:vAlign w:val="bottom"/>
          </w:tcPr>
          <w:p w14:paraId="07DD01B8" w14:textId="77777777" w:rsidR="00AE727E" w:rsidRDefault="00AE727E">
            <w:pPr>
              <w:rPr>
                <w:rFonts w:ascii="宋体"/>
              </w:rPr>
            </w:pPr>
          </w:p>
        </w:tc>
        <w:tc>
          <w:tcPr>
            <w:tcW w:w="5" w:type="pct"/>
            <w:shd w:val="clear" w:color="auto" w:fill="auto"/>
            <w:vAlign w:val="bottom"/>
          </w:tcPr>
          <w:p w14:paraId="07DD01B9" w14:textId="77777777" w:rsidR="00AE727E" w:rsidRDefault="00AE727E">
            <w:pPr>
              <w:rPr>
                <w:rFonts w:ascii="宋体"/>
              </w:rPr>
            </w:pPr>
          </w:p>
        </w:tc>
        <w:tc>
          <w:tcPr>
            <w:tcW w:w="19" w:type="pct"/>
            <w:shd w:val="clear" w:color="auto" w:fill="auto"/>
            <w:vAlign w:val="bottom"/>
          </w:tcPr>
          <w:p w14:paraId="07DD01BA" w14:textId="77777777" w:rsidR="00AE727E" w:rsidRDefault="00AE727E">
            <w:pPr>
              <w:rPr>
                <w:rFonts w:ascii="宋体"/>
              </w:rPr>
            </w:pPr>
          </w:p>
        </w:tc>
        <w:tc>
          <w:tcPr>
            <w:tcW w:w="5" w:type="pct"/>
            <w:shd w:val="clear" w:color="auto" w:fill="auto"/>
            <w:vAlign w:val="bottom"/>
          </w:tcPr>
          <w:p w14:paraId="07DD01BB" w14:textId="77777777" w:rsidR="00AE727E" w:rsidRDefault="00AE727E">
            <w:pPr>
              <w:rPr>
                <w:rFonts w:ascii="宋体"/>
              </w:rPr>
            </w:pPr>
          </w:p>
        </w:tc>
        <w:tc>
          <w:tcPr>
            <w:tcW w:w="50" w:type="pct"/>
            <w:shd w:val="clear" w:color="auto" w:fill="auto"/>
            <w:vAlign w:val="bottom"/>
          </w:tcPr>
          <w:p w14:paraId="07DD01BC" w14:textId="77777777" w:rsidR="00AE727E" w:rsidRDefault="00AE727E">
            <w:pPr>
              <w:rPr>
                <w:rFonts w:ascii="宋体"/>
              </w:rPr>
            </w:pPr>
          </w:p>
        </w:tc>
        <w:tc>
          <w:tcPr>
            <w:tcW w:w="756" w:type="pct"/>
            <w:shd w:val="clear" w:color="auto" w:fill="auto"/>
            <w:vAlign w:val="bottom"/>
          </w:tcPr>
          <w:p w14:paraId="07DD01BD" w14:textId="77777777" w:rsidR="00AE727E" w:rsidRDefault="00AE727E">
            <w:pPr>
              <w:rPr>
                <w:rFonts w:ascii="宋体"/>
              </w:rPr>
            </w:pPr>
          </w:p>
        </w:tc>
        <w:tc>
          <w:tcPr>
            <w:tcW w:w="5" w:type="pct"/>
            <w:shd w:val="clear" w:color="auto" w:fill="auto"/>
            <w:vAlign w:val="bottom"/>
          </w:tcPr>
          <w:p w14:paraId="07DD01BE" w14:textId="77777777" w:rsidR="00AE727E" w:rsidRDefault="00AE727E">
            <w:pPr>
              <w:rPr>
                <w:rFonts w:ascii="宋体"/>
              </w:rPr>
            </w:pPr>
          </w:p>
        </w:tc>
      </w:tr>
      <w:tr w:rsidR="00AE727E" w14:paraId="07DD01C4" w14:textId="77777777">
        <w:tc>
          <w:tcPr>
            <w:tcW w:w="0" w:type="auto"/>
            <w:gridSpan w:val="3"/>
            <w:shd w:val="clear" w:color="auto" w:fill="auto"/>
            <w:tcMar>
              <w:top w:w="0" w:type="dxa"/>
              <w:left w:w="20" w:type="dxa"/>
              <w:bottom w:w="0" w:type="dxa"/>
              <w:right w:w="20" w:type="dxa"/>
            </w:tcMar>
            <w:vAlign w:val="bottom"/>
          </w:tcPr>
          <w:p w14:paraId="07DD01C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1C1"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1C2"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1C3"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1CD" w14:textId="77777777">
        <w:tc>
          <w:tcPr>
            <w:tcW w:w="0" w:type="auto"/>
            <w:gridSpan w:val="3"/>
            <w:shd w:val="clear" w:color="auto" w:fill="auto"/>
            <w:tcMar>
              <w:top w:w="0" w:type="dxa"/>
              <w:left w:w="20" w:type="dxa"/>
              <w:bottom w:w="0" w:type="dxa"/>
              <w:right w:w="20" w:type="dxa"/>
            </w:tcMar>
            <w:vAlign w:val="bottom"/>
          </w:tcPr>
          <w:p w14:paraId="07DD01C5"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1C6"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1C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C8"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1C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CA"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1C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1CC"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1D0" w14:textId="77777777">
        <w:tc>
          <w:tcPr>
            <w:tcW w:w="0" w:type="auto"/>
            <w:gridSpan w:val="3"/>
            <w:shd w:val="clear" w:color="auto" w:fill="auto"/>
            <w:tcMar>
              <w:top w:w="0" w:type="dxa"/>
              <w:left w:w="20" w:type="dxa"/>
              <w:bottom w:w="0" w:type="dxa"/>
              <w:right w:w="20" w:type="dxa"/>
            </w:tcMar>
            <w:vAlign w:val="bottom"/>
          </w:tcPr>
          <w:p w14:paraId="07DD01CE"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7DD01CF"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D01D9" w14:textId="77777777">
        <w:tc>
          <w:tcPr>
            <w:tcW w:w="0" w:type="auto"/>
            <w:gridSpan w:val="3"/>
            <w:shd w:val="clear" w:color="auto" w:fill="CCEEFF"/>
            <w:tcMar>
              <w:top w:w="40" w:type="dxa"/>
              <w:left w:w="20" w:type="dxa"/>
              <w:bottom w:w="40" w:type="dxa"/>
              <w:right w:w="20" w:type="dxa"/>
            </w:tcMar>
            <w:vAlign w:val="bottom"/>
          </w:tcPr>
          <w:p w14:paraId="07DD01D1" w14:textId="77777777" w:rsidR="00AE727E" w:rsidRDefault="008433E0">
            <w:pPr>
              <w:textAlignment w:val="bottom"/>
            </w:pPr>
            <w:r>
              <w:rPr>
                <w:rFonts w:ascii="Times New Roman" w:eastAsia="宋体" w:hAnsi="Times New Roman"/>
                <w:i/>
                <w:iCs/>
                <w:color w:val="000000"/>
                <w:sz w:val="20"/>
                <w:szCs w:val="20"/>
              </w:rPr>
              <w:t>Severance liability:</w:t>
            </w:r>
          </w:p>
        </w:tc>
        <w:tc>
          <w:tcPr>
            <w:tcW w:w="0" w:type="auto"/>
            <w:gridSpan w:val="3"/>
            <w:shd w:val="clear" w:color="auto" w:fill="CCEEFF"/>
            <w:tcMar>
              <w:top w:w="0" w:type="dxa"/>
              <w:left w:w="20" w:type="dxa"/>
              <w:bottom w:w="0" w:type="dxa"/>
              <w:right w:w="20" w:type="dxa"/>
            </w:tcMar>
            <w:vAlign w:val="bottom"/>
          </w:tcPr>
          <w:p w14:paraId="07DD01D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1D8" w14:textId="77777777" w:rsidR="00AE727E" w:rsidRDefault="00AE727E">
            <w:pPr>
              <w:rPr>
                <w:rFonts w:ascii="宋体"/>
              </w:rPr>
            </w:pPr>
          </w:p>
        </w:tc>
      </w:tr>
      <w:tr w:rsidR="00AE727E" w14:paraId="07DD01EA" w14:textId="77777777">
        <w:tc>
          <w:tcPr>
            <w:tcW w:w="0" w:type="auto"/>
            <w:gridSpan w:val="3"/>
            <w:shd w:val="clear" w:color="auto" w:fill="FFFFFF"/>
            <w:tcMar>
              <w:top w:w="40" w:type="dxa"/>
              <w:left w:w="20" w:type="dxa"/>
              <w:bottom w:w="40" w:type="dxa"/>
              <w:right w:w="20" w:type="dxa"/>
            </w:tcMar>
            <w:vAlign w:val="bottom"/>
          </w:tcPr>
          <w:p w14:paraId="07DD01DA" w14:textId="77777777" w:rsidR="00AE727E" w:rsidRDefault="008433E0">
            <w:pPr>
              <w:textAlignment w:val="bottom"/>
            </w:pPr>
            <w:r>
              <w:rPr>
                <w:rFonts w:ascii="Times New Roman" w:eastAsia="宋体" w:hAnsi="Times New Roman"/>
                <w:color w:val="000000"/>
                <w:sz w:val="20"/>
                <w:szCs w:val="20"/>
              </w:rPr>
              <w:t>Severance liability at beginning of period</w:t>
            </w:r>
          </w:p>
        </w:tc>
        <w:tc>
          <w:tcPr>
            <w:tcW w:w="0" w:type="auto"/>
            <w:shd w:val="clear" w:color="auto" w:fill="FFFFFF"/>
            <w:tcMar>
              <w:top w:w="40" w:type="dxa"/>
              <w:left w:w="20" w:type="dxa"/>
              <w:bottom w:w="40" w:type="dxa"/>
              <w:right w:w="0" w:type="dxa"/>
            </w:tcMar>
            <w:vAlign w:val="bottom"/>
          </w:tcPr>
          <w:p w14:paraId="07DD01D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DC" w14:textId="77777777" w:rsidR="00AE727E" w:rsidRDefault="008433E0">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07DD01D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D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D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E0" w14:textId="77777777" w:rsidR="00AE727E" w:rsidRDefault="008433E0">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07DD01E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E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E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E4" w14:textId="77777777" w:rsidR="00AE727E" w:rsidRDefault="008433E0">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left w:w="0" w:type="dxa"/>
              <w:bottom w:w="40" w:type="dxa"/>
              <w:right w:w="20" w:type="dxa"/>
            </w:tcMar>
            <w:vAlign w:val="bottom"/>
          </w:tcPr>
          <w:p w14:paraId="07DD01E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E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1E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1E8" w14:textId="77777777" w:rsidR="00AE727E" w:rsidRDefault="008433E0">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07DD01E9" w14:textId="77777777" w:rsidR="00AE727E" w:rsidRDefault="00AE727E">
            <w:pPr>
              <w:jc w:val="right"/>
              <w:rPr>
                <w:rFonts w:ascii="宋体"/>
              </w:rPr>
            </w:pPr>
          </w:p>
        </w:tc>
      </w:tr>
      <w:tr w:rsidR="00AE727E" w14:paraId="07DD01F7" w14:textId="77777777">
        <w:tc>
          <w:tcPr>
            <w:tcW w:w="0" w:type="auto"/>
            <w:gridSpan w:val="3"/>
            <w:shd w:val="clear" w:color="auto" w:fill="CCEEFF"/>
            <w:tcMar>
              <w:top w:w="40" w:type="dxa"/>
              <w:left w:w="140" w:type="dxa"/>
              <w:bottom w:w="40" w:type="dxa"/>
              <w:right w:w="20" w:type="dxa"/>
            </w:tcMar>
            <w:vAlign w:val="bottom"/>
          </w:tcPr>
          <w:p w14:paraId="07DD01EB" w14:textId="77777777" w:rsidR="00AE727E" w:rsidRDefault="008433E0">
            <w:pPr>
              <w:textAlignment w:val="bottom"/>
            </w:pPr>
            <w:r>
              <w:rPr>
                <w:rFonts w:ascii="Times New Roman" w:eastAsia="宋体" w:hAnsi="Times New Roman"/>
                <w:color w:val="000000"/>
                <w:sz w:val="20"/>
                <w:szCs w:val="20"/>
              </w:rPr>
              <w:t>Severance charges to provision</w:t>
            </w:r>
          </w:p>
        </w:tc>
        <w:tc>
          <w:tcPr>
            <w:tcW w:w="0" w:type="auto"/>
            <w:gridSpan w:val="2"/>
            <w:shd w:val="clear" w:color="auto" w:fill="CCEEFF"/>
            <w:tcMar>
              <w:top w:w="40" w:type="dxa"/>
              <w:left w:w="20" w:type="dxa"/>
              <w:bottom w:w="40" w:type="dxa"/>
              <w:right w:w="0" w:type="dxa"/>
            </w:tcMar>
            <w:vAlign w:val="bottom"/>
          </w:tcPr>
          <w:p w14:paraId="07DD01EC" w14:textId="77777777" w:rsidR="00AE727E" w:rsidRDefault="008433E0">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07DD01E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E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EF" w14:textId="77777777" w:rsidR="00AE727E" w:rsidRDefault="008433E0">
            <w:pPr>
              <w:jc w:val="right"/>
              <w:textAlignment w:val="bottom"/>
            </w:pPr>
            <w:r>
              <w:rPr>
                <w:rFonts w:ascii="Times New Roman" w:eastAsia="宋体" w:hAnsi="Times New Roman"/>
                <w:color w:val="000000"/>
                <w:sz w:val="20"/>
                <w:szCs w:val="20"/>
              </w:rPr>
              <w:t>226 </w:t>
            </w:r>
          </w:p>
        </w:tc>
        <w:tc>
          <w:tcPr>
            <w:tcW w:w="0" w:type="auto"/>
            <w:shd w:val="clear" w:color="auto" w:fill="CCEEFF"/>
            <w:tcMar>
              <w:top w:w="40" w:type="dxa"/>
              <w:left w:w="0" w:type="dxa"/>
              <w:bottom w:w="40" w:type="dxa"/>
              <w:right w:w="20" w:type="dxa"/>
            </w:tcMar>
            <w:vAlign w:val="bottom"/>
          </w:tcPr>
          <w:p w14:paraId="07DD01F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F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F2" w14:textId="77777777" w:rsidR="00AE727E" w:rsidRDefault="008433E0">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07DD01F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1F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1F5" w14:textId="77777777" w:rsidR="00AE727E" w:rsidRDefault="008433E0">
            <w:pPr>
              <w:jc w:val="right"/>
              <w:textAlignment w:val="bottom"/>
            </w:pPr>
            <w:r>
              <w:rPr>
                <w:rFonts w:ascii="Times New Roman" w:eastAsia="宋体" w:hAnsi="Times New Roman"/>
                <w:color w:val="000000"/>
                <w:sz w:val="20"/>
                <w:szCs w:val="20"/>
              </w:rPr>
              <w:t>417 </w:t>
            </w:r>
          </w:p>
        </w:tc>
        <w:tc>
          <w:tcPr>
            <w:tcW w:w="0" w:type="auto"/>
            <w:shd w:val="clear" w:color="auto" w:fill="CCEEFF"/>
            <w:tcMar>
              <w:top w:w="40" w:type="dxa"/>
              <w:left w:w="0" w:type="dxa"/>
              <w:bottom w:w="40" w:type="dxa"/>
              <w:right w:w="20" w:type="dxa"/>
            </w:tcMar>
            <w:vAlign w:val="bottom"/>
          </w:tcPr>
          <w:p w14:paraId="07DD01F6" w14:textId="77777777" w:rsidR="00AE727E" w:rsidRDefault="00AE727E">
            <w:pPr>
              <w:jc w:val="right"/>
              <w:rPr>
                <w:rFonts w:ascii="宋体"/>
              </w:rPr>
            </w:pPr>
          </w:p>
        </w:tc>
      </w:tr>
      <w:tr w:rsidR="00AE727E" w14:paraId="07DD0204" w14:textId="77777777">
        <w:tc>
          <w:tcPr>
            <w:tcW w:w="0" w:type="auto"/>
            <w:gridSpan w:val="3"/>
            <w:shd w:val="clear" w:color="auto" w:fill="FFFFFF"/>
            <w:tcMar>
              <w:top w:w="40" w:type="dxa"/>
              <w:left w:w="140" w:type="dxa"/>
              <w:bottom w:w="40" w:type="dxa"/>
              <w:right w:w="20" w:type="dxa"/>
            </w:tcMar>
            <w:vAlign w:val="bottom"/>
          </w:tcPr>
          <w:p w14:paraId="07DD01F8" w14:textId="77777777" w:rsidR="00AE727E" w:rsidRDefault="008433E0">
            <w:pPr>
              <w:textAlignment w:val="bottom"/>
            </w:pPr>
            <w:r>
              <w:rPr>
                <w:rFonts w:ascii="Times New Roman" w:eastAsia="宋体" w:hAnsi="Times New Roman"/>
                <w:color w:val="000000"/>
                <w:sz w:val="20"/>
                <w:szCs w:val="20"/>
              </w:rPr>
              <w:t>Cash paid and other (a)</w:t>
            </w:r>
          </w:p>
        </w:tc>
        <w:tc>
          <w:tcPr>
            <w:tcW w:w="0" w:type="auto"/>
            <w:gridSpan w:val="2"/>
            <w:shd w:val="clear" w:color="auto" w:fill="FFFFFF"/>
            <w:tcMar>
              <w:top w:w="40" w:type="dxa"/>
              <w:left w:w="20" w:type="dxa"/>
              <w:bottom w:w="40" w:type="dxa"/>
              <w:right w:w="0" w:type="dxa"/>
            </w:tcMar>
            <w:vAlign w:val="bottom"/>
          </w:tcPr>
          <w:p w14:paraId="07DD01F9" w14:textId="77777777" w:rsidR="00AE727E" w:rsidRDefault="008433E0">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07DD01F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F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1FC" w14:textId="77777777" w:rsidR="00AE727E" w:rsidRDefault="008433E0">
            <w:pPr>
              <w:jc w:val="right"/>
              <w:textAlignment w:val="bottom"/>
            </w:pPr>
            <w:r>
              <w:rPr>
                <w:rFonts w:ascii="Times New Roman" w:eastAsia="宋体" w:hAnsi="Times New Roman"/>
                <w:color w:val="000000"/>
                <w:sz w:val="20"/>
                <w:szCs w:val="20"/>
              </w:rPr>
              <w:t>(181)</w:t>
            </w:r>
          </w:p>
        </w:tc>
        <w:tc>
          <w:tcPr>
            <w:tcW w:w="0" w:type="auto"/>
            <w:shd w:val="clear" w:color="auto" w:fill="FFFFFF"/>
            <w:tcMar>
              <w:top w:w="40" w:type="dxa"/>
              <w:left w:w="0" w:type="dxa"/>
              <w:bottom w:w="40" w:type="dxa"/>
              <w:right w:w="20" w:type="dxa"/>
            </w:tcMar>
            <w:vAlign w:val="bottom"/>
          </w:tcPr>
          <w:p w14:paraId="07DD01F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1F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1FF" w14:textId="77777777" w:rsidR="00AE727E" w:rsidRDefault="008433E0">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07DD020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0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02" w14:textId="77777777" w:rsidR="00AE727E" w:rsidRDefault="008433E0">
            <w:pPr>
              <w:jc w:val="right"/>
              <w:textAlignment w:val="bottom"/>
            </w:pPr>
            <w:r>
              <w:rPr>
                <w:rFonts w:ascii="Times New Roman" w:eastAsia="宋体" w:hAnsi="Times New Roman"/>
                <w:color w:val="000000"/>
                <w:sz w:val="20"/>
                <w:szCs w:val="20"/>
              </w:rPr>
              <w:t>(400)</w:t>
            </w:r>
          </w:p>
        </w:tc>
        <w:tc>
          <w:tcPr>
            <w:tcW w:w="0" w:type="auto"/>
            <w:shd w:val="clear" w:color="auto" w:fill="FFFFFF"/>
            <w:tcMar>
              <w:top w:w="40" w:type="dxa"/>
              <w:left w:w="0" w:type="dxa"/>
              <w:bottom w:w="40" w:type="dxa"/>
              <w:right w:w="20" w:type="dxa"/>
            </w:tcMar>
            <w:vAlign w:val="bottom"/>
          </w:tcPr>
          <w:p w14:paraId="07DD0203" w14:textId="77777777" w:rsidR="00AE727E" w:rsidRDefault="00AE727E">
            <w:pPr>
              <w:jc w:val="right"/>
              <w:rPr>
                <w:rFonts w:ascii="宋体"/>
              </w:rPr>
            </w:pPr>
          </w:p>
        </w:tc>
      </w:tr>
      <w:tr w:rsidR="00AE727E" w14:paraId="07DD0215" w14:textId="77777777">
        <w:tc>
          <w:tcPr>
            <w:tcW w:w="0" w:type="auto"/>
            <w:gridSpan w:val="3"/>
            <w:shd w:val="clear" w:color="auto" w:fill="CCEEFF"/>
            <w:tcMar>
              <w:top w:w="40" w:type="dxa"/>
              <w:left w:w="20" w:type="dxa"/>
              <w:bottom w:w="40" w:type="dxa"/>
              <w:right w:w="20" w:type="dxa"/>
            </w:tcMar>
            <w:vAlign w:val="bottom"/>
          </w:tcPr>
          <w:p w14:paraId="07DD0205" w14:textId="77777777" w:rsidR="00AE727E" w:rsidRDefault="008433E0">
            <w:pPr>
              <w:textAlignment w:val="bottom"/>
            </w:pPr>
            <w:r>
              <w:rPr>
                <w:rFonts w:ascii="Times New Roman" w:eastAsia="宋体" w:hAnsi="Times New Roman"/>
                <w:color w:val="000000"/>
                <w:sz w:val="20"/>
                <w:szCs w:val="20"/>
              </w:rPr>
              <w:t>Severance liability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0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07" w14:textId="77777777" w:rsidR="00AE727E" w:rsidRDefault="008433E0">
            <w:pPr>
              <w:jc w:val="right"/>
              <w:textAlignment w:val="bottom"/>
            </w:pPr>
            <w:r>
              <w:rPr>
                <w:rFonts w:ascii="Times New Roman" w:eastAsia="宋体" w:hAnsi="Times New Roman"/>
                <w:color w:val="000000"/>
                <w:sz w:val="20"/>
                <w:szCs w:val="20"/>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0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09"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0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0B" w14:textId="77777777" w:rsidR="00AE727E" w:rsidRDefault="008433E0">
            <w:pPr>
              <w:jc w:val="right"/>
              <w:textAlignment w:val="bottom"/>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0D"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0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0F" w14:textId="77777777" w:rsidR="00AE727E" w:rsidRDefault="008433E0">
            <w:pPr>
              <w:jc w:val="right"/>
              <w:textAlignment w:val="bottom"/>
            </w:pPr>
            <w:r>
              <w:rPr>
                <w:rFonts w:ascii="Times New Roman" w:eastAsia="宋体" w:hAnsi="Times New Roman"/>
                <w:color w:val="000000"/>
                <w:sz w:val="20"/>
                <w:szCs w:val="20"/>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1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11"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12"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13" w14:textId="77777777" w:rsidR="00AE727E" w:rsidRDefault="008433E0">
            <w:pPr>
              <w:jc w:val="right"/>
              <w:textAlignment w:val="bottom"/>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14" w14:textId="77777777" w:rsidR="00AE727E" w:rsidRDefault="00AE727E">
            <w:pPr>
              <w:jc w:val="right"/>
              <w:rPr>
                <w:rFonts w:ascii="宋体"/>
              </w:rPr>
            </w:pPr>
          </w:p>
        </w:tc>
      </w:tr>
    </w:tbl>
    <w:p w14:paraId="07DD0216" w14:textId="77777777" w:rsidR="00AE727E" w:rsidRDefault="008433E0">
      <w:pPr>
        <w:ind w:hanging="360"/>
      </w:pPr>
      <w:r>
        <w:rPr>
          <w:rFonts w:ascii="Times New Roman" w:eastAsia="宋体" w:hAnsi="Times New Roman"/>
          <w:color w:val="000000"/>
          <w:sz w:val="20"/>
          <w:szCs w:val="20"/>
        </w:rPr>
        <w:t>____________________</w:t>
      </w:r>
    </w:p>
    <w:p w14:paraId="07DD0217" w14:textId="77777777" w:rsidR="00AE727E" w:rsidRDefault="008433E0">
      <w:pPr>
        <w:ind w:hanging="360"/>
      </w:pPr>
      <w:r>
        <w:rPr>
          <w:rFonts w:ascii="Times New Roman" w:eastAsia="宋体" w:hAnsi="Times New Roman"/>
          <w:color w:val="000000"/>
          <w:sz w:val="20"/>
          <w:szCs w:val="20"/>
        </w:rPr>
        <w:t>(a)Other adjustments include the impact of foreign currency exchange rate fluctuations.</w:t>
      </w:r>
    </w:p>
    <w:p w14:paraId="07DD0218" w14:textId="77777777" w:rsidR="00AE727E" w:rsidRDefault="00AE727E"/>
    <w:p w14:paraId="07DD0219" w14:textId="77777777" w:rsidR="00AE727E" w:rsidRDefault="008433E0">
      <w:pPr>
        <w:spacing w:after="60"/>
      </w:pPr>
      <w:r>
        <w:rPr>
          <w:rFonts w:ascii="Times New Roman" w:eastAsia="宋体" w:hAnsi="Times New Roman"/>
          <w:color w:val="000000"/>
          <w:sz w:val="20"/>
          <w:szCs w:val="20"/>
        </w:rPr>
        <w:t>T</w:t>
      </w:r>
      <w:r>
        <w:rPr>
          <w:rFonts w:ascii="Times New Roman" w:eastAsia="宋体" w:hAnsi="Times New Roman"/>
          <w:color w:val="000000"/>
          <w:sz w:val="20"/>
          <w:szCs w:val="20"/>
        </w:rPr>
        <w:t>he following table presents severance charges as included in the Condensed Consolidated 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2"/>
        <w:gridCol w:w="37"/>
        <w:gridCol w:w="36"/>
        <w:gridCol w:w="36"/>
        <w:gridCol w:w="36"/>
        <w:gridCol w:w="121"/>
        <w:gridCol w:w="1182"/>
        <w:gridCol w:w="37"/>
        <w:gridCol w:w="36"/>
        <w:gridCol w:w="36"/>
        <w:gridCol w:w="36"/>
        <w:gridCol w:w="121"/>
        <w:gridCol w:w="1182"/>
        <w:gridCol w:w="37"/>
        <w:gridCol w:w="36"/>
        <w:gridCol w:w="36"/>
        <w:gridCol w:w="36"/>
        <w:gridCol w:w="121"/>
        <w:gridCol w:w="1182"/>
        <w:gridCol w:w="37"/>
      </w:tblGrid>
      <w:tr w:rsidR="00AE727E" w14:paraId="07DD0232" w14:textId="77777777">
        <w:tc>
          <w:tcPr>
            <w:tcW w:w="50" w:type="pct"/>
            <w:shd w:val="clear" w:color="auto" w:fill="auto"/>
            <w:vAlign w:val="bottom"/>
          </w:tcPr>
          <w:p w14:paraId="07DD021A" w14:textId="77777777" w:rsidR="00AE727E" w:rsidRDefault="00AE727E">
            <w:pPr>
              <w:rPr>
                <w:rFonts w:ascii="宋体"/>
              </w:rPr>
            </w:pPr>
          </w:p>
        </w:tc>
        <w:tc>
          <w:tcPr>
            <w:tcW w:w="1611" w:type="pct"/>
            <w:shd w:val="clear" w:color="auto" w:fill="auto"/>
            <w:vAlign w:val="bottom"/>
          </w:tcPr>
          <w:p w14:paraId="07DD021B" w14:textId="77777777" w:rsidR="00AE727E" w:rsidRDefault="00AE727E">
            <w:pPr>
              <w:rPr>
                <w:rFonts w:ascii="宋体"/>
              </w:rPr>
            </w:pPr>
          </w:p>
        </w:tc>
        <w:tc>
          <w:tcPr>
            <w:tcW w:w="5" w:type="pct"/>
            <w:shd w:val="clear" w:color="auto" w:fill="auto"/>
            <w:vAlign w:val="bottom"/>
          </w:tcPr>
          <w:p w14:paraId="07DD021C" w14:textId="77777777" w:rsidR="00AE727E" w:rsidRDefault="00AE727E">
            <w:pPr>
              <w:rPr>
                <w:rFonts w:ascii="宋体"/>
              </w:rPr>
            </w:pPr>
          </w:p>
        </w:tc>
        <w:tc>
          <w:tcPr>
            <w:tcW w:w="50" w:type="pct"/>
            <w:shd w:val="clear" w:color="auto" w:fill="auto"/>
            <w:vAlign w:val="bottom"/>
          </w:tcPr>
          <w:p w14:paraId="07DD021D" w14:textId="77777777" w:rsidR="00AE727E" w:rsidRDefault="00AE727E">
            <w:pPr>
              <w:rPr>
                <w:rFonts w:ascii="宋体"/>
              </w:rPr>
            </w:pPr>
          </w:p>
        </w:tc>
        <w:tc>
          <w:tcPr>
            <w:tcW w:w="756" w:type="pct"/>
            <w:shd w:val="clear" w:color="auto" w:fill="auto"/>
            <w:vAlign w:val="bottom"/>
          </w:tcPr>
          <w:p w14:paraId="07DD021E" w14:textId="77777777" w:rsidR="00AE727E" w:rsidRDefault="00AE727E">
            <w:pPr>
              <w:rPr>
                <w:rFonts w:ascii="宋体"/>
              </w:rPr>
            </w:pPr>
          </w:p>
        </w:tc>
        <w:tc>
          <w:tcPr>
            <w:tcW w:w="5" w:type="pct"/>
            <w:shd w:val="clear" w:color="auto" w:fill="auto"/>
            <w:vAlign w:val="bottom"/>
          </w:tcPr>
          <w:p w14:paraId="07DD021F" w14:textId="77777777" w:rsidR="00AE727E" w:rsidRDefault="00AE727E">
            <w:pPr>
              <w:rPr>
                <w:rFonts w:ascii="宋体"/>
              </w:rPr>
            </w:pPr>
          </w:p>
        </w:tc>
        <w:tc>
          <w:tcPr>
            <w:tcW w:w="5" w:type="pct"/>
            <w:shd w:val="clear" w:color="auto" w:fill="auto"/>
            <w:vAlign w:val="bottom"/>
          </w:tcPr>
          <w:p w14:paraId="07DD0220" w14:textId="77777777" w:rsidR="00AE727E" w:rsidRDefault="00AE727E">
            <w:pPr>
              <w:rPr>
                <w:rFonts w:ascii="宋体"/>
              </w:rPr>
            </w:pPr>
          </w:p>
        </w:tc>
        <w:tc>
          <w:tcPr>
            <w:tcW w:w="19" w:type="pct"/>
            <w:shd w:val="clear" w:color="auto" w:fill="auto"/>
            <w:vAlign w:val="bottom"/>
          </w:tcPr>
          <w:p w14:paraId="07DD0221" w14:textId="77777777" w:rsidR="00AE727E" w:rsidRDefault="00AE727E">
            <w:pPr>
              <w:rPr>
                <w:rFonts w:ascii="宋体"/>
              </w:rPr>
            </w:pPr>
          </w:p>
        </w:tc>
        <w:tc>
          <w:tcPr>
            <w:tcW w:w="5" w:type="pct"/>
            <w:shd w:val="clear" w:color="auto" w:fill="auto"/>
            <w:vAlign w:val="bottom"/>
          </w:tcPr>
          <w:p w14:paraId="07DD0222" w14:textId="77777777" w:rsidR="00AE727E" w:rsidRDefault="00AE727E">
            <w:pPr>
              <w:rPr>
                <w:rFonts w:ascii="宋体"/>
              </w:rPr>
            </w:pPr>
          </w:p>
        </w:tc>
        <w:tc>
          <w:tcPr>
            <w:tcW w:w="50" w:type="pct"/>
            <w:shd w:val="clear" w:color="auto" w:fill="auto"/>
            <w:vAlign w:val="bottom"/>
          </w:tcPr>
          <w:p w14:paraId="07DD0223" w14:textId="77777777" w:rsidR="00AE727E" w:rsidRDefault="00AE727E">
            <w:pPr>
              <w:rPr>
                <w:rFonts w:ascii="宋体"/>
              </w:rPr>
            </w:pPr>
          </w:p>
        </w:tc>
        <w:tc>
          <w:tcPr>
            <w:tcW w:w="756" w:type="pct"/>
            <w:shd w:val="clear" w:color="auto" w:fill="auto"/>
            <w:vAlign w:val="bottom"/>
          </w:tcPr>
          <w:p w14:paraId="07DD0224" w14:textId="77777777" w:rsidR="00AE727E" w:rsidRDefault="00AE727E">
            <w:pPr>
              <w:rPr>
                <w:rFonts w:ascii="宋体"/>
              </w:rPr>
            </w:pPr>
          </w:p>
        </w:tc>
        <w:tc>
          <w:tcPr>
            <w:tcW w:w="5" w:type="pct"/>
            <w:shd w:val="clear" w:color="auto" w:fill="auto"/>
            <w:vAlign w:val="bottom"/>
          </w:tcPr>
          <w:p w14:paraId="07DD0225" w14:textId="77777777" w:rsidR="00AE727E" w:rsidRDefault="00AE727E">
            <w:pPr>
              <w:rPr>
                <w:rFonts w:ascii="宋体"/>
              </w:rPr>
            </w:pPr>
          </w:p>
        </w:tc>
        <w:tc>
          <w:tcPr>
            <w:tcW w:w="5" w:type="pct"/>
            <w:shd w:val="clear" w:color="auto" w:fill="auto"/>
            <w:vAlign w:val="bottom"/>
          </w:tcPr>
          <w:p w14:paraId="07DD0226" w14:textId="77777777" w:rsidR="00AE727E" w:rsidRDefault="00AE727E">
            <w:pPr>
              <w:rPr>
                <w:rFonts w:ascii="宋体"/>
              </w:rPr>
            </w:pPr>
          </w:p>
        </w:tc>
        <w:tc>
          <w:tcPr>
            <w:tcW w:w="19" w:type="pct"/>
            <w:shd w:val="clear" w:color="auto" w:fill="auto"/>
            <w:vAlign w:val="bottom"/>
          </w:tcPr>
          <w:p w14:paraId="07DD0227" w14:textId="77777777" w:rsidR="00AE727E" w:rsidRDefault="00AE727E">
            <w:pPr>
              <w:rPr>
                <w:rFonts w:ascii="宋体"/>
              </w:rPr>
            </w:pPr>
          </w:p>
        </w:tc>
        <w:tc>
          <w:tcPr>
            <w:tcW w:w="5" w:type="pct"/>
            <w:shd w:val="clear" w:color="auto" w:fill="auto"/>
            <w:vAlign w:val="bottom"/>
          </w:tcPr>
          <w:p w14:paraId="07DD0228" w14:textId="77777777" w:rsidR="00AE727E" w:rsidRDefault="00AE727E">
            <w:pPr>
              <w:rPr>
                <w:rFonts w:ascii="宋体"/>
              </w:rPr>
            </w:pPr>
          </w:p>
        </w:tc>
        <w:tc>
          <w:tcPr>
            <w:tcW w:w="50" w:type="pct"/>
            <w:shd w:val="clear" w:color="auto" w:fill="auto"/>
            <w:vAlign w:val="bottom"/>
          </w:tcPr>
          <w:p w14:paraId="07DD0229" w14:textId="77777777" w:rsidR="00AE727E" w:rsidRDefault="00AE727E">
            <w:pPr>
              <w:rPr>
                <w:rFonts w:ascii="宋体"/>
              </w:rPr>
            </w:pPr>
          </w:p>
        </w:tc>
        <w:tc>
          <w:tcPr>
            <w:tcW w:w="756" w:type="pct"/>
            <w:shd w:val="clear" w:color="auto" w:fill="auto"/>
            <w:vAlign w:val="bottom"/>
          </w:tcPr>
          <w:p w14:paraId="07DD022A" w14:textId="77777777" w:rsidR="00AE727E" w:rsidRDefault="00AE727E">
            <w:pPr>
              <w:rPr>
                <w:rFonts w:ascii="宋体"/>
              </w:rPr>
            </w:pPr>
          </w:p>
        </w:tc>
        <w:tc>
          <w:tcPr>
            <w:tcW w:w="5" w:type="pct"/>
            <w:shd w:val="clear" w:color="auto" w:fill="auto"/>
            <w:vAlign w:val="bottom"/>
          </w:tcPr>
          <w:p w14:paraId="07DD022B" w14:textId="77777777" w:rsidR="00AE727E" w:rsidRDefault="00AE727E">
            <w:pPr>
              <w:rPr>
                <w:rFonts w:ascii="宋体"/>
              </w:rPr>
            </w:pPr>
          </w:p>
        </w:tc>
        <w:tc>
          <w:tcPr>
            <w:tcW w:w="5" w:type="pct"/>
            <w:shd w:val="clear" w:color="auto" w:fill="auto"/>
            <w:vAlign w:val="bottom"/>
          </w:tcPr>
          <w:p w14:paraId="07DD022C" w14:textId="77777777" w:rsidR="00AE727E" w:rsidRDefault="00AE727E">
            <w:pPr>
              <w:rPr>
                <w:rFonts w:ascii="宋体"/>
              </w:rPr>
            </w:pPr>
          </w:p>
        </w:tc>
        <w:tc>
          <w:tcPr>
            <w:tcW w:w="19" w:type="pct"/>
            <w:shd w:val="clear" w:color="auto" w:fill="auto"/>
            <w:vAlign w:val="bottom"/>
          </w:tcPr>
          <w:p w14:paraId="07DD022D" w14:textId="77777777" w:rsidR="00AE727E" w:rsidRDefault="00AE727E">
            <w:pPr>
              <w:rPr>
                <w:rFonts w:ascii="宋体"/>
              </w:rPr>
            </w:pPr>
          </w:p>
        </w:tc>
        <w:tc>
          <w:tcPr>
            <w:tcW w:w="5" w:type="pct"/>
            <w:shd w:val="clear" w:color="auto" w:fill="auto"/>
            <w:vAlign w:val="bottom"/>
          </w:tcPr>
          <w:p w14:paraId="07DD022E" w14:textId="77777777" w:rsidR="00AE727E" w:rsidRDefault="00AE727E">
            <w:pPr>
              <w:rPr>
                <w:rFonts w:ascii="宋体"/>
              </w:rPr>
            </w:pPr>
          </w:p>
        </w:tc>
        <w:tc>
          <w:tcPr>
            <w:tcW w:w="50" w:type="pct"/>
            <w:shd w:val="clear" w:color="auto" w:fill="auto"/>
            <w:vAlign w:val="bottom"/>
          </w:tcPr>
          <w:p w14:paraId="07DD022F" w14:textId="77777777" w:rsidR="00AE727E" w:rsidRDefault="00AE727E">
            <w:pPr>
              <w:rPr>
                <w:rFonts w:ascii="宋体"/>
              </w:rPr>
            </w:pPr>
          </w:p>
        </w:tc>
        <w:tc>
          <w:tcPr>
            <w:tcW w:w="756" w:type="pct"/>
            <w:shd w:val="clear" w:color="auto" w:fill="auto"/>
            <w:vAlign w:val="bottom"/>
          </w:tcPr>
          <w:p w14:paraId="07DD0230" w14:textId="77777777" w:rsidR="00AE727E" w:rsidRDefault="00AE727E">
            <w:pPr>
              <w:rPr>
                <w:rFonts w:ascii="宋体"/>
              </w:rPr>
            </w:pPr>
          </w:p>
        </w:tc>
        <w:tc>
          <w:tcPr>
            <w:tcW w:w="5" w:type="pct"/>
            <w:shd w:val="clear" w:color="auto" w:fill="auto"/>
            <w:vAlign w:val="bottom"/>
          </w:tcPr>
          <w:p w14:paraId="07DD0231" w14:textId="77777777" w:rsidR="00AE727E" w:rsidRDefault="00AE727E">
            <w:pPr>
              <w:rPr>
                <w:rFonts w:ascii="宋体"/>
              </w:rPr>
            </w:pPr>
          </w:p>
        </w:tc>
      </w:tr>
      <w:tr w:rsidR="00AE727E" w14:paraId="07DD0237" w14:textId="77777777">
        <w:tc>
          <w:tcPr>
            <w:tcW w:w="0" w:type="auto"/>
            <w:gridSpan w:val="3"/>
            <w:shd w:val="clear" w:color="auto" w:fill="auto"/>
            <w:tcMar>
              <w:top w:w="0" w:type="dxa"/>
              <w:left w:w="20" w:type="dxa"/>
              <w:bottom w:w="0" w:type="dxa"/>
              <w:right w:w="20" w:type="dxa"/>
            </w:tcMar>
            <w:vAlign w:val="bottom"/>
          </w:tcPr>
          <w:p w14:paraId="07DD0233"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234"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235"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236"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240" w14:textId="77777777">
        <w:tc>
          <w:tcPr>
            <w:tcW w:w="0" w:type="auto"/>
            <w:gridSpan w:val="3"/>
            <w:shd w:val="clear" w:color="auto" w:fill="auto"/>
            <w:tcMar>
              <w:top w:w="0" w:type="dxa"/>
              <w:left w:w="20" w:type="dxa"/>
              <w:bottom w:w="0" w:type="dxa"/>
              <w:right w:w="20" w:type="dxa"/>
            </w:tcMar>
            <w:vAlign w:val="bottom"/>
          </w:tcPr>
          <w:p w14:paraId="07DD0238"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239"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23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3B"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23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3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23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3F"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243" w14:textId="77777777">
        <w:tc>
          <w:tcPr>
            <w:tcW w:w="0" w:type="auto"/>
            <w:gridSpan w:val="3"/>
            <w:shd w:val="clear" w:color="auto" w:fill="auto"/>
            <w:tcMar>
              <w:top w:w="0" w:type="dxa"/>
              <w:left w:w="20" w:type="dxa"/>
              <w:bottom w:w="0" w:type="dxa"/>
              <w:right w:w="20" w:type="dxa"/>
            </w:tcMar>
            <w:vAlign w:val="bottom"/>
          </w:tcPr>
          <w:p w14:paraId="07DD0241" w14:textId="77777777" w:rsidR="00AE727E" w:rsidRDefault="00AE727E">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07DD0242"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D024C" w14:textId="77777777">
        <w:tc>
          <w:tcPr>
            <w:tcW w:w="0" w:type="auto"/>
            <w:gridSpan w:val="3"/>
            <w:shd w:val="clear" w:color="auto" w:fill="CCEEFF"/>
            <w:tcMar>
              <w:top w:w="40" w:type="dxa"/>
              <w:left w:w="20" w:type="dxa"/>
              <w:bottom w:w="40" w:type="dxa"/>
              <w:right w:w="20" w:type="dxa"/>
            </w:tcMar>
            <w:vAlign w:val="bottom"/>
          </w:tcPr>
          <w:p w14:paraId="07DD0244" w14:textId="77777777" w:rsidR="00AE727E" w:rsidRDefault="008433E0">
            <w:pPr>
              <w:textAlignment w:val="bottom"/>
            </w:pPr>
            <w:r>
              <w:rPr>
                <w:rFonts w:ascii="Times New Roman" w:eastAsia="宋体" w:hAnsi="Times New Roman"/>
                <w:i/>
                <w:iCs/>
                <w:color w:val="000000"/>
                <w:sz w:val="20"/>
                <w:szCs w:val="20"/>
              </w:rPr>
              <w:t>Severance charges:</w:t>
            </w:r>
          </w:p>
        </w:tc>
        <w:tc>
          <w:tcPr>
            <w:tcW w:w="0" w:type="auto"/>
            <w:gridSpan w:val="3"/>
            <w:shd w:val="clear" w:color="auto" w:fill="CCEEFF"/>
            <w:tcMar>
              <w:top w:w="0" w:type="dxa"/>
              <w:left w:w="20" w:type="dxa"/>
              <w:bottom w:w="0" w:type="dxa"/>
              <w:right w:w="20" w:type="dxa"/>
            </w:tcMar>
            <w:vAlign w:val="bottom"/>
          </w:tcPr>
          <w:p w14:paraId="07DD024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24B" w14:textId="77777777" w:rsidR="00AE727E" w:rsidRDefault="00AE727E">
            <w:pPr>
              <w:rPr>
                <w:rFonts w:ascii="宋体"/>
              </w:rPr>
            </w:pPr>
          </w:p>
        </w:tc>
      </w:tr>
      <w:tr w:rsidR="00AE727E" w14:paraId="07DD025D" w14:textId="77777777">
        <w:tc>
          <w:tcPr>
            <w:tcW w:w="0" w:type="auto"/>
            <w:gridSpan w:val="3"/>
            <w:shd w:val="clear" w:color="auto" w:fill="FFFFFF"/>
            <w:tcMar>
              <w:top w:w="40" w:type="dxa"/>
              <w:left w:w="20" w:type="dxa"/>
              <w:bottom w:w="40" w:type="dxa"/>
              <w:right w:w="20" w:type="dxa"/>
            </w:tcMar>
            <w:vAlign w:val="bottom"/>
          </w:tcPr>
          <w:p w14:paraId="07DD024D" w14:textId="77777777" w:rsidR="00AE727E" w:rsidRDefault="008433E0">
            <w:pPr>
              <w:textAlignment w:val="bottom"/>
            </w:pPr>
            <w:r>
              <w:rPr>
                <w:rFonts w:ascii="Times New Roman" w:eastAsia="宋体" w:hAnsi="Times New Roman"/>
                <w:color w:val="000000"/>
                <w:sz w:val="20"/>
                <w:szCs w:val="20"/>
              </w:rPr>
              <w:t>Cost of net revenue</w:t>
            </w:r>
          </w:p>
        </w:tc>
        <w:tc>
          <w:tcPr>
            <w:tcW w:w="0" w:type="auto"/>
            <w:shd w:val="clear" w:color="auto" w:fill="FFFFFF"/>
            <w:tcMar>
              <w:top w:w="40" w:type="dxa"/>
              <w:left w:w="20" w:type="dxa"/>
              <w:bottom w:w="40" w:type="dxa"/>
              <w:right w:w="0" w:type="dxa"/>
            </w:tcMar>
            <w:vAlign w:val="bottom"/>
          </w:tcPr>
          <w:p w14:paraId="07DD024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4F" w14:textId="77777777" w:rsidR="00AE727E" w:rsidRDefault="008433E0">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DD025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5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5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53" w14:textId="77777777" w:rsidR="00AE727E" w:rsidRDefault="008433E0">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07DD025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5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5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57" w14:textId="77777777" w:rsidR="00AE727E" w:rsidRDefault="008433E0">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DD02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5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5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5B" w14:textId="77777777" w:rsidR="00AE727E" w:rsidRDefault="008433E0">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7DD025C" w14:textId="77777777" w:rsidR="00AE727E" w:rsidRDefault="00AE727E">
            <w:pPr>
              <w:jc w:val="right"/>
              <w:rPr>
                <w:rFonts w:ascii="宋体"/>
              </w:rPr>
            </w:pPr>
          </w:p>
        </w:tc>
      </w:tr>
      <w:tr w:rsidR="00AE727E" w14:paraId="07DD026A" w14:textId="77777777">
        <w:tc>
          <w:tcPr>
            <w:tcW w:w="0" w:type="auto"/>
            <w:gridSpan w:val="3"/>
            <w:shd w:val="clear" w:color="auto" w:fill="CCEEFF"/>
            <w:tcMar>
              <w:top w:w="40" w:type="dxa"/>
              <w:left w:w="20" w:type="dxa"/>
              <w:bottom w:w="40" w:type="dxa"/>
              <w:right w:w="20" w:type="dxa"/>
            </w:tcMar>
            <w:vAlign w:val="bottom"/>
          </w:tcPr>
          <w:p w14:paraId="07DD025E" w14:textId="77777777" w:rsidR="00AE727E" w:rsidRDefault="008433E0">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07DD025F" w14:textId="77777777" w:rsidR="00AE727E" w:rsidRDefault="008433E0">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07DD026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6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62" w14:textId="77777777" w:rsidR="00AE727E" w:rsidRDefault="008433E0">
            <w:pPr>
              <w:jc w:val="right"/>
              <w:textAlignment w:val="bottom"/>
            </w:pPr>
            <w:r>
              <w:rPr>
                <w:rFonts w:ascii="Times New Roman" w:eastAsia="宋体" w:hAnsi="Times New Roman"/>
                <w:color w:val="000000"/>
                <w:sz w:val="20"/>
                <w:szCs w:val="20"/>
              </w:rPr>
              <w:t>139 </w:t>
            </w:r>
          </w:p>
        </w:tc>
        <w:tc>
          <w:tcPr>
            <w:tcW w:w="0" w:type="auto"/>
            <w:shd w:val="clear" w:color="auto" w:fill="CCEEFF"/>
            <w:tcMar>
              <w:top w:w="40" w:type="dxa"/>
              <w:left w:w="0" w:type="dxa"/>
              <w:bottom w:w="40" w:type="dxa"/>
              <w:right w:w="20" w:type="dxa"/>
            </w:tcMar>
            <w:vAlign w:val="bottom"/>
          </w:tcPr>
          <w:p w14:paraId="07DD02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6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65" w14:textId="77777777" w:rsidR="00AE727E" w:rsidRDefault="008433E0">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07DD026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6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68" w14:textId="77777777" w:rsidR="00AE727E" w:rsidRDefault="008433E0">
            <w:pPr>
              <w:jc w:val="right"/>
              <w:textAlignment w:val="bottom"/>
            </w:pPr>
            <w:r>
              <w:rPr>
                <w:rFonts w:ascii="Times New Roman" w:eastAsia="宋体" w:hAnsi="Times New Roman"/>
                <w:color w:val="000000"/>
                <w:sz w:val="20"/>
                <w:szCs w:val="20"/>
              </w:rPr>
              <w:t>308 </w:t>
            </w:r>
          </w:p>
        </w:tc>
        <w:tc>
          <w:tcPr>
            <w:tcW w:w="0" w:type="auto"/>
            <w:shd w:val="clear" w:color="auto" w:fill="CCEEFF"/>
            <w:tcMar>
              <w:top w:w="40" w:type="dxa"/>
              <w:left w:w="0" w:type="dxa"/>
              <w:bottom w:w="40" w:type="dxa"/>
              <w:right w:w="20" w:type="dxa"/>
            </w:tcMar>
            <w:vAlign w:val="bottom"/>
          </w:tcPr>
          <w:p w14:paraId="07DD0269" w14:textId="77777777" w:rsidR="00AE727E" w:rsidRDefault="00AE727E">
            <w:pPr>
              <w:jc w:val="right"/>
              <w:rPr>
                <w:rFonts w:ascii="宋体"/>
              </w:rPr>
            </w:pPr>
          </w:p>
        </w:tc>
      </w:tr>
      <w:tr w:rsidR="00AE727E" w14:paraId="07DD0277" w14:textId="77777777">
        <w:tc>
          <w:tcPr>
            <w:tcW w:w="0" w:type="auto"/>
            <w:gridSpan w:val="3"/>
            <w:shd w:val="clear" w:color="auto" w:fill="FFFFFF"/>
            <w:tcMar>
              <w:top w:w="40" w:type="dxa"/>
              <w:left w:w="20" w:type="dxa"/>
              <w:bottom w:w="40" w:type="dxa"/>
              <w:right w:w="20" w:type="dxa"/>
            </w:tcMar>
            <w:vAlign w:val="bottom"/>
          </w:tcPr>
          <w:p w14:paraId="07DD026B" w14:textId="77777777" w:rsidR="00AE727E" w:rsidRDefault="008433E0">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7DD026C" w14:textId="77777777" w:rsidR="00AE727E" w:rsidRDefault="008433E0">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DD026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6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6F" w14:textId="77777777" w:rsidR="00AE727E" w:rsidRDefault="008433E0">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07DD02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7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72" w14:textId="77777777" w:rsidR="00AE727E" w:rsidRDefault="008433E0">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DD027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7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75" w14:textId="77777777" w:rsidR="00AE727E" w:rsidRDefault="008433E0">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07DD0276" w14:textId="77777777" w:rsidR="00AE727E" w:rsidRDefault="00AE727E">
            <w:pPr>
              <w:jc w:val="right"/>
              <w:rPr>
                <w:rFonts w:ascii="宋体"/>
              </w:rPr>
            </w:pPr>
          </w:p>
        </w:tc>
      </w:tr>
      <w:tr w:rsidR="00AE727E" w14:paraId="07DD0288" w14:textId="77777777">
        <w:tc>
          <w:tcPr>
            <w:tcW w:w="0" w:type="auto"/>
            <w:gridSpan w:val="3"/>
            <w:shd w:val="clear" w:color="auto" w:fill="CCEEFF"/>
            <w:tcMar>
              <w:top w:w="40" w:type="dxa"/>
              <w:left w:w="140" w:type="dxa"/>
              <w:bottom w:w="40" w:type="dxa"/>
              <w:right w:w="20" w:type="dxa"/>
            </w:tcMar>
            <w:vAlign w:val="bottom"/>
          </w:tcPr>
          <w:p w14:paraId="07DD0278" w14:textId="77777777" w:rsidR="00AE727E" w:rsidRDefault="008433E0">
            <w:pPr>
              <w:textAlignment w:val="bottom"/>
            </w:pPr>
            <w:r>
              <w:rPr>
                <w:rFonts w:ascii="Times New Roman" w:eastAsia="宋体" w:hAnsi="Times New Roman"/>
                <w:color w:val="000000"/>
                <w:sz w:val="20"/>
                <w:szCs w:val="20"/>
              </w:rPr>
              <w:t>Total severance charges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7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7A" w14:textId="77777777" w:rsidR="00AE727E" w:rsidRDefault="008433E0">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7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7C"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7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7E" w14:textId="77777777" w:rsidR="00AE727E" w:rsidRDefault="008433E0">
            <w:pPr>
              <w:jc w:val="right"/>
              <w:textAlignment w:val="bottom"/>
            </w:pPr>
            <w:r>
              <w:rPr>
                <w:rFonts w:ascii="Times New Roman" w:eastAsia="宋体" w:hAnsi="Times New Roman"/>
                <w:color w:val="000000"/>
                <w:sz w:val="20"/>
                <w:szCs w:val="20"/>
              </w:rPr>
              <w:t>226 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7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80"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8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82" w14:textId="77777777" w:rsidR="00AE727E" w:rsidRDefault="008433E0">
            <w:pPr>
              <w:jc w:val="right"/>
              <w:textAlignment w:val="bottom"/>
            </w:pPr>
            <w:r>
              <w:rPr>
                <w:rFonts w:ascii="Times New Roman" w:eastAsia="宋体" w:hAnsi="Times New Roman"/>
                <w:color w:val="000000"/>
                <w:sz w:val="20"/>
                <w:szCs w:val="20"/>
              </w:rPr>
              <w:t>120 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8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84"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028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0286" w14:textId="77777777" w:rsidR="00AE727E" w:rsidRDefault="008433E0">
            <w:pPr>
              <w:jc w:val="right"/>
              <w:textAlignment w:val="bottom"/>
            </w:pPr>
            <w:r>
              <w:rPr>
                <w:rFonts w:ascii="Times New Roman" w:eastAsia="宋体" w:hAnsi="Times New Roman"/>
                <w:color w:val="000000"/>
                <w:sz w:val="20"/>
                <w:szCs w:val="20"/>
              </w:rPr>
              <w:t>417 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0287" w14:textId="77777777" w:rsidR="00AE727E" w:rsidRDefault="00AE727E">
            <w:pPr>
              <w:jc w:val="right"/>
              <w:rPr>
                <w:rFonts w:ascii="宋体"/>
              </w:rPr>
            </w:pPr>
          </w:p>
        </w:tc>
      </w:tr>
    </w:tbl>
    <w:p w14:paraId="07DD0289" w14:textId="77777777" w:rsidR="00AE727E" w:rsidRDefault="00AE727E"/>
    <w:p w14:paraId="07DD028A" w14:textId="77777777" w:rsidR="00AE727E" w:rsidRDefault="008433E0">
      <w:r>
        <w:rPr>
          <w:rFonts w:ascii="Times New Roman" w:eastAsia="宋体" w:hAnsi="Times New Roman"/>
          <w:b/>
          <w:bCs/>
          <w:color w:val="000000"/>
          <w:sz w:val="20"/>
          <w:szCs w:val="20"/>
          <w:shd w:val="clear" w:color="auto" w:fill="FFFFFF"/>
        </w:rPr>
        <w:t>Interest and Other, Net</w:t>
      </w:r>
    </w:p>
    <w:p w14:paraId="07DD028B" w14:textId="77777777" w:rsidR="00AE727E" w:rsidRDefault="00AE727E"/>
    <w:p w14:paraId="07DD028C" w14:textId="77777777" w:rsidR="00AE727E" w:rsidRDefault="008433E0">
      <w:pPr>
        <w:spacing w:after="60"/>
      </w:pPr>
      <w:r>
        <w:rPr>
          <w:rFonts w:ascii="Times New Roman" w:eastAsia="宋体" w:hAnsi="Times New Roman"/>
          <w:color w:val="000000"/>
          <w:sz w:val="20"/>
          <w:szCs w:val="20"/>
          <w:shd w:val="clear" w:color="auto" w:fill="FFFFFF"/>
        </w:rPr>
        <w:t xml:space="preserve">The following table provides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935"/>
        <w:gridCol w:w="38"/>
        <w:gridCol w:w="121"/>
        <w:gridCol w:w="1073"/>
        <w:gridCol w:w="37"/>
        <w:gridCol w:w="36"/>
        <w:gridCol w:w="36"/>
        <w:gridCol w:w="36"/>
        <w:gridCol w:w="121"/>
        <w:gridCol w:w="1074"/>
        <w:gridCol w:w="37"/>
        <w:gridCol w:w="36"/>
        <w:gridCol w:w="36"/>
        <w:gridCol w:w="36"/>
        <w:gridCol w:w="121"/>
        <w:gridCol w:w="1074"/>
        <w:gridCol w:w="37"/>
        <w:gridCol w:w="36"/>
        <w:gridCol w:w="36"/>
        <w:gridCol w:w="36"/>
        <w:gridCol w:w="121"/>
        <w:gridCol w:w="1075"/>
        <w:gridCol w:w="37"/>
        <w:gridCol w:w="36"/>
        <w:gridCol w:w="36"/>
      </w:tblGrid>
      <w:tr w:rsidR="00AE727E" w14:paraId="07DD02A7" w14:textId="77777777">
        <w:tc>
          <w:tcPr>
            <w:tcW w:w="50" w:type="pct"/>
            <w:shd w:val="clear" w:color="auto" w:fill="auto"/>
            <w:vAlign w:val="bottom"/>
          </w:tcPr>
          <w:p w14:paraId="07DD028D" w14:textId="77777777" w:rsidR="00AE727E" w:rsidRDefault="00AE727E">
            <w:pPr>
              <w:rPr>
                <w:rFonts w:ascii="宋体"/>
              </w:rPr>
            </w:pPr>
          </w:p>
        </w:tc>
        <w:tc>
          <w:tcPr>
            <w:tcW w:w="1845" w:type="pct"/>
            <w:shd w:val="clear" w:color="auto" w:fill="auto"/>
            <w:vAlign w:val="bottom"/>
          </w:tcPr>
          <w:p w14:paraId="07DD028E" w14:textId="77777777" w:rsidR="00AE727E" w:rsidRDefault="00AE727E">
            <w:pPr>
              <w:rPr>
                <w:rFonts w:ascii="宋体"/>
              </w:rPr>
            </w:pPr>
          </w:p>
        </w:tc>
        <w:tc>
          <w:tcPr>
            <w:tcW w:w="5" w:type="pct"/>
            <w:shd w:val="clear" w:color="auto" w:fill="auto"/>
            <w:vAlign w:val="bottom"/>
          </w:tcPr>
          <w:p w14:paraId="07DD028F" w14:textId="77777777" w:rsidR="00AE727E" w:rsidRDefault="00AE727E">
            <w:pPr>
              <w:rPr>
                <w:rFonts w:ascii="宋体"/>
              </w:rPr>
            </w:pPr>
          </w:p>
        </w:tc>
        <w:tc>
          <w:tcPr>
            <w:tcW w:w="50" w:type="pct"/>
            <w:shd w:val="clear" w:color="auto" w:fill="auto"/>
            <w:vAlign w:val="bottom"/>
          </w:tcPr>
          <w:p w14:paraId="07DD0290" w14:textId="77777777" w:rsidR="00AE727E" w:rsidRDefault="00AE727E">
            <w:pPr>
              <w:rPr>
                <w:rFonts w:ascii="宋体"/>
              </w:rPr>
            </w:pPr>
          </w:p>
        </w:tc>
        <w:tc>
          <w:tcPr>
            <w:tcW w:w="697" w:type="pct"/>
            <w:shd w:val="clear" w:color="auto" w:fill="auto"/>
            <w:vAlign w:val="bottom"/>
          </w:tcPr>
          <w:p w14:paraId="07DD0291" w14:textId="77777777" w:rsidR="00AE727E" w:rsidRDefault="00AE727E">
            <w:pPr>
              <w:rPr>
                <w:rFonts w:ascii="宋体"/>
              </w:rPr>
            </w:pPr>
          </w:p>
        </w:tc>
        <w:tc>
          <w:tcPr>
            <w:tcW w:w="5" w:type="pct"/>
            <w:shd w:val="clear" w:color="auto" w:fill="auto"/>
            <w:vAlign w:val="bottom"/>
          </w:tcPr>
          <w:p w14:paraId="07DD0292" w14:textId="77777777" w:rsidR="00AE727E" w:rsidRDefault="00AE727E">
            <w:pPr>
              <w:rPr>
                <w:rFonts w:ascii="宋体"/>
              </w:rPr>
            </w:pPr>
          </w:p>
        </w:tc>
        <w:tc>
          <w:tcPr>
            <w:tcW w:w="5" w:type="pct"/>
            <w:shd w:val="clear" w:color="auto" w:fill="auto"/>
            <w:vAlign w:val="bottom"/>
          </w:tcPr>
          <w:p w14:paraId="07DD0293" w14:textId="77777777" w:rsidR="00AE727E" w:rsidRDefault="00AE727E">
            <w:pPr>
              <w:rPr>
                <w:rFonts w:ascii="宋体"/>
              </w:rPr>
            </w:pPr>
          </w:p>
        </w:tc>
        <w:tc>
          <w:tcPr>
            <w:tcW w:w="19" w:type="pct"/>
            <w:shd w:val="clear" w:color="auto" w:fill="auto"/>
            <w:vAlign w:val="bottom"/>
          </w:tcPr>
          <w:p w14:paraId="07DD0294" w14:textId="77777777" w:rsidR="00AE727E" w:rsidRDefault="00AE727E">
            <w:pPr>
              <w:rPr>
                <w:rFonts w:ascii="宋体"/>
              </w:rPr>
            </w:pPr>
          </w:p>
        </w:tc>
        <w:tc>
          <w:tcPr>
            <w:tcW w:w="5" w:type="pct"/>
            <w:shd w:val="clear" w:color="auto" w:fill="auto"/>
            <w:vAlign w:val="bottom"/>
          </w:tcPr>
          <w:p w14:paraId="07DD0295" w14:textId="77777777" w:rsidR="00AE727E" w:rsidRDefault="00AE727E">
            <w:pPr>
              <w:rPr>
                <w:rFonts w:ascii="宋体"/>
              </w:rPr>
            </w:pPr>
          </w:p>
        </w:tc>
        <w:tc>
          <w:tcPr>
            <w:tcW w:w="50" w:type="pct"/>
            <w:shd w:val="clear" w:color="auto" w:fill="auto"/>
            <w:vAlign w:val="bottom"/>
          </w:tcPr>
          <w:p w14:paraId="07DD0296" w14:textId="77777777" w:rsidR="00AE727E" w:rsidRDefault="00AE727E">
            <w:pPr>
              <w:rPr>
                <w:rFonts w:ascii="宋体"/>
              </w:rPr>
            </w:pPr>
          </w:p>
        </w:tc>
        <w:tc>
          <w:tcPr>
            <w:tcW w:w="697" w:type="pct"/>
            <w:shd w:val="clear" w:color="auto" w:fill="auto"/>
            <w:vAlign w:val="bottom"/>
          </w:tcPr>
          <w:p w14:paraId="07DD0297" w14:textId="77777777" w:rsidR="00AE727E" w:rsidRDefault="00AE727E">
            <w:pPr>
              <w:rPr>
                <w:rFonts w:ascii="宋体"/>
              </w:rPr>
            </w:pPr>
          </w:p>
        </w:tc>
        <w:tc>
          <w:tcPr>
            <w:tcW w:w="5" w:type="pct"/>
            <w:shd w:val="clear" w:color="auto" w:fill="auto"/>
            <w:vAlign w:val="bottom"/>
          </w:tcPr>
          <w:p w14:paraId="07DD0298" w14:textId="77777777" w:rsidR="00AE727E" w:rsidRDefault="00AE727E">
            <w:pPr>
              <w:rPr>
                <w:rFonts w:ascii="宋体"/>
              </w:rPr>
            </w:pPr>
          </w:p>
        </w:tc>
        <w:tc>
          <w:tcPr>
            <w:tcW w:w="5" w:type="pct"/>
            <w:shd w:val="clear" w:color="auto" w:fill="auto"/>
            <w:vAlign w:val="bottom"/>
          </w:tcPr>
          <w:p w14:paraId="07DD0299" w14:textId="77777777" w:rsidR="00AE727E" w:rsidRDefault="00AE727E">
            <w:pPr>
              <w:rPr>
                <w:rFonts w:ascii="宋体"/>
              </w:rPr>
            </w:pPr>
          </w:p>
        </w:tc>
        <w:tc>
          <w:tcPr>
            <w:tcW w:w="19" w:type="pct"/>
            <w:shd w:val="clear" w:color="auto" w:fill="auto"/>
            <w:vAlign w:val="bottom"/>
          </w:tcPr>
          <w:p w14:paraId="07DD029A" w14:textId="77777777" w:rsidR="00AE727E" w:rsidRDefault="00AE727E">
            <w:pPr>
              <w:rPr>
                <w:rFonts w:ascii="宋体"/>
              </w:rPr>
            </w:pPr>
          </w:p>
        </w:tc>
        <w:tc>
          <w:tcPr>
            <w:tcW w:w="5" w:type="pct"/>
            <w:shd w:val="clear" w:color="auto" w:fill="auto"/>
            <w:vAlign w:val="bottom"/>
          </w:tcPr>
          <w:p w14:paraId="07DD029B" w14:textId="77777777" w:rsidR="00AE727E" w:rsidRDefault="00AE727E">
            <w:pPr>
              <w:rPr>
                <w:rFonts w:ascii="宋体"/>
              </w:rPr>
            </w:pPr>
          </w:p>
        </w:tc>
        <w:tc>
          <w:tcPr>
            <w:tcW w:w="50" w:type="pct"/>
            <w:shd w:val="clear" w:color="auto" w:fill="auto"/>
            <w:vAlign w:val="bottom"/>
          </w:tcPr>
          <w:p w14:paraId="07DD029C" w14:textId="77777777" w:rsidR="00AE727E" w:rsidRDefault="00AE727E">
            <w:pPr>
              <w:rPr>
                <w:rFonts w:ascii="宋体"/>
              </w:rPr>
            </w:pPr>
          </w:p>
        </w:tc>
        <w:tc>
          <w:tcPr>
            <w:tcW w:w="697" w:type="pct"/>
            <w:shd w:val="clear" w:color="auto" w:fill="auto"/>
            <w:vAlign w:val="bottom"/>
          </w:tcPr>
          <w:p w14:paraId="07DD029D" w14:textId="77777777" w:rsidR="00AE727E" w:rsidRDefault="00AE727E">
            <w:pPr>
              <w:rPr>
                <w:rFonts w:ascii="宋体"/>
              </w:rPr>
            </w:pPr>
          </w:p>
        </w:tc>
        <w:tc>
          <w:tcPr>
            <w:tcW w:w="5" w:type="pct"/>
            <w:shd w:val="clear" w:color="auto" w:fill="auto"/>
            <w:vAlign w:val="bottom"/>
          </w:tcPr>
          <w:p w14:paraId="07DD029E" w14:textId="77777777" w:rsidR="00AE727E" w:rsidRDefault="00AE727E">
            <w:pPr>
              <w:rPr>
                <w:rFonts w:ascii="宋体"/>
              </w:rPr>
            </w:pPr>
          </w:p>
        </w:tc>
        <w:tc>
          <w:tcPr>
            <w:tcW w:w="5" w:type="pct"/>
            <w:shd w:val="clear" w:color="auto" w:fill="auto"/>
            <w:vAlign w:val="bottom"/>
          </w:tcPr>
          <w:p w14:paraId="07DD029F" w14:textId="77777777" w:rsidR="00AE727E" w:rsidRDefault="00AE727E">
            <w:pPr>
              <w:rPr>
                <w:rFonts w:ascii="宋体"/>
              </w:rPr>
            </w:pPr>
          </w:p>
        </w:tc>
        <w:tc>
          <w:tcPr>
            <w:tcW w:w="19" w:type="pct"/>
            <w:shd w:val="clear" w:color="auto" w:fill="auto"/>
            <w:vAlign w:val="bottom"/>
          </w:tcPr>
          <w:p w14:paraId="07DD02A0" w14:textId="77777777" w:rsidR="00AE727E" w:rsidRDefault="00AE727E">
            <w:pPr>
              <w:rPr>
                <w:rFonts w:ascii="宋体"/>
              </w:rPr>
            </w:pPr>
          </w:p>
        </w:tc>
        <w:tc>
          <w:tcPr>
            <w:tcW w:w="5" w:type="pct"/>
            <w:shd w:val="clear" w:color="auto" w:fill="auto"/>
            <w:vAlign w:val="bottom"/>
          </w:tcPr>
          <w:p w14:paraId="07DD02A1" w14:textId="77777777" w:rsidR="00AE727E" w:rsidRDefault="00AE727E">
            <w:pPr>
              <w:rPr>
                <w:rFonts w:ascii="宋体"/>
              </w:rPr>
            </w:pPr>
          </w:p>
        </w:tc>
        <w:tc>
          <w:tcPr>
            <w:tcW w:w="50" w:type="pct"/>
            <w:shd w:val="clear" w:color="auto" w:fill="auto"/>
            <w:vAlign w:val="bottom"/>
          </w:tcPr>
          <w:p w14:paraId="07DD02A2" w14:textId="77777777" w:rsidR="00AE727E" w:rsidRDefault="00AE727E">
            <w:pPr>
              <w:rPr>
                <w:rFonts w:ascii="宋体"/>
              </w:rPr>
            </w:pPr>
          </w:p>
        </w:tc>
        <w:tc>
          <w:tcPr>
            <w:tcW w:w="698" w:type="pct"/>
            <w:shd w:val="clear" w:color="auto" w:fill="auto"/>
            <w:vAlign w:val="bottom"/>
          </w:tcPr>
          <w:p w14:paraId="07DD02A3" w14:textId="77777777" w:rsidR="00AE727E" w:rsidRDefault="00AE727E">
            <w:pPr>
              <w:rPr>
                <w:rFonts w:ascii="宋体"/>
              </w:rPr>
            </w:pPr>
          </w:p>
        </w:tc>
        <w:tc>
          <w:tcPr>
            <w:tcW w:w="5" w:type="pct"/>
            <w:shd w:val="clear" w:color="auto" w:fill="auto"/>
            <w:vAlign w:val="bottom"/>
          </w:tcPr>
          <w:p w14:paraId="07DD02A4" w14:textId="77777777" w:rsidR="00AE727E" w:rsidRDefault="00AE727E">
            <w:pPr>
              <w:rPr>
                <w:rFonts w:ascii="宋体"/>
              </w:rPr>
            </w:pPr>
          </w:p>
        </w:tc>
        <w:tc>
          <w:tcPr>
            <w:tcW w:w="0" w:type="auto"/>
            <w:shd w:val="clear" w:color="auto" w:fill="auto"/>
            <w:vAlign w:val="bottom"/>
          </w:tcPr>
          <w:p w14:paraId="07DD02A5" w14:textId="77777777" w:rsidR="00AE727E" w:rsidRDefault="00AE727E">
            <w:pPr>
              <w:rPr>
                <w:rFonts w:ascii="宋体"/>
                <w:vanish/>
              </w:rPr>
            </w:pPr>
          </w:p>
        </w:tc>
        <w:tc>
          <w:tcPr>
            <w:tcW w:w="0" w:type="auto"/>
            <w:shd w:val="clear" w:color="auto" w:fill="auto"/>
            <w:vAlign w:val="bottom"/>
          </w:tcPr>
          <w:p w14:paraId="07DD02A6" w14:textId="77777777" w:rsidR="00AE727E" w:rsidRDefault="00AE727E">
            <w:pPr>
              <w:rPr>
                <w:rFonts w:ascii="宋体"/>
                <w:vanish/>
              </w:rPr>
            </w:pPr>
          </w:p>
        </w:tc>
      </w:tr>
      <w:tr w:rsidR="00AE727E" w14:paraId="07DD02AE" w14:textId="77777777">
        <w:tc>
          <w:tcPr>
            <w:tcW w:w="0" w:type="auto"/>
            <w:gridSpan w:val="3"/>
            <w:shd w:val="clear" w:color="auto" w:fill="auto"/>
            <w:tcMar>
              <w:top w:w="0" w:type="dxa"/>
              <w:left w:w="20" w:type="dxa"/>
              <w:bottom w:w="0" w:type="dxa"/>
              <w:right w:w="20" w:type="dxa"/>
            </w:tcMar>
            <w:vAlign w:val="bottom"/>
          </w:tcPr>
          <w:p w14:paraId="07DD02A8"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2A9"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2AA"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02AB" w14:textId="77777777" w:rsidR="00AE727E" w:rsidRDefault="008433E0">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DD02AC" w14:textId="77777777" w:rsidR="00AE727E" w:rsidRDefault="00AE727E">
            <w:pPr>
              <w:rPr>
                <w:rFonts w:ascii="宋体"/>
                <w:vanish/>
              </w:rPr>
            </w:pPr>
          </w:p>
        </w:tc>
        <w:tc>
          <w:tcPr>
            <w:tcW w:w="0" w:type="auto"/>
            <w:shd w:val="clear" w:color="auto" w:fill="auto"/>
            <w:vAlign w:val="bottom"/>
          </w:tcPr>
          <w:p w14:paraId="07DD02AD" w14:textId="77777777" w:rsidR="00AE727E" w:rsidRDefault="00AE727E">
            <w:pPr>
              <w:rPr>
                <w:rFonts w:ascii="宋体"/>
                <w:vanish/>
              </w:rPr>
            </w:pPr>
          </w:p>
        </w:tc>
      </w:tr>
      <w:tr w:rsidR="00AE727E" w14:paraId="07DD02B9" w14:textId="77777777">
        <w:tc>
          <w:tcPr>
            <w:tcW w:w="0" w:type="auto"/>
            <w:gridSpan w:val="3"/>
            <w:shd w:val="clear" w:color="auto" w:fill="auto"/>
            <w:tcMar>
              <w:top w:w="40" w:type="dxa"/>
              <w:left w:w="20" w:type="dxa"/>
              <w:bottom w:w="40" w:type="dxa"/>
              <w:right w:w="20" w:type="dxa"/>
            </w:tcMar>
            <w:vAlign w:val="bottom"/>
          </w:tcPr>
          <w:p w14:paraId="07DD02AF" w14:textId="77777777" w:rsidR="00AE727E" w:rsidRDefault="008433E0">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2B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2B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B2"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2B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B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2B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2B6"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shd w:val="clear" w:color="auto" w:fill="auto"/>
            <w:vAlign w:val="bottom"/>
          </w:tcPr>
          <w:p w14:paraId="07DD02B7" w14:textId="77777777" w:rsidR="00AE727E" w:rsidRDefault="00AE727E">
            <w:pPr>
              <w:rPr>
                <w:rFonts w:ascii="宋体"/>
                <w:vanish/>
              </w:rPr>
            </w:pPr>
          </w:p>
        </w:tc>
        <w:tc>
          <w:tcPr>
            <w:tcW w:w="0" w:type="auto"/>
            <w:shd w:val="clear" w:color="auto" w:fill="auto"/>
            <w:vAlign w:val="bottom"/>
          </w:tcPr>
          <w:p w14:paraId="07DD02B8" w14:textId="77777777" w:rsidR="00AE727E" w:rsidRDefault="00AE727E">
            <w:pPr>
              <w:rPr>
                <w:rFonts w:ascii="宋体"/>
                <w:vanish/>
              </w:rPr>
            </w:pPr>
          </w:p>
        </w:tc>
      </w:tr>
      <w:tr w:rsidR="00AE727E" w14:paraId="07DD02BE" w14:textId="77777777">
        <w:tc>
          <w:tcPr>
            <w:tcW w:w="0" w:type="auto"/>
            <w:gridSpan w:val="3"/>
            <w:shd w:val="clear" w:color="auto" w:fill="auto"/>
            <w:tcMar>
              <w:top w:w="40" w:type="dxa"/>
              <w:left w:w="20" w:type="dxa"/>
              <w:bottom w:w="40" w:type="dxa"/>
              <w:right w:w="20" w:type="dxa"/>
            </w:tcMar>
            <w:vAlign w:val="center"/>
          </w:tcPr>
          <w:p w14:paraId="07DD02BA"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D02BB" w14:textId="77777777" w:rsidR="00AE727E" w:rsidRDefault="008433E0">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07DD02BC" w14:textId="77777777" w:rsidR="00AE727E" w:rsidRDefault="00AE727E">
            <w:pPr>
              <w:rPr>
                <w:rFonts w:ascii="宋体"/>
                <w:vanish/>
              </w:rPr>
            </w:pPr>
          </w:p>
        </w:tc>
        <w:tc>
          <w:tcPr>
            <w:tcW w:w="0" w:type="auto"/>
            <w:shd w:val="clear" w:color="auto" w:fill="auto"/>
            <w:vAlign w:val="bottom"/>
          </w:tcPr>
          <w:p w14:paraId="07DD02BD" w14:textId="77777777" w:rsidR="00AE727E" w:rsidRDefault="00AE727E">
            <w:pPr>
              <w:rPr>
                <w:rFonts w:ascii="宋体"/>
                <w:vanish/>
              </w:rPr>
            </w:pPr>
          </w:p>
        </w:tc>
      </w:tr>
      <w:tr w:rsidR="00AE727E" w14:paraId="07DD02C9" w14:textId="77777777">
        <w:tc>
          <w:tcPr>
            <w:tcW w:w="0" w:type="auto"/>
            <w:gridSpan w:val="3"/>
            <w:shd w:val="clear" w:color="auto" w:fill="CCEEFF"/>
            <w:tcMar>
              <w:top w:w="40" w:type="dxa"/>
              <w:left w:w="20" w:type="dxa"/>
              <w:bottom w:w="40" w:type="dxa"/>
              <w:right w:w="20" w:type="dxa"/>
            </w:tcMar>
            <w:vAlign w:val="bottom"/>
          </w:tcPr>
          <w:p w14:paraId="07DD02BF" w14:textId="77777777" w:rsidR="00AE727E" w:rsidRDefault="008433E0">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bottom"/>
          </w:tcPr>
          <w:p w14:paraId="07DD02C0"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02C1"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02C2"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02C3"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02C4"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02C5"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02C6"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auto"/>
            <w:vAlign w:val="bottom"/>
          </w:tcPr>
          <w:p w14:paraId="07DD02C7" w14:textId="77777777" w:rsidR="00AE727E" w:rsidRDefault="00AE727E">
            <w:pPr>
              <w:rPr>
                <w:rFonts w:ascii="宋体"/>
                <w:vanish/>
              </w:rPr>
            </w:pPr>
          </w:p>
        </w:tc>
        <w:tc>
          <w:tcPr>
            <w:tcW w:w="0" w:type="auto"/>
            <w:shd w:val="clear" w:color="auto" w:fill="auto"/>
            <w:vAlign w:val="bottom"/>
          </w:tcPr>
          <w:p w14:paraId="07DD02C8" w14:textId="77777777" w:rsidR="00AE727E" w:rsidRDefault="00AE727E">
            <w:pPr>
              <w:rPr>
                <w:rFonts w:ascii="宋体"/>
                <w:vanish/>
              </w:rPr>
            </w:pPr>
          </w:p>
        </w:tc>
      </w:tr>
      <w:tr w:rsidR="00AE727E" w14:paraId="07DD02DC" w14:textId="77777777">
        <w:tc>
          <w:tcPr>
            <w:tcW w:w="0" w:type="auto"/>
            <w:gridSpan w:val="3"/>
            <w:shd w:val="clear" w:color="auto" w:fill="FFFFFF"/>
            <w:tcMar>
              <w:top w:w="40" w:type="dxa"/>
              <w:left w:w="20" w:type="dxa"/>
              <w:bottom w:w="40" w:type="dxa"/>
              <w:right w:w="20" w:type="dxa"/>
            </w:tcMar>
            <w:vAlign w:val="bottom"/>
          </w:tcPr>
          <w:p w14:paraId="07DD02CA" w14:textId="77777777" w:rsidR="00AE727E" w:rsidRDefault="008433E0">
            <w:pPr>
              <w:textAlignment w:val="bottom"/>
            </w:pPr>
            <w:r>
              <w:rPr>
                <w:rFonts w:ascii="Times New Roman" w:eastAsia="宋体" w:hAnsi="Times New Roman"/>
                <w:color w:val="000000"/>
                <w:sz w:val="20"/>
                <w:szCs w:val="20"/>
              </w:rPr>
              <w:t xml:space="preserve">Investment income, primarily </w:t>
            </w:r>
            <w:r>
              <w:rPr>
                <w:rFonts w:ascii="Times New Roman" w:eastAsia="宋体" w:hAnsi="Times New Roman"/>
                <w:color w:val="000000"/>
                <w:sz w:val="20"/>
                <w:szCs w:val="20"/>
              </w:rPr>
              <w:t>interest</w:t>
            </w:r>
          </w:p>
        </w:tc>
        <w:tc>
          <w:tcPr>
            <w:tcW w:w="0" w:type="auto"/>
            <w:shd w:val="clear" w:color="auto" w:fill="FFFFFF"/>
            <w:tcMar>
              <w:top w:w="40" w:type="dxa"/>
              <w:left w:w="20" w:type="dxa"/>
              <w:bottom w:w="40" w:type="dxa"/>
              <w:right w:w="0" w:type="dxa"/>
            </w:tcMar>
            <w:vAlign w:val="bottom"/>
          </w:tcPr>
          <w:p w14:paraId="07DD02C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CC"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D02C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C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C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D0"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D02D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D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D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D4" w14:textId="77777777" w:rsidR="00AE727E" w:rsidRDefault="008433E0">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07DD02D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D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2D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2D8" w14:textId="77777777" w:rsidR="00AE727E" w:rsidRDefault="008433E0">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7DD02D9" w14:textId="77777777" w:rsidR="00AE727E" w:rsidRDefault="00AE727E">
            <w:pPr>
              <w:jc w:val="right"/>
              <w:rPr>
                <w:rFonts w:ascii="宋体"/>
              </w:rPr>
            </w:pPr>
          </w:p>
        </w:tc>
        <w:tc>
          <w:tcPr>
            <w:tcW w:w="0" w:type="auto"/>
            <w:shd w:val="clear" w:color="auto" w:fill="auto"/>
            <w:vAlign w:val="bottom"/>
          </w:tcPr>
          <w:p w14:paraId="07DD02DA" w14:textId="77777777" w:rsidR="00AE727E" w:rsidRDefault="00AE727E">
            <w:pPr>
              <w:rPr>
                <w:rFonts w:ascii="宋体"/>
                <w:vanish/>
              </w:rPr>
            </w:pPr>
          </w:p>
        </w:tc>
        <w:tc>
          <w:tcPr>
            <w:tcW w:w="0" w:type="auto"/>
            <w:shd w:val="clear" w:color="auto" w:fill="auto"/>
            <w:vAlign w:val="bottom"/>
          </w:tcPr>
          <w:p w14:paraId="07DD02DB" w14:textId="77777777" w:rsidR="00AE727E" w:rsidRDefault="00AE727E">
            <w:pPr>
              <w:rPr>
                <w:rFonts w:ascii="宋体"/>
                <w:vanish/>
              </w:rPr>
            </w:pPr>
          </w:p>
        </w:tc>
      </w:tr>
      <w:tr w:rsidR="00AE727E" w14:paraId="07DD02EB" w14:textId="77777777">
        <w:tc>
          <w:tcPr>
            <w:tcW w:w="0" w:type="auto"/>
            <w:gridSpan w:val="3"/>
            <w:shd w:val="clear" w:color="auto" w:fill="CCEEFF"/>
            <w:tcMar>
              <w:top w:w="40" w:type="dxa"/>
              <w:left w:w="20" w:type="dxa"/>
              <w:bottom w:w="40" w:type="dxa"/>
              <w:right w:w="20" w:type="dxa"/>
            </w:tcMar>
            <w:vAlign w:val="bottom"/>
          </w:tcPr>
          <w:p w14:paraId="07DD02DD" w14:textId="77777777" w:rsidR="00AE727E" w:rsidRDefault="008433E0">
            <w:pPr>
              <w:textAlignment w:val="bottom"/>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bottom"/>
          </w:tcPr>
          <w:p w14:paraId="07DD02DE" w14:textId="77777777" w:rsidR="00AE727E" w:rsidRDefault="008433E0">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7DD02D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E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E1" w14:textId="77777777" w:rsidR="00AE727E" w:rsidRDefault="008433E0">
            <w:pPr>
              <w:jc w:val="right"/>
              <w:textAlignment w:val="bottom"/>
            </w:pPr>
            <w:r>
              <w:rPr>
                <w:rFonts w:ascii="Times New Roman" w:eastAsia="宋体" w:hAnsi="Times New Roman"/>
                <w:color w:val="000000"/>
                <w:sz w:val="20"/>
                <w:szCs w:val="20"/>
              </w:rPr>
              <w:t>489 </w:t>
            </w:r>
          </w:p>
        </w:tc>
        <w:tc>
          <w:tcPr>
            <w:tcW w:w="0" w:type="auto"/>
            <w:shd w:val="clear" w:color="auto" w:fill="CCEEFF"/>
            <w:tcMar>
              <w:top w:w="40" w:type="dxa"/>
              <w:left w:w="0" w:type="dxa"/>
              <w:bottom w:w="40" w:type="dxa"/>
              <w:right w:w="20" w:type="dxa"/>
            </w:tcMar>
            <w:vAlign w:val="bottom"/>
          </w:tcPr>
          <w:p w14:paraId="07DD02E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E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E4" w14:textId="77777777" w:rsidR="00AE727E" w:rsidRDefault="008433E0">
            <w:pPr>
              <w:jc w:val="right"/>
              <w:textAlignment w:val="bottom"/>
            </w:pPr>
            <w:r>
              <w:rPr>
                <w:rFonts w:ascii="Times New Roman" w:eastAsia="宋体" w:hAnsi="Times New Roman"/>
                <w:color w:val="000000"/>
                <w:sz w:val="20"/>
                <w:szCs w:val="20"/>
              </w:rPr>
              <w:t>352 </w:t>
            </w:r>
          </w:p>
        </w:tc>
        <w:tc>
          <w:tcPr>
            <w:tcW w:w="0" w:type="auto"/>
            <w:shd w:val="clear" w:color="auto" w:fill="CCEEFF"/>
            <w:tcMar>
              <w:top w:w="40" w:type="dxa"/>
              <w:left w:w="0" w:type="dxa"/>
              <w:bottom w:w="40" w:type="dxa"/>
              <w:right w:w="20" w:type="dxa"/>
            </w:tcMar>
            <w:vAlign w:val="bottom"/>
          </w:tcPr>
          <w:p w14:paraId="07DD02E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E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E7" w14:textId="77777777" w:rsidR="00AE727E" w:rsidRDefault="008433E0">
            <w:pPr>
              <w:jc w:val="right"/>
              <w:textAlignment w:val="bottom"/>
            </w:pPr>
            <w:r>
              <w:rPr>
                <w:rFonts w:ascii="Times New Roman" w:eastAsia="宋体" w:hAnsi="Times New Roman"/>
                <w:color w:val="000000"/>
                <w:sz w:val="20"/>
                <w:szCs w:val="20"/>
              </w:rPr>
              <w:t>591 </w:t>
            </w:r>
          </w:p>
        </w:tc>
        <w:tc>
          <w:tcPr>
            <w:tcW w:w="0" w:type="auto"/>
            <w:shd w:val="clear" w:color="auto" w:fill="CCEEFF"/>
            <w:tcMar>
              <w:top w:w="40" w:type="dxa"/>
              <w:left w:w="0" w:type="dxa"/>
              <w:bottom w:w="40" w:type="dxa"/>
              <w:right w:w="20" w:type="dxa"/>
            </w:tcMar>
            <w:vAlign w:val="bottom"/>
          </w:tcPr>
          <w:p w14:paraId="07DD02E8" w14:textId="77777777" w:rsidR="00AE727E" w:rsidRDefault="00AE727E">
            <w:pPr>
              <w:jc w:val="right"/>
              <w:rPr>
                <w:rFonts w:ascii="宋体"/>
              </w:rPr>
            </w:pPr>
          </w:p>
        </w:tc>
        <w:tc>
          <w:tcPr>
            <w:tcW w:w="0" w:type="auto"/>
            <w:shd w:val="clear" w:color="auto" w:fill="auto"/>
            <w:vAlign w:val="bottom"/>
          </w:tcPr>
          <w:p w14:paraId="07DD02E9" w14:textId="77777777" w:rsidR="00AE727E" w:rsidRDefault="00AE727E">
            <w:pPr>
              <w:rPr>
                <w:rFonts w:ascii="宋体"/>
                <w:vanish/>
              </w:rPr>
            </w:pPr>
          </w:p>
        </w:tc>
        <w:tc>
          <w:tcPr>
            <w:tcW w:w="0" w:type="auto"/>
            <w:shd w:val="clear" w:color="auto" w:fill="auto"/>
            <w:vAlign w:val="bottom"/>
          </w:tcPr>
          <w:p w14:paraId="07DD02EA" w14:textId="77777777" w:rsidR="00AE727E" w:rsidRDefault="00AE727E">
            <w:pPr>
              <w:rPr>
                <w:rFonts w:ascii="宋体"/>
                <w:vanish/>
              </w:rPr>
            </w:pPr>
          </w:p>
        </w:tc>
      </w:tr>
      <w:tr w:rsidR="00AE727E" w14:paraId="07DD02FA" w14:textId="77777777">
        <w:tc>
          <w:tcPr>
            <w:tcW w:w="0" w:type="auto"/>
            <w:gridSpan w:val="3"/>
            <w:shd w:val="clear" w:color="auto" w:fill="FFFFFF"/>
            <w:tcMar>
              <w:top w:w="40" w:type="dxa"/>
              <w:left w:w="20" w:type="dxa"/>
              <w:bottom w:w="40" w:type="dxa"/>
              <w:right w:w="20" w:type="dxa"/>
            </w:tcMar>
            <w:vAlign w:val="bottom"/>
          </w:tcPr>
          <w:p w14:paraId="07DD02EC" w14:textId="77777777" w:rsidR="00AE727E" w:rsidRDefault="008433E0">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7DD02ED" w14:textId="77777777" w:rsidR="00AE727E" w:rsidRDefault="008433E0">
            <w:pPr>
              <w:jc w:val="right"/>
              <w:textAlignment w:val="bottom"/>
            </w:pPr>
            <w:r>
              <w:rPr>
                <w:rFonts w:ascii="Times New Roman" w:eastAsia="宋体" w:hAnsi="Times New Roman"/>
                <w:color w:val="000000"/>
                <w:sz w:val="20"/>
                <w:szCs w:val="20"/>
              </w:rPr>
              <w:t>(482)</w:t>
            </w:r>
          </w:p>
        </w:tc>
        <w:tc>
          <w:tcPr>
            <w:tcW w:w="0" w:type="auto"/>
            <w:shd w:val="clear" w:color="auto" w:fill="FFFFFF"/>
            <w:tcMar>
              <w:top w:w="40" w:type="dxa"/>
              <w:left w:w="0" w:type="dxa"/>
              <w:bottom w:w="40" w:type="dxa"/>
              <w:right w:w="20" w:type="dxa"/>
            </w:tcMar>
            <w:vAlign w:val="bottom"/>
          </w:tcPr>
          <w:p w14:paraId="07DD02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E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F0" w14:textId="77777777" w:rsidR="00AE727E" w:rsidRDefault="008433E0">
            <w:pPr>
              <w:jc w:val="right"/>
              <w:textAlignment w:val="bottom"/>
            </w:pPr>
            <w:r>
              <w:rPr>
                <w:rFonts w:ascii="Times New Roman" w:eastAsia="宋体" w:hAnsi="Times New Roman"/>
                <w:color w:val="000000"/>
                <w:sz w:val="20"/>
                <w:szCs w:val="20"/>
              </w:rPr>
              <w:t>(566)</w:t>
            </w:r>
          </w:p>
        </w:tc>
        <w:tc>
          <w:tcPr>
            <w:tcW w:w="0" w:type="auto"/>
            <w:shd w:val="clear" w:color="auto" w:fill="FFFFFF"/>
            <w:tcMar>
              <w:top w:w="40" w:type="dxa"/>
              <w:left w:w="0" w:type="dxa"/>
              <w:bottom w:w="40" w:type="dxa"/>
              <w:right w:w="20" w:type="dxa"/>
            </w:tcMar>
            <w:vAlign w:val="bottom"/>
          </w:tcPr>
          <w:p w14:paraId="07DD02F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F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F3" w14:textId="77777777" w:rsidR="00AE727E" w:rsidRDefault="008433E0">
            <w:pPr>
              <w:jc w:val="right"/>
              <w:textAlignment w:val="bottom"/>
            </w:pPr>
            <w:r>
              <w:rPr>
                <w:rFonts w:ascii="Times New Roman" w:eastAsia="宋体" w:hAnsi="Times New Roman"/>
                <w:color w:val="000000"/>
                <w:sz w:val="20"/>
                <w:szCs w:val="20"/>
              </w:rPr>
              <w:t>(1,475)</w:t>
            </w:r>
          </w:p>
        </w:tc>
        <w:tc>
          <w:tcPr>
            <w:tcW w:w="0" w:type="auto"/>
            <w:shd w:val="clear" w:color="auto" w:fill="FFFFFF"/>
            <w:tcMar>
              <w:top w:w="40" w:type="dxa"/>
              <w:left w:w="0" w:type="dxa"/>
              <w:bottom w:w="40" w:type="dxa"/>
              <w:right w:w="20" w:type="dxa"/>
            </w:tcMar>
            <w:vAlign w:val="bottom"/>
          </w:tcPr>
          <w:p w14:paraId="07DD02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2F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2F6" w14:textId="77777777" w:rsidR="00AE727E" w:rsidRDefault="008433E0">
            <w:pPr>
              <w:jc w:val="right"/>
              <w:textAlignment w:val="bottom"/>
            </w:pPr>
            <w:r>
              <w:rPr>
                <w:rFonts w:ascii="Times New Roman" w:eastAsia="宋体" w:hAnsi="Times New Roman"/>
                <w:color w:val="000000"/>
                <w:sz w:val="20"/>
                <w:szCs w:val="20"/>
              </w:rPr>
              <w:t>(1,855)</w:t>
            </w:r>
          </w:p>
        </w:tc>
        <w:tc>
          <w:tcPr>
            <w:tcW w:w="0" w:type="auto"/>
            <w:shd w:val="clear" w:color="auto" w:fill="FFFFFF"/>
            <w:tcMar>
              <w:top w:w="40" w:type="dxa"/>
              <w:left w:w="0" w:type="dxa"/>
              <w:bottom w:w="40" w:type="dxa"/>
              <w:right w:w="20" w:type="dxa"/>
            </w:tcMar>
            <w:vAlign w:val="bottom"/>
          </w:tcPr>
          <w:p w14:paraId="07DD02F7" w14:textId="77777777" w:rsidR="00AE727E" w:rsidRDefault="00AE727E">
            <w:pPr>
              <w:jc w:val="right"/>
              <w:rPr>
                <w:rFonts w:ascii="宋体"/>
              </w:rPr>
            </w:pPr>
          </w:p>
        </w:tc>
        <w:tc>
          <w:tcPr>
            <w:tcW w:w="0" w:type="auto"/>
            <w:shd w:val="clear" w:color="auto" w:fill="auto"/>
            <w:vAlign w:val="bottom"/>
          </w:tcPr>
          <w:p w14:paraId="07DD02F8" w14:textId="77777777" w:rsidR="00AE727E" w:rsidRDefault="00AE727E">
            <w:pPr>
              <w:rPr>
                <w:rFonts w:ascii="宋体"/>
                <w:vanish/>
              </w:rPr>
            </w:pPr>
          </w:p>
        </w:tc>
        <w:tc>
          <w:tcPr>
            <w:tcW w:w="0" w:type="auto"/>
            <w:shd w:val="clear" w:color="auto" w:fill="auto"/>
            <w:vAlign w:val="bottom"/>
          </w:tcPr>
          <w:p w14:paraId="07DD02F9" w14:textId="77777777" w:rsidR="00AE727E" w:rsidRDefault="00AE727E">
            <w:pPr>
              <w:rPr>
                <w:rFonts w:ascii="宋体"/>
                <w:vanish/>
              </w:rPr>
            </w:pPr>
          </w:p>
        </w:tc>
      </w:tr>
      <w:tr w:rsidR="00AE727E" w14:paraId="07DD0309" w14:textId="77777777">
        <w:tc>
          <w:tcPr>
            <w:tcW w:w="0" w:type="auto"/>
            <w:gridSpan w:val="3"/>
            <w:shd w:val="clear" w:color="auto" w:fill="CCEEFF"/>
            <w:tcMar>
              <w:top w:w="40" w:type="dxa"/>
              <w:left w:w="20" w:type="dxa"/>
              <w:bottom w:w="40" w:type="dxa"/>
              <w:right w:w="20" w:type="dxa"/>
            </w:tcMar>
            <w:vAlign w:val="bottom"/>
          </w:tcPr>
          <w:p w14:paraId="07DD02FB" w14:textId="77777777" w:rsidR="00AE727E" w:rsidRDefault="008433E0">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07DD02FC" w14:textId="77777777" w:rsidR="00AE727E" w:rsidRDefault="008433E0">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7DD02F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2F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2FF" w14:textId="77777777" w:rsidR="00AE727E" w:rsidRDefault="008433E0">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07DD03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30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302" w14:textId="77777777" w:rsidR="00AE727E" w:rsidRDefault="008433E0">
            <w:pPr>
              <w:jc w:val="right"/>
              <w:textAlignment w:val="bottom"/>
            </w:pPr>
            <w:r>
              <w:rPr>
                <w:rFonts w:ascii="Times New Roman" w:eastAsia="宋体" w:hAnsi="Times New Roman"/>
                <w:color w:val="000000"/>
                <w:sz w:val="20"/>
                <w:szCs w:val="20"/>
              </w:rPr>
              <w:t>(146)</w:t>
            </w:r>
          </w:p>
        </w:tc>
        <w:tc>
          <w:tcPr>
            <w:tcW w:w="0" w:type="auto"/>
            <w:shd w:val="clear" w:color="auto" w:fill="CCEEFF"/>
            <w:tcMar>
              <w:top w:w="40" w:type="dxa"/>
              <w:left w:w="0" w:type="dxa"/>
              <w:bottom w:w="40" w:type="dxa"/>
              <w:right w:w="20" w:type="dxa"/>
            </w:tcMar>
            <w:vAlign w:val="bottom"/>
          </w:tcPr>
          <w:p w14:paraId="07DD030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30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305" w14:textId="77777777" w:rsidR="00AE727E" w:rsidRDefault="008433E0">
            <w:pPr>
              <w:jc w:val="right"/>
              <w:textAlignment w:val="bottom"/>
            </w:pPr>
            <w:r>
              <w:rPr>
                <w:rFonts w:ascii="Times New Roman" w:eastAsia="宋体" w:hAnsi="Times New Roman"/>
                <w:color w:val="000000"/>
                <w:sz w:val="20"/>
                <w:szCs w:val="20"/>
              </w:rPr>
              <w:t>(130)</w:t>
            </w:r>
          </w:p>
        </w:tc>
        <w:tc>
          <w:tcPr>
            <w:tcW w:w="0" w:type="auto"/>
            <w:shd w:val="clear" w:color="auto" w:fill="CCEEFF"/>
            <w:tcMar>
              <w:top w:w="40" w:type="dxa"/>
              <w:left w:w="0" w:type="dxa"/>
              <w:bottom w:w="40" w:type="dxa"/>
              <w:right w:w="20" w:type="dxa"/>
            </w:tcMar>
            <w:vAlign w:val="bottom"/>
          </w:tcPr>
          <w:p w14:paraId="07DD0306" w14:textId="77777777" w:rsidR="00AE727E" w:rsidRDefault="00AE727E">
            <w:pPr>
              <w:jc w:val="right"/>
              <w:rPr>
                <w:rFonts w:ascii="宋体"/>
              </w:rPr>
            </w:pPr>
          </w:p>
        </w:tc>
        <w:tc>
          <w:tcPr>
            <w:tcW w:w="0" w:type="auto"/>
            <w:shd w:val="clear" w:color="auto" w:fill="auto"/>
            <w:vAlign w:val="bottom"/>
          </w:tcPr>
          <w:p w14:paraId="07DD0307" w14:textId="77777777" w:rsidR="00AE727E" w:rsidRDefault="00AE727E">
            <w:pPr>
              <w:rPr>
                <w:rFonts w:ascii="宋体"/>
                <w:vanish/>
              </w:rPr>
            </w:pPr>
          </w:p>
        </w:tc>
        <w:tc>
          <w:tcPr>
            <w:tcW w:w="0" w:type="auto"/>
            <w:shd w:val="clear" w:color="auto" w:fill="auto"/>
            <w:vAlign w:val="bottom"/>
          </w:tcPr>
          <w:p w14:paraId="07DD0308" w14:textId="77777777" w:rsidR="00AE727E" w:rsidRDefault="00AE727E">
            <w:pPr>
              <w:rPr>
                <w:rFonts w:ascii="宋体"/>
                <w:vanish/>
              </w:rPr>
            </w:pPr>
          </w:p>
        </w:tc>
      </w:tr>
      <w:tr w:rsidR="00AE727E" w14:paraId="07DD0318" w14:textId="77777777">
        <w:tc>
          <w:tcPr>
            <w:tcW w:w="0" w:type="auto"/>
            <w:gridSpan w:val="3"/>
            <w:shd w:val="clear" w:color="auto" w:fill="FFFFFF"/>
            <w:tcMar>
              <w:top w:w="40" w:type="dxa"/>
              <w:left w:w="20" w:type="dxa"/>
              <w:bottom w:w="40" w:type="dxa"/>
              <w:right w:w="20" w:type="dxa"/>
            </w:tcMar>
            <w:vAlign w:val="bottom"/>
          </w:tcPr>
          <w:p w14:paraId="07DD030A" w14:textId="77777777" w:rsidR="00AE727E" w:rsidRDefault="008433E0">
            <w:pPr>
              <w:textAlignment w:val="bottom"/>
            </w:pPr>
            <w:r>
              <w:rPr>
                <w:rFonts w:ascii="Times New Roman" w:eastAsia="宋体" w:hAnsi="Times New Roman"/>
                <w:color w:val="000000"/>
                <w:sz w:val="20"/>
                <w:szCs w:val="20"/>
              </w:rPr>
              <w:t>Gain on disposition of businesses and assets</w:t>
            </w:r>
          </w:p>
        </w:tc>
        <w:tc>
          <w:tcPr>
            <w:tcW w:w="0" w:type="auto"/>
            <w:gridSpan w:val="2"/>
            <w:shd w:val="clear" w:color="auto" w:fill="FFFFFF"/>
            <w:tcMar>
              <w:top w:w="40" w:type="dxa"/>
              <w:left w:w="20" w:type="dxa"/>
              <w:bottom w:w="40" w:type="dxa"/>
              <w:right w:w="0" w:type="dxa"/>
            </w:tcMar>
            <w:vAlign w:val="bottom"/>
          </w:tcPr>
          <w:p w14:paraId="07DD030B" w14:textId="77777777" w:rsidR="00AE727E" w:rsidRDefault="008433E0">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DD030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0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30E" w14:textId="77777777" w:rsidR="00AE727E" w:rsidRDefault="008433E0">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left w:w="0" w:type="dxa"/>
              <w:bottom w:w="40" w:type="dxa"/>
              <w:right w:w="20" w:type="dxa"/>
            </w:tcMar>
            <w:vAlign w:val="bottom"/>
          </w:tcPr>
          <w:p w14:paraId="07DD030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1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311" w14:textId="77777777" w:rsidR="00AE727E" w:rsidRDefault="008433E0">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DD031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1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314" w14:textId="77777777" w:rsidR="00AE727E" w:rsidRDefault="008433E0">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07DD0315" w14:textId="77777777" w:rsidR="00AE727E" w:rsidRDefault="00AE727E">
            <w:pPr>
              <w:jc w:val="right"/>
              <w:rPr>
                <w:rFonts w:ascii="宋体"/>
              </w:rPr>
            </w:pPr>
          </w:p>
        </w:tc>
        <w:tc>
          <w:tcPr>
            <w:tcW w:w="0" w:type="auto"/>
            <w:shd w:val="clear" w:color="auto" w:fill="auto"/>
            <w:vAlign w:val="bottom"/>
          </w:tcPr>
          <w:p w14:paraId="07DD0316" w14:textId="77777777" w:rsidR="00AE727E" w:rsidRDefault="00AE727E">
            <w:pPr>
              <w:rPr>
                <w:rFonts w:ascii="宋体"/>
                <w:vanish/>
              </w:rPr>
            </w:pPr>
          </w:p>
        </w:tc>
        <w:tc>
          <w:tcPr>
            <w:tcW w:w="0" w:type="auto"/>
            <w:shd w:val="clear" w:color="auto" w:fill="auto"/>
            <w:vAlign w:val="bottom"/>
          </w:tcPr>
          <w:p w14:paraId="07DD0317" w14:textId="77777777" w:rsidR="00AE727E" w:rsidRDefault="00AE727E">
            <w:pPr>
              <w:rPr>
                <w:rFonts w:ascii="宋体"/>
                <w:vanish/>
              </w:rPr>
            </w:pPr>
          </w:p>
        </w:tc>
      </w:tr>
      <w:tr w:rsidR="00AE727E" w14:paraId="07DD0327" w14:textId="77777777">
        <w:tc>
          <w:tcPr>
            <w:tcW w:w="0" w:type="auto"/>
            <w:gridSpan w:val="3"/>
            <w:shd w:val="clear" w:color="auto" w:fill="CCEEFF"/>
            <w:tcMar>
              <w:top w:w="40" w:type="dxa"/>
              <w:left w:w="20" w:type="dxa"/>
              <w:bottom w:w="40" w:type="dxa"/>
              <w:right w:w="20" w:type="dxa"/>
            </w:tcMar>
            <w:vAlign w:val="bottom"/>
          </w:tcPr>
          <w:p w14:paraId="07DD0319"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7DD031A" w14:textId="77777777" w:rsidR="00AE727E" w:rsidRDefault="008433E0">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07DD03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31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31D" w14:textId="77777777" w:rsidR="00AE727E" w:rsidRDefault="008433E0">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07DD031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3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320" w14:textId="77777777" w:rsidR="00AE727E" w:rsidRDefault="008433E0">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07DD032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32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323" w14:textId="77777777" w:rsidR="00AE727E" w:rsidRDefault="008433E0">
            <w:pPr>
              <w:jc w:val="right"/>
              <w:textAlignment w:val="bottom"/>
            </w:pPr>
            <w:r>
              <w:rPr>
                <w:rFonts w:ascii="Times New Roman" w:eastAsia="宋体" w:hAnsi="Times New Roman"/>
                <w:color w:val="000000"/>
                <w:sz w:val="20"/>
                <w:szCs w:val="20"/>
              </w:rPr>
              <w:t>(40)</w:t>
            </w:r>
          </w:p>
        </w:tc>
        <w:tc>
          <w:tcPr>
            <w:tcW w:w="0" w:type="auto"/>
            <w:shd w:val="clear" w:color="auto" w:fill="CCEEFF"/>
            <w:tcMar>
              <w:top w:w="40" w:type="dxa"/>
              <w:left w:w="0" w:type="dxa"/>
              <w:bottom w:w="40" w:type="dxa"/>
              <w:right w:w="20" w:type="dxa"/>
            </w:tcMar>
            <w:vAlign w:val="bottom"/>
          </w:tcPr>
          <w:p w14:paraId="07DD0324" w14:textId="77777777" w:rsidR="00AE727E" w:rsidRDefault="00AE727E">
            <w:pPr>
              <w:jc w:val="right"/>
              <w:rPr>
                <w:rFonts w:ascii="宋体"/>
              </w:rPr>
            </w:pPr>
          </w:p>
        </w:tc>
        <w:tc>
          <w:tcPr>
            <w:tcW w:w="0" w:type="auto"/>
            <w:shd w:val="clear" w:color="auto" w:fill="auto"/>
            <w:vAlign w:val="bottom"/>
          </w:tcPr>
          <w:p w14:paraId="07DD0325" w14:textId="77777777" w:rsidR="00AE727E" w:rsidRDefault="00AE727E">
            <w:pPr>
              <w:rPr>
                <w:rFonts w:ascii="宋体"/>
                <w:vanish/>
              </w:rPr>
            </w:pPr>
          </w:p>
        </w:tc>
        <w:tc>
          <w:tcPr>
            <w:tcW w:w="0" w:type="auto"/>
            <w:shd w:val="clear" w:color="auto" w:fill="auto"/>
            <w:vAlign w:val="bottom"/>
          </w:tcPr>
          <w:p w14:paraId="07DD0326" w14:textId="77777777" w:rsidR="00AE727E" w:rsidRDefault="00AE727E">
            <w:pPr>
              <w:rPr>
                <w:rFonts w:ascii="宋体"/>
                <w:vanish/>
              </w:rPr>
            </w:pPr>
          </w:p>
        </w:tc>
      </w:tr>
      <w:tr w:rsidR="00AE727E" w14:paraId="07DD033A" w14:textId="77777777">
        <w:tc>
          <w:tcPr>
            <w:tcW w:w="0" w:type="auto"/>
            <w:gridSpan w:val="3"/>
            <w:shd w:val="clear" w:color="auto" w:fill="FFFFFF"/>
            <w:tcMar>
              <w:top w:w="40" w:type="dxa"/>
              <w:left w:w="155" w:type="dxa"/>
              <w:bottom w:w="40" w:type="dxa"/>
              <w:right w:w="20" w:type="dxa"/>
            </w:tcMar>
            <w:vAlign w:val="bottom"/>
          </w:tcPr>
          <w:p w14:paraId="07DD0328" w14:textId="77777777" w:rsidR="00AE727E" w:rsidRDefault="008433E0">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329"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32A" w14:textId="77777777" w:rsidR="00AE727E" w:rsidRDefault="008433E0">
            <w:pPr>
              <w:jc w:val="right"/>
              <w:textAlignment w:val="bottom"/>
            </w:pPr>
            <w:r>
              <w:rPr>
                <w:rFonts w:ascii="Times New Roman" w:eastAsia="宋体" w:hAnsi="Times New Roman"/>
                <w:color w:val="000000"/>
                <w:sz w:val="20"/>
                <w:szCs w:val="20"/>
              </w:rPr>
              <w:t>3,436 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32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2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32D"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32E" w14:textId="77777777" w:rsidR="00AE727E" w:rsidRDefault="008433E0">
            <w:pPr>
              <w:jc w:val="right"/>
              <w:textAlignment w:val="bottom"/>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32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30"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331"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332" w14:textId="77777777" w:rsidR="00AE727E" w:rsidRDefault="008433E0">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33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334"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33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336" w14:textId="77777777" w:rsidR="00AE727E" w:rsidRDefault="008433E0">
            <w:pPr>
              <w:jc w:val="right"/>
              <w:textAlignment w:val="bottom"/>
            </w:pPr>
            <w:r>
              <w:rPr>
                <w:rFonts w:ascii="Times New Roman" w:eastAsia="宋体" w:hAnsi="Times New Roman"/>
                <w:color w:val="000000"/>
                <w:sz w:val="20"/>
                <w:szCs w:val="20"/>
              </w:rPr>
              <w:t>(929)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337" w14:textId="77777777" w:rsidR="00AE727E" w:rsidRDefault="00AE727E">
            <w:pPr>
              <w:jc w:val="right"/>
              <w:rPr>
                <w:rFonts w:ascii="宋体"/>
              </w:rPr>
            </w:pPr>
          </w:p>
        </w:tc>
        <w:tc>
          <w:tcPr>
            <w:tcW w:w="0" w:type="auto"/>
            <w:shd w:val="clear" w:color="auto" w:fill="auto"/>
            <w:vAlign w:val="bottom"/>
          </w:tcPr>
          <w:p w14:paraId="07DD0338" w14:textId="77777777" w:rsidR="00AE727E" w:rsidRDefault="00AE727E">
            <w:pPr>
              <w:rPr>
                <w:rFonts w:ascii="宋体"/>
                <w:vanish/>
              </w:rPr>
            </w:pPr>
          </w:p>
        </w:tc>
        <w:tc>
          <w:tcPr>
            <w:tcW w:w="0" w:type="auto"/>
            <w:shd w:val="clear" w:color="auto" w:fill="auto"/>
            <w:vAlign w:val="bottom"/>
          </w:tcPr>
          <w:p w14:paraId="07DD0339" w14:textId="77777777" w:rsidR="00AE727E" w:rsidRDefault="00AE727E">
            <w:pPr>
              <w:rPr>
                <w:rFonts w:ascii="宋体"/>
                <w:vanish/>
              </w:rPr>
            </w:pPr>
          </w:p>
        </w:tc>
      </w:tr>
    </w:tbl>
    <w:p w14:paraId="07DD033B" w14:textId="77777777" w:rsidR="00AE727E" w:rsidRDefault="00AE727E">
      <w:pPr>
        <w:ind w:hanging="360"/>
      </w:pPr>
    </w:p>
    <w:p w14:paraId="07DD033C" w14:textId="77777777" w:rsidR="00AE727E" w:rsidRDefault="00AE727E">
      <w:pPr>
        <w:jc w:val="center"/>
      </w:pPr>
    </w:p>
    <w:p w14:paraId="07DD033D" w14:textId="77777777" w:rsidR="00AE727E" w:rsidRDefault="008433E0">
      <w:pPr>
        <w:jc w:val="center"/>
      </w:pPr>
      <w:r>
        <w:rPr>
          <w:rFonts w:ascii="Times New Roman" w:eastAsia="宋体" w:hAnsi="Times New Roman"/>
          <w:color w:val="000000"/>
          <w:sz w:val="20"/>
          <w:szCs w:val="20"/>
        </w:rPr>
        <w:t>57</w:t>
      </w:r>
    </w:p>
    <w:p w14:paraId="07DD033E" w14:textId="77777777" w:rsidR="00AE727E" w:rsidRDefault="00AE727E">
      <w:pPr>
        <w:jc w:val="center"/>
      </w:pPr>
    </w:p>
    <w:p w14:paraId="07DD033F" w14:textId="77777777" w:rsidR="00AE727E" w:rsidRDefault="008433E0">
      <w:r>
        <w:pict w14:anchorId="07DD1909">
          <v:rect id="_x0000_i1081" style="width:415.3pt;height:1.5pt" o:hralign="center" o:hrstd="t" o:hr="t" fillcolor="#a0a0a0" stroked="f"/>
        </w:pict>
      </w:r>
    </w:p>
    <w:p w14:paraId="07DD0340" w14:textId="77777777" w:rsidR="00AE727E" w:rsidRDefault="008433E0">
      <w:hyperlink r:id="rId182" w:anchor="i1c8279be622a460ea19600488436f115_10" w:history="1">
        <w:r>
          <w:rPr>
            <w:rStyle w:val="a5"/>
            <w:rFonts w:ascii="Times New Roman" w:eastAsia="宋体" w:hAnsi="Times New Roman"/>
            <w:sz w:val="20"/>
            <w:szCs w:val="20"/>
          </w:rPr>
          <w:t>Table of Contents</w:t>
        </w:r>
      </w:hyperlink>
    </w:p>
    <w:p w14:paraId="07DD0341"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D0342" w14:textId="77777777" w:rsidR="00AE727E" w:rsidRDefault="008433E0">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07DD0343"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D0344" w14:textId="77777777" w:rsidR="00AE727E" w:rsidRDefault="00AE727E">
      <w:pPr>
        <w:jc w:val="center"/>
      </w:pPr>
    </w:p>
    <w:p w14:paraId="07DD0345" w14:textId="77777777" w:rsidR="00AE727E" w:rsidRDefault="008433E0">
      <w:r>
        <w:rPr>
          <w:rFonts w:ascii="Times New Roman" w:eastAsia="宋体" w:hAnsi="Times New Roman"/>
          <w:b/>
          <w:bCs/>
          <w:color w:val="000000"/>
          <w:sz w:val="20"/>
          <w:szCs w:val="20"/>
        </w:rPr>
        <w:t xml:space="preserve">NOTE 18 — SUBSEQUENT EVENTS </w:t>
      </w:r>
    </w:p>
    <w:p w14:paraId="07DD0346" w14:textId="77777777" w:rsidR="00AE727E" w:rsidRDefault="00AE727E"/>
    <w:p w14:paraId="07DD0347" w14:textId="77777777" w:rsidR="00AE727E" w:rsidRDefault="008433E0">
      <w:r>
        <w:rPr>
          <w:rFonts w:ascii="Times New Roman" w:eastAsia="宋体" w:hAnsi="Times New Roman"/>
          <w:b/>
          <w:bCs/>
          <w:color w:val="000000"/>
          <w:sz w:val="20"/>
          <w:szCs w:val="20"/>
        </w:rPr>
        <w:t>Spin-off of VMware, Inc.</w:t>
      </w:r>
    </w:p>
    <w:p w14:paraId="07DD0348" w14:textId="77777777" w:rsidR="00AE727E" w:rsidRDefault="00AE727E"/>
    <w:p w14:paraId="07DD0349" w14:textId="77777777" w:rsidR="00AE727E" w:rsidRDefault="008433E0">
      <w:r>
        <w:rPr>
          <w:rFonts w:ascii="Times New Roman" w:eastAsia="宋体" w:hAnsi="Times New Roman"/>
          <w:color w:val="000000"/>
          <w:sz w:val="20"/>
          <w:szCs w:val="20"/>
        </w:rPr>
        <w:t>On November 1, 2021, the Company completed its previously announced spin-off of VMware, Inc. as described in Note 1 of the Notes to the Condensed Consolidated Finan</w:t>
      </w:r>
      <w:r>
        <w:rPr>
          <w:rFonts w:ascii="Times New Roman" w:eastAsia="宋体" w:hAnsi="Times New Roman"/>
          <w:color w:val="000000"/>
          <w:sz w:val="20"/>
          <w:szCs w:val="20"/>
        </w:rPr>
        <w:t xml:space="preserve">cial Statements. Dell Technologies effectuated the VMware Spin-off by means of a special stock dividend of 30,678,605 shares of Class A common stock and 307,221,836 shares of Class B common stock of VMware, Inc. to Dell Technologies stockholders of record </w:t>
      </w:r>
      <w:r>
        <w:rPr>
          <w:rFonts w:ascii="Times New Roman" w:eastAsia="宋体" w:hAnsi="Times New Roman"/>
          <w:color w:val="000000"/>
          <w:sz w:val="20"/>
          <w:szCs w:val="20"/>
        </w:rPr>
        <w:t>as of 5:00 p.m., New York City time, on October 29, 2021.</w:t>
      </w:r>
    </w:p>
    <w:p w14:paraId="07DD034A" w14:textId="77777777" w:rsidR="00AE727E" w:rsidRDefault="00AE727E"/>
    <w:p w14:paraId="07DD034B" w14:textId="77777777" w:rsidR="00AE727E" w:rsidRDefault="008433E0">
      <w:r>
        <w:rPr>
          <w:rFonts w:ascii="Times New Roman" w:eastAsia="宋体" w:hAnsi="Times New Roman"/>
          <w:color w:val="000000"/>
          <w:sz w:val="20"/>
          <w:szCs w:val="20"/>
        </w:rPr>
        <w:t>Prior to receipt of the VMware, Inc. common stock by the Company’s stockholders, each share of VMware, Inc. Class B common stock automatically converted into one share of VMware, Inc. Class A commo</w:t>
      </w:r>
      <w:r>
        <w:rPr>
          <w:rFonts w:ascii="Times New Roman" w:eastAsia="宋体" w:hAnsi="Times New Roman"/>
          <w:color w:val="000000"/>
          <w:sz w:val="20"/>
          <w:szCs w:val="20"/>
        </w:rPr>
        <w:t>n stock. As result of these transactions, each holder of record of shares of Dell Technologies common stock as of the distribution record date received approximately 0.440626 of a share of VMware Class A common stock for each share of Dell Technologies com</w:t>
      </w:r>
      <w:r>
        <w:rPr>
          <w:rFonts w:ascii="Times New Roman" w:eastAsia="宋体" w:hAnsi="Times New Roman"/>
          <w:color w:val="000000"/>
          <w:sz w:val="20"/>
          <w:szCs w:val="20"/>
        </w:rPr>
        <w:t xml:space="preserve">mon stock held as of such date, based on shares outstanding as of the completion of the VMware Spin-off. </w:t>
      </w:r>
    </w:p>
    <w:p w14:paraId="07DD034C" w14:textId="77777777" w:rsidR="00AE727E" w:rsidRDefault="00AE727E"/>
    <w:p w14:paraId="07DD034D" w14:textId="77777777" w:rsidR="00AE727E" w:rsidRDefault="008433E0">
      <w:r>
        <w:rPr>
          <w:rFonts w:ascii="Times New Roman" w:eastAsia="宋体" w:hAnsi="Times New Roman"/>
          <w:color w:val="000000"/>
          <w:sz w:val="20"/>
          <w:szCs w:val="20"/>
        </w:rPr>
        <w:t>Immediately following the payment by VMware, Inc. to its stockholders of a special cash dividend of $11.5 billion, of which Dell Technologies receive</w:t>
      </w:r>
      <w:r>
        <w:rPr>
          <w:rFonts w:ascii="Times New Roman" w:eastAsia="宋体" w:hAnsi="Times New Roman"/>
          <w:color w:val="000000"/>
          <w:sz w:val="20"/>
          <w:szCs w:val="20"/>
        </w:rPr>
        <w:t>d approximately $9.3 billion, the separation of VMware, Inc. from Dell Technologies occurred, including through the termination or settlement of certain intercompany accounts and intercompany contracts.</w:t>
      </w:r>
    </w:p>
    <w:p w14:paraId="07DD034E" w14:textId="77777777" w:rsidR="00AE727E" w:rsidRDefault="00AE727E"/>
    <w:p w14:paraId="07DD034F" w14:textId="77777777" w:rsidR="00AE727E" w:rsidRDefault="008433E0">
      <w:r>
        <w:rPr>
          <w:rFonts w:ascii="Times New Roman" w:eastAsia="宋体" w:hAnsi="Times New Roman"/>
          <w:b/>
          <w:bCs/>
          <w:color w:val="000000"/>
          <w:sz w:val="20"/>
          <w:szCs w:val="20"/>
        </w:rPr>
        <w:t>Repayment of Indebtedness and Termination of the Exi</w:t>
      </w:r>
      <w:r>
        <w:rPr>
          <w:rFonts w:ascii="Times New Roman" w:eastAsia="宋体" w:hAnsi="Times New Roman"/>
          <w:b/>
          <w:bCs/>
          <w:color w:val="000000"/>
          <w:sz w:val="20"/>
          <w:szCs w:val="20"/>
        </w:rPr>
        <w:t>sting Credit Agreement</w:t>
      </w:r>
    </w:p>
    <w:p w14:paraId="07DD0350" w14:textId="77777777" w:rsidR="00AE727E" w:rsidRDefault="00AE727E"/>
    <w:p w14:paraId="07DD0351" w14:textId="77777777" w:rsidR="00AE727E" w:rsidRDefault="008433E0">
      <w:r>
        <w:rPr>
          <w:rFonts w:ascii="Times New Roman" w:eastAsia="宋体" w:hAnsi="Times New Roman"/>
          <w:color w:val="000000"/>
          <w:sz w:val="20"/>
          <w:szCs w:val="20"/>
        </w:rPr>
        <w:t>The Company used the net proceeds from its $9.3 billion pro rata portion of the cash dividend received in connection with the VMware Spin-off, as well as cash on hand, to repay outstanding debt as described below.</w:t>
      </w:r>
    </w:p>
    <w:p w14:paraId="07DD0352" w14:textId="77777777" w:rsidR="00AE727E" w:rsidRDefault="00AE727E"/>
    <w:p w14:paraId="07DD0353" w14:textId="77777777" w:rsidR="00AE727E" w:rsidRDefault="008433E0">
      <w:r>
        <w:rPr>
          <w:rFonts w:ascii="Times New Roman" w:eastAsia="宋体" w:hAnsi="Times New Roman"/>
          <w:color w:val="000000"/>
          <w:sz w:val="20"/>
          <w:szCs w:val="20"/>
        </w:rPr>
        <w:t>On November 1, 20</w:t>
      </w:r>
      <w:r>
        <w:rPr>
          <w:rFonts w:ascii="Times New Roman" w:eastAsia="宋体" w:hAnsi="Times New Roman"/>
          <w:color w:val="000000"/>
          <w:sz w:val="20"/>
          <w:szCs w:val="20"/>
        </w:rPr>
        <w:t>21, the Company repaid the remaining $3,134 million and $3,120 million principal amounts related to the 1.84% Term Loan A-6 Facility due March 2024 and the 2.00% Term Loan B-2 Facility due September 2025, respectively, and terminated all obligations and co</w:t>
      </w:r>
      <w:r>
        <w:rPr>
          <w:rFonts w:ascii="Times New Roman" w:eastAsia="宋体" w:hAnsi="Times New Roman"/>
          <w:color w:val="000000"/>
          <w:sz w:val="20"/>
          <w:szCs w:val="20"/>
        </w:rPr>
        <w:t>mmitments under the Existing Credit Agreement.</w:t>
      </w:r>
    </w:p>
    <w:p w14:paraId="07DD0354" w14:textId="77777777" w:rsidR="00AE727E" w:rsidRDefault="00AE727E"/>
    <w:p w14:paraId="07DD0355" w14:textId="77777777" w:rsidR="00AE727E" w:rsidRDefault="008433E0">
      <w:r>
        <w:rPr>
          <w:rFonts w:ascii="Times New Roman" w:eastAsia="宋体" w:hAnsi="Times New Roman"/>
          <w:color w:val="000000"/>
          <w:sz w:val="20"/>
          <w:szCs w:val="20"/>
        </w:rPr>
        <w:t xml:space="preserve">On November 2, 2021, the Company repaid $1,500 million principal amount of the 5.45% First Lien Notes due June 2023 and the remaining $1,625 million principal amount of the 7.125% Senior Notes due June 2024. Further, in conjunction with the termination of </w:t>
      </w:r>
      <w:r>
        <w:rPr>
          <w:rFonts w:ascii="Times New Roman" w:eastAsia="宋体" w:hAnsi="Times New Roman"/>
          <w:color w:val="000000"/>
          <w:sz w:val="20"/>
          <w:szCs w:val="20"/>
        </w:rPr>
        <w:t xml:space="preserve">the Existing Credit Agreement, the tangible and intangible assets of the issuers and guarantors that secure obligations under the Senior Secured Credit Facilities were released as collateral and the First Lien Notes became fully unsecured. </w:t>
      </w:r>
    </w:p>
    <w:p w14:paraId="07DD0356" w14:textId="77777777" w:rsidR="00AE727E" w:rsidRDefault="00AE727E"/>
    <w:p w14:paraId="07DD0357" w14:textId="77777777" w:rsidR="00AE727E" w:rsidRDefault="008433E0">
      <w:r>
        <w:rPr>
          <w:rFonts w:ascii="Times New Roman" w:eastAsia="宋体" w:hAnsi="Times New Roman"/>
          <w:color w:val="000000"/>
          <w:sz w:val="20"/>
          <w:szCs w:val="20"/>
        </w:rPr>
        <w:t xml:space="preserve">In connection </w:t>
      </w:r>
      <w:r>
        <w:rPr>
          <w:rFonts w:ascii="Times New Roman" w:eastAsia="宋体" w:hAnsi="Times New Roman"/>
          <w:color w:val="000000"/>
          <w:sz w:val="20"/>
          <w:szCs w:val="20"/>
        </w:rPr>
        <w:t>with the above debt repayments, the Company incurred $181 million of debt breakage fees and recognized $110 million in unamortized debt discounts associated with the early extinguishment of the debt.</w:t>
      </w:r>
    </w:p>
    <w:p w14:paraId="07DD0358" w14:textId="77777777" w:rsidR="00AE727E" w:rsidRDefault="00AE727E"/>
    <w:p w14:paraId="07DD0359" w14:textId="77777777" w:rsidR="00AE727E" w:rsidRDefault="008433E0">
      <w:r>
        <w:rPr>
          <w:rFonts w:ascii="Times New Roman" w:eastAsia="宋体" w:hAnsi="Times New Roman"/>
          <w:b/>
          <w:bCs/>
          <w:color w:val="000000"/>
          <w:sz w:val="20"/>
          <w:szCs w:val="20"/>
        </w:rPr>
        <w:t>2021 Revolving Credit Facility</w:t>
      </w:r>
    </w:p>
    <w:p w14:paraId="07DD035A" w14:textId="77777777" w:rsidR="00AE727E" w:rsidRDefault="00AE727E"/>
    <w:p w14:paraId="07DD035B" w14:textId="77777777" w:rsidR="00AE727E" w:rsidRDefault="008433E0">
      <w:r>
        <w:rPr>
          <w:rFonts w:ascii="Times New Roman" w:eastAsia="宋体" w:hAnsi="Times New Roman"/>
          <w:color w:val="000000"/>
          <w:sz w:val="20"/>
          <w:szCs w:val="20"/>
        </w:rPr>
        <w:t>On November 1, 2021, th</w:t>
      </w:r>
      <w:r>
        <w:rPr>
          <w:rFonts w:ascii="Times New Roman" w:eastAsia="宋体" w:hAnsi="Times New Roman"/>
          <w:color w:val="000000"/>
          <w:sz w:val="20"/>
          <w:szCs w:val="20"/>
        </w:rPr>
        <w:t xml:space="preserve">e Company entered into the 2021 Revolving Credit Facility, a senior unsecured revolving credit facility with JPMorgan Chase Bank, N.A., as administrative agent, and each of the lenders and other parties from time to time party thereto. </w:t>
      </w:r>
    </w:p>
    <w:p w14:paraId="07DD035C" w14:textId="77777777" w:rsidR="00AE727E" w:rsidRDefault="00AE727E"/>
    <w:p w14:paraId="07DD035D" w14:textId="77777777" w:rsidR="00AE727E" w:rsidRDefault="008433E0">
      <w:r>
        <w:rPr>
          <w:rFonts w:ascii="Times New Roman" w:eastAsia="宋体" w:hAnsi="Times New Roman"/>
          <w:color w:val="000000"/>
          <w:sz w:val="20"/>
          <w:szCs w:val="20"/>
        </w:rPr>
        <w:t>The 2021 Revolving</w:t>
      </w:r>
      <w:r>
        <w:rPr>
          <w:rFonts w:ascii="Times New Roman" w:eastAsia="宋体" w:hAnsi="Times New Roman"/>
          <w:color w:val="000000"/>
          <w:sz w:val="20"/>
          <w:szCs w:val="20"/>
        </w:rPr>
        <w:t xml:space="preserve"> Credit Facility, which matures on November 1, 2026, provides the Company with revolving commitments in an aggregate principal amount of $5.0 billion for general corporate purposes and includes a letter of credit sub-facility of up to $500 million and a sw</w:t>
      </w:r>
      <w:r>
        <w:rPr>
          <w:rFonts w:ascii="Times New Roman" w:eastAsia="宋体" w:hAnsi="Times New Roman"/>
          <w:color w:val="000000"/>
          <w:sz w:val="20"/>
          <w:szCs w:val="20"/>
        </w:rPr>
        <w:t>ing-line loan sub-facility of up to $500 million. The 2021 Revolving Credit Facility also allows the Company to request incremental commitments on one or more occasions in a minimum amount of $10 million.</w:t>
      </w:r>
    </w:p>
    <w:p w14:paraId="07DD035E" w14:textId="77777777" w:rsidR="00AE727E" w:rsidRDefault="00AE727E"/>
    <w:p w14:paraId="07DD035F" w14:textId="77777777" w:rsidR="00AE727E" w:rsidRDefault="008433E0">
      <w:r>
        <w:rPr>
          <w:rFonts w:ascii="Times New Roman" w:eastAsia="宋体" w:hAnsi="Times New Roman"/>
          <w:b/>
          <w:bCs/>
          <w:color w:val="000000"/>
          <w:sz w:val="20"/>
          <w:szCs w:val="20"/>
        </w:rPr>
        <w:t>2023 First Lien Notes Notice of Prepayment</w:t>
      </w:r>
    </w:p>
    <w:p w14:paraId="07DD0360" w14:textId="77777777" w:rsidR="00AE727E" w:rsidRDefault="00AE727E"/>
    <w:p w14:paraId="07DD0361" w14:textId="77777777" w:rsidR="00AE727E" w:rsidRDefault="008433E0">
      <w:r>
        <w:rPr>
          <w:rFonts w:ascii="Times New Roman" w:eastAsia="宋体" w:hAnsi="Times New Roman"/>
          <w:color w:val="000000"/>
          <w:sz w:val="20"/>
          <w:szCs w:val="20"/>
        </w:rPr>
        <w:t>On Nov</w:t>
      </w:r>
      <w:r>
        <w:rPr>
          <w:rFonts w:ascii="Times New Roman" w:eastAsia="宋体" w:hAnsi="Times New Roman"/>
          <w:color w:val="000000"/>
          <w:sz w:val="20"/>
          <w:szCs w:val="20"/>
        </w:rPr>
        <w:t>ember 19, 2021, the Company issued a partial redemption notice of $1.25 billion principal amount of the 5.45% First Lien Notes due June 2023 with the repayment expected to occur on December 6, 2021.</w:t>
      </w:r>
    </w:p>
    <w:p w14:paraId="07DD0362" w14:textId="77777777" w:rsidR="00AE727E" w:rsidRDefault="00AE727E"/>
    <w:p w14:paraId="07DD0363" w14:textId="77777777" w:rsidR="00AE727E" w:rsidRDefault="00AE727E"/>
    <w:p w14:paraId="07DD0364" w14:textId="77777777" w:rsidR="00AE727E" w:rsidRDefault="00AE727E"/>
    <w:p w14:paraId="07DD0365" w14:textId="77777777" w:rsidR="00AE727E" w:rsidRDefault="00AE727E">
      <w:pPr>
        <w:jc w:val="center"/>
      </w:pPr>
    </w:p>
    <w:p w14:paraId="07DD0366" w14:textId="77777777" w:rsidR="00AE727E" w:rsidRDefault="008433E0">
      <w:pPr>
        <w:jc w:val="center"/>
      </w:pPr>
      <w:r>
        <w:rPr>
          <w:rFonts w:ascii="Times New Roman" w:eastAsia="宋体" w:hAnsi="Times New Roman"/>
          <w:color w:val="000000"/>
          <w:sz w:val="20"/>
          <w:szCs w:val="20"/>
        </w:rPr>
        <w:t>58</w:t>
      </w:r>
    </w:p>
    <w:p w14:paraId="07DD0367" w14:textId="77777777" w:rsidR="00AE727E" w:rsidRDefault="00AE727E">
      <w:pPr>
        <w:jc w:val="center"/>
      </w:pPr>
    </w:p>
    <w:p w14:paraId="07DD0368" w14:textId="77777777" w:rsidR="00AE727E" w:rsidRDefault="008433E0">
      <w:r>
        <w:pict w14:anchorId="07DD190A">
          <v:rect id="_x0000_i1082" style="width:415.3pt;height:1.5pt" o:hralign="center" o:hrstd="t" o:hr="t" fillcolor="#a0a0a0" stroked="f"/>
        </w:pict>
      </w:r>
    </w:p>
    <w:p w14:paraId="07DD0369" w14:textId="77777777" w:rsidR="00AE727E" w:rsidRDefault="008433E0">
      <w:hyperlink r:id="rId183" w:anchor="i1c8279be622a460ea19600488436f115_10" w:history="1">
        <w:r>
          <w:rPr>
            <w:rStyle w:val="a5"/>
            <w:rFonts w:ascii="Times New Roman" w:eastAsia="宋体" w:hAnsi="Times New Roman"/>
            <w:sz w:val="20"/>
            <w:szCs w:val="20"/>
          </w:rPr>
          <w:t>Table of Contents</w:t>
        </w:r>
      </w:hyperlink>
    </w:p>
    <w:p w14:paraId="07DD036A" w14:textId="77777777" w:rsidR="00AE727E" w:rsidRDefault="008433E0">
      <w:pPr>
        <w:jc w:val="center"/>
      </w:pPr>
      <w:r>
        <w:rPr>
          <w:rFonts w:ascii="Times New Roman" w:eastAsia="宋体" w:hAnsi="Times New Roman"/>
          <w:b/>
          <w:bCs/>
          <w:color w:val="000000"/>
          <w:sz w:val="20"/>
          <w:szCs w:val="20"/>
          <w:shd w:val="clear" w:color="auto" w:fill="FFFFFF"/>
        </w:rPr>
        <w:t>DELL TECHNOLOGIES INC.</w:t>
      </w:r>
    </w:p>
    <w:p w14:paraId="07DD036B" w14:textId="77777777" w:rsidR="00AE727E" w:rsidRDefault="008433E0">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07DD036C" w14:textId="77777777" w:rsidR="00AE727E" w:rsidRDefault="008433E0">
      <w:pPr>
        <w:jc w:val="center"/>
      </w:pPr>
      <w:r>
        <w:rPr>
          <w:rFonts w:ascii="Times New Roman" w:eastAsia="宋体" w:hAnsi="Times New Roman"/>
          <w:b/>
          <w:bCs/>
          <w:color w:val="000000"/>
          <w:sz w:val="20"/>
          <w:szCs w:val="20"/>
          <w:shd w:val="clear" w:color="auto" w:fill="FFFFFF"/>
        </w:rPr>
        <w:t>(unaudited)</w:t>
      </w:r>
    </w:p>
    <w:p w14:paraId="07DD036D" w14:textId="77777777" w:rsidR="00AE727E" w:rsidRDefault="00AE727E">
      <w:pPr>
        <w:jc w:val="center"/>
      </w:pPr>
    </w:p>
    <w:p w14:paraId="07DD036E" w14:textId="77777777" w:rsidR="00AE727E" w:rsidRDefault="008433E0">
      <w:r>
        <w:rPr>
          <w:rFonts w:ascii="Times New Roman" w:eastAsia="宋体" w:hAnsi="Times New Roman"/>
          <w:b/>
          <w:bCs/>
          <w:color w:val="000000"/>
          <w:sz w:val="20"/>
          <w:szCs w:val="20"/>
        </w:rPr>
        <w:t xml:space="preserve">Common Stock </w:t>
      </w:r>
      <w:r>
        <w:rPr>
          <w:rFonts w:ascii="Times New Roman" w:eastAsia="宋体" w:hAnsi="Times New Roman"/>
          <w:b/>
          <w:bCs/>
          <w:color w:val="000000"/>
          <w:sz w:val="20"/>
          <w:szCs w:val="20"/>
        </w:rPr>
        <w:t>Repurchases</w:t>
      </w:r>
    </w:p>
    <w:p w14:paraId="07DD036F" w14:textId="77777777" w:rsidR="00AE727E" w:rsidRDefault="00AE727E"/>
    <w:p w14:paraId="07DD0370" w14:textId="77777777" w:rsidR="00AE727E" w:rsidRDefault="008433E0">
      <w:r>
        <w:rPr>
          <w:rFonts w:ascii="Times New Roman" w:eastAsia="宋体" w:hAnsi="Times New Roman"/>
          <w:color w:val="000000"/>
          <w:sz w:val="20"/>
          <w:szCs w:val="20"/>
        </w:rPr>
        <w:t>Subsequent to October 29, 2021, the Company began repurchases under the 2021 Stock Repurchase Program described in Note 13 of the Notes to the Condensed Consolidated Financial Statements. Through November 30, 2021, the Company repurchased appr</w:t>
      </w:r>
      <w:r>
        <w:rPr>
          <w:rFonts w:ascii="Times New Roman" w:eastAsia="宋体" w:hAnsi="Times New Roman"/>
          <w:color w:val="000000"/>
          <w:sz w:val="20"/>
          <w:szCs w:val="20"/>
        </w:rPr>
        <w:t>oximately 3.1 million shares of Class C Common Stock for approximately $173 million.</w:t>
      </w:r>
    </w:p>
    <w:p w14:paraId="07DD0371" w14:textId="77777777" w:rsidR="00AE727E" w:rsidRDefault="00AE727E"/>
    <w:p w14:paraId="07DD0372" w14:textId="77777777" w:rsidR="00AE727E" w:rsidRDefault="008433E0">
      <w:r>
        <w:rPr>
          <w:rFonts w:ascii="Times New Roman" w:eastAsia="宋体" w:hAnsi="Times New Roman"/>
          <w:color w:val="000000"/>
          <w:sz w:val="20"/>
          <w:szCs w:val="20"/>
        </w:rPr>
        <w:t xml:space="preserve">Other than the matters identified above, there were no known events occurring after October 29, 2021 and up until the date of issuance of this report that would </w:t>
      </w:r>
      <w:r>
        <w:rPr>
          <w:rFonts w:ascii="Times New Roman" w:eastAsia="宋体" w:hAnsi="Times New Roman"/>
          <w:color w:val="000000"/>
          <w:sz w:val="20"/>
          <w:szCs w:val="20"/>
        </w:rPr>
        <w:t>materially affect the information presented herein.</w:t>
      </w:r>
    </w:p>
    <w:p w14:paraId="07DD0373" w14:textId="77777777" w:rsidR="00AE727E" w:rsidRDefault="00AE727E"/>
    <w:p w14:paraId="07DD0374" w14:textId="77777777" w:rsidR="00AE727E" w:rsidRDefault="00AE727E"/>
    <w:p w14:paraId="07DD0375" w14:textId="77777777" w:rsidR="00AE727E" w:rsidRDefault="00AE727E">
      <w:pPr>
        <w:jc w:val="center"/>
      </w:pPr>
    </w:p>
    <w:p w14:paraId="07DD0376" w14:textId="77777777" w:rsidR="00AE727E" w:rsidRDefault="008433E0">
      <w:pPr>
        <w:jc w:val="center"/>
      </w:pPr>
      <w:r>
        <w:rPr>
          <w:rFonts w:ascii="Times New Roman" w:eastAsia="宋体" w:hAnsi="Times New Roman"/>
          <w:color w:val="000000"/>
          <w:sz w:val="20"/>
          <w:szCs w:val="20"/>
        </w:rPr>
        <w:t>59</w:t>
      </w:r>
    </w:p>
    <w:p w14:paraId="07DD0377" w14:textId="77777777" w:rsidR="00AE727E" w:rsidRDefault="00AE727E">
      <w:pPr>
        <w:jc w:val="center"/>
      </w:pPr>
    </w:p>
    <w:p w14:paraId="07DD0378" w14:textId="77777777" w:rsidR="00AE727E" w:rsidRDefault="008433E0">
      <w:r>
        <w:pict w14:anchorId="07DD190B">
          <v:rect id="_x0000_i1083" style="width:415.3pt;height:1.5pt" o:hralign="center" o:hrstd="t" o:hr="t" fillcolor="#a0a0a0" stroked="f"/>
        </w:pict>
      </w:r>
    </w:p>
    <w:p w14:paraId="07DD0379" w14:textId="77777777" w:rsidR="00AE727E" w:rsidRDefault="008433E0">
      <w:hyperlink r:id="rId184" w:anchor="i1c8279be622a460ea19600488436f115_10" w:history="1">
        <w:r>
          <w:rPr>
            <w:rStyle w:val="a5"/>
            <w:rFonts w:ascii="Times New Roman" w:eastAsia="宋体" w:hAnsi="Times New Roman"/>
            <w:sz w:val="20"/>
            <w:szCs w:val="20"/>
          </w:rPr>
          <w:t>Table of Contents</w:t>
        </w:r>
      </w:hyperlink>
    </w:p>
    <w:p w14:paraId="07DD037A" w14:textId="77777777" w:rsidR="00AE727E" w:rsidRDefault="008433E0">
      <w:r>
        <w:rPr>
          <w:rFonts w:ascii="Times New Roman" w:eastAsia="宋体" w:hAnsi="Times New Roman"/>
          <w:b/>
          <w:bCs/>
          <w:color w:val="000000"/>
          <w:sz w:val="20"/>
          <w:szCs w:val="20"/>
        </w:rPr>
        <w:t xml:space="preserve">ITEM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MANAGEMENT’S D</w:t>
      </w:r>
      <w:r>
        <w:rPr>
          <w:rFonts w:ascii="Times New Roman" w:eastAsia="宋体" w:hAnsi="Times New Roman"/>
          <w:b/>
          <w:bCs/>
          <w:color w:val="000000"/>
          <w:sz w:val="20"/>
          <w:szCs w:val="20"/>
        </w:rPr>
        <w:t>ISCUSSION AND ANALYSIS OF FINANCIAL CONDITION AND RESULTS OF OPERATIONS</w:t>
      </w:r>
    </w:p>
    <w:p w14:paraId="07DD037B" w14:textId="77777777" w:rsidR="00AE727E" w:rsidRDefault="00AE727E"/>
    <w:p w14:paraId="07DD037C" w14:textId="77777777" w:rsidR="00AE727E" w:rsidRDefault="008433E0">
      <w:r>
        <w:rPr>
          <w:rFonts w:ascii="Times New Roman" w:eastAsia="宋体" w:hAnsi="Times New Roman"/>
          <w:b/>
          <w:bCs/>
          <w:i/>
          <w:iCs/>
          <w:color w:val="000000"/>
          <w:sz w:val="20"/>
          <w:szCs w:val="20"/>
        </w:rPr>
        <w:t>This management’s discussion and analysis should be read in conjunction with the audited Consolidated Financial Statements and accompanying Notes included in the Company’s annual repo</w:t>
      </w:r>
      <w:r>
        <w:rPr>
          <w:rFonts w:ascii="Times New Roman" w:eastAsia="宋体" w:hAnsi="Times New Roman"/>
          <w:b/>
          <w:bCs/>
          <w:i/>
          <w:iCs/>
          <w:color w:val="000000"/>
          <w:sz w:val="20"/>
          <w:szCs w:val="20"/>
        </w:rPr>
        <w:t xml:space="preserve">rt on Form 10-K for the fiscal year ended January 29, 2021 and the unaudited Condensed Consolidated Financial Statements included in this report. In addition to historical financial information, the following discussion contains forward-looking statements </w:t>
      </w:r>
      <w:r>
        <w:rPr>
          <w:rFonts w:ascii="Times New Roman" w:eastAsia="宋体" w:hAnsi="Times New Roman"/>
          <w:b/>
          <w:bCs/>
          <w:i/>
          <w:iCs/>
          <w:color w:val="000000"/>
          <w:sz w:val="20"/>
          <w:szCs w:val="20"/>
        </w:rPr>
        <w:t>that reflect our plans, estimates, and beliefs, and that are subject to numerous risks and uncertainties. Our actual results may differ materially from those expressed or implied in any forward-looking statements.</w:t>
      </w:r>
    </w:p>
    <w:p w14:paraId="07DD037D" w14:textId="77777777" w:rsidR="00AE727E" w:rsidRDefault="00AE727E"/>
    <w:p w14:paraId="07DD037E" w14:textId="77777777" w:rsidR="00AE727E" w:rsidRDefault="008433E0">
      <w:r>
        <w:rPr>
          <w:rFonts w:ascii="Times New Roman" w:eastAsia="宋体" w:hAnsi="Times New Roman"/>
          <w:b/>
          <w:bCs/>
          <w:i/>
          <w:iCs/>
          <w:color w:val="000000"/>
          <w:sz w:val="20"/>
          <w:szCs w:val="20"/>
        </w:rPr>
        <w:t>Unless otherwise indicated, all results p</w:t>
      </w:r>
      <w:r>
        <w:rPr>
          <w:rFonts w:ascii="Times New Roman" w:eastAsia="宋体" w:hAnsi="Times New Roman"/>
          <w:b/>
          <w:bCs/>
          <w:i/>
          <w:iCs/>
          <w:color w:val="000000"/>
          <w:sz w:val="20"/>
          <w:szCs w:val="20"/>
        </w:rPr>
        <w:t>resented are prepared in a manner that complies, in all material respects, with generally accepted accounting principles in the United States of America (“GAAP”). Unless otherwise indicated, all changes identified for the current-period results represent c</w:t>
      </w:r>
      <w:r>
        <w:rPr>
          <w:rFonts w:ascii="Times New Roman" w:eastAsia="宋体" w:hAnsi="Times New Roman"/>
          <w:b/>
          <w:bCs/>
          <w:i/>
          <w:iCs/>
          <w:color w:val="000000"/>
          <w:sz w:val="20"/>
          <w:szCs w:val="20"/>
        </w:rPr>
        <w:t>omparisons to results for the prior corresponding fiscal period.</w:t>
      </w:r>
    </w:p>
    <w:p w14:paraId="07DD037F" w14:textId="77777777" w:rsidR="00AE727E" w:rsidRDefault="00AE727E"/>
    <w:p w14:paraId="07DD0380" w14:textId="77777777" w:rsidR="00AE727E" w:rsidRDefault="008433E0">
      <w:r>
        <w:rPr>
          <w:rFonts w:ascii="Times New Roman" w:eastAsia="宋体" w:hAnsi="Times New Roman"/>
          <w:b/>
          <w:bCs/>
          <w:i/>
          <w:iCs/>
          <w:color w:val="000000"/>
          <w:sz w:val="20"/>
          <w:szCs w:val="20"/>
        </w:rPr>
        <w:t xml:space="preserve">Unless the context indicates otherwise, references in this report to “we,” “us,” “our,” the “Company,” and “Dell Technologies” mean Dell Technologies Inc. and its consolidated subsidiaries, </w:t>
      </w:r>
      <w:r>
        <w:rPr>
          <w:rFonts w:ascii="Times New Roman" w:eastAsia="宋体" w:hAnsi="Times New Roman"/>
          <w:b/>
          <w:bCs/>
          <w:i/>
          <w:iCs/>
          <w:color w:val="000000"/>
          <w:sz w:val="20"/>
          <w:szCs w:val="20"/>
        </w:rPr>
        <w:t>references to “Dell” mean Dell Inc. and Dell Inc.’s consolidated subsidiaries, and references to “EMC” mean EMC Corporation and EMC Corporation’s consolidated subsidiaries.</w:t>
      </w:r>
    </w:p>
    <w:p w14:paraId="07DD0381" w14:textId="77777777" w:rsidR="00AE727E" w:rsidRDefault="00AE727E"/>
    <w:p w14:paraId="07DD0382" w14:textId="77777777" w:rsidR="00AE727E" w:rsidRDefault="008433E0">
      <w:r>
        <w:rPr>
          <w:rFonts w:ascii="Times New Roman" w:eastAsia="宋体" w:hAnsi="Times New Roman"/>
          <w:b/>
          <w:bCs/>
          <w:i/>
          <w:iCs/>
          <w:color w:val="000000"/>
          <w:sz w:val="20"/>
          <w:szCs w:val="20"/>
        </w:rPr>
        <w:t xml:space="preserve">Our fiscal year is the 52- or 53-week period ending on the Friday nearest January </w:t>
      </w:r>
      <w:r>
        <w:rPr>
          <w:rFonts w:ascii="Times New Roman" w:eastAsia="宋体" w:hAnsi="Times New Roman"/>
          <w:b/>
          <w:bCs/>
          <w:i/>
          <w:iCs/>
          <w:color w:val="000000"/>
          <w:sz w:val="20"/>
          <w:szCs w:val="20"/>
        </w:rPr>
        <w:t xml:space="preserve">31. We refer to our fiscal year ending January 28, 2022 and our fiscal year ended January 29, 2021 as “Fiscal 2022” and “Fiscal 2021,” respectively. Fiscal 2022 and Fiscal 2021 include 52 weeks. </w:t>
      </w:r>
    </w:p>
    <w:p w14:paraId="07DD0383" w14:textId="77777777" w:rsidR="00AE727E" w:rsidRDefault="00AE727E"/>
    <w:p w14:paraId="07DD0384" w14:textId="77777777" w:rsidR="00AE727E" w:rsidRDefault="008433E0">
      <w:r>
        <w:rPr>
          <w:rFonts w:ascii="Times New Roman" w:eastAsia="宋体" w:hAnsi="Times New Roman"/>
          <w:b/>
          <w:bCs/>
          <w:color w:val="000000"/>
          <w:sz w:val="20"/>
          <w:szCs w:val="20"/>
        </w:rPr>
        <w:t>INTRODUCTION</w:t>
      </w:r>
    </w:p>
    <w:p w14:paraId="07DD0385" w14:textId="77777777" w:rsidR="00AE727E" w:rsidRDefault="00AE727E"/>
    <w:p w14:paraId="07DD0386" w14:textId="77777777" w:rsidR="00AE727E" w:rsidRDefault="008433E0">
      <w:r>
        <w:rPr>
          <w:rFonts w:ascii="Times New Roman" w:eastAsia="宋体" w:hAnsi="Times New Roman"/>
          <w:color w:val="000000"/>
          <w:sz w:val="20"/>
          <w:szCs w:val="20"/>
        </w:rPr>
        <w:t>Dell Technologies helps organizations and individuals build their digital future and transform how they work, live, and play. We provide customers with the industry’s broadest and most innovative technology and services portfolio for the data era, spanning</w:t>
      </w:r>
      <w:r>
        <w:rPr>
          <w:rFonts w:ascii="Times New Roman" w:eastAsia="宋体" w:hAnsi="Times New Roman"/>
          <w:color w:val="000000"/>
          <w:sz w:val="20"/>
          <w:szCs w:val="20"/>
        </w:rPr>
        <w:t xml:space="preserve"> traditional infrastructure, emerging multi-cloud technologies, and essential technology needed in the “do anything from anywhere” economy. We continue to seamlessly deliver differentiated and holistic information technology (“IT”) solutions to our custome</w:t>
      </w:r>
      <w:r>
        <w:rPr>
          <w:rFonts w:ascii="Times New Roman" w:eastAsia="宋体" w:hAnsi="Times New Roman"/>
          <w:color w:val="000000"/>
          <w:sz w:val="20"/>
          <w:szCs w:val="20"/>
        </w:rPr>
        <w:t xml:space="preserve">rs, which has driven significant revenue growth and share gains. </w:t>
      </w:r>
    </w:p>
    <w:p w14:paraId="07DD0387" w14:textId="77777777" w:rsidR="00AE727E" w:rsidRDefault="00AE727E"/>
    <w:p w14:paraId="07DD0388" w14:textId="77777777" w:rsidR="00AE727E" w:rsidRDefault="008433E0">
      <w:r>
        <w:rPr>
          <w:rFonts w:ascii="Times New Roman" w:eastAsia="宋体" w:hAnsi="Times New Roman"/>
          <w:color w:val="000000"/>
          <w:sz w:val="20"/>
          <w:szCs w:val="20"/>
        </w:rPr>
        <w:t>Dell Technologies’ integrated solutions help customers modernize their IT infrastructure, manage and operate in a multi-cloud world, address workforce transformation, and provide critical s</w:t>
      </w:r>
      <w:r>
        <w:rPr>
          <w:rFonts w:ascii="Times New Roman" w:eastAsia="宋体" w:hAnsi="Times New Roman"/>
          <w:color w:val="000000"/>
          <w:sz w:val="20"/>
          <w:szCs w:val="20"/>
        </w:rPr>
        <w:t>olutions that keep people and organizations connected, which has proven even more important in this current time of disruption caused by the COVID-19 pandemic. We are helping customers accelerate their digital transformations to improve and strengthen busi</w:t>
      </w:r>
      <w:r>
        <w:rPr>
          <w:rFonts w:ascii="Times New Roman" w:eastAsia="宋体" w:hAnsi="Times New Roman"/>
          <w:color w:val="000000"/>
          <w:sz w:val="20"/>
          <w:szCs w:val="20"/>
        </w:rPr>
        <w:t>ness and workforce productivity. With our extensive portfolio and our commitment to innovation, we offer secure, integrated solutions that extend from the edge to the core to the cloud, and we are at the forefront of the software-defined and cloud native i</w:t>
      </w:r>
      <w:r>
        <w:rPr>
          <w:rFonts w:ascii="Times New Roman" w:eastAsia="宋体" w:hAnsi="Times New Roman"/>
          <w:color w:val="000000"/>
          <w:sz w:val="20"/>
          <w:szCs w:val="20"/>
        </w:rPr>
        <w:t>nfrastructure era. As further evidence of our commitment to innovation, we are evolving and expanding our IT as-a-Service and cloud offerings through APEX, which will provide our customers with greater flexibility to scale IT to meet their evolving busines</w:t>
      </w:r>
      <w:r>
        <w:rPr>
          <w:rFonts w:ascii="Times New Roman" w:eastAsia="宋体" w:hAnsi="Times New Roman"/>
          <w:color w:val="000000"/>
          <w:sz w:val="20"/>
          <w:szCs w:val="20"/>
        </w:rPr>
        <w:t xml:space="preserve">s needs and budgets. </w:t>
      </w:r>
    </w:p>
    <w:p w14:paraId="07DD0389" w14:textId="77777777" w:rsidR="00AE727E" w:rsidRDefault="00AE727E"/>
    <w:p w14:paraId="07DD038A" w14:textId="77777777" w:rsidR="00AE727E" w:rsidRDefault="008433E0">
      <w:r>
        <w:rPr>
          <w:rFonts w:ascii="Times New Roman" w:eastAsia="宋体" w:hAnsi="Times New Roman"/>
          <w:color w:val="000000"/>
          <w:sz w:val="20"/>
          <w:szCs w:val="20"/>
        </w:rPr>
        <w:t>Dell Technologies’ end-to-end portfolio is supported by a world-class organization with unmatched size and scale. We operate globally in 180 countries across key functional areas, including technology and product development, marketi</w:t>
      </w:r>
      <w:r>
        <w:rPr>
          <w:rFonts w:ascii="Times New Roman" w:eastAsia="宋体" w:hAnsi="Times New Roman"/>
          <w:color w:val="000000"/>
          <w:sz w:val="20"/>
          <w:szCs w:val="20"/>
        </w:rPr>
        <w:t>ng, sales, financial services, and global services. Our go-to-market engine includes a 39,000-person sales force and a global network of over 200,000 channel partners. Dell Financial Services and its affiliates (“DFS”) offer customer payment flexibility an</w:t>
      </w:r>
      <w:r>
        <w:rPr>
          <w:rFonts w:ascii="Times New Roman" w:eastAsia="宋体" w:hAnsi="Times New Roman"/>
          <w:color w:val="000000"/>
          <w:sz w:val="20"/>
          <w:szCs w:val="20"/>
        </w:rPr>
        <w:t xml:space="preserve">d enable synergies across the business. We employ 34,000 full-time service and support professionals and maintain more than 2,400 vendor-managed service centers. We manage a world-class supply chain that drives long-term growth and operating efficiencies, </w:t>
      </w:r>
      <w:r>
        <w:rPr>
          <w:rFonts w:ascii="Times New Roman" w:eastAsia="宋体" w:hAnsi="Times New Roman"/>
          <w:color w:val="000000"/>
          <w:sz w:val="20"/>
          <w:szCs w:val="20"/>
        </w:rPr>
        <w:t>with approximately $70 billion in annual procurement expenditures and over 750 parts distribution centers. Together, these elements provide a critical foundation for our success, enabling us to offer unparalleled capability to our customers and making us t</w:t>
      </w:r>
      <w:r>
        <w:rPr>
          <w:rFonts w:ascii="Times New Roman" w:eastAsia="宋体" w:hAnsi="Times New Roman"/>
          <w:color w:val="000000"/>
          <w:sz w:val="20"/>
          <w:szCs w:val="20"/>
        </w:rPr>
        <w:t>he integrator of choice.</w:t>
      </w:r>
    </w:p>
    <w:p w14:paraId="07DD038B" w14:textId="77777777" w:rsidR="00AE727E" w:rsidRDefault="00AE727E"/>
    <w:p w14:paraId="07DD038C" w14:textId="77777777" w:rsidR="00AE727E" w:rsidRDefault="008433E0">
      <w:r>
        <w:rPr>
          <w:rFonts w:ascii="Times New Roman" w:eastAsia="宋体" w:hAnsi="Times New Roman"/>
          <w:i/>
          <w:iCs/>
          <w:color w:val="000000"/>
          <w:sz w:val="20"/>
          <w:szCs w:val="20"/>
          <w:u w:val="single"/>
        </w:rPr>
        <w:t>Dell Technologies Vision and Innovation</w:t>
      </w:r>
      <w:r>
        <w:rPr>
          <w:rFonts w:ascii="Times New Roman" w:eastAsia="宋体" w:hAnsi="Times New Roman"/>
          <w:color w:val="000000"/>
          <w:sz w:val="20"/>
          <w:szCs w:val="20"/>
        </w:rPr>
        <w:t xml:space="preserve"> — Our vision is to be the essential technology company for the data era and a leader in end-user computing, software-defined data center solutions, data management, virtualization, edge comp</w:t>
      </w:r>
      <w:r>
        <w:rPr>
          <w:rFonts w:ascii="Times New Roman" w:eastAsia="宋体" w:hAnsi="Times New Roman"/>
          <w:color w:val="000000"/>
          <w:sz w:val="20"/>
          <w:szCs w:val="20"/>
        </w:rPr>
        <w:t>uting, and cloud software. We believe that our results will benefit from an integrated go-to-market strategy, including enhanced coordination across all segments of our business, and from our differentiated products and solutions capabilities. We intend to</w:t>
      </w:r>
      <w:r>
        <w:rPr>
          <w:rFonts w:ascii="Times New Roman" w:eastAsia="宋体" w:hAnsi="Times New Roman"/>
          <w:color w:val="000000"/>
          <w:sz w:val="20"/>
          <w:szCs w:val="20"/>
        </w:rPr>
        <w:t xml:space="preserve"> continue to execute on our business model and seek to balance liquidity, profitability, and growth to position our company for long-term success.</w:t>
      </w:r>
    </w:p>
    <w:p w14:paraId="07DD038D" w14:textId="77777777" w:rsidR="00AE727E" w:rsidRDefault="00AE727E"/>
    <w:p w14:paraId="07DD038E" w14:textId="77777777" w:rsidR="00AE727E" w:rsidRDefault="00AE727E">
      <w:pPr>
        <w:jc w:val="center"/>
      </w:pPr>
    </w:p>
    <w:p w14:paraId="07DD038F" w14:textId="77777777" w:rsidR="00AE727E" w:rsidRDefault="008433E0">
      <w:pPr>
        <w:jc w:val="center"/>
      </w:pPr>
      <w:r>
        <w:rPr>
          <w:rFonts w:ascii="Times New Roman" w:eastAsia="宋体" w:hAnsi="Times New Roman"/>
          <w:color w:val="000000"/>
          <w:sz w:val="20"/>
          <w:szCs w:val="20"/>
        </w:rPr>
        <w:t>60</w:t>
      </w:r>
    </w:p>
    <w:p w14:paraId="07DD0390" w14:textId="77777777" w:rsidR="00AE727E" w:rsidRDefault="00AE727E">
      <w:pPr>
        <w:jc w:val="center"/>
      </w:pPr>
    </w:p>
    <w:p w14:paraId="07DD0391" w14:textId="77777777" w:rsidR="00AE727E" w:rsidRDefault="008433E0">
      <w:r>
        <w:pict w14:anchorId="07DD190C">
          <v:rect id="_x0000_i1084" style="width:415.3pt;height:1.5pt" o:hralign="center" o:hrstd="t" o:hr="t" fillcolor="#a0a0a0" stroked="f"/>
        </w:pict>
      </w:r>
    </w:p>
    <w:p w14:paraId="07DD0392" w14:textId="77777777" w:rsidR="00AE727E" w:rsidRDefault="008433E0">
      <w:hyperlink r:id="rId185" w:anchor="i1c8279be622a460ea19600488436f115_10" w:history="1">
        <w:r>
          <w:rPr>
            <w:rStyle w:val="a5"/>
            <w:rFonts w:ascii="Times New Roman" w:eastAsia="宋体" w:hAnsi="Times New Roman"/>
            <w:sz w:val="20"/>
            <w:szCs w:val="20"/>
          </w:rPr>
          <w:t>Table of Contents</w:t>
        </w:r>
      </w:hyperlink>
    </w:p>
    <w:p w14:paraId="07DD0393" w14:textId="77777777" w:rsidR="00AE727E" w:rsidRDefault="008433E0">
      <w:r>
        <w:rPr>
          <w:rFonts w:ascii="Times New Roman" w:eastAsia="宋体" w:hAnsi="Times New Roman"/>
          <w:color w:val="000000"/>
          <w:sz w:val="20"/>
          <w:szCs w:val="20"/>
        </w:rPr>
        <w:t>We are seeing an accelerated rate of change in the IT industry. We seek to address o</w:t>
      </w:r>
      <w:r>
        <w:rPr>
          <w:rFonts w:ascii="Times New Roman" w:eastAsia="宋体" w:hAnsi="Times New Roman"/>
          <w:color w:val="000000"/>
          <w:sz w:val="20"/>
          <w:szCs w:val="20"/>
        </w:rPr>
        <w:t>ur customers’ evolving needs and their broader digital transformation objectives as they embrace the hybrid multi-cloud environment of today. For many customers, a top digital priority is to build stable and resilient remote operational capabilities. We ar</w:t>
      </w:r>
      <w:r>
        <w:rPr>
          <w:rFonts w:ascii="Times New Roman" w:eastAsia="宋体" w:hAnsi="Times New Roman"/>
          <w:color w:val="000000"/>
          <w:sz w:val="20"/>
          <w:szCs w:val="20"/>
        </w:rPr>
        <w:t xml:space="preserve">e seeing demand for simpler, more agile IT across multiple clouds. The pandemic accelerated the introduction and adoption of new technologies to ensure productivity and collaboration from anywhere. In light of this rapid pace of innovation, we continue to </w:t>
      </w:r>
      <w:r>
        <w:rPr>
          <w:rFonts w:ascii="Times New Roman" w:eastAsia="宋体" w:hAnsi="Times New Roman"/>
          <w:color w:val="000000"/>
          <w:sz w:val="20"/>
          <w:szCs w:val="20"/>
        </w:rPr>
        <w:t>invest in research and development, sales, and other key areas of our business to deliver superior products and solutions capabilities and to drive long-term sustainable growth.</w:t>
      </w:r>
    </w:p>
    <w:p w14:paraId="07DD0394" w14:textId="77777777" w:rsidR="00AE727E" w:rsidRDefault="00AE727E"/>
    <w:p w14:paraId="07DD0395" w14:textId="77777777" w:rsidR="00AE727E" w:rsidRDefault="008433E0">
      <w:r>
        <w:rPr>
          <w:rFonts w:ascii="Times New Roman" w:eastAsia="宋体" w:hAnsi="Times New Roman"/>
          <w:b/>
          <w:bCs/>
          <w:color w:val="000000"/>
          <w:sz w:val="20"/>
          <w:szCs w:val="20"/>
        </w:rPr>
        <w:t>Spin-off of VMware, Inc.</w:t>
      </w:r>
    </w:p>
    <w:p w14:paraId="07DD0396" w14:textId="77777777" w:rsidR="00AE727E" w:rsidRDefault="00AE727E"/>
    <w:p w14:paraId="07DD0397" w14:textId="77777777" w:rsidR="00AE727E" w:rsidRDefault="008433E0">
      <w:r>
        <w:rPr>
          <w:rFonts w:ascii="Times New Roman" w:eastAsia="宋体" w:hAnsi="Times New Roman"/>
          <w:color w:val="000000"/>
          <w:sz w:val="20"/>
          <w:szCs w:val="20"/>
        </w:rPr>
        <w:t>As described in Note 1 of the Notes to the Condense</w:t>
      </w:r>
      <w:r>
        <w:rPr>
          <w:rFonts w:ascii="Times New Roman" w:eastAsia="宋体" w:hAnsi="Times New Roman"/>
          <w:color w:val="000000"/>
          <w:sz w:val="20"/>
          <w:szCs w:val="20"/>
        </w:rPr>
        <w:t>d Consolidated Financial Statements included in this report, on November 1, 2021, subsequent to the close of the Company’s third quarter of Fiscal 2022, the Company completed its previously announced spin-off of VMware, Inc. by means of a special stock div</w:t>
      </w:r>
      <w:r>
        <w:rPr>
          <w:rFonts w:ascii="Times New Roman" w:eastAsia="宋体" w:hAnsi="Times New Roman"/>
          <w:color w:val="000000"/>
          <w:sz w:val="20"/>
          <w:szCs w:val="20"/>
        </w:rPr>
        <w:t xml:space="preserve">idend (the “VMware Spin-off”). The VMware Spin-off was effectuated pursuant to a Separation and Distribution Agreement, dated as of April 14, 2021 (the “Separation and Distribution Agreement”). </w:t>
      </w:r>
    </w:p>
    <w:p w14:paraId="07DD0398" w14:textId="77777777" w:rsidR="00AE727E" w:rsidRDefault="00AE727E"/>
    <w:p w14:paraId="07DD0399" w14:textId="77777777" w:rsidR="00AE727E" w:rsidRDefault="008433E0">
      <w:r>
        <w:rPr>
          <w:rFonts w:ascii="Times New Roman" w:eastAsia="宋体" w:hAnsi="Times New Roman"/>
          <w:color w:val="000000"/>
          <w:sz w:val="20"/>
          <w:szCs w:val="20"/>
        </w:rPr>
        <w:t>Dell Technologies effectuated the VMware Spin-off by means o</w:t>
      </w:r>
      <w:r>
        <w:rPr>
          <w:rFonts w:ascii="Times New Roman" w:eastAsia="宋体" w:hAnsi="Times New Roman"/>
          <w:color w:val="000000"/>
          <w:sz w:val="20"/>
          <w:szCs w:val="20"/>
        </w:rPr>
        <w:t>f a special stock dividend of 30,678,605 shares of Class A common stock and 307,221,836 of Class B common stock of VMware, Inc. to Dell Technologies stockholders of record as of 5:00 p.m., New York City time, on October 29, 2021. Prior to receipt of the VM</w:t>
      </w:r>
      <w:r>
        <w:rPr>
          <w:rFonts w:ascii="Times New Roman" w:eastAsia="宋体" w:hAnsi="Times New Roman"/>
          <w:color w:val="000000"/>
          <w:sz w:val="20"/>
          <w:szCs w:val="20"/>
        </w:rPr>
        <w:t>ware, Inc. common stock by the Company’s stockholders, each share of VMware, Inc. Class B common stock automatically converted into one share of VMware, Inc. Class A common stock. As a result of these transactions, each holder of record of shares of Dell T</w:t>
      </w:r>
      <w:r>
        <w:rPr>
          <w:rFonts w:ascii="Times New Roman" w:eastAsia="宋体" w:hAnsi="Times New Roman"/>
          <w:color w:val="000000"/>
          <w:sz w:val="20"/>
          <w:szCs w:val="20"/>
        </w:rPr>
        <w:t>echnologies common stock as of the distribution record date received approximately 0.440626 of a share of VMware, Inc. Class A common stock for each outstanding share of Dell Technologies common stock owned by such holder as of such date. VMware, Inc. paid</w:t>
      </w:r>
      <w:r>
        <w:rPr>
          <w:rFonts w:ascii="Times New Roman" w:eastAsia="宋体" w:hAnsi="Times New Roman"/>
          <w:color w:val="000000"/>
          <w:sz w:val="20"/>
          <w:szCs w:val="20"/>
        </w:rPr>
        <w:t xml:space="preserve"> a special cash dividend, pro rata, to each holder of VMware, Inc. common stock in an aggregate amount equal to $11.5 billion, of which Dell Technologies received $9.3 billion.</w:t>
      </w:r>
    </w:p>
    <w:p w14:paraId="07DD039A" w14:textId="77777777" w:rsidR="00AE727E" w:rsidRDefault="00AE727E"/>
    <w:p w14:paraId="07DD039B" w14:textId="77777777" w:rsidR="00AE727E" w:rsidRDefault="008433E0">
      <w:r>
        <w:rPr>
          <w:rFonts w:ascii="Times New Roman" w:eastAsia="宋体" w:hAnsi="Times New Roman"/>
          <w:color w:val="000000"/>
          <w:sz w:val="20"/>
          <w:szCs w:val="20"/>
        </w:rPr>
        <w:t>Immediately following VMware, Inc.’s payment of the special cash dividend, pur</w:t>
      </w:r>
      <w:r>
        <w:rPr>
          <w:rFonts w:ascii="Times New Roman" w:eastAsia="宋体" w:hAnsi="Times New Roman"/>
          <w:color w:val="000000"/>
          <w:sz w:val="20"/>
          <w:szCs w:val="20"/>
        </w:rPr>
        <w:t>suant to the Separation and Distribution Agreement, the businesses of VMware, Inc. were separated from the remaining businesses of Dell Technologies through a series of transactions that resulted in the pre-transaction stockholders of Dell Technologies own</w:t>
      </w:r>
      <w:r>
        <w:rPr>
          <w:rFonts w:ascii="Times New Roman" w:eastAsia="宋体" w:hAnsi="Times New Roman"/>
          <w:color w:val="000000"/>
          <w:sz w:val="20"/>
          <w:szCs w:val="20"/>
        </w:rPr>
        <w:t>ing shares in two separate public companies, consisting of (1) VMware, Inc., which continues to own the businesses of VMware, Inc. and its subsidiaries, and (2) Dell Technologies, which continues to own Dell Technologies’ other businesses and subsidiaries.</w:t>
      </w:r>
      <w:r>
        <w:rPr>
          <w:rFonts w:ascii="Times New Roman" w:eastAsia="宋体" w:hAnsi="Times New Roman"/>
          <w:color w:val="000000"/>
          <w:sz w:val="20"/>
          <w:szCs w:val="20"/>
        </w:rPr>
        <w:t xml:space="preserve"> In connection with and upon completion of the VMware Spin-off, Dell Technologies and VMware, Inc. entered into a Commercial Framework Agreement (the “CFA”). The CFA provides a framework under which Dell Technologies and VMware, Inc. will continue their st</w:t>
      </w:r>
      <w:r>
        <w:rPr>
          <w:rFonts w:ascii="Times New Roman" w:eastAsia="宋体" w:hAnsi="Times New Roman"/>
          <w:color w:val="000000"/>
          <w:sz w:val="20"/>
          <w:szCs w:val="20"/>
        </w:rPr>
        <w:t xml:space="preserve">rategic commercial relationship after the transaction. The CFA has an initial term of five years, with automatic one-year renewals occurring annually thereafter, subject to certain terms and conditions. Dell Technologies and VMware, Inc. also entered into </w:t>
      </w:r>
      <w:r>
        <w:rPr>
          <w:rFonts w:ascii="Times New Roman" w:eastAsia="宋体" w:hAnsi="Times New Roman"/>
          <w:color w:val="000000"/>
          <w:sz w:val="20"/>
          <w:szCs w:val="20"/>
        </w:rPr>
        <w:t>other agreements that will govern other aspects of their relationship, including, among others, a tax matters agreement and a transition services agreement.</w:t>
      </w:r>
    </w:p>
    <w:p w14:paraId="07DD039C" w14:textId="77777777" w:rsidR="00AE727E" w:rsidRDefault="00AE727E"/>
    <w:p w14:paraId="07DD039D" w14:textId="77777777" w:rsidR="00AE727E" w:rsidRDefault="008433E0">
      <w:r>
        <w:rPr>
          <w:rFonts w:ascii="Times New Roman" w:eastAsia="宋体" w:hAnsi="Times New Roman"/>
          <w:color w:val="000000"/>
          <w:sz w:val="20"/>
          <w:szCs w:val="20"/>
        </w:rPr>
        <w:t>Dell Technologies used the net proceeds from its pro rata share of the special cash dividend recei</w:t>
      </w:r>
      <w:r>
        <w:rPr>
          <w:rFonts w:ascii="Times New Roman" w:eastAsia="宋体" w:hAnsi="Times New Roman"/>
          <w:color w:val="000000"/>
          <w:sz w:val="20"/>
          <w:szCs w:val="20"/>
        </w:rPr>
        <w:t>ved from VMware, Inc., as well as cash on hand, to repay a total of $9.4 billion principal amount of debt. For information about the debt repayments, see Note 18 of the Notes to the Condensed Consolidated Financial Statements included in this report.</w:t>
      </w:r>
    </w:p>
    <w:p w14:paraId="07DD039E" w14:textId="77777777" w:rsidR="00AE727E" w:rsidRDefault="00AE727E"/>
    <w:p w14:paraId="07DD039F" w14:textId="77777777" w:rsidR="00AE727E" w:rsidRDefault="008433E0">
      <w:r>
        <w:rPr>
          <w:rFonts w:ascii="Times New Roman" w:eastAsia="宋体" w:hAnsi="Times New Roman"/>
          <w:color w:val="000000"/>
          <w:sz w:val="20"/>
          <w:szCs w:val="20"/>
        </w:rPr>
        <w:t xml:space="preserve">The </w:t>
      </w:r>
      <w:r>
        <w:rPr>
          <w:rFonts w:ascii="Times New Roman" w:eastAsia="宋体" w:hAnsi="Times New Roman"/>
          <w:color w:val="000000"/>
          <w:sz w:val="20"/>
          <w:szCs w:val="20"/>
        </w:rPr>
        <w:t xml:space="preserve">Company will report VMware results as discontinued operations beginning in the fourth quarter of Fiscal 2022. See Note 1 and Note 18 of the Notes to the Condensed Consolidated Financial Statements included in this report for more information regarding the </w:t>
      </w:r>
      <w:r>
        <w:rPr>
          <w:rFonts w:ascii="Times New Roman" w:eastAsia="宋体" w:hAnsi="Times New Roman"/>
          <w:color w:val="000000"/>
          <w:sz w:val="20"/>
          <w:szCs w:val="20"/>
        </w:rPr>
        <w:t>VMware Spin-off.</w:t>
      </w:r>
    </w:p>
    <w:p w14:paraId="07DD03A0" w14:textId="77777777" w:rsidR="00AE727E" w:rsidRDefault="00AE727E"/>
    <w:p w14:paraId="07DD03A1" w14:textId="77777777" w:rsidR="00AE727E" w:rsidRDefault="008433E0">
      <w:r>
        <w:rPr>
          <w:rFonts w:ascii="Times New Roman" w:eastAsia="宋体" w:hAnsi="Times New Roman"/>
          <w:b/>
          <w:bCs/>
          <w:color w:val="000000"/>
          <w:sz w:val="20"/>
          <w:szCs w:val="20"/>
        </w:rPr>
        <w:t>Products and Services</w:t>
      </w:r>
    </w:p>
    <w:p w14:paraId="07DD03A2" w14:textId="77777777" w:rsidR="00AE727E" w:rsidRDefault="00AE727E"/>
    <w:p w14:paraId="07DD03A3" w14:textId="77777777" w:rsidR="00AE727E" w:rsidRDefault="008433E0">
      <w:r>
        <w:rPr>
          <w:rFonts w:ascii="Times New Roman" w:eastAsia="宋体" w:hAnsi="Times New Roman"/>
          <w:color w:val="000000"/>
          <w:sz w:val="20"/>
          <w:szCs w:val="20"/>
        </w:rPr>
        <w:t>We design, develop, manufacture, market, sell, and support a wide range of comprehensive and integrated solutions, products, and services. We are organized into the following business units, which are our reportable segments: Infrastructure Solutions Group</w:t>
      </w:r>
      <w:r>
        <w:rPr>
          <w:rFonts w:ascii="Times New Roman" w:eastAsia="宋体" w:hAnsi="Times New Roman"/>
          <w:color w:val="000000"/>
          <w:sz w:val="20"/>
          <w:szCs w:val="20"/>
        </w:rPr>
        <w:t xml:space="preserve">; Client Solutions Group; and VMware. </w:t>
      </w:r>
    </w:p>
    <w:p w14:paraId="07DD03A4" w14:textId="77777777" w:rsidR="00AE727E" w:rsidRDefault="00AE727E"/>
    <w:p w14:paraId="07DD03A5" w14:textId="77777777" w:rsidR="00AE727E" w:rsidRDefault="008433E0">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t>
      </w:r>
      <w:r>
        <w:rPr>
          <w:rFonts w:ascii="Times New Roman" w:eastAsia="宋体" w:hAnsi="Times New Roman"/>
          <w:color w:val="000000"/>
          <w:sz w:val="20"/>
          <w:szCs w:val="20"/>
        </w:rPr>
        <w:t>works with customers in the area of hybrid cloud deployment with the goal of simplifying, streamlining, and automating cloud operations. ISG solutions are built for multi-cloud environments and are optimized to run cloud native workloads in both public and</w:t>
      </w:r>
      <w:r>
        <w:rPr>
          <w:rFonts w:ascii="Times New Roman" w:eastAsia="宋体" w:hAnsi="Times New Roman"/>
          <w:color w:val="000000"/>
          <w:sz w:val="20"/>
          <w:szCs w:val="20"/>
        </w:rPr>
        <w:t xml:space="preserve"> private clouds, as well as traditional on-premise workloads. </w:t>
      </w:r>
    </w:p>
    <w:p w14:paraId="07DD03A6" w14:textId="77777777" w:rsidR="00AE727E" w:rsidRDefault="00AE727E">
      <w:pPr>
        <w:jc w:val="center"/>
      </w:pPr>
    </w:p>
    <w:p w14:paraId="07DD03A7" w14:textId="77777777" w:rsidR="00AE727E" w:rsidRDefault="008433E0">
      <w:pPr>
        <w:jc w:val="center"/>
      </w:pPr>
      <w:r>
        <w:rPr>
          <w:rFonts w:ascii="Times New Roman" w:eastAsia="宋体" w:hAnsi="Times New Roman"/>
          <w:color w:val="000000"/>
          <w:sz w:val="20"/>
          <w:szCs w:val="20"/>
        </w:rPr>
        <w:t>61</w:t>
      </w:r>
    </w:p>
    <w:p w14:paraId="07DD03A8" w14:textId="77777777" w:rsidR="00AE727E" w:rsidRDefault="00AE727E">
      <w:pPr>
        <w:jc w:val="center"/>
      </w:pPr>
    </w:p>
    <w:p w14:paraId="07DD03A9" w14:textId="77777777" w:rsidR="00AE727E" w:rsidRDefault="008433E0">
      <w:r>
        <w:pict w14:anchorId="07DD190D">
          <v:rect id="_x0000_i1085" style="width:415.3pt;height:1.5pt" o:hralign="center" o:hrstd="t" o:hr="t" fillcolor="#a0a0a0" stroked="f"/>
        </w:pict>
      </w:r>
    </w:p>
    <w:p w14:paraId="07DD03AA" w14:textId="77777777" w:rsidR="00AE727E" w:rsidRDefault="008433E0">
      <w:hyperlink r:id="rId186" w:anchor="i1c8279be622a460ea19600488436f115_10" w:history="1">
        <w:r>
          <w:rPr>
            <w:rStyle w:val="a5"/>
            <w:rFonts w:ascii="Times New Roman" w:eastAsia="宋体" w:hAnsi="Times New Roman"/>
            <w:sz w:val="20"/>
            <w:szCs w:val="20"/>
          </w:rPr>
          <w:t>Table of Contents</w:t>
        </w:r>
      </w:hyperlink>
    </w:p>
    <w:p w14:paraId="07DD03AB" w14:textId="77777777" w:rsidR="00AE727E" w:rsidRDefault="00AE727E"/>
    <w:p w14:paraId="07DD03AC" w14:textId="77777777" w:rsidR="00AE727E" w:rsidRDefault="008433E0">
      <w:r>
        <w:rPr>
          <w:rFonts w:ascii="Times New Roman" w:eastAsia="宋体" w:hAnsi="Times New Roman"/>
          <w:color w:val="000000"/>
          <w:sz w:val="20"/>
          <w:szCs w:val="20"/>
        </w:rPr>
        <w:t>Our comprehensive portfolio of advanced storage solutions includes traditional as w</w:t>
      </w:r>
      <w:r>
        <w:rPr>
          <w:rFonts w:ascii="Times New Roman" w:eastAsia="宋体" w:hAnsi="Times New Roman"/>
          <w:color w:val="000000"/>
          <w:sz w:val="20"/>
          <w:szCs w:val="20"/>
        </w:rPr>
        <w:t>ell as next-generation storage solutions (such as all-flash arrays, scale-out file, object platforms, and software-defined solutions). We have simplified our storage portfolio to ensure that we deliver the technology needed for our customers’ digital trans</w:t>
      </w:r>
      <w:r>
        <w:rPr>
          <w:rFonts w:ascii="Times New Roman" w:eastAsia="宋体" w:hAnsi="Times New Roman"/>
          <w:color w:val="000000"/>
          <w:sz w:val="20"/>
          <w:szCs w:val="20"/>
        </w:rPr>
        <w:t xml:space="preserve">formation. We continue to make enhancements to our portfolio of storage solutions and expect that these enhancements will drive long-term improvements in the business. In May 2020, we released our new PowerStore offering, a differentiated midrange storage </w:t>
      </w:r>
      <w:r>
        <w:rPr>
          <w:rFonts w:ascii="Times New Roman" w:eastAsia="宋体" w:hAnsi="Times New Roman"/>
          <w:color w:val="000000"/>
          <w:sz w:val="20"/>
          <w:szCs w:val="20"/>
        </w:rPr>
        <w:t xml:space="preserve">solution that enables seamless updates using microservices and container-based software architecture. This offering allows us to compete more effectively within midrange storage and, as a result, we are seeing early signs of improving revenue velocity. </w:t>
      </w:r>
    </w:p>
    <w:p w14:paraId="07DD03AD" w14:textId="77777777" w:rsidR="00AE727E" w:rsidRDefault="00AE727E"/>
    <w:p w14:paraId="07DD03AE" w14:textId="77777777" w:rsidR="00AE727E" w:rsidRDefault="008433E0">
      <w:r>
        <w:rPr>
          <w:rFonts w:ascii="Times New Roman" w:eastAsia="宋体" w:hAnsi="Times New Roman"/>
          <w:color w:val="000000"/>
          <w:sz w:val="20"/>
          <w:szCs w:val="20"/>
        </w:rPr>
        <w:t>O</w:t>
      </w:r>
      <w:r>
        <w:rPr>
          <w:rFonts w:ascii="Times New Roman" w:eastAsia="宋体" w:hAnsi="Times New Roman"/>
          <w:color w:val="000000"/>
          <w:sz w:val="20"/>
          <w:szCs w:val="20"/>
        </w:rPr>
        <w:t>ur server portfolio includes high-performance rack, blade, tower, and hyperscale servers, optimized for artificial intelligence and machine learning workloads. Our networking portfolio helps our business customers transform and modernize their infrastructu</w:t>
      </w:r>
      <w:r>
        <w:rPr>
          <w:rFonts w:ascii="Times New Roman" w:eastAsia="宋体" w:hAnsi="Times New Roman"/>
          <w:color w:val="000000"/>
          <w:sz w:val="20"/>
          <w:szCs w:val="20"/>
        </w:rPr>
        <w:t xml:space="preserve">re, mobilize and enrich end-user experiences, and accelerate business applications and processes. </w:t>
      </w:r>
    </w:p>
    <w:p w14:paraId="07DD03AF" w14:textId="77777777" w:rsidR="00AE727E" w:rsidRDefault="00AE727E"/>
    <w:p w14:paraId="07DD03B0" w14:textId="77777777" w:rsidR="00AE727E" w:rsidRDefault="008433E0">
      <w:r>
        <w:rPr>
          <w:rFonts w:ascii="Times New Roman" w:eastAsia="宋体" w:hAnsi="Times New Roman"/>
          <w:color w:val="000000"/>
          <w:sz w:val="20"/>
          <w:szCs w:val="20"/>
        </w:rPr>
        <w:t>Our strengths in server, storage, and virtualization software solutions enable us to offer leading converged and hyper-converged solutions, allowing our cus</w:t>
      </w:r>
      <w:r>
        <w:rPr>
          <w:rFonts w:ascii="Times New Roman" w:eastAsia="宋体" w:hAnsi="Times New Roman"/>
          <w:color w:val="000000"/>
          <w:sz w:val="20"/>
          <w:szCs w:val="20"/>
        </w:rPr>
        <w:t>tomers to accelerate their IT transformation by acquiring scalable integrated IT solutions instead of building and assembling their own IT platforms. ISG also offers attached software, peripherals, and services, including support and deployment, configurat</w:t>
      </w:r>
      <w:r>
        <w:rPr>
          <w:rFonts w:ascii="Times New Roman" w:eastAsia="宋体" w:hAnsi="Times New Roman"/>
          <w:color w:val="000000"/>
          <w:sz w:val="20"/>
          <w:szCs w:val="20"/>
        </w:rPr>
        <w:t>ion, and extended warranty services.</w:t>
      </w:r>
    </w:p>
    <w:p w14:paraId="07DD03B1" w14:textId="77777777" w:rsidR="00AE727E" w:rsidRDefault="00AE727E"/>
    <w:p w14:paraId="07DD03B2" w14:textId="77777777" w:rsidR="00AE727E" w:rsidRDefault="008433E0">
      <w:r>
        <w:rPr>
          <w:rFonts w:ascii="Times New Roman" w:eastAsia="宋体" w:hAnsi="Times New Roman"/>
          <w:color w:val="000000"/>
          <w:sz w:val="20"/>
          <w:szCs w:val="20"/>
        </w:rPr>
        <w:t>Approximately half of ISG revenue is generated by sales to customers in the Americas, with the remaining portion derived from sales to customers in the Europe, Middle East, and Africa region (“EMEA”) and the Asia-Pacif</w:t>
      </w:r>
      <w:r>
        <w:rPr>
          <w:rFonts w:ascii="Times New Roman" w:eastAsia="宋体" w:hAnsi="Times New Roman"/>
          <w:color w:val="000000"/>
          <w:sz w:val="20"/>
          <w:szCs w:val="20"/>
        </w:rPr>
        <w:t>ic and Japan region (“APJ”).</w:t>
      </w:r>
    </w:p>
    <w:p w14:paraId="07DD03B3" w14:textId="77777777" w:rsidR="00AE727E" w:rsidRDefault="00AE727E"/>
    <w:p w14:paraId="07DD03B4"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and projectors), as well as third-party software and peripherals. Our co</w:t>
      </w:r>
      <w:r>
        <w:rPr>
          <w:rFonts w:ascii="Times New Roman" w:eastAsia="宋体" w:hAnsi="Times New Roman"/>
          <w:color w:val="000000"/>
          <w:sz w:val="20"/>
          <w:szCs w:val="20"/>
        </w:rPr>
        <w:t>mputing devices are designed with our commercial and consumer customers’ needs in mind, and we seek to optimize performance, reliability, manageability, design, and security. In addition to our traditional hardware business, we have a portfolio of thin cli</w:t>
      </w:r>
      <w:r>
        <w:rPr>
          <w:rFonts w:ascii="Times New Roman" w:eastAsia="宋体" w:hAnsi="Times New Roman"/>
          <w:color w:val="000000"/>
          <w:sz w:val="20"/>
          <w:szCs w:val="20"/>
        </w:rPr>
        <w:t xml:space="preserve">ent offerings that we believe will allow us to benefit from the growth trends in cloud computing. For our customers that are seeking to simplify client lifecycle management, our PC as-a-Service offering combines hardware, software, lifecycle services, and </w:t>
      </w:r>
      <w:r>
        <w:rPr>
          <w:rFonts w:ascii="Times New Roman" w:eastAsia="宋体" w:hAnsi="Times New Roman"/>
          <w:color w:val="000000"/>
          <w:sz w:val="20"/>
          <w:szCs w:val="20"/>
        </w:rPr>
        <w:t>financing into one all-encompassing solution that provides predictable pricing per seat per month through DFS. CSG also offers attached software, peripherals, and services, including support and deployment, configuration, and extended warranty services.</w:t>
      </w:r>
    </w:p>
    <w:p w14:paraId="07DD03B5" w14:textId="77777777" w:rsidR="00AE727E" w:rsidRDefault="00AE727E"/>
    <w:p w14:paraId="07DD03B6" w14:textId="77777777" w:rsidR="00AE727E" w:rsidRDefault="008433E0">
      <w:r>
        <w:rPr>
          <w:rFonts w:ascii="Times New Roman" w:eastAsia="宋体" w:hAnsi="Times New Roman"/>
          <w:color w:val="000000"/>
          <w:sz w:val="20"/>
          <w:szCs w:val="20"/>
        </w:rPr>
        <w:t>A</w:t>
      </w:r>
      <w:r>
        <w:rPr>
          <w:rFonts w:ascii="Times New Roman" w:eastAsia="宋体" w:hAnsi="Times New Roman"/>
          <w:color w:val="000000"/>
          <w:sz w:val="20"/>
          <w:szCs w:val="20"/>
        </w:rPr>
        <w:t>pproximately half of CSG revenue is generated by sales to customers in the Americas, with the remaining portion derived from sales to customers in EMEA and APJ.</w:t>
      </w:r>
    </w:p>
    <w:p w14:paraId="07DD03B7" w14:textId="77777777" w:rsidR="00AE727E" w:rsidRDefault="00AE727E"/>
    <w:p w14:paraId="07DD03B8"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VMware reportable segment (“VMware”) reflects the operations of VMware, Inc. (NY</w:t>
      </w:r>
      <w:r>
        <w:rPr>
          <w:rFonts w:ascii="Times New Roman" w:eastAsia="宋体" w:hAnsi="Times New Roman"/>
          <w:color w:val="000000"/>
          <w:sz w:val="20"/>
          <w:szCs w:val="20"/>
        </w:rPr>
        <w:t>SE: VMW) within Dell Technologies. VMware works with customers in the areas of hybrid and multi-cloud, virtual cloud networking, digital workspaces, modern applications, and intrinsic security, helping customers manage their IT resources across private clo</w:t>
      </w:r>
      <w:r>
        <w:rPr>
          <w:rFonts w:ascii="Times New Roman" w:eastAsia="宋体" w:hAnsi="Times New Roman"/>
          <w:color w:val="000000"/>
          <w:sz w:val="20"/>
          <w:szCs w:val="20"/>
        </w:rPr>
        <w:t xml:space="preserve">uds and complex multi-cloud, multi-device environments. VMware’s portfolio supports and addresses the key IT priorities of customers: accelerating their cloud journey, modernizing their applications, empowering digital workspaces, transforming networking, </w:t>
      </w:r>
      <w:r>
        <w:rPr>
          <w:rFonts w:ascii="Times New Roman" w:eastAsia="宋体" w:hAnsi="Times New Roman"/>
          <w:color w:val="000000"/>
          <w:sz w:val="20"/>
          <w:szCs w:val="20"/>
        </w:rPr>
        <w:t>and embracing intrinsic security. VMware enables its customers to digitally transform their operations as they ready their applications, infrastructure, and employees for constantly evolving business needs.</w:t>
      </w:r>
    </w:p>
    <w:p w14:paraId="07DD03B9" w14:textId="77777777" w:rsidR="00AE727E" w:rsidRDefault="00AE727E"/>
    <w:p w14:paraId="07DD03BA" w14:textId="77777777" w:rsidR="00AE727E" w:rsidRDefault="008433E0">
      <w:r>
        <w:rPr>
          <w:rFonts w:ascii="Times New Roman" w:eastAsia="宋体" w:hAnsi="Times New Roman"/>
          <w:color w:val="000000"/>
          <w:sz w:val="20"/>
          <w:szCs w:val="20"/>
        </w:rPr>
        <w:t>Approximately half of VMware revenue is generate</w:t>
      </w:r>
      <w:r>
        <w:rPr>
          <w:rFonts w:ascii="Times New Roman" w:eastAsia="宋体" w:hAnsi="Times New Roman"/>
          <w:color w:val="000000"/>
          <w:sz w:val="20"/>
          <w:szCs w:val="20"/>
        </w:rPr>
        <w:t xml:space="preserve">d by sales to customers in the United States. </w:t>
      </w:r>
    </w:p>
    <w:p w14:paraId="07DD03BB" w14:textId="77777777" w:rsidR="00AE727E" w:rsidRDefault="00AE727E"/>
    <w:p w14:paraId="07DD03BC" w14:textId="77777777" w:rsidR="00AE727E" w:rsidRDefault="00AE727E">
      <w:pPr>
        <w:jc w:val="center"/>
      </w:pPr>
    </w:p>
    <w:p w14:paraId="07DD03BD" w14:textId="77777777" w:rsidR="00AE727E" w:rsidRDefault="008433E0">
      <w:pPr>
        <w:jc w:val="center"/>
      </w:pPr>
      <w:r>
        <w:rPr>
          <w:rFonts w:ascii="Times New Roman" w:eastAsia="宋体" w:hAnsi="Times New Roman"/>
          <w:color w:val="000000"/>
          <w:sz w:val="20"/>
          <w:szCs w:val="20"/>
        </w:rPr>
        <w:t>62</w:t>
      </w:r>
    </w:p>
    <w:p w14:paraId="07DD03BE" w14:textId="77777777" w:rsidR="00AE727E" w:rsidRDefault="00AE727E">
      <w:pPr>
        <w:jc w:val="center"/>
      </w:pPr>
    </w:p>
    <w:p w14:paraId="07DD03BF" w14:textId="77777777" w:rsidR="00AE727E" w:rsidRDefault="008433E0">
      <w:r>
        <w:pict w14:anchorId="07DD190E">
          <v:rect id="_x0000_i1086" style="width:415.3pt;height:1.5pt" o:hralign="center" o:hrstd="t" o:hr="t" fillcolor="#a0a0a0" stroked="f"/>
        </w:pict>
      </w:r>
    </w:p>
    <w:p w14:paraId="07DD03C0" w14:textId="77777777" w:rsidR="00AE727E" w:rsidRDefault="008433E0">
      <w:hyperlink r:id="rId187" w:anchor="i1c8279be622a460ea19600488436f115_10" w:history="1">
        <w:r>
          <w:rPr>
            <w:rStyle w:val="a5"/>
            <w:rFonts w:ascii="Times New Roman" w:eastAsia="宋体" w:hAnsi="Times New Roman"/>
            <w:sz w:val="20"/>
            <w:szCs w:val="20"/>
          </w:rPr>
          <w:t>Table of Contents</w:t>
        </w:r>
      </w:hyperlink>
    </w:p>
    <w:p w14:paraId="07DD03C1" w14:textId="77777777" w:rsidR="00AE727E" w:rsidRDefault="008433E0">
      <w:r>
        <w:rPr>
          <w:rFonts w:ascii="Times New Roman" w:eastAsia="宋体" w:hAnsi="Times New Roman"/>
          <w:color w:val="000000"/>
          <w:sz w:val="20"/>
          <w:szCs w:val="20"/>
        </w:rPr>
        <w:t>Effective upon the completion of the VMware Spin-off in the fourth quarter of Fiscal</w:t>
      </w:r>
      <w:r>
        <w:rPr>
          <w:rFonts w:ascii="Times New Roman" w:eastAsia="宋体" w:hAnsi="Times New Roman"/>
          <w:color w:val="000000"/>
          <w:sz w:val="20"/>
          <w:szCs w:val="20"/>
        </w:rPr>
        <w:t xml:space="preserve"> 2022, as described under “Spin-off of VMware, Inc.,” our Consolidated Statements of Income will be recast to reflect VMware results as discontinued operations and as such, VMware will no longer be identified as a reportable segment. Pursuant to the CFA, D</w:t>
      </w:r>
      <w:r>
        <w:rPr>
          <w:rFonts w:ascii="Times New Roman" w:eastAsia="宋体" w:hAnsi="Times New Roman"/>
          <w:color w:val="000000"/>
          <w:sz w:val="20"/>
          <w:szCs w:val="20"/>
        </w:rPr>
        <w:t>ell Technologies will continue to integrate VMware, Inc.’s products and services with Dell Technologies’ offerings and sell them to end users. The results of those transactions will be reflected within CSG and ISG, based on the nature of the underlying off</w:t>
      </w:r>
      <w:r>
        <w:rPr>
          <w:rFonts w:ascii="Times New Roman" w:eastAsia="宋体" w:hAnsi="Times New Roman"/>
          <w:color w:val="000000"/>
          <w:sz w:val="20"/>
          <w:szCs w:val="20"/>
        </w:rPr>
        <w:t xml:space="preserve">ering sold. Dell Technologies will also continue to act as a distributor for VMware, Inc., purchasing VMware, Inc.’s standalone products and services for resale to end-user customers. The results of this business will be reflected in Other businesses. The </w:t>
      </w:r>
      <w:r>
        <w:rPr>
          <w:rFonts w:ascii="Times New Roman" w:eastAsia="宋体" w:hAnsi="Times New Roman"/>
          <w:color w:val="000000"/>
          <w:sz w:val="20"/>
          <w:szCs w:val="20"/>
        </w:rPr>
        <w:t xml:space="preserve">Company's prior period segment results will be recast to reflect the change. See Note 1 and Note 18 of the Notes to the Condensed Consolidated Financial Statements included in this report for more information regarding the VMware Spin-off. </w:t>
      </w:r>
    </w:p>
    <w:p w14:paraId="07DD03C2" w14:textId="77777777" w:rsidR="00AE727E" w:rsidRDefault="00AE727E"/>
    <w:p w14:paraId="07DD03C3" w14:textId="77777777" w:rsidR="00AE727E" w:rsidRDefault="008433E0">
      <w:r>
        <w:rPr>
          <w:rFonts w:ascii="Times New Roman" w:eastAsia="宋体" w:hAnsi="Times New Roman"/>
          <w:color w:val="000000"/>
          <w:sz w:val="20"/>
          <w:szCs w:val="20"/>
        </w:rPr>
        <w:t>Our Other busi</w:t>
      </w:r>
      <w:r>
        <w:rPr>
          <w:rFonts w:ascii="Times New Roman" w:eastAsia="宋体" w:hAnsi="Times New Roman"/>
          <w:color w:val="000000"/>
          <w:sz w:val="20"/>
          <w:szCs w:val="20"/>
        </w:rPr>
        <w:t xml:space="preserve">nesses, described below, consist of products and services offerings of Secureworks and Virtustream, which are both majority-owned by Dell Technologies. These businesses are not classified as reportable segments, either individually or collectively, as the </w:t>
      </w:r>
      <w:r>
        <w:rPr>
          <w:rFonts w:ascii="Times New Roman" w:eastAsia="宋体" w:hAnsi="Times New Roman"/>
          <w:color w:val="000000"/>
          <w:sz w:val="20"/>
          <w:szCs w:val="20"/>
        </w:rPr>
        <w:t>results of the businesses are not material to our overall results and the businesses do not meet the criteria for reportable segments.</w:t>
      </w:r>
    </w:p>
    <w:p w14:paraId="07DD03C4" w14:textId="77777777" w:rsidR="00AE727E" w:rsidRDefault="00AE727E"/>
    <w:p w14:paraId="07DD03C5" w14:textId="77777777" w:rsidR="00AE727E" w:rsidRDefault="008433E0">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provider of intelligence-driven information security solutions singularly focused on protecting its clients from cyber attacks. The solutions offered by Secureworks enable organizations of varying size and complexity to </w:t>
      </w:r>
      <w:r>
        <w:rPr>
          <w:rFonts w:ascii="Times New Roman" w:eastAsia="宋体" w:hAnsi="Times New Roman"/>
          <w:color w:val="000000"/>
          <w:sz w:val="20"/>
          <w:szCs w:val="20"/>
        </w:rPr>
        <w:t>fortify their cyber defenses to prevent security breaches, detect malicious activity in near real time, prioritize and respond rapidly to security incidents, and predict emerging threats.</w:t>
      </w:r>
    </w:p>
    <w:p w14:paraId="07DD03C6" w14:textId="77777777" w:rsidR="00AE727E" w:rsidRDefault="00AE727E"/>
    <w:p w14:paraId="07DD03C7" w14:textId="77777777" w:rsidR="00AE727E" w:rsidRDefault="008433E0">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w:t>
      </w:r>
      <w:r>
        <w:rPr>
          <w:rFonts w:ascii="Times New Roman" w:eastAsia="宋体" w:hAnsi="Times New Roman"/>
          <w:color w:val="000000"/>
          <w:sz w:val="20"/>
          <w:szCs w:val="20"/>
        </w:rPr>
        <w:t>solutions that enable customers to migrate, run, and manage mission-critical applications in cloud-based IT environments.</w:t>
      </w:r>
    </w:p>
    <w:p w14:paraId="07DD03C8" w14:textId="77777777" w:rsidR="00AE727E" w:rsidRDefault="00AE727E"/>
    <w:p w14:paraId="07DD03C9" w14:textId="77777777" w:rsidR="00AE727E" w:rsidRDefault="008433E0">
      <w:r>
        <w:rPr>
          <w:rFonts w:ascii="Times New Roman" w:eastAsia="宋体" w:hAnsi="Times New Roman"/>
          <w:color w:val="000000"/>
          <w:sz w:val="20"/>
          <w:szCs w:val="20"/>
        </w:rPr>
        <w:t xml:space="preserve">On October 1, 2021, we completed the sale of Boomi and certain related assets to Francisco Partners and TPG Capital for a total cash </w:t>
      </w:r>
      <w:r>
        <w:rPr>
          <w:rFonts w:ascii="Times New Roman" w:eastAsia="宋体" w:hAnsi="Times New Roman"/>
          <w:color w:val="000000"/>
          <w:sz w:val="20"/>
          <w:szCs w:val="20"/>
        </w:rPr>
        <w:t>consideration of approximately $4.0 billion, resulting in a pre-tax gain on sale of $4.0 billion. The Company ultimately recorded a $3.0 billion gain, net of $1.0 billion in tax expense. The transaction was intended to support the Company’s focus on fuelin</w:t>
      </w:r>
      <w:r>
        <w:rPr>
          <w:rFonts w:ascii="Times New Roman" w:eastAsia="宋体" w:hAnsi="Times New Roman"/>
          <w:color w:val="000000"/>
          <w:sz w:val="20"/>
          <w:szCs w:val="20"/>
        </w:rPr>
        <w:t xml:space="preserve">g growth initiatives through targeted investments to modernize Dell Technologies’ core infrastructure and by expanding in high-priority areas, including hybrid and private cloud, edge, telecommunications solutions, and the Company’s APEX offerings. </w:t>
      </w:r>
    </w:p>
    <w:p w14:paraId="07DD03CA" w14:textId="77777777" w:rsidR="00AE727E" w:rsidRDefault="00AE727E"/>
    <w:p w14:paraId="07DD03CB" w14:textId="77777777" w:rsidR="00AE727E" w:rsidRDefault="008433E0">
      <w:r>
        <w:rPr>
          <w:rFonts w:ascii="Times New Roman" w:eastAsia="宋体" w:hAnsi="Times New Roman"/>
          <w:color w:val="000000"/>
          <w:sz w:val="20"/>
          <w:szCs w:val="20"/>
        </w:rPr>
        <w:t>On Se</w:t>
      </w:r>
      <w:r>
        <w:rPr>
          <w:rFonts w:ascii="Times New Roman" w:eastAsia="宋体" w:hAnsi="Times New Roman"/>
          <w:color w:val="000000"/>
          <w:sz w:val="20"/>
          <w:szCs w:val="20"/>
        </w:rPr>
        <w:t>ptember 1, 2020, we completed the sale of RSA Security to a consortium of investors for total cash consideration of approximately $2.082 billion, resulting in a pre-tax gain on sale of $338 million. The Company ultimately recorded a $21 million loss net of</w:t>
      </w:r>
      <w:r>
        <w:rPr>
          <w:rFonts w:ascii="Times New Roman" w:eastAsia="宋体" w:hAnsi="Times New Roman"/>
          <w:color w:val="000000"/>
          <w:sz w:val="20"/>
          <w:szCs w:val="20"/>
        </w:rPr>
        <w:t xml:space="preserve"> taxes. The transaction was intended to further simplify our product portfolio and corporate structure. </w:t>
      </w:r>
    </w:p>
    <w:p w14:paraId="07DD03CC" w14:textId="77777777" w:rsidR="00AE727E" w:rsidRDefault="00AE727E"/>
    <w:p w14:paraId="07DD03CD" w14:textId="77777777" w:rsidR="00AE727E" w:rsidRDefault="008433E0">
      <w:r>
        <w:rPr>
          <w:rFonts w:ascii="Times New Roman" w:eastAsia="宋体" w:hAnsi="Times New Roman"/>
          <w:color w:val="000000"/>
          <w:sz w:val="20"/>
          <w:szCs w:val="20"/>
        </w:rPr>
        <w:t xml:space="preserve">Prior to the divestitures, the operating results of Boomi and RSA Security were included within Other businesses and did not qualify for presentation </w:t>
      </w:r>
      <w:r>
        <w:rPr>
          <w:rFonts w:ascii="Times New Roman" w:eastAsia="宋体" w:hAnsi="Times New Roman"/>
          <w:color w:val="000000"/>
          <w:sz w:val="20"/>
          <w:szCs w:val="20"/>
        </w:rPr>
        <w:t>as a discontinued operation. See Note 1 of the Notes to the Condensed Consolidated Financial Statements included in this report for more information about these transactions.</w:t>
      </w:r>
    </w:p>
    <w:p w14:paraId="07DD03CE" w14:textId="77777777" w:rsidR="00AE727E" w:rsidRDefault="00AE727E"/>
    <w:p w14:paraId="07DD03CF" w14:textId="77777777" w:rsidR="00AE727E" w:rsidRDefault="008433E0">
      <w:r>
        <w:rPr>
          <w:rFonts w:ascii="Times New Roman" w:eastAsia="宋体" w:hAnsi="Times New Roman"/>
          <w:color w:val="000000"/>
          <w:sz w:val="20"/>
          <w:szCs w:val="20"/>
        </w:rPr>
        <w:t>Our products and services offerings are continually evolving in response to indu</w:t>
      </w:r>
      <w:r>
        <w:rPr>
          <w:rFonts w:ascii="Times New Roman" w:eastAsia="宋体" w:hAnsi="Times New Roman"/>
          <w:color w:val="000000"/>
          <w:sz w:val="20"/>
          <w:szCs w:val="20"/>
        </w:rPr>
        <w:t xml:space="preserve">stry dynamics. As a result, reclassifications of certain products and services solutions in major product categories may be required. For further discussion regarding our current reportable segments, see “Results of Operations — Business Unit Results” and </w:t>
      </w:r>
      <w:r>
        <w:rPr>
          <w:rFonts w:ascii="Times New Roman" w:eastAsia="宋体" w:hAnsi="Times New Roman"/>
          <w:color w:val="000000"/>
          <w:sz w:val="20"/>
          <w:szCs w:val="20"/>
        </w:rPr>
        <w:t>Note 16 of the Notes to the Condensed Consolidated Financial Statements included in this report.</w:t>
      </w:r>
    </w:p>
    <w:p w14:paraId="07DD03D0" w14:textId="77777777" w:rsidR="00AE727E" w:rsidRDefault="00AE727E"/>
    <w:p w14:paraId="07DD03D1" w14:textId="77777777" w:rsidR="00AE727E" w:rsidRDefault="008433E0">
      <w:r>
        <w:rPr>
          <w:rFonts w:ascii="Times New Roman" w:eastAsia="宋体" w:hAnsi="Times New Roman"/>
          <w:b/>
          <w:bCs/>
          <w:color w:val="000000"/>
          <w:sz w:val="20"/>
          <w:szCs w:val="20"/>
        </w:rPr>
        <w:t>Dell Financial Services</w:t>
      </w:r>
    </w:p>
    <w:p w14:paraId="07DD03D2" w14:textId="77777777" w:rsidR="00AE727E" w:rsidRDefault="00AE727E">
      <w:pPr>
        <w:ind w:hanging="360"/>
      </w:pPr>
    </w:p>
    <w:p w14:paraId="07DD03D3" w14:textId="77777777" w:rsidR="00AE727E" w:rsidRDefault="008433E0">
      <w:r>
        <w:rPr>
          <w:rFonts w:ascii="Times New Roman" w:eastAsia="宋体" w:hAnsi="Times New Roman"/>
          <w:color w:val="000000"/>
          <w:sz w:val="20"/>
          <w:szCs w:val="20"/>
        </w:rPr>
        <w:t>DFS supports our businesses by offering and arranging various financing options and services for our customers primarily in North Ame</w:t>
      </w:r>
      <w:r>
        <w:rPr>
          <w:rFonts w:ascii="Times New Roman" w:eastAsia="宋体" w:hAnsi="Times New Roman"/>
          <w:color w:val="000000"/>
          <w:sz w:val="20"/>
          <w:szCs w:val="20"/>
        </w:rPr>
        <w:t>rica, Europe, Australia, and New Zealand. DFS originates, collects, and services customer receivables primarily related to the purchase or use of our product, software, and service solutions. We also arrange financing for some of our customers in various c</w:t>
      </w:r>
      <w:r>
        <w:rPr>
          <w:rFonts w:ascii="Times New Roman" w:eastAsia="宋体" w:hAnsi="Times New Roman"/>
          <w:color w:val="000000"/>
          <w:sz w:val="20"/>
          <w:szCs w:val="20"/>
        </w:rPr>
        <w:t>ountries where DFS does not currently operate as a captive enterprise. DFS further strengthens our customer relationships through its flexible consumption models, which enable us to offer our customers the option to pay over time and, in certain cases, bas</w:t>
      </w:r>
      <w:r>
        <w:rPr>
          <w:rFonts w:ascii="Times New Roman" w:eastAsia="宋体" w:hAnsi="Times New Roman"/>
          <w:color w:val="000000"/>
          <w:sz w:val="20"/>
          <w:szCs w:val="20"/>
        </w:rPr>
        <w:t>ed on utilization, to provide them with financial flexibility to meet their changing technological requirements. The results of these operations are allocated to our segments based on the underlying product or service financed. For additional information a</w:t>
      </w:r>
      <w:r>
        <w:rPr>
          <w:rFonts w:ascii="Times New Roman" w:eastAsia="宋体" w:hAnsi="Times New Roman"/>
          <w:color w:val="000000"/>
          <w:sz w:val="20"/>
          <w:szCs w:val="20"/>
        </w:rPr>
        <w:t>bout our financing arrangements, see Note 3 of the Notes to the Condensed Consolidated Financial Statements included in this report.</w:t>
      </w:r>
    </w:p>
    <w:p w14:paraId="07DD03D4" w14:textId="77777777" w:rsidR="00AE727E" w:rsidRDefault="00AE727E"/>
    <w:p w14:paraId="07DD03D5" w14:textId="77777777" w:rsidR="00AE727E" w:rsidRDefault="00AE727E">
      <w:pPr>
        <w:jc w:val="center"/>
      </w:pPr>
    </w:p>
    <w:p w14:paraId="07DD03D6" w14:textId="77777777" w:rsidR="00AE727E" w:rsidRDefault="008433E0">
      <w:pPr>
        <w:jc w:val="center"/>
      </w:pPr>
      <w:r>
        <w:rPr>
          <w:rFonts w:ascii="Times New Roman" w:eastAsia="宋体" w:hAnsi="Times New Roman"/>
          <w:color w:val="000000"/>
          <w:sz w:val="20"/>
          <w:szCs w:val="20"/>
        </w:rPr>
        <w:t>63</w:t>
      </w:r>
    </w:p>
    <w:p w14:paraId="07DD03D7" w14:textId="77777777" w:rsidR="00AE727E" w:rsidRDefault="00AE727E">
      <w:pPr>
        <w:jc w:val="center"/>
      </w:pPr>
    </w:p>
    <w:p w14:paraId="07DD03D8" w14:textId="77777777" w:rsidR="00AE727E" w:rsidRDefault="008433E0">
      <w:r>
        <w:pict w14:anchorId="07DD190F">
          <v:rect id="_x0000_i1087" style="width:415.3pt;height:1.5pt" o:hralign="center" o:hrstd="t" o:hr="t" fillcolor="#a0a0a0" stroked="f"/>
        </w:pict>
      </w:r>
    </w:p>
    <w:p w14:paraId="07DD03D9" w14:textId="77777777" w:rsidR="00AE727E" w:rsidRDefault="008433E0">
      <w:hyperlink r:id="rId188" w:anchor="i1c8279be622a460ea19600488436f115_10" w:history="1">
        <w:r>
          <w:rPr>
            <w:rStyle w:val="a5"/>
            <w:rFonts w:ascii="Times New Roman" w:eastAsia="宋体" w:hAnsi="Times New Roman"/>
            <w:sz w:val="20"/>
            <w:szCs w:val="20"/>
          </w:rPr>
          <w:t>Table of Contents</w:t>
        </w:r>
      </w:hyperlink>
    </w:p>
    <w:p w14:paraId="07DD03DA" w14:textId="77777777" w:rsidR="00AE727E" w:rsidRDefault="008433E0">
      <w:r>
        <w:rPr>
          <w:rFonts w:ascii="Times New Roman" w:eastAsia="宋体" w:hAnsi="Times New Roman"/>
          <w:b/>
          <w:bCs/>
          <w:color w:val="000000"/>
          <w:sz w:val="20"/>
          <w:szCs w:val="20"/>
        </w:rPr>
        <w:t>Strategic Investments and Acquisitions</w:t>
      </w:r>
    </w:p>
    <w:p w14:paraId="07DD03DB" w14:textId="77777777" w:rsidR="00AE727E" w:rsidRDefault="00AE727E"/>
    <w:p w14:paraId="07DD03DC" w14:textId="77777777" w:rsidR="00AE727E" w:rsidRDefault="008433E0">
      <w:r>
        <w:rPr>
          <w:rFonts w:ascii="Times New Roman" w:eastAsia="宋体" w:hAnsi="Times New Roman"/>
          <w:color w:val="000000"/>
          <w:sz w:val="20"/>
          <w:szCs w:val="20"/>
        </w:rPr>
        <w:t>As part of our strategy, we will continue to evaluate opportunities for strategic investments through our venture capital investment arm, Dell Technologies Cap</w:t>
      </w:r>
      <w:r>
        <w:rPr>
          <w:rFonts w:ascii="Times New Roman" w:eastAsia="宋体" w:hAnsi="Times New Roman"/>
          <w:color w:val="000000"/>
          <w:sz w:val="20"/>
          <w:szCs w:val="20"/>
        </w:rPr>
        <w:t>ital, with a focus on emerging technology areas that are relevant to all segments of our business and that will complement our existing portfolio of solutions. Our investment areas include storage, software-defined networking, management and orchestration,</w:t>
      </w:r>
      <w:r>
        <w:rPr>
          <w:rFonts w:ascii="Times New Roman" w:eastAsia="宋体" w:hAnsi="Times New Roman"/>
          <w:color w:val="000000"/>
          <w:sz w:val="20"/>
          <w:szCs w:val="20"/>
        </w:rPr>
        <w:t xml:space="preserve"> security, machine learning and artificial intelligence, Big Data and analytics, cloud, edge computing, and software development operations. As of October 29, 2021 and January 29, 2021, Dell Technologies held strategic investments of $1.5 billion and $1.4 </w:t>
      </w:r>
      <w:r>
        <w:rPr>
          <w:rFonts w:ascii="Times New Roman" w:eastAsia="宋体" w:hAnsi="Times New Roman"/>
          <w:color w:val="000000"/>
          <w:sz w:val="20"/>
          <w:szCs w:val="20"/>
        </w:rPr>
        <w:t xml:space="preserve">billion, respectively. </w:t>
      </w:r>
    </w:p>
    <w:p w14:paraId="07DD03DD" w14:textId="77777777" w:rsidR="00AE727E" w:rsidRDefault="00AE727E"/>
    <w:p w14:paraId="07DD03DE" w14:textId="77777777" w:rsidR="00AE727E" w:rsidRDefault="008433E0">
      <w:r>
        <w:rPr>
          <w:rFonts w:ascii="Times New Roman" w:eastAsia="宋体" w:hAnsi="Times New Roman"/>
          <w:color w:val="000000"/>
          <w:sz w:val="20"/>
          <w:szCs w:val="20"/>
        </w:rPr>
        <w:t xml:space="preserve">In addition to these investments, we also may make disciplined acquisitions targeting businesses that advance our strategic objectives and accelerate our innovation agenda. </w:t>
      </w:r>
    </w:p>
    <w:p w14:paraId="07DD03DF" w14:textId="77777777" w:rsidR="00AE727E" w:rsidRDefault="00AE727E"/>
    <w:p w14:paraId="07DD03E0" w14:textId="77777777" w:rsidR="00AE727E" w:rsidRDefault="008433E0">
      <w:r>
        <w:rPr>
          <w:rFonts w:ascii="Times New Roman" w:eastAsia="宋体" w:hAnsi="Times New Roman"/>
          <w:b/>
          <w:bCs/>
          <w:color w:val="000000"/>
          <w:sz w:val="20"/>
          <w:szCs w:val="20"/>
        </w:rPr>
        <w:t>Business Trends and Challenges</w:t>
      </w:r>
    </w:p>
    <w:p w14:paraId="07DD03E1" w14:textId="77777777" w:rsidR="00AE727E" w:rsidRDefault="00AE727E"/>
    <w:p w14:paraId="07DD03E2" w14:textId="77777777" w:rsidR="00AE727E" w:rsidRDefault="008433E0">
      <w:r>
        <w:rPr>
          <w:rFonts w:ascii="Times New Roman" w:eastAsia="宋体" w:hAnsi="Times New Roman"/>
          <w:i/>
          <w:iCs/>
          <w:color w:val="000000"/>
          <w:sz w:val="20"/>
          <w:szCs w:val="20"/>
          <w:u w:val="single"/>
        </w:rPr>
        <w:t xml:space="preserve">COVID-19 </w:t>
      </w:r>
      <w:r>
        <w:rPr>
          <w:rFonts w:ascii="Times New Roman" w:eastAsia="宋体" w:hAnsi="Times New Roman"/>
          <w:i/>
          <w:iCs/>
          <w:color w:val="000000"/>
          <w:sz w:val="20"/>
          <w:szCs w:val="20"/>
          <w:u w:val="single"/>
        </w:rPr>
        <w:t>Pandemic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In March 2020, the World Health Organization (“WHO”) declared the outbreak of COVID-19 a pandemic. This declaration was followed by significant governmental measures implemented in the United States and globally, including travel ba</w:t>
      </w:r>
      <w:r>
        <w:rPr>
          <w:rFonts w:ascii="Times New Roman" w:eastAsia="宋体" w:hAnsi="Times New Roman"/>
          <w:color w:val="000000"/>
          <w:sz w:val="20"/>
          <w:szCs w:val="20"/>
        </w:rPr>
        <w:t xml:space="preserve">ns and restrictions, shelter-in-place orders, limitations and closures of non-essential businesses, and social distancing requirements in efforts to slow down and control the spread of the virus. </w:t>
      </w:r>
    </w:p>
    <w:p w14:paraId="07DD03E3" w14:textId="77777777" w:rsidR="00AE727E" w:rsidRDefault="00AE727E"/>
    <w:p w14:paraId="07DD03E4" w14:textId="77777777" w:rsidR="00AE727E" w:rsidRDefault="008433E0">
      <w:r>
        <w:rPr>
          <w:rFonts w:ascii="Times New Roman" w:eastAsia="宋体" w:hAnsi="Times New Roman"/>
          <w:color w:val="000000"/>
          <w:sz w:val="20"/>
          <w:szCs w:val="20"/>
        </w:rPr>
        <w:t>The health of our employees, customers, business partners,</w:t>
      </w:r>
      <w:r>
        <w:rPr>
          <w:rFonts w:ascii="Times New Roman" w:eastAsia="宋体" w:hAnsi="Times New Roman"/>
          <w:color w:val="000000"/>
          <w:sz w:val="20"/>
          <w:szCs w:val="20"/>
        </w:rPr>
        <w:t xml:space="preserve"> and communities remains our primary focus. During Fiscal 2021, we took numerous actions in response to COVID-19, including a swift implementation of our business continuity plans. Our crisis management team remains actively engaged to respond to changes i</w:t>
      </w:r>
      <w:r>
        <w:rPr>
          <w:rFonts w:ascii="Times New Roman" w:eastAsia="宋体" w:hAnsi="Times New Roman"/>
          <w:color w:val="000000"/>
          <w:sz w:val="20"/>
          <w:szCs w:val="20"/>
        </w:rPr>
        <w:t>n our environment quickly and effectively, and to ensure that our ongoing response activities are aligned with recommendations of the WHO and the U.S. Centers for Disease Control and Prevention, and with governmental regulations. We are adjusting restricti</w:t>
      </w:r>
      <w:r>
        <w:rPr>
          <w:rFonts w:ascii="Times New Roman" w:eastAsia="宋体" w:hAnsi="Times New Roman"/>
          <w:color w:val="000000"/>
          <w:sz w:val="20"/>
          <w:szCs w:val="20"/>
        </w:rPr>
        <w:t xml:space="preserve">ons previously implemented as new information becomes available, governmental regulations are updated, and vaccines become more widely distributed. </w:t>
      </w:r>
    </w:p>
    <w:p w14:paraId="07DD03E5" w14:textId="77777777" w:rsidR="00AE727E" w:rsidRDefault="00AE727E"/>
    <w:p w14:paraId="07DD03E6" w14:textId="77777777" w:rsidR="00AE727E" w:rsidRDefault="008433E0">
      <w:r>
        <w:rPr>
          <w:rFonts w:ascii="Times New Roman" w:eastAsia="宋体" w:hAnsi="Times New Roman"/>
          <w:color w:val="000000"/>
          <w:sz w:val="20"/>
          <w:szCs w:val="20"/>
        </w:rPr>
        <w:t>In September 2021, the President of the United States signed an executive order that requires employers wi</w:t>
      </w:r>
      <w:r>
        <w:rPr>
          <w:rFonts w:ascii="Times New Roman" w:eastAsia="宋体" w:hAnsi="Times New Roman"/>
          <w:color w:val="000000"/>
          <w:sz w:val="20"/>
          <w:szCs w:val="20"/>
        </w:rPr>
        <w:t>th U.S. Government contracts to ensure that their U.S.-based employees, contractors, and subcontractors that work on or in support of such contracts are fully vaccinated against COVID-19 (subject to medical and religious exemptions). We are a covered feder</w:t>
      </w:r>
      <w:r>
        <w:rPr>
          <w:rFonts w:ascii="Times New Roman" w:eastAsia="宋体" w:hAnsi="Times New Roman"/>
          <w:color w:val="000000"/>
          <w:sz w:val="20"/>
          <w:szCs w:val="20"/>
        </w:rPr>
        <w:t xml:space="preserve">al contractor due to a number of our agreements. We are taking steps to comply with the executive order for federal contractors. It is currently not possible to predict the impact the executive order may have on our workforce. </w:t>
      </w:r>
    </w:p>
    <w:p w14:paraId="07DD03E7" w14:textId="77777777" w:rsidR="00AE727E" w:rsidRDefault="00AE727E"/>
    <w:p w14:paraId="07DD03E8" w14:textId="77777777" w:rsidR="00AE727E" w:rsidRDefault="008433E0">
      <w:r>
        <w:rPr>
          <w:rFonts w:ascii="Times New Roman" w:eastAsia="宋体" w:hAnsi="Times New Roman"/>
          <w:color w:val="000000"/>
          <w:sz w:val="20"/>
          <w:szCs w:val="20"/>
        </w:rPr>
        <w:t xml:space="preserve">Most of our employees were </w:t>
      </w:r>
      <w:r>
        <w:rPr>
          <w:rFonts w:ascii="Times New Roman" w:eastAsia="宋体" w:hAnsi="Times New Roman"/>
          <w:color w:val="000000"/>
          <w:sz w:val="20"/>
          <w:szCs w:val="20"/>
        </w:rPr>
        <w:t>previously equipped with remote work capabilities over the past several years, which enabled us to quickly establish a work-from-home posture for the majority of our employees. Further, we implemented pandemic-specific protocols for our essential employees</w:t>
      </w:r>
      <w:r>
        <w:rPr>
          <w:rFonts w:ascii="Times New Roman" w:eastAsia="宋体" w:hAnsi="Times New Roman"/>
          <w:color w:val="000000"/>
          <w:sz w:val="20"/>
          <w:szCs w:val="20"/>
        </w:rPr>
        <w:t xml:space="preserve"> whose jobs require them to be on-site or with customers. We are deploying return-to-site processes based on ongoing assessments of local conditions by our management team, including a global policy requiring vaccination or a negative COVID-19 test for per</w:t>
      </w:r>
      <w:r>
        <w:rPr>
          <w:rFonts w:ascii="Times New Roman" w:eastAsia="宋体" w:hAnsi="Times New Roman"/>
          <w:color w:val="000000"/>
          <w:sz w:val="20"/>
          <w:szCs w:val="20"/>
        </w:rPr>
        <w:t>sons entering a Dell site. We will continue to monitor conditions and utilize remote work practices to ensure the health and safety of our employees, customers, and business partners.</w:t>
      </w:r>
    </w:p>
    <w:p w14:paraId="07DD03E9" w14:textId="77777777" w:rsidR="00AE727E" w:rsidRDefault="00AE727E"/>
    <w:p w14:paraId="07DD03EA" w14:textId="77777777" w:rsidR="00AE727E" w:rsidRDefault="008433E0">
      <w:r>
        <w:rPr>
          <w:rFonts w:ascii="Times New Roman" w:eastAsia="宋体" w:hAnsi="Times New Roman"/>
          <w:color w:val="000000"/>
          <w:sz w:val="20"/>
          <w:szCs w:val="20"/>
        </w:rPr>
        <w:t>We continue to work closely with our customers and business partners to</w:t>
      </w:r>
      <w:r>
        <w:rPr>
          <w:rFonts w:ascii="Times New Roman" w:eastAsia="宋体" w:hAnsi="Times New Roman"/>
          <w:color w:val="000000"/>
          <w:sz w:val="20"/>
          <w:szCs w:val="20"/>
        </w:rPr>
        <w:t xml:space="preserve"> support them as they expand their own remote work solutions and contingency plans and to help them access our products and services remotely. Our agility, our breadth, and our scale has and will continue to benefit us in serving our customers and business</w:t>
      </w:r>
      <w:r>
        <w:rPr>
          <w:rFonts w:ascii="Times New Roman" w:eastAsia="宋体" w:hAnsi="Times New Roman"/>
          <w:color w:val="000000"/>
          <w:sz w:val="20"/>
          <w:szCs w:val="20"/>
        </w:rPr>
        <w:t xml:space="preserve"> partners during this period of accelerated digital transformation, evolution of the “do anything from anywhere” economy, and uncertainty relating to the effects of COVID-19. </w:t>
      </w:r>
    </w:p>
    <w:p w14:paraId="07DD03EB" w14:textId="77777777" w:rsidR="00AE727E" w:rsidRDefault="00AE727E"/>
    <w:p w14:paraId="07DD03EC" w14:textId="77777777" w:rsidR="00AE727E" w:rsidRDefault="008433E0">
      <w:r>
        <w:rPr>
          <w:rFonts w:ascii="Times New Roman" w:eastAsia="宋体" w:hAnsi="Times New Roman"/>
          <w:color w:val="000000"/>
          <w:sz w:val="20"/>
          <w:szCs w:val="20"/>
        </w:rPr>
        <w:t>Notable actions include the following:</w:t>
      </w:r>
    </w:p>
    <w:p w14:paraId="07DD03ED" w14:textId="77777777" w:rsidR="00AE727E" w:rsidRDefault="00AE727E"/>
    <w:p w14:paraId="07DD03EE" w14:textId="77777777" w:rsidR="00AE727E" w:rsidRDefault="008433E0">
      <w:pPr>
        <w:ind w:hanging="360"/>
      </w:pPr>
      <w:r>
        <w:rPr>
          <w:rFonts w:ascii="Times New Roman" w:eastAsia="宋体" w:hAnsi="Times New Roman"/>
          <w:color w:val="000000"/>
          <w:sz w:val="20"/>
          <w:szCs w:val="20"/>
        </w:rPr>
        <w:t>•Our global sales teams continue to suc</w:t>
      </w:r>
      <w:r>
        <w:rPr>
          <w:rFonts w:ascii="Times New Roman" w:eastAsia="宋体" w:hAnsi="Times New Roman"/>
          <w:color w:val="000000"/>
          <w:sz w:val="20"/>
          <w:szCs w:val="20"/>
        </w:rPr>
        <w:t>cessfully support our customers and partners remotely.</w:t>
      </w:r>
    </w:p>
    <w:p w14:paraId="07DD03EF" w14:textId="77777777" w:rsidR="00AE727E" w:rsidRDefault="00AE727E"/>
    <w:p w14:paraId="07DD03F0" w14:textId="77777777" w:rsidR="00AE727E" w:rsidRDefault="008433E0">
      <w:pPr>
        <w:ind w:hanging="360"/>
      </w:pPr>
      <w:r>
        <w:rPr>
          <w:rFonts w:ascii="Times New Roman" w:eastAsia="宋体" w:hAnsi="Times New Roman"/>
          <w:color w:val="000000"/>
          <w:sz w:val="20"/>
          <w:szCs w:val="20"/>
        </w:rPr>
        <w:t xml:space="preserve">•We are helping to address our customers’ cash flow requirements by expanding our as-a-service and financing offerings. </w:t>
      </w:r>
    </w:p>
    <w:p w14:paraId="07DD03F1" w14:textId="77777777" w:rsidR="00AE727E" w:rsidRDefault="00AE727E"/>
    <w:p w14:paraId="07DD03F2" w14:textId="77777777" w:rsidR="00AE727E" w:rsidRDefault="008433E0">
      <w:pPr>
        <w:ind w:hanging="360"/>
      </w:pPr>
      <w:r>
        <w:rPr>
          <w:rFonts w:ascii="Times New Roman" w:eastAsia="宋体" w:hAnsi="Times New Roman"/>
          <w:color w:val="000000"/>
          <w:sz w:val="20"/>
          <w:szCs w:val="20"/>
        </w:rPr>
        <w:t>•Our close relationships and ability to connect directly with our customers th</w:t>
      </w:r>
      <w:r>
        <w:rPr>
          <w:rFonts w:ascii="Times New Roman" w:eastAsia="宋体" w:hAnsi="Times New Roman"/>
          <w:color w:val="000000"/>
          <w:sz w:val="20"/>
          <w:szCs w:val="20"/>
        </w:rPr>
        <w:t>rough our e-commerce business have enabled us to quickly meet the immediate demands of the work- and learn-from-home environments as well as the long-term demands of in-office, remote, and hybrid workforce environments.</w:t>
      </w:r>
    </w:p>
    <w:p w14:paraId="07DD03F3" w14:textId="77777777" w:rsidR="00AE727E" w:rsidRDefault="00AE727E"/>
    <w:p w14:paraId="07DD03F4" w14:textId="77777777" w:rsidR="00AE727E" w:rsidRDefault="00AE727E">
      <w:pPr>
        <w:jc w:val="center"/>
      </w:pPr>
    </w:p>
    <w:p w14:paraId="07DD03F5" w14:textId="77777777" w:rsidR="00AE727E" w:rsidRDefault="008433E0">
      <w:pPr>
        <w:jc w:val="center"/>
      </w:pPr>
      <w:r>
        <w:rPr>
          <w:rFonts w:ascii="Times New Roman" w:eastAsia="宋体" w:hAnsi="Times New Roman"/>
          <w:color w:val="000000"/>
          <w:sz w:val="20"/>
          <w:szCs w:val="20"/>
        </w:rPr>
        <w:t>64</w:t>
      </w:r>
    </w:p>
    <w:p w14:paraId="07DD03F6" w14:textId="77777777" w:rsidR="00AE727E" w:rsidRDefault="00AE727E">
      <w:pPr>
        <w:jc w:val="center"/>
      </w:pPr>
    </w:p>
    <w:p w14:paraId="07DD03F7" w14:textId="77777777" w:rsidR="00AE727E" w:rsidRDefault="008433E0">
      <w:r>
        <w:pict w14:anchorId="07DD1910">
          <v:rect id="_x0000_i1088" style="width:415.3pt;height:1.5pt" o:hralign="center" o:hrstd="t" o:hr="t" fillcolor="#a0a0a0" stroked="f"/>
        </w:pict>
      </w:r>
    </w:p>
    <w:p w14:paraId="07DD03F8" w14:textId="77777777" w:rsidR="00AE727E" w:rsidRDefault="008433E0">
      <w:hyperlink r:id="rId189" w:anchor="i1c8279be622a460ea19600488436f115_10" w:history="1">
        <w:r>
          <w:rPr>
            <w:rStyle w:val="a5"/>
            <w:rFonts w:ascii="Times New Roman" w:eastAsia="宋体" w:hAnsi="Times New Roman"/>
            <w:sz w:val="20"/>
            <w:szCs w:val="20"/>
          </w:rPr>
          <w:t>Table of Contents</w:t>
        </w:r>
      </w:hyperlink>
    </w:p>
    <w:p w14:paraId="07DD03F9" w14:textId="77777777" w:rsidR="00AE727E" w:rsidRDefault="008433E0">
      <w:pPr>
        <w:ind w:hanging="360"/>
      </w:pPr>
      <w:r>
        <w:rPr>
          <w:rFonts w:ascii="Times New Roman" w:eastAsia="宋体" w:hAnsi="Times New Roman"/>
          <w:color w:val="000000"/>
          <w:sz w:val="20"/>
          <w:szCs w:val="20"/>
        </w:rPr>
        <w:t>•The strength, scale, and resiliency of our global supply chain have afforded us flexibility to manage through t</w:t>
      </w:r>
      <w:r>
        <w:rPr>
          <w:rFonts w:ascii="Times New Roman" w:eastAsia="宋体" w:hAnsi="Times New Roman"/>
          <w:color w:val="000000"/>
          <w:sz w:val="20"/>
          <w:szCs w:val="20"/>
        </w:rPr>
        <w:t>he significant disruption in the supply chain environment. We continue to adapt in real time to events as they unfold by applying predictive analytics to model a variety of outcomes to respond quickly to the changing envi</w:t>
      </w:r>
      <w:r>
        <w:rPr>
          <w:rFonts w:ascii="Times New Roman" w:eastAsia="宋体" w:hAnsi="Times New Roman"/>
          <w:color w:val="000000"/>
          <w:sz w:val="20"/>
          <w:szCs w:val="20"/>
          <w:shd w:val="clear" w:color="auto" w:fill="FFFFFF"/>
        </w:rPr>
        <w:t>ronment.  We continue to optimize o</w:t>
      </w:r>
      <w:r>
        <w:rPr>
          <w:rFonts w:ascii="Times New Roman" w:eastAsia="宋体" w:hAnsi="Times New Roman"/>
          <w:color w:val="000000"/>
          <w:sz w:val="20"/>
          <w:szCs w:val="20"/>
          <w:shd w:val="clear" w:color="auto" w:fill="FFFFFF"/>
        </w:rPr>
        <w:t>ur global supply chain footprint to maximize factory uptime, for both Dell Technologies and our suppliers, by working through various local governmental regulations and mandates and by establishing robust safety measures to protect the health and safety of</w:t>
      </w:r>
      <w:r>
        <w:rPr>
          <w:rFonts w:ascii="Times New Roman" w:eastAsia="宋体" w:hAnsi="Times New Roman"/>
          <w:color w:val="000000"/>
          <w:sz w:val="20"/>
          <w:szCs w:val="20"/>
          <w:shd w:val="clear" w:color="auto" w:fill="FFFFFF"/>
        </w:rPr>
        <w:t xml:space="preserve"> our essential team members.</w:t>
      </w:r>
    </w:p>
    <w:p w14:paraId="07DD03FA" w14:textId="77777777" w:rsidR="00AE727E" w:rsidRDefault="00AE727E"/>
    <w:p w14:paraId="07DD03FB" w14:textId="77777777" w:rsidR="00AE727E" w:rsidRDefault="008433E0">
      <w:pPr>
        <w:ind w:hanging="360"/>
      </w:pPr>
      <w:r>
        <w:rPr>
          <w:rFonts w:ascii="Times New Roman" w:eastAsia="宋体" w:hAnsi="Times New Roman"/>
          <w:color w:val="000000"/>
          <w:sz w:val="20"/>
          <w:szCs w:val="20"/>
        </w:rPr>
        <w:t>•We continue to drive innovation and excellence in engineering with a largely remote workforce. Engineers and product teams have delivered several critical solutions, including cloud updates, key client product refreshes, PowerStore midrange storage and so</w:t>
      </w:r>
      <w:r>
        <w:rPr>
          <w:rFonts w:ascii="Times New Roman" w:eastAsia="宋体" w:hAnsi="Times New Roman"/>
          <w:color w:val="000000"/>
          <w:sz w:val="20"/>
          <w:szCs w:val="20"/>
        </w:rPr>
        <w:t xml:space="preserve">ftware, and recently announced IT as-a-Service and cloud offerings within the APEX portfolio. </w:t>
      </w:r>
    </w:p>
    <w:p w14:paraId="07DD03FC" w14:textId="77777777" w:rsidR="00AE727E" w:rsidRDefault="00AE727E"/>
    <w:p w14:paraId="07DD03FD" w14:textId="77777777" w:rsidR="00AE727E" w:rsidRDefault="008433E0">
      <w:r>
        <w:rPr>
          <w:rFonts w:ascii="Times New Roman" w:eastAsia="宋体" w:hAnsi="Times New Roman"/>
          <w:color w:val="000000"/>
          <w:sz w:val="20"/>
          <w:szCs w:val="20"/>
        </w:rPr>
        <w:t xml:space="preserve">During Fiscal 2021, we took precautionary measures to increase our cash position and preserve financial flexibility. We also took a series of prudent steps to manage expenses and preserve liquidity that included, among others, global hiring limitations, a </w:t>
      </w:r>
      <w:r>
        <w:rPr>
          <w:rFonts w:ascii="Times New Roman" w:eastAsia="宋体" w:hAnsi="Times New Roman"/>
          <w:color w:val="000000"/>
          <w:sz w:val="20"/>
          <w:szCs w:val="20"/>
        </w:rPr>
        <w:t>reduction in consulting, contractor and facilities-related costs, global travel restrictions, and a temporary suspension of the Dell 401(k) match program for U.S. employees. Effective January 1, 2021, we resumed the Dell 401(k) match program, and in the fo</w:t>
      </w:r>
      <w:r>
        <w:rPr>
          <w:rFonts w:ascii="Times New Roman" w:eastAsia="宋体" w:hAnsi="Times New Roman"/>
          <w:color w:val="000000"/>
          <w:sz w:val="20"/>
          <w:szCs w:val="20"/>
        </w:rPr>
        <w:t>urth quarter of Fiscal 2021, we began to reinstate selected employee-related compensation benefits. We will continue to invest in long-term projects to support our growth and innovation initiatives, while focusing on operating expense controls in certain a</w:t>
      </w:r>
      <w:r>
        <w:rPr>
          <w:rFonts w:ascii="Times New Roman" w:eastAsia="宋体" w:hAnsi="Times New Roman"/>
          <w:color w:val="000000"/>
          <w:sz w:val="20"/>
          <w:szCs w:val="20"/>
        </w:rPr>
        <w:t xml:space="preserve">reas of the business. All of these actions are aligned with our strategy, which remains unchanged, of focusing on gaining share, integrating and innovating across the Dell Technologies portfolio, and strengthening our capital structure. </w:t>
      </w:r>
    </w:p>
    <w:p w14:paraId="07DD03FE" w14:textId="77777777" w:rsidR="00AE727E" w:rsidRDefault="00AE727E"/>
    <w:p w14:paraId="07DD03FF" w14:textId="77777777" w:rsidR="00AE727E" w:rsidRDefault="008433E0">
      <w:r>
        <w:rPr>
          <w:rFonts w:ascii="Times New Roman" w:eastAsia="宋体" w:hAnsi="Times New Roman"/>
          <w:color w:val="000000"/>
          <w:sz w:val="20"/>
          <w:szCs w:val="20"/>
        </w:rPr>
        <w:t>The impact of COV</w:t>
      </w:r>
      <w:r>
        <w:rPr>
          <w:rFonts w:ascii="Times New Roman" w:eastAsia="宋体" w:hAnsi="Times New Roman"/>
          <w:color w:val="000000"/>
          <w:sz w:val="20"/>
          <w:szCs w:val="20"/>
        </w:rPr>
        <w:t xml:space="preserve">ID-19 is accelerating digital transformation, and </w:t>
      </w:r>
      <w:r>
        <w:rPr>
          <w:rFonts w:ascii="Times New Roman" w:eastAsia="宋体" w:hAnsi="Times New Roman"/>
          <w:color w:val="000000"/>
          <w:sz w:val="20"/>
          <w:szCs w:val="20"/>
          <w:shd w:val="clear" w:color="auto" w:fill="FFFFFF"/>
        </w:rPr>
        <w:t>we continue to see opportunities to create value and grow in response to resilient demand for our IT solutions</w:t>
      </w:r>
      <w:r>
        <w:rPr>
          <w:rFonts w:ascii="Times New Roman" w:eastAsia="宋体" w:hAnsi="Times New Roman"/>
          <w:color w:val="000000"/>
          <w:sz w:val="20"/>
          <w:szCs w:val="20"/>
        </w:rPr>
        <w:t xml:space="preserve"> driven by a technology-enabled world. We will continue to actively monitor global events and pu</w:t>
      </w:r>
      <w:r>
        <w:rPr>
          <w:rFonts w:ascii="Times New Roman" w:eastAsia="宋体" w:hAnsi="Times New Roman"/>
          <w:color w:val="000000"/>
          <w:sz w:val="20"/>
          <w:szCs w:val="20"/>
        </w:rPr>
        <w:t xml:space="preserve">rsue prudent decisions to navigate in this uncertain and ever-changing environment. </w:t>
      </w:r>
    </w:p>
    <w:p w14:paraId="07DD0400" w14:textId="77777777" w:rsidR="00AE727E" w:rsidRDefault="00AE727E"/>
    <w:p w14:paraId="07DD0401" w14:textId="77777777" w:rsidR="00AE727E" w:rsidRDefault="008433E0">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Dell Technologies maintains limited-source supplier relationships for certain components because the relationships are advantageous in the areas of perform</w:t>
      </w:r>
      <w:r>
        <w:rPr>
          <w:rFonts w:ascii="Times New Roman" w:eastAsia="宋体" w:hAnsi="Times New Roman"/>
          <w:color w:val="000000"/>
          <w:sz w:val="20"/>
          <w:szCs w:val="20"/>
        </w:rPr>
        <w:t xml:space="preserve">ance, quality, support, delivery, capacity, and price considerations. </w:t>
      </w:r>
    </w:p>
    <w:p w14:paraId="07DD0402" w14:textId="77777777" w:rsidR="00AE727E" w:rsidRDefault="00AE727E"/>
    <w:p w14:paraId="07DD0403" w14:textId="77777777" w:rsidR="00AE727E" w:rsidRDefault="008433E0">
      <w:r>
        <w:rPr>
          <w:rFonts w:ascii="Times New Roman" w:eastAsia="宋体" w:hAnsi="Times New Roman"/>
          <w:color w:val="000000"/>
          <w:sz w:val="20"/>
          <w:szCs w:val="20"/>
        </w:rPr>
        <w:t xml:space="preserve">We continue to be impacted by industry-wide constraints in the supply of limited-source components in certain product offerings as a result of the impacts of COVID-19. Further, global </w:t>
      </w:r>
      <w:r>
        <w:rPr>
          <w:rFonts w:ascii="Times New Roman" w:eastAsia="宋体" w:hAnsi="Times New Roman"/>
          <w:color w:val="000000"/>
          <w:sz w:val="20"/>
          <w:szCs w:val="20"/>
        </w:rPr>
        <w:t xml:space="preserve">economic recovery has led to growth in demand that has outpaced supply, resulting in an increase in orders pending fulfillment and extended lead times for our customers for certain products. </w:t>
      </w:r>
    </w:p>
    <w:p w14:paraId="07DD0404" w14:textId="77777777" w:rsidR="00AE727E" w:rsidRDefault="00AE727E"/>
    <w:p w14:paraId="07DD0405" w14:textId="77777777" w:rsidR="00AE727E" w:rsidRDefault="008433E0">
      <w:r>
        <w:rPr>
          <w:rFonts w:ascii="Times New Roman" w:eastAsia="宋体" w:hAnsi="Times New Roman"/>
          <w:color w:val="000000"/>
          <w:sz w:val="20"/>
          <w:szCs w:val="20"/>
        </w:rPr>
        <w:t>These supply constraints coupled with increasing demand are lea</w:t>
      </w:r>
      <w:r>
        <w:rPr>
          <w:rFonts w:ascii="Times New Roman" w:eastAsia="宋体" w:hAnsi="Times New Roman"/>
          <w:color w:val="000000"/>
          <w:sz w:val="20"/>
          <w:szCs w:val="20"/>
        </w:rPr>
        <w:t>ding to increases in component costs, which, during the third quarter of Fiscal 2022, increased in the aggregate. Component cost trends are dependent on the strength or weakness of actual end-user demand and supply dynamics, which will continue to evolve a</w:t>
      </w:r>
      <w:r>
        <w:rPr>
          <w:rFonts w:ascii="Times New Roman" w:eastAsia="宋体" w:hAnsi="Times New Roman"/>
          <w:color w:val="000000"/>
          <w:sz w:val="20"/>
          <w:szCs w:val="20"/>
        </w:rPr>
        <w:t>nd ultimately impact the translation of the cost environment to pricing and operating results. For both ISG and CSG, we expect the overall component cost environment to remain inflationary but begin to stabilize for the remainder of Fiscal 2022. Further, w</w:t>
      </w:r>
      <w:r>
        <w:rPr>
          <w:rFonts w:ascii="Times New Roman" w:eastAsia="宋体" w:hAnsi="Times New Roman"/>
          <w:color w:val="000000"/>
          <w:sz w:val="20"/>
          <w:szCs w:val="20"/>
        </w:rPr>
        <w:t xml:space="preserve">e continue to experience increased freight costs for expedited shipments of components and rate increases in the freight network as capacity remains constrained. In response to these pressures, we continue to assess and take proactive steps to address our </w:t>
      </w:r>
      <w:r>
        <w:rPr>
          <w:rFonts w:ascii="Times New Roman" w:eastAsia="宋体" w:hAnsi="Times New Roman"/>
          <w:color w:val="000000"/>
          <w:sz w:val="20"/>
          <w:szCs w:val="20"/>
        </w:rPr>
        <w:t xml:space="preserve">customers’ demands while balancing both profitability and growth. We expect to continue navigating supply chain dynamics in to Fiscal 2023. </w:t>
      </w:r>
    </w:p>
    <w:p w14:paraId="07DD0406" w14:textId="77777777" w:rsidR="00AE727E" w:rsidRDefault="00AE727E"/>
    <w:p w14:paraId="07DD0407" w14:textId="77777777" w:rsidR="00AE727E" w:rsidRDefault="008433E0">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infrastructure market and c</w:t>
      </w:r>
      <w:r>
        <w:rPr>
          <w:rFonts w:ascii="Times New Roman" w:eastAsia="宋体" w:hAnsi="Times New Roman"/>
          <w:color w:val="000000"/>
          <w:sz w:val="20"/>
          <w:szCs w:val="20"/>
        </w:rPr>
        <w:t>ompetitive environment.</w:t>
      </w:r>
      <w:r>
        <w:rPr>
          <w:rFonts w:ascii="Times New Roman" w:eastAsia="宋体" w:hAnsi="Times New Roman"/>
          <w:color w:val="000000"/>
          <w:sz w:val="20"/>
          <w:szCs w:val="20"/>
          <w:shd w:val="clear" w:color="auto" w:fill="FFFFFF"/>
        </w:rPr>
        <w:t xml:space="preserve"> During the first nine months of Fiscal 2022, ISG benefited from improvements in the macroeconomic environment that we expect will continue through the remaining three months of Fiscal 2022. </w:t>
      </w:r>
      <w:r>
        <w:rPr>
          <w:rFonts w:ascii="Times New Roman" w:eastAsia="宋体" w:hAnsi="Times New Roman"/>
          <w:color w:val="000000"/>
          <w:sz w:val="20"/>
          <w:szCs w:val="20"/>
        </w:rPr>
        <w:t>With our scale and strong solutions portfo</w:t>
      </w:r>
      <w:r>
        <w:rPr>
          <w:rFonts w:ascii="Times New Roman" w:eastAsia="宋体" w:hAnsi="Times New Roman"/>
          <w:color w:val="000000"/>
          <w:sz w:val="20"/>
          <w:szCs w:val="20"/>
        </w:rPr>
        <w:t>lio, we believe we are well-positioned to respond to ongoing competitive dynamics. Within servers and networking, we will continue to be selective in determining whether to pursue certain large hyperscale and other server transactions. We continue to focus</w:t>
      </w:r>
      <w:r>
        <w:rPr>
          <w:rFonts w:ascii="Times New Roman" w:eastAsia="宋体" w:hAnsi="Times New Roman"/>
          <w:color w:val="000000"/>
          <w:sz w:val="20"/>
          <w:szCs w:val="20"/>
        </w:rPr>
        <w:t xml:space="preserve"> on customer base expansion and lifetime value of customer relationships.</w:t>
      </w:r>
    </w:p>
    <w:p w14:paraId="07DD0408" w14:textId="77777777" w:rsidR="00AE727E" w:rsidRDefault="00AE727E"/>
    <w:p w14:paraId="07DD0409" w14:textId="77777777" w:rsidR="00AE727E" w:rsidRDefault="008433E0">
      <w:r>
        <w:rPr>
          <w:rFonts w:ascii="Times New Roman" w:eastAsia="宋体" w:hAnsi="Times New Roman"/>
          <w:color w:val="000000"/>
          <w:sz w:val="20"/>
          <w:szCs w:val="20"/>
        </w:rPr>
        <w:t xml:space="preserve">The unprecedented data growth throughout all industries is generating continued demand for our storage solutions and services. Cloud native applications are expected to continue as </w:t>
      </w:r>
      <w:r>
        <w:rPr>
          <w:rFonts w:ascii="Times New Roman" w:eastAsia="宋体" w:hAnsi="Times New Roman"/>
          <w:color w:val="000000"/>
          <w:sz w:val="20"/>
          <w:szCs w:val="20"/>
        </w:rPr>
        <w:t>a primary growth driver in the infrastructure market. We believe the complementary cloud solutions across our business position us to meet these demands for our customers. We benefit from offering solutions that address the emerging trends of enterprises d</w:t>
      </w:r>
      <w:r>
        <w:rPr>
          <w:rFonts w:ascii="Times New Roman" w:eastAsia="宋体" w:hAnsi="Times New Roman"/>
          <w:color w:val="000000"/>
          <w:sz w:val="20"/>
          <w:szCs w:val="20"/>
        </w:rPr>
        <w:t>eploying software-defined storage, hyper-converged infrastructure, and modular solutions based on server-centric architectures. These trends are changing the way customers are consuming our traditional storage offerings. We continue to expand our offerings</w:t>
      </w:r>
      <w:r>
        <w:rPr>
          <w:rFonts w:ascii="Times New Roman" w:eastAsia="宋体" w:hAnsi="Times New Roman"/>
          <w:color w:val="000000"/>
          <w:sz w:val="20"/>
          <w:szCs w:val="20"/>
        </w:rPr>
        <w:t xml:space="preserve"> in external storage arrays, which incorporate flexible, cloud-based functionality. </w:t>
      </w:r>
    </w:p>
    <w:p w14:paraId="07DD040A" w14:textId="77777777" w:rsidR="00AE727E" w:rsidRDefault="00AE727E"/>
    <w:p w14:paraId="07DD040B" w14:textId="77777777" w:rsidR="00AE727E" w:rsidRDefault="00AE727E">
      <w:pPr>
        <w:jc w:val="center"/>
      </w:pPr>
    </w:p>
    <w:p w14:paraId="07DD040C" w14:textId="77777777" w:rsidR="00AE727E" w:rsidRDefault="008433E0">
      <w:pPr>
        <w:jc w:val="center"/>
      </w:pPr>
      <w:r>
        <w:rPr>
          <w:rFonts w:ascii="Times New Roman" w:eastAsia="宋体" w:hAnsi="Times New Roman"/>
          <w:color w:val="000000"/>
          <w:sz w:val="20"/>
          <w:szCs w:val="20"/>
        </w:rPr>
        <w:t>65</w:t>
      </w:r>
    </w:p>
    <w:p w14:paraId="07DD040D" w14:textId="77777777" w:rsidR="00AE727E" w:rsidRDefault="00AE727E">
      <w:pPr>
        <w:jc w:val="center"/>
      </w:pPr>
    </w:p>
    <w:p w14:paraId="07DD040E" w14:textId="77777777" w:rsidR="00AE727E" w:rsidRDefault="008433E0">
      <w:r>
        <w:pict w14:anchorId="07DD1911">
          <v:rect id="_x0000_i1089" style="width:415.3pt;height:1.5pt" o:hralign="center" o:hrstd="t" o:hr="t" fillcolor="#a0a0a0" stroked="f"/>
        </w:pict>
      </w:r>
    </w:p>
    <w:p w14:paraId="07DD040F" w14:textId="77777777" w:rsidR="00AE727E" w:rsidRDefault="008433E0">
      <w:hyperlink r:id="rId190" w:anchor="i1c8279be622a460ea19600488436f115_10"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07DD0410" w14:textId="77777777" w:rsidR="00AE727E" w:rsidRDefault="008433E0">
      <w:r>
        <w:rPr>
          <w:rFonts w:ascii="Times New Roman" w:eastAsia="宋体" w:hAnsi="Times New Roman"/>
          <w:color w:val="000000"/>
          <w:sz w:val="20"/>
          <w:szCs w:val="20"/>
        </w:rPr>
        <w:t xml:space="preserve">Through our research and development efforts, we are developing new solutions in this rapidly changing industry that we believe will enable us to continue to provide superior solutions to our customers. Our customer base includes a growing number </w:t>
      </w:r>
      <w:r>
        <w:rPr>
          <w:rFonts w:ascii="Times New Roman" w:eastAsia="宋体" w:hAnsi="Times New Roman"/>
          <w:color w:val="000000"/>
          <w:sz w:val="20"/>
          <w:szCs w:val="20"/>
        </w:rPr>
        <w:t>of service providers, such as cloud service providers, software-as-a-service companies, consumer webtech providers, and telecommunications companies. These service providers turn to Dell Technologies for our advanced solutions that enable efficient service</w:t>
      </w:r>
      <w:r>
        <w:rPr>
          <w:rFonts w:ascii="Times New Roman" w:eastAsia="宋体" w:hAnsi="Times New Roman"/>
          <w:color w:val="000000"/>
          <w:sz w:val="20"/>
          <w:szCs w:val="20"/>
        </w:rPr>
        <w:t xml:space="preserve"> delivery at cloud scale. Through our collaborative, customer-focused approach to innovation, we strive to deliver new and relevant solutions and software to the market quickly and efficiently.</w:t>
      </w:r>
    </w:p>
    <w:p w14:paraId="07DD0411" w14:textId="77777777" w:rsidR="00AE727E" w:rsidRDefault="00AE727E"/>
    <w:p w14:paraId="07DD0412" w14:textId="77777777" w:rsidR="00AE727E" w:rsidRDefault="008433E0">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offerings are an important element of our strat</w:t>
      </w:r>
      <w:r>
        <w:rPr>
          <w:rFonts w:ascii="Times New Roman" w:eastAsia="宋体" w:hAnsi="Times New Roman"/>
          <w:color w:val="000000"/>
          <w:sz w:val="20"/>
          <w:szCs w:val="20"/>
        </w:rPr>
        <w:t xml:space="preserve">egy, generating strong cash flow and opportunities for cross-selling of complementary solutions. During the first nine months of Fiscal 2022, CSG net revenue continued to be strong across product offerings, driven primarily by the global economic recovery </w:t>
      </w:r>
      <w:r>
        <w:rPr>
          <w:rFonts w:ascii="Times New Roman" w:eastAsia="宋体" w:hAnsi="Times New Roman"/>
          <w:color w:val="000000"/>
          <w:sz w:val="20"/>
          <w:szCs w:val="20"/>
        </w:rPr>
        <w:t xml:space="preserve">coupled with customers seeking improved connectivity and productivity in both personal and professional environments. </w:t>
      </w:r>
    </w:p>
    <w:p w14:paraId="07DD0413" w14:textId="77777777" w:rsidR="00AE727E" w:rsidRDefault="00AE727E"/>
    <w:p w14:paraId="07DD0414" w14:textId="77777777" w:rsidR="00AE727E" w:rsidRDefault="008433E0">
      <w:r>
        <w:rPr>
          <w:rFonts w:ascii="Times New Roman" w:eastAsia="宋体" w:hAnsi="Times New Roman"/>
          <w:color w:val="000000"/>
          <w:sz w:val="20"/>
          <w:szCs w:val="20"/>
        </w:rPr>
        <w:t>While we expect that the CSG demand environment will continue to be subject to seasonal trends, we anticipate continued strong CSG deman</w:t>
      </w:r>
      <w:r>
        <w:rPr>
          <w:rFonts w:ascii="Times New Roman" w:eastAsia="宋体" w:hAnsi="Times New Roman"/>
          <w:color w:val="000000"/>
          <w:sz w:val="20"/>
          <w:szCs w:val="20"/>
        </w:rPr>
        <w:t>d through the remaining three months of Fiscal 2022, in line with industry demand forecasts. Competitive dynamics continue to be a factor in our CSG business and will impact pricing and operating results. We remain committed to our long-term strategy for C</w:t>
      </w:r>
      <w:r>
        <w:rPr>
          <w:rFonts w:ascii="Times New Roman" w:eastAsia="宋体" w:hAnsi="Times New Roman"/>
          <w:color w:val="000000"/>
          <w:sz w:val="20"/>
          <w:szCs w:val="20"/>
        </w:rPr>
        <w:t xml:space="preserve">SG and will continue to make investments to innovate across the portfolio, while benefiting from consolidation trends that are occurring in the markets in which we compete. </w:t>
      </w:r>
    </w:p>
    <w:p w14:paraId="07DD0415" w14:textId="77777777" w:rsidR="00AE727E" w:rsidRDefault="00AE727E"/>
    <w:p w14:paraId="07DD0416" w14:textId="77777777" w:rsidR="00AE727E" w:rsidRDefault="008433E0">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Our customers are seeking new and </w:t>
      </w:r>
      <w:r>
        <w:rPr>
          <w:rFonts w:ascii="Times New Roman" w:eastAsia="宋体" w:hAnsi="Times New Roman"/>
          <w:color w:val="000000"/>
          <w:sz w:val="20"/>
          <w:szCs w:val="20"/>
        </w:rPr>
        <w:t>innovative models that address how they consume our solutions. We offer options including as-a-service, utility, leases, and immediate pay models, all designed to match customers’ consumption and financing preferences. Our multiyear agreements typically re</w:t>
      </w:r>
      <w:r>
        <w:rPr>
          <w:rFonts w:ascii="Times New Roman" w:eastAsia="宋体" w:hAnsi="Times New Roman"/>
          <w:color w:val="000000"/>
          <w:sz w:val="20"/>
          <w:szCs w:val="20"/>
        </w:rPr>
        <w:t>sult in recurring revenue streams over the term of the arrangement. We continue to evolve and build momentum across our family of as-a-Service offerings as we pursue our strategy of modernizing our core business solutions, with APEX at the forefront. We ex</w:t>
      </w:r>
      <w:r>
        <w:rPr>
          <w:rFonts w:ascii="Times New Roman" w:eastAsia="宋体" w:hAnsi="Times New Roman"/>
          <w:color w:val="000000"/>
          <w:sz w:val="20"/>
          <w:szCs w:val="20"/>
        </w:rPr>
        <w:t>pect that our flexible consumption models and as-a-service offerings through APEX will further strengthen our customer relationships and provide a foundation for growth in recurring revenue.</w:t>
      </w:r>
    </w:p>
    <w:p w14:paraId="07DD0417" w14:textId="77777777" w:rsidR="00AE727E" w:rsidRDefault="00AE727E"/>
    <w:p w14:paraId="07DD0418" w14:textId="77777777" w:rsidR="00AE727E" w:rsidRDefault="008433E0">
      <w:r>
        <w:rPr>
          <w:rFonts w:ascii="Times New Roman" w:eastAsia="宋体" w:hAnsi="Times New Roman"/>
          <w:i/>
          <w:iCs/>
          <w:color w:val="000000"/>
          <w:sz w:val="20"/>
          <w:szCs w:val="20"/>
          <w:u w:val="single"/>
        </w:rPr>
        <w:t>Macroeconomic Risks and Uncertainties</w:t>
      </w:r>
      <w:r>
        <w:rPr>
          <w:rFonts w:ascii="Times New Roman" w:eastAsia="宋体" w:hAnsi="Times New Roman"/>
          <w:color w:val="000000"/>
          <w:sz w:val="20"/>
          <w:szCs w:val="20"/>
        </w:rPr>
        <w:t xml:space="preserve"> — The impacts of trade pro</w:t>
      </w:r>
      <w:r>
        <w:rPr>
          <w:rFonts w:ascii="Times New Roman" w:eastAsia="宋体" w:hAnsi="Times New Roman"/>
          <w:color w:val="000000"/>
          <w:sz w:val="20"/>
          <w:szCs w:val="20"/>
        </w:rPr>
        <w:t>tection measures, including increases in tariffs and trade barriers, and changes in government policies and international trade arrangements may affect our ability to conduct business in some non-U.S. markets. We monitor and seek to mitigate these risks wi</w:t>
      </w:r>
      <w:r>
        <w:rPr>
          <w:rFonts w:ascii="Times New Roman" w:eastAsia="宋体" w:hAnsi="Times New Roman"/>
          <w:color w:val="000000"/>
          <w:sz w:val="20"/>
          <w:szCs w:val="20"/>
        </w:rPr>
        <w:t>th adjustments to our manufacturing, supply chain, and distribution networks.</w:t>
      </w:r>
    </w:p>
    <w:p w14:paraId="07DD0419" w14:textId="77777777" w:rsidR="00AE727E" w:rsidRDefault="00AE727E"/>
    <w:p w14:paraId="07DD041A" w14:textId="77777777" w:rsidR="00AE727E" w:rsidRDefault="008433E0">
      <w:r>
        <w:rPr>
          <w:rFonts w:ascii="Times New Roman" w:eastAsia="宋体" w:hAnsi="Times New Roman"/>
          <w:color w:val="000000"/>
          <w:sz w:val="20"/>
          <w:szCs w:val="20"/>
        </w:rPr>
        <w:t xml:space="preserve">We manage our business on a U.S. dollar basis. However, we have a large global presence, generating approximately half of our revenue by sales to customers outside of the </w:t>
      </w:r>
      <w:r>
        <w:rPr>
          <w:rFonts w:ascii="Times New Roman" w:eastAsia="宋体" w:hAnsi="Times New Roman"/>
          <w:color w:val="000000"/>
          <w:sz w:val="20"/>
          <w:szCs w:val="20"/>
        </w:rPr>
        <w:t>United States during both the third quarter and first nine months of Fiscal 2022 and Fiscal 2021. As a result</w:t>
      </w:r>
      <w:r>
        <w:rPr>
          <w:rFonts w:ascii="Times New Roman" w:eastAsia="宋体" w:hAnsi="Times New Roman"/>
          <w:color w:val="000000"/>
          <w:sz w:val="20"/>
          <w:szCs w:val="20"/>
          <w:shd w:val="clear" w:color="auto" w:fill="FFFFFF"/>
        </w:rPr>
        <w:t xml:space="preserve">, our revenue can be, and in such periods has been, impacted by fluctuations in foreign currency exchange rates. </w:t>
      </w:r>
      <w:r>
        <w:rPr>
          <w:rFonts w:ascii="Times New Roman" w:eastAsia="宋体" w:hAnsi="Times New Roman"/>
          <w:color w:val="000000"/>
          <w:sz w:val="20"/>
          <w:szCs w:val="20"/>
        </w:rPr>
        <w:t>We utilize a comprehensive hedging</w:t>
      </w:r>
      <w:r>
        <w:rPr>
          <w:rFonts w:ascii="Times New Roman" w:eastAsia="宋体" w:hAnsi="Times New Roman"/>
          <w:color w:val="000000"/>
          <w:sz w:val="20"/>
          <w:szCs w:val="20"/>
        </w:rPr>
        <w:t xml:space="preserve"> strategy intended to mitigate the impact of foreign currency volatility over time, and we adjust pricing when possible to further minimize foreign currency impacts.</w:t>
      </w:r>
    </w:p>
    <w:p w14:paraId="07DD041B" w14:textId="77777777" w:rsidR="00AE727E" w:rsidRDefault="00AE727E"/>
    <w:p w14:paraId="07DD041C" w14:textId="77777777" w:rsidR="00AE727E" w:rsidRDefault="008433E0">
      <w:r>
        <w:rPr>
          <w:rFonts w:ascii="Times New Roman" w:eastAsia="宋体" w:hAnsi="Times New Roman"/>
          <w:b/>
          <w:bCs/>
          <w:color w:val="000000"/>
          <w:sz w:val="20"/>
          <w:szCs w:val="20"/>
          <w:shd w:val="clear" w:color="auto" w:fill="FFFFFF"/>
        </w:rPr>
        <w:t>Key Performance Metrics</w:t>
      </w:r>
    </w:p>
    <w:p w14:paraId="07DD041D" w14:textId="77777777" w:rsidR="00AE727E" w:rsidRDefault="00AE727E"/>
    <w:p w14:paraId="07DD041E" w14:textId="77777777" w:rsidR="00AE727E" w:rsidRDefault="008433E0">
      <w:r>
        <w:rPr>
          <w:rFonts w:ascii="Times New Roman" w:eastAsia="宋体" w:hAnsi="Times New Roman"/>
          <w:color w:val="000000"/>
          <w:sz w:val="20"/>
          <w:szCs w:val="20"/>
          <w:shd w:val="clear" w:color="auto" w:fill="FFFFFF"/>
        </w:rPr>
        <w:t>Our key performance metrics are net revenue, operating income, a</w:t>
      </w:r>
      <w:r>
        <w:rPr>
          <w:rFonts w:ascii="Times New Roman" w:eastAsia="宋体" w:hAnsi="Times New Roman"/>
          <w:color w:val="000000"/>
          <w:sz w:val="20"/>
          <w:szCs w:val="20"/>
          <w:shd w:val="clear" w:color="auto" w:fill="FFFFFF"/>
        </w:rPr>
        <w:t xml:space="preserve">djusted </w:t>
      </w:r>
      <w:r>
        <w:rPr>
          <w:rFonts w:ascii="Times New Roman" w:eastAsia="宋体" w:hAnsi="Times New Roman"/>
          <w:color w:val="000000"/>
          <w:sz w:val="20"/>
          <w:szCs w:val="20"/>
        </w:rPr>
        <w:t>earnings before interest and other, net, taxes, depreciation, and amortization</w:t>
      </w:r>
      <w:r>
        <w:rPr>
          <w:rFonts w:ascii="Times New Roman" w:eastAsia="宋体" w:hAnsi="Times New Roman"/>
          <w:color w:val="000000"/>
          <w:sz w:val="20"/>
          <w:szCs w:val="20"/>
          <w:shd w:val="clear" w:color="auto" w:fill="FFFFFF"/>
        </w:rPr>
        <w:t xml:space="preserve"> (“adjusted EBITDA”), and cash flows from operations, which are discussed elsewhere in this management’s discussion and analysis.</w:t>
      </w:r>
    </w:p>
    <w:p w14:paraId="07DD041F" w14:textId="77777777" w:rsidR="00AE727E" w:rsidRDefault="00AE727E"/>
    <w:p w14:paraId="07DD0420" w14:textId="77777777" w:rsidR="00AE727E" w:rsidRDefault="00AE727E"/>
    <w:p w14:paraId="07DD0421" w14:textId="77777777" w:rsidR="00AE727E" w:rsidRDefault="00AE727E"/>
    <w:p w14:paraId="07DD0422" w14:textId="77777777" w:rsidR="00AE727E" w:rsidRDefault="00AE727E">
      <w:pPr>
        <w:jc w:val="center"/>
      </w:pPr>
    </w:p>
    <w:p w14:paraId="07DD0423" w14:textId="77777777" w:rsidR="00AE727E" w:rsidRDefault="008433E0">
      <w:pPr>
        <w:jc w:val="center"/>
      </w:pPr>
      <w:r>
        <w:rPr>
          <w:rFonts w:ascii="Times New Roman" w:eastAsia="宋体" w:hAnsi="Times New Roman"/>
          <w:color w:val="000000"/>
          <w:sz w:val="20"/>
          <w:szCs w:val="20"/>
        </w:rPr>
        <w:t>66</w:t>
      </w:r>
    </w:p>
    <w:p w14:paraId="07DD0424" w14:textId="77777777" w:rsidR="00AE727E" w:rsidRDefault="00AE727E">
      <w:pPr>
        <w:jc w:val="center"/>
      </w:pPr>
    </w:p>
    <w:p w14:paraId="07DD0425" w14:textId="77777777" w:rsidR="00AE727E" w:rsidRDefault="008433E0">
      <w:r>
        <w:pict w14:anchorId="07DD1912">
          <v:rect id="_x0000_i1090" style="width:415.3pt;height:1.5pt" o:hralign="center" o:hrstd="t" o:hr="t" fillcolor="#a0a0a0" stroked="f"/>
        </w:pict>
      </w:r>
    </w:p>
    <w:p w14:paraId="07DD0426" w14:textId="77777777" w:rsidR="00AE727E" w:rsidRDefault="008433E0">
      <w:hyperlink r:id="rId191" w:anchor="i1c8279be622a460ea19600488436f115_10" w:history="1">
        <w:r>
          <w:rPr>
            <w:rStyle w:val="a5"/>
            <w:rFonts w:ascii="Times New Roman" w:eastAsia="宋体" w:hAnsi="Times New Roman"/>
            <w:sz w:val="20"/>
            <w:szCs w:val="20"/>
          </w:rPr>
          <w:t>Table of Contents</w:t>
        </w:r>
      </w:hyperlink>
    </w:p>
    <w:p w14:paraId="07DD0427" w14:textId="77777777" w:rsidR="00AE727E" w:rsidRDefault="008433E0">
      <w:r>
        <w:rPr>
          <w:rFonts w:ascii="Times New Roman" w:eastAsia="宋体" w:hAnsi="Times New Roman"/>
          <w:b/>
          <w:bCs/>
          <w:color w:val="000000"/>
          <w:sz w:val="20"/>
          <w:szCs w:val="20"/>
        </w:rPr>
        <w:t>NON-GAAP FINANCIAL MEASURES</w:t>
      </w:r>
    </w:p>
    <w:p w14:paraId="07DD0428" w14:textId="77777777" w:rsidR="00AE727E" w:rsidRDefault="00AE727E"/>
    <w:p w14:paraId="07DD0429" w14:textId="77777777" w:rsidR="00AE727E" w:rsidRDefault="008433E0">
      <w:r>
        <w:rPr>
          <w:rFonts w:ascii="Times New Roman" w:eastAsia="宋体" w:hAnsi="Times New Roman"/>
          <w:color w:val="000000"/>
          <w:sz w:val="20"/>
          <w:szCs w:val="20"/>
        </w:rPr>
        <w:t xml:space="preserve">In this management’s discussion and analysis, we use supplemental measures of our </w:t>
      </w:r>
      <w:r>
        <w:rPr>
          <w:rFonts w:ascii="Times New Roman" w:eastAsia="宋体" w:hAnsi="Times New Roman"/>
          <w:color w:val="000000"/>
          <w:sz w:val="20"/>
          <w:szCs w:val="20"/>
        </w:rPr>
        <w:t>performance which are derived from our consolidated financial information but which are not presented in our consolidated financial statements prepared in accordance with GAAP. These non-GAAP financial measures include non-GAAP product net revenue; non-GAA</w:t>
      </w:r>
      <w:r>
        <w:rPr>
          <w:rFonts w:ascii="Times New Roman" w:eastAsia="宋体" w:hAnsi="Times New Roman"/>
          <w:color w:val="000000"/>
          <w:sz w:val="20"/>
          <w:szCs w:val="20"/>
        </w:rPr>
        <w:t>P services net revenue; non-GAAP net revenue; non-GAAP product gross margin; non-GAAP services gross margin; non-GAAP gross margin; non-GAAP operating expenses; non-GAAP operating income; non-GAAP net income; EBITDA; and adjusted EBITDA. The non-GAAP finan</w:t>
      </w:r>
      <w:r>
        <w:rPr>
          <w:rFonts w:ascii="Times New Roman" w:eastAsia="宋体" w:hAnsi="Times New Roman"/>
          <w:color w:val="000000"/>
          <w:sz w:val="20"/>
          <w:szCs w:val="20"/>
        </w:rPr>
        <w:t>cial measures are not meant to be considered as indicators of performance in isolation from or as a substitute for net revenue, gross margin, operating expenses, operating income, or net income prepared in accordance with GAAP, and should be read only in c</w:t>
      </w:r>
      <w:r>
        <w:rPr>
          <w:rFonts w:ascii="Times New Roman" w:eastAsia="宋体" w:hAnsi="Times New Roman"/>
          <w:color w:val="000000"/>
          <w:sz w:val="20"/>
          <w:szCs w:val="20"/>
        </w:rPr>
        <w:t>onjunction with financial information presented on a GAAP basis.</w:t>
      </w:r>
    </w:p>
    <w:p w14:paraId="07DD042A" w14:textId="77777777" w:rsidR="00AE727E" w:rsidRDefault="00AE727E"/>
    <w:p w14:paraId="07DD042B" w14:textId="77777777" w:rsidR="00AE727E" w:rsidRDefault="008433E0">
      <w:r>
        <w:rPr>
          <w:rFonts w:ascii="Times New Roman" w:eastAsia="宋体" w:hAnsi="Times New Roman"/>
          <w:color w:val="000000"/>
          <w:sz w:val="20"/>
          <w:szCs w:val="20"/>
        </w:rPr>
        <w:t>We use non-GAAP financial measures to supplement financial information presented on a GAAP basis. Management considers these non-GAAP measures in evaluating our operating trends and performa</w:t>
      </w:r>
      <w:r>
        <w:rPr>
          <w:rFonts w:ascii="Times New Roman" w:eastAsia="宋体" w:hAnsi="Times New Roman"/>
          <w:color w:val="000000"/>
          <w:sz w:val="20"/>
          <w:szCs w:val="20"/>
        </w:rPr>
        <w:t>nce. Moreover, we believe these non-GAAP financial measures provide our stakeholders with useful and transparent information to help them evaluate our operating results by facilitating an enhanced understanding of our operating performance and enabling the</w:t>
      </w:r>
      <w:r>
        <w:rPr>
          <w:rFonts w:ascii="Times New Roman" w:eastAsia="宋体" w:hAnsi="Times New Roman"/>
          <w:color w:val="000000"/>
          <w:sz w:val="20"/>
          <w:szCs w:val="20"/>
        </w:rPr>
        <w:t>m to make more meaningful period to period comparisons. There are limitations to the use of the non-GAAP financial measures presented in this report. Our non-GAAP financial measures may not be comparable to similarly titled measures of other companies. Oth</w:t>
      </w:r>
      <w:r>
        <w:rPr>
          <w:rFonts w:ascii="Times New Roman" w:eastAsia="宋体" w:hAnsi="Times New Roman"/>
          <w:color w:val="000000"/>
          <w:sz w:val="20"/>
          <w:szCs w:val="20"/>
        </w:rPr>
        <w:t>er companies, including companies in our industry, may calculate non-GAAP financial measures differently than we do, limiting the usefulness of those measures for comparative purposes.</w:t>
      </w:r>
    </w:p>
    <w:p w14:paraId="07DD042C" w14:textId="77777777" w:rsidR="00AE727E" w:rsidRDefault="00AE727E"/>
    <w:p w14:paraId="07DD042D" w14:textId="77777777" w:rsidR="00AE727E" w:rsidRDefault="008433E0">
      <w:r>
        <w:rPr>
          <w:rFonts w:ascii="Times New Roman" w:eastAsia="宋体" w:hAnsi="Times New Roman"/>
          <w:color w:val="000000"/>
          <w:sz w:val="20"/>
          <w:szCs w:val="20"/>
        </w:rPr>
        <w:t xml:space="preserve">Non-GAAP product net revenue, non-GAAP services net revenue, non-GAAP </w:t>
      </w:r>
      <w:r>
        <w:rPr>
          <w:rFonts w:ascii="Times New Roman" w:eastAsia="宋体" w:hAnsi="Times New Roman"/>
          <w:color w:val="000000"/>
          <w:sz w:val="20"/>
          <w:szCs w:val="20"/>
        </w:rPr>
        <w:t>net revenue, non-GAAP product gross margin, non-GAAP services gross margin, non-GAAP gross margin, non-GAAP operating expenses, non-GAAP operating income, and non-GAAP net income, as defined by us, exclude amortization of intangible assets, the impact of p</w:t>
      </w:r>
      <w:r>
        <w:rPr>
          <w:rFonts w:ascii="Times New Roman" w:eastAsia="宋体" w:hAnsi="Times New Roman"/>
          <w:color w:val="000000"/>
          <w:sz w:val="20"/>
          <w:szCs w:val="20"/>
        </w:rPr>
        <w:t xml:space="preserve">urchase accounting, transaction-related expenses and gains, stock-based compensation expense, other corporate expenses and, for non-GAAP net income, fair value adjustments on equity investments and an aggregate adjustment for income taxes. As the excluded </w:t>
      </w:r>
      <w:r>
        <w:rPr>
          <w:rFonts w:ascii="Times New Roman" w:eastAsia="宋体" w:hAnsi="Times New Roman"/>
          <w:color w:val="000000"/>
          <w:sz w:val="20"/>
          <w:szCs w:val="20"/>
        </w:rPr>
        <w:t>items have a material impact on our financial results, our management compensates for this limitation by relying primarily on our GAAP results and using non-GAAP financial measures supplementally or for projections when comparable GAAP financial measures a</w:t>
      </w:r>
      <w:r>
        <w:rPr>
          <w:rFonts w:ascii="Times New Roman" w:eastAsia="宋体" w:hAnsi="Times New Roman"/>
          <w:color w:val="000000"/>
          <w:sz w:val="20"/>
          <w:szCs w:val="20"/>
        </w:rPr>
        <w:t xml:space="preserve">re not available. </w:t>
      </w:r>
    </w:p>
    <w:p w14:paraId="07DD042E" w14:textId="77777777" w:rsidR="00AE727E" w:rsidRDefault="00AE727E"/>
    <w:p w14:paraId="07DD042F" w14:textId="77777777" w:rsidR="00AE727E" w:rsidRDefault="008433E0">
      <w:r>
        <w:rPr>
          <w:rFonts w:ascii="Times New Roman" w:eastAsia="宋体" w:hAnsi="Times New Roman"/>
          <w:color w:val="000000"/>
          <w:sz w:val="20"/>
          <w:szCs w:val="20"/>
        </w:rPr>
        <w:t>Reconciliations of each non-GAAP financial measure to its most directly comparable GAAP financial measure are presented below. We encourage you to review the reconciliations in conjunction with the presentation of the non-GAAP financial</w:t>
      </w:r>
      <w:r>
        <w:rPr>
          <w:rFonts w:ascii="Times New Roman" w:eastAsia="宋体" w:hAnsi="Times New Roman"/>
          <w:color w:val="000000"/>
          <w:sz w:val="20"/>
          <w:szCs w:val="20"/>
        </w:rPr>
        <w:t xml:space="preserve"> measures for each of the periods presented. The discussion below includes information on each of the excluded items as well as our reasons for excluding them from our non-GAAP results. In future fiscal periods, we may exclude such items and may incur inco</w:t>
      </w:r>
      <w:r>
        <w:rPr>
          <w:rFonts w:ascii="Times New Roman" w:eastAsia="宋体" w:hAnsi="Times New Roman"/>
          <w:color w:val="000000"/>
          <w:sz w:val="20"/>
          <w:szCs w:val="20"/>
        </w:rPr>
        <w:t xml:space="preserve">me and expenses similar to these excluded items. Accordingly, the exclusion of these items and other similar items in our non-GAAP presentation should not be interpreted as implying that these items are non-recurring, infrequent, or unusual. </w:t>
      </w:r>
    </w:p>
    <w:p w14:paraId="07DD0430" w14:textId="77777777" w:rsidR="00AE727E" w:rsidRDefault="008433E0">
      <w:r>
        <w:rPr>
          <w:rFonts w:ascii="Times New Roman" w:eastAsia="宋体" w:hAnsi="Times New Roman"/>
          <w:color w:val="000000"/>
          <w:sz w:val="20"/>
          <w:szCs w:val="20"/>
        </w:rPr>
        <w:t>The following</w:t>
      </w:r>
      <w:r>
        <w:rPr>
          <w:rFonts w:ascii="Times New Roman" w:eastAsia="宋体" w:hAnsi="Times New Roman"/>
          <w:color w:val="000000"/>
          <w:sz w:val="20"/>
          <w:szCs w:val="20"/>
        </w:rPr>
        <w:t xml:space="preserve"> is a summary of the items excluded from the most comparable GAAP financial measures to calculate our non-GAAP financial measures:</w:t>
      </w:r>
    </w:p>
    <w:p w14:paraId="07DD0431" w14:textId="77777777" w:rsidR="00AE727E" w:rsidRDefault="00AE727E"/>
    <w:p w14:paraId="07DD0432" w14:textId="77777777" w:rsidR="00AE727E" w:rsidRDefault="008433E0">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Intangible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Amortization of intangible assets primarily consists of amortization of customer relati</w:t>
      </w:r>
      <w:r>
        <w:rPr>
          <w:rFonts w:ascii="Times New Roman" w:eastAsia="宋体" w:hAnsi="Times New Roman"/>
          <w:color w:val="000000"/>
          <w:sz w:val="20"/>
          <w:szCs w:val="20"/>
        </w:rPr>
        <w:t>onships, developed technology, and trade names. In connection with our acquisition by merger of EMC on September 7, 2016, referred to as the EMC merger transaction, and the acquisition of Dell Inc. by Dell Technologies Inc. on October 29, 2013, referred to</w:t>
      </w:r>
      <w:r>
        <w:rPr>
          <w:rFonts w:ascii="Times New Roman" w:eastAsia="宋体" w:hAnsi="Times New Roman"/>
          <w:color w:val="000000"/>
          <w:sz w:val="20"/>
          <w:szCs w:val="20"/>
        </w:rPr>
        <w:t xml:space="preserve"> as the going-private transaction, all of the tangible and intangible assets and liabilities of EMC and Dell, respectively, were accounted for and recognized at fair value on the transaction dates. Accordingly, for the periods presented, amortization of in</w:t>
      </w:r>
      <w:r>
        <w:rPr>
          <w:rFonts w:ascii="Times New Roman" w:eastAsia="宋体" w:hAnsi="Times New Roman"/>
          <w:color w:val="000000"/>
          <w:sz w:val="20"/>
          <w:szCs w:val="20"/>
        </w:rPr>
        <w:t xml:space="preserve">tangible assets primarily represents amortization associated with intangible assets recognized in connection with the EMC merger transaction and the going-private transaction. Amortization charges for purchased intangible assets are significantly impacted </w:t>
      </w:r>
      <w:r>
        <w:rPr>
          <w:rFonts w:ascii="Times New Roman" w:eastAsia="宋体" w:hAnsi="Times New Roman"/>
          <w:color w:val="000000"/>
          <w:sz w:val="20"/>
          <w:szCs w:val="20"/>
        </w:rPr>
        <w:t>by the timing and magnitude of our acquisitions, and these charges may vary in amount from period to period. We exclude these charges for purposes of calculating the non-GAAP financial measures presented below to facilitate an enhanced understanding of our</w:t>
      </w:r>
      <w:r>
        <w:rPr>
          <w:rFonts w:ascii="Times New Roman" w:eastAsia="宋体" w:hAnsi="Times New Roman"/>
          <w:color w:val="000000"/>
          <w:sz w:val="20"/>
          <w:szCs w:val="20"/>
        </w:rPr>
        <w:t xml:space="preserve"> current operating performance and provide more meaningful period to period comparisons.</w:t>
      </w:r>
    </w:p>
    <w:p w14:paraId="07DD0433" w14:textId="77777777" w:rsidR="00AE727E" w:rsidRDefault="00AE727E"/>
    <w:p w14:paraId="07DD0434"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 accounting adjustments related to the EMC merger transaction and, to a lesser ext</w:t>
      </w:r>
      <w:r>
        <w:rPr>
          <w:rFonts w:ascii="Times New Roman" w:eastAsia="宋体" w:hAnsi="Times New Roman"/>
          <w:color w:val="000000"/>
          <w:sz w:val="20"/>
          <w:szCs w:val="20"/>
        </w:rPr>
        <w:t>ent, the going-private transaction, recorded under the acquisition method of accounting in accordance with the accounting guidance for business combinations. This guidance prescribes that the purchase price be allocated to assets acquired and liabilities a</w:t>
      </w:r>
      <w:r>
        <w:rPr>
          <w:rFonts w:ascii="Times New Roman" w:eastAsia="宋体" w:hAnsi="Times New Roman"/>
          <w:color w:val="000000"/>
          <w:sz w:val="20"/>
          <w:szCs w:val="20"/>
        </w:rPr>
        <w:t>ssumed based on the estimated fair value of such assets and liabilities on the date of the transaction. Accordingly, all of the assets and liabilities acquired in the EMC merger transaction and the going-private transaction were accounted for and recognize</w:t>
      </w:r>
      <w:r>
        <w:rPr>
          <w:rFonts w:ascii="Times New Roman" w:eastAsia="宋体" w:hAnsi="Times New Roman"/>
          <w:color w:val="000000"/>
          <w:sz w:val="20"/>
          <w:szCs w:val="20"/>
        </w:rPr>
        <w:t xml:space="preserve">d at fair value as of the respective </w:t>
      </w:r>
    </w:p>
    <w:p w14:paraId="07DD0435" w14:textId="77777777" w:rsidR="00AE727E" w:rsidRDefault="00AE727E">
      <w:pPr>
        <w:jc w:val="center"/>
      </w:pPr>
    </w:p>
    <w:p w14:paraId="07DD0436" w14:textId="77777777" w:rsidR="00AE727E" w:rsidRDefault="008433E0">
      <w:pPr>
        <w:jc w:val="center"/>
      </w:pPr>
      <w:r>
        <w:rPr>
          <w:rFonts w:ascii="Times New Roman" w:eastAsia="宋体" w:hAnsi="Times New Roman"/>
          <w:color w:val="000000"/>
          <w:sz w:val="20"/>
          <w:szCs w:val="20"/>
        </w:rPr>
        <w:t>67</w:t>
      </w:r>
    </w:p>
    <w:p w14:paraId="07DD0437" w14:textId="77777777" w:rsidR="00AE727E" w:rsidRDefault="00AE727E">
      <w:pPr>
        <w:jc w:val="center"/>
      </w:pPr>
    </w:p>
    <w:p w14:paraId="07DD0438" w14:textId="77777777" w:rsidR="00AE727E" w:rsidRDefault="008433E0">
      <w:r>
        <w:pict w14:anchorId="07DD1913">
          <v:rect id="_x0000_i1091" style="width:415.3pt;height:1.5pt" o:hralign="center" o:hrstd="t" o:hr="t" fillcolor="#a0a0a0" stroked="f"/>
        </w:pict>
      </w:r>
    </w:p>
    <w:p w14:paraId="07DD0439" w14:textId="77777777" w:rsidR="00AE727E" w:rsidRDefault="008433E0">
      <w:hyperlink r:id="rId192" w:anchor="i1c8279be622a460ea19600488436f115_10" w:history="1">
        <w:r>
          <w:rPr>
            <w:rStyle w:val="a5"/>
            <w:rFonts w:ascii="Times New Roman" w:eastAsia="宋体" w:hAnsi="Times New Roman"/>
            <w:sz w:val="20"/>
            <w:szCs w:val="20"/>
          </w:rPr>
          <w:t>Table of Contents</w:t>
        </w:r>
      </w:hyperlink>
    </w:p>
    <w:p w14:paraId="07DD043A" w14:textId="77777777" w:rsidR="00AE727E" w:rsidRDefault="008433E0">
      <w:r>
        <w:rPr>
          <w:rFonts w:ascii="Times New Roman" w:eastAsia="宋体" w:hAnsi="Times New Roman"/>
          <w:color w:val="000000"/>
          <w:sz w:val="20"/>
          <w:szCs w:val="20"/>
        </w:rPr>
        <w:t>transaction dates, and the fair value adjustments are being amortized over the estim</w:t>
      </w:r>
      <w:r>
        <w:rPr>
          <w:rFonts w:ascii="Times New Roman" w:eastAsia="宋体" w:hAnsi="Times New Roman"/>
          <w:color w:val="000000"/>
          <w:sz w:val="20"/>
          <w:szCs w:val="20"/>
        </w:rPr>
        <w:t xml:space="preserve">ated useful lives in the periods following the transactions. The fair value adjustments primarily relate to deferred revenue and property, plant, and equipment. Although the purchase accounting adjustments and related amortization of those adjustments are </w:t>
      </w:r>
      <w:r>
        <w:rPr>
          <w:rFonts w:ascii="Times New Roman" w:eastAsia="宋体" w:hAnsi="Times New Roman"/>
          <w:color w:val="000000"/>
          <w:sz w:val="20"/>
          <w:szCs w:val="20"/>
        </w:rPr>
        <w:t>reflected in our GAAP results, we evaluate the operating results of the underlying businesses on a non-GAAP basis, after removing such adjustments. We believe that excluding the impact of purchase accounting for purposes of calculating the non-GAAP financi</w:t>
      </w:r>
      <w:r>
        <w:rPr>
          <w:rFonts w:ascii="Times New Roman" w:eastAsia="宋体" w:hAnsi="Times New Roman"/>
          <w:color w:val="000000"/>
          <w:sz w:val="20"/>
          <w:szCs w:val="20"/>
        </w:rPr>
        <w:t>al measures presented below facilitates an enhanced understanding of our current operating performance and provides more meaningful period to period comparisons.</w:t>
      </w:r>
    </w:p>
    <w:p w14:paraId="07DD043B" w14:textId="77777777" w:rsidR="00AE727E" w:rsidRDefault="00AE727E"/>
    <w:p w14:paraId="07DD043C"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Transaction-related Expenses and Gains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 xml:space="preserve">Transaction-related expenses typically </w:t>
      </w:r>
      <w:r>
        <w:rPr>
          <w:rFonts w:ascii="Times New Roman" w:eastAsia="宋体" w:hAnsi="Times New Roman"/>
          <w:color w:val="000000"/>
          <w:sz w:val="20"/>
          <w:szCs w:val="20"/>
        </w:rPr>
        <w:t>consist of acquisition, integration, and divestiture-related costs and are expensed as incurred. These expenses primarily represent costs for legal, banking, consulting, and advisory services.  From time to time, this category also may include transaction-</w:t>
      </w:r>
      <w:r>
        <w:rPr>
          <w:rFonts w:ascii="Times New Roman" w:eastAsia="宋体" w:hAnsi="Times New Roman"/>
          <w:color w:val="000000"/>
          <w:sz w:val="20"/>
          <w:szCs w:val="20"/>
        </w:rPr>
        <w:t xml:space="preserve">related gains on divestitures of businesses or asset sales. During the third quarter of Fiscal 2022, we recognized a gain of $4.0 billion on the sale of Boomi, while during the third quarter of Fiscal 2021, we recognized a gain of $338 million on the sale </w:t>
      </w:r>
      <w:r>
        <w:rPr>
          <w:rFonts w:ascii="Times New Roman" w:eastAsia="宋体" w:hAnsi="Times New Roman"/>
          <w:color w:val="000000"/>
          <w:sz w:val="20"/>
          <w:szCs w:val="20"/>
        </w:rPr>
        <w:t>of RSA Security. We exclude these items for purposes of calculating the non-GAAP financial measures presented below to facilitate an enhanced understanding of our current operating performance and provide more meaningful period to period comparisons.</w:t>
      </w:r>
    </w:p>
    <w:p w14:paraId="07DD043D" w14:textId="77777777" w:rsidR="00AE727E" w:rsidRDefault="00AE727E"/>
    <w:p w14:paraId="07DD043E"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w:t>
      </w:r>
      <w:r>
        <w:rPr>
          <w:rFonts w:ascii="Times New Roman" w:eastAsia="宋体" w:hAnsi="Times New Roman"/>
          <w:i/>
          <w:iCs/>
          <w:color w:val="000000"/>
          <w:sz w:val="20"/>
          <w:szCs w:val="20"/>
          <w:u w:val="single"/>
        </w:rPr>
        <w:t>ck-based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Stock-based compensation expense consists of equity awards granted based on the estimated fair value of those awards at grant date. We estimate the fair value of service-based stock options using the Black-Scholes valuation </w:t>
      </w:r>
      <w:r>
        <w:rPr>
          <w:rFonts w:ascii="Times New Roman" w:eastAsia="宋体" w:hAnsi="Times New Roman"/>
          <w:color w:val="000000"/>
          <w:sz w:val="20"/>
          <w:szCs w:val="20"/>
        </w:rPr>
        <w:t>model. To estimate the fair value of performance-based awards containing a market condition, we use the Monte Carlo valuation model. For all other share-based awards, the fair value is based on the closing price of the Class C Common Stock as reported on t</w:t>
      </w:r>
      <w:r>
        <w:rPr>
          <w:rFonts w:ascii="Times New Roman" w:eastAsia="宋体" w:hAnsi="Times New Roman"/>
          <w:color w:val="000000"/>
          <w:sz w:val="20"/>
          <w:szCs w:val="20"/>
        </w:rPr>
        <w:t>he NYSE on the date of grant. Although stock-based compensation is an important aspect of the compensation of our employees and executives, the fair value of the stock-based awards may bear little resemblance to the actual value realized upon the vesting o</w:t>
      </w:r>
      <w:r>
        <w:rPr>
          <w:rFonts w:ascii="Times New Roman" w:eastAsia="宋体" w:hAnsi="Times New Roman"/>
          <w:color w:val="000000"/>
          <w:sz w:val="20"/>
          <w:szCs w:val="20"/>
        </w:rPr>
        <w:t>r future exercise of the related stock-based awards. We believe that excluding stock-based compensation expense for purposes of calculating the non-GAAP financial measures presented below facilitates an enhanced understanding of our current operating perfo</w:t>
      </w:r>
      <w:r>
        <w:rPr>
          <w:rFonts w:ascii="Times New Roman" w:eastAsia="宋体" w:hAnsi="Times New Roman"/>
          <w:color w:val="000000"/>
          <w:sz w:val="20"/>
          <w:szCs w:val="20"/>
        </w:rPr>
        <w:t xml:space="preserve">rmance and provides more meaningful period to period comparisons. </w:t>
      </w:r>
    </w:p>
    <w:p w14:paraId="07DD043F" w14:textId="77777777" w:rsidR="00AE727E" w:rsidRDefault="00AE727E"/>
    <w:p w14:paraId="07DD0440" w14:textId="77777777" w:rsidR="00AE727E" w:rsidRDefault="008433E0">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consist primarily of impairment charges, incentive charges related to equity investments, severance, facilities action, and other costs</w:t>
      </w:r>
      <w:r>
        <w:rPr>
          <w:rFonts w:ascii="Times New Roman" w:eastAsia="宋体" w:hAnsi="Times New Roman"/>
          <w:color w:val="000000"/>
          <w:sz w:val="20"/>
          <w:szCs w:val="20"/>
        </w:rPr>
        <w:t>. Severance costs are primarily related to severance and benefits for employees terminated pursuant to cost savings initiatives. We continue to optimize our facilities footprint and may incur additional costs as we seek opportunities for operational effici</w:t>
      </w:r>
      <w:r>
        <w:rPr>
          <w:rFonts w:ascii="Times New Roman" w:eastAsia="宋体" w:hAnsi="Times New Roman"/>
          <w:color w:val="000000"/>
          <w:sz w:val="20"/>
          <w:szCs w:val="20"/>
        </w:rPr>
        <w:t>encies. Other corporate expenses vary from period to period and are significantly impacted by the timing and nature of these events. Therefore, although we may incur these types of expenses in the future, we believe that eliminating these charges for purpo</w:t>
      </w:r>
      <w:r>
        <w:rPr>
          <w:rFonts w:ascii="Times New Roman" w:eastAsia="宋体" w:hAnsi="Times New Roman"/>
          <w:color w:val="000000"/>
          <w:sz w:val="20"/>
          <w:szCs w:val="20"/>
        </w:rPr>
        <w:t>ses of calculating the non-GAAP financial measures presented below facilitates an enhanced understanding of our current operating performance and provides more meaningful period to period comparisons.</w:t>
      </w:r>
    </w:p>
    <w:p w14:paraId="07DD0441" w14:textId="77777777" w:rsidR="00AE727E" w:rsidRDefault="00AE727E"/>
    <w:p w14:paraId="07DD0442" w14:textId="77777777" w:rsidR="00AE727E" w:rsidRDefault="008433E0">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w:t>
      </w:r>
      <w:r>
        <w:rPr>
          <w:rFonts w:ascii="Times New Roman" w:eastAsia="宋体" w:hAnsi="Times New Roman"/>
          <w:color w:val="000000"/>
          <w:sz w:val="20"/>
          <w:szCs w:val="20"/>
        </w:rPr>
        <w:t>alue adjustments on equity investments primarily consist of the gain (loss) on our strategic investment portfolio, which includes the recurring fair value adjustments of investments in publicly-traded companies, as well as those in privately-held companies</w:t>
      </w:r>
      <w:r>
        <w:rPr>
          <w:rFonts w:ascii="Times New Roman" w:eastAsia="宋体" w:hAnsi="Times New Roman"/>
          <w:color w:val="000000"/>
          <w:sz w:val="20"/>
          <w:szCs w:val="20"/>
        </w:rPr>
        <w:t>, which are adjusted for observable price changes and, to a lesser extent, any potential impairments. Given the volatility in the ongoing adjustments to the valuation of these strategic investments, we believe that excluding these gains and losses for purp</w:t>
      </w:r>
      <w:r>
        <w:rPr>
          <w:rFonts w:ascii="Times New Roman" w:eastAsia="宋体" w:hAnsi="Times New Roman"/>
          <w:color w:val="000000"/>
          <w:sz w:val="20"/>
          <w:szCs w:val="20"/>
        </w:rPr>
        <w:t>oses of calculating non-GAAP net income presented below facilitates an enhanced understanding of our current operating performance and provides more meaningful period to period comparisons.</w:t>
      </w:r>
    </w:p>
    <w:p w14:paraId="07DD0443" w14:textId="77777777" w:rsidR="00AE727E" w:rsidRDefault="00AE727E"/>
    <w:p w14:paraId="07DD0444"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aggregate adjustment</w:t>
      </w:r>
      <w:r>
        <w:rPr>
          <w:rFonts w:ascii="Times New Roman" w:eastAsia="宋体" w:hAnsi="Times New Roman"/>
          <w:color w:val="000000"/>
          <w:sz w:val="20"/>
          <w:szCs w:val="20"/>
        </w:rPr>
        <w:t xml:space="preserve"> for income taxes is the estimated combined income tax effect for the adjustments described above, as well as an adjustment for discrete tax items. Due to the variability in recognition of discrete tax items from period to period, we believe that excluding</w:t>
      </w:r>
      <w:r>
        <w:rPr>
          <w:rFonts w:ascii="Times New Roman" w:eastAsia="宋体" w:hAnsi="Times New Roman"/>
          <w:color w:val="000000"/>
          <w:sz w:val="20"/>
          <w:szCs w:val="20"/>
        </w:rPr>
        <w:t xml:space="preserve"> these benefits or charges for purposes of calculating non-GAAP net income facilitates an enhanced understanding of our current operating performance and provides more meaningful period to period comparisons. The tax effects for the adjustments described a</w:t>
      </w:r>
      <w:r>
        <w:rPr>
          <w:rFonts w:ascii="Times New Roman" w:eastAsia="宋体" w:hAnsi="Times New Roman"/>
          <w:color w:val="000000"/>
          <w:sz w:val="20"/>
          <w:szCs w:val="20"/>
        </w:rPr>
        <w:t>bove are determined based on the tax jurisdictions in which the items were incurred. See Note 10 of the Notes to the Condensed Consolidated Financial Statements included in this report for additional information about our income taxes.</w:t>
      </w:r>
    </w:p>
    <w:p w14:paraId="07DD0445" w14:textId="77777777" w:rsidR="00AE727E" w:rsidRDefault="00AE727E"/>
    <w:p w14:paraId="07DD0446" w14:textId="77777777" w:rsidR="00AE727E" w:rsidRDefault="00AE727E">
      <w:pPr>
        <w:jc w:val="center"/>
      </w:pPr>
    </w:p>
    <w:p w14:paraId="07DD0447" w14:textId="77777777" w:rsidR="00AE727E" w:rsidRDefault="008433E0">
      <w:pPr>
        <w:jc w:val="center"/>
      </w:pPr>
      <w:r>
        <w:rPr>
          <w:rFonts w:ascii="Times New Roman" w:eastAsia="宋体" w:hAnsi="Times New Roman"/>
          <w:color w:val="000000"/>
          <w:sz w:val="20"/>
          <w:szCs w:val="20"/>
        </w:rPr>
        <w:t>68</w:t>
      </w:r>
    </w:p>
    <w:p w14:paraId="07DD0448" w14:textId="77777777" w:rsidR="00AE727E" w:rsidRDefault="00AE727E">
      <w:pPr>
        <w:jc w:val="center"/>
      </w:pPr>
    </w:p>
    <w:p w14:paraId="07DD0449" w14:textId="77777777" w:rsidR="00AE727E" w:rsidRDefault="008433E0">
      <w:r>
        <w:pict w14:anchorId="07DD1914">
          <v:rect id="_x0000_i1092" style="width:415.3pt;height:1.5pt" o:hralign="center" o:hrstd="t" o:hr="t" fillcolor="#a0a0a0" stroked="f"/>
        </w:pict>
      </w:r>
    </w:p>
    <w:p w14:paraId="07DD044A" w14:textId="77777777" w:rsidR="00AE727E" w:rsidRDefault="008433E0">
      <w:hyperlink r:id="rId193" w:anchor="i1c8279be622a460ea19600488436f115_10" w:history="1">
        <w:r>
          <w:rPr>
            <w:rStyle w:val="a5"/>
            <w:rFonts w:ascii="Times New Roman" w:eastAsia="宋体" w:hAnsi="Times New Roman"/>
            <w:sz w:val="20"/>
            <w:szCs w:val="20"/>
          </w:rPr>
          <w:t>Table of Contents</w:t>
        </w:r>
      </w:hyperlink>
    </w:p>
    <w:p w14:paraId="07DD044B" w14:textId="77777777" w:rsidR="00AE727E" w:rsidRDefault="008433E0">
      <w:pPr>
        <w:spacing w:after="60"/>
      </w:pPr>
      <w:r>
        <w:rPr>
          <w:rFonts w:ascii="Times New Roman" w:eastAsia="宋体" w:hAnsi="Times New Roman"/>
          <w:color w:val="000000"/>
          <w:sz w:val="20"/>
          <w:szCs w:val="20"/>
        </w:rPr>
        <w:t>The table below presents a reconciliation of each non-GAAP financial measure to the most directl</w:t>
      </w:r>
      <w:r>
        <w:rPr>
          <w:rFonts w:ascii="Times New Roman" w:eastAsia="宋体" w:hAnsi="Times New Roman"/>
          <w:color w:val="000000"/>
          <w:sz w:val="20"/>
          <w:szCs w:val="20"/>
        </w:rPr>
        <w:t xml:space="preserve">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520"/>
        <w:gridCol w:w="39"/>
        <w:gridCol w:w="120"/>
        <w:gridCol w:w="705"/>
        <w:gridCol w:w="36"/>
        <w:gridCol w:w="36"/>
        <w:gridCol w:w="36"/>
        <w:gridCol w:w="36"/>
        <w:gridCol w:w="92"/>
        <w:gridCol w:w="595"/>
        <w:gridCol w:w="187"/>
        <w:gridCol w:w="36"/>
        <w:gridCol w:w="36"/>
        <w:gridCol w:w="36"/>
        <w:gridCol w:w="120"/>
        <w:gridCol w:w="705"/>
        <w:gridCol w:w="36"/>
        <w:gridCol w:w="36"/>
        <w:gridCol w:w="36"/>
        <w:gridCol w:w="36"/>
        <w:gridCol w:w="120"/>
        <w:gridCol w:w="705"/>
        <w:gridCol w:w="36"/>
        <w:gridCol w:w="36"/>
        <w:gridCol w:w="36"/>
        <w:gridCol w:w="36"/>
        <w:gridCol w:w="92"/>
        <w:gridCol w:w="595"/>
        <w:gridCol w:w="187"/>
        <w:gridCol w:w="36"/>
        <w:gridCol w:w="36"/>
        <w:gridCol w:w="36"/>
        <w:gridCol w:w="120"/>
        <w:gridCol w:w="707"/>
        <w:gridCol w:w="36"/>
      </w:tblGrid>
      <w:tr w:rsidR="00AE727E" w14:paraId="07DD0470" w14:textId="77777777">
        <w:trPr>
          <w:jc w:val="center"/>
        </w:trPr>
        <w:tc>
          <w:tcPr>
            <w:tcW w:w="50" w:type="pct"/>
            <w:shd w:val="clear" w:color="auto" w:fill="auto"/>
            <w:vAlign w:val="bottom"/>
          </w:tcPr>
          <w:p w14:paraId="07DD044C" w14:textId="77777777" w:rsidR="00AE727E" w:rsidRDefault="00AE727E">
            <w:pPr>
              <w:rPr>
                <w:rFonts w:ascii="宋体"/>
              </w:rPr>
            </w:pPr>
          </w:p>
        </w:tc>
        <w:tc>
          <w:tcPr>
            <w:tcW w:w="1699" w:type="pct"/>
            <w:shd w:val="clear" w:color="auto" w:fill="auto"/>
            <w:vAlign w:val="bottom"/>
          </w:tcPr>
          <w:p w14:paraId="07DD044D" w14:textId="77777777" w:rsidR="00AE727E" w:rsidRDefault="00AE727E">
            <w:pPr>
              <w:rPr>
                <w:rFonts w:ascii="宋体"/>
              </w:rPr>
            </w:pPr>
          </w:p>
        </w:tc>
        <w:tc>
          <w:tcPr>
            <w:tcW w:w="5" w:type="pct"/>
            <w:shd w:val="clear" w:color="auto" w:fill="auto"/>
            <w:vAlign w:val="bottom"/>
          </w:tcPr>
          <w:p w14:paraId="07DD044E" w14:textId="77777777" w:rsidR="00AE727E" w:rsidRDefault="00AE727E">
            <w:pPr>
              <w:rPr>
                <w:rFonts w:ascii="宋体"/>
              </w:rPr>
            </w:pPr>
          </w:p>
        </w:tc>
        <w:tc>
          <w:tcPr>
            <w:tcW w:w="50" w:type="pct"/>
            <w:shd w:val="clear" w:color="auto" w:fill="auto"/>
            <w:vAlign w:val="bottom"/>
          </w:tcPr>
          <w:p w14:paraId="07DD044F" w14:textId="77777777" w:rsidR="00AE727E" w:rsidRDefault="00AE727E">
            <w:pPr>
              <w:rPr>
                <w:rFonts w:ascii="宋体"/>
              </w:rPr>
            </w:pPr>
          </w:p>
        </w:tc>
        <w:tc>
          <w:tcPr>
            <w:tcW w:w="529" w:type="pct"/>
            <w:shd w:val="clear" w:color="auto" w:fill="auto"/>
            <w:vAlign w:val="bottom"/>
          </w:tcPr>
          <w:p w14:paraId="07DD0450" w14:textId="77777777" w:rsidR="00AE727E" w:rsidRDefault="00AE727E">
            <w:pPr>
              <w:rPr>
                <w:rFonts w:ascii="宋体"/>
              </w:rPr>
            </w:pPr>
          </w:p>
        </w:tc>
        <w:tc>
          <w:tcPr>
            <w:tcW w:w="5" w:type="pct"/>
            <w:shd w:val="clear" w:color="auto" w:fill="auto"/>
            <w:vAlign w:val="bottom"/>
          </w:tcPr>
          <w:p w14:paraId="07DD0451" w14:textId="77777777" w:rsidR="00AE727E" w:rsidRDefault="00AE727E">
            <w:pPr>
              <w:rPr>
                <w:rFonts w:ascii="宋体"/>
              </w:rPr>
            </w:pPr>
          </w:p>
        </w:tc>
        <w:tc>
          <w:tcPr>
            <w:tcW w:w="5" w:type="pct"/>
            <w:shd w:val="clear" w:color="auto" w:fill="auto"/>
            <w:vAlign w:val="bottom"/>
          </w:tcPr>
          <w:p w14:paraId="07DD0452" w14:textId="77777777" w:rsidR="00AE727E" w:rsidRDefault="00AE727E">
            <w:pPr>
              <w:rPr>
                <w:rFonts w:ascii="宋体"/>
              </w:rPr>
            </w:pPr>
          </w:p>
        </w:tc>
        <w:tc>
          <w:tcPr>
            <w:tcW w:w="19" w:type="pct"/>
            <w:shd w:val="clear" w:color="auto" w:fill="auto"/>
            <w:vAlign w:val="bottom"/>
          </w:tcPr>
          <w:p w14:paraId="07DD0453" w14:textId="77777777" w:rsidR="00AE727E" w:rsidRDefault="00AE727E">
            <w:pPr>
              <w:rPr>
                <w:rFonts w:ascii="宋体"/>
              </w:rPr>
            </w:pPr>
          </w:p>
        </w:tc>
        <w:tc>
          <w:tcPr>
            <w:tcW w:w="5" w:type="pct"/>
            <w:shd w:val="clear" w:color="auto" w:fill="auto"/>
            <w:vAlign w:val="bottom"/>
          </w:tcPr>
          <w:p w14:paraId="07DD0454" w14:textId="77777777" w:rsidR="00AE727E" w:rsidRDefault="00AE727E">
            <w:pPr>
              <w:rPr>
                <w:rFonts w:ascii="宋体"/>
              </w:rPr>
            </w:pPr>
          </w:p>
        </w:tc>
        <w:tc>
          <w:tcPr>
            <w:tcW w:w="50" w:type="pct"/>
            <w:shd w:val="clear" w:color="auto" w:fill="auto"/>
            <w:vAlign w:val="bottom"/>
          </w:tcPr>
          <w:p w14:paraId="07DD0455" w14:textId="77777777" w:rsidR="00AE727E" w:rsidRDefault="00AE727E">
            <w:pPr>
              <w:rPr>
                <w:rFonts w:ascii="宋体"/>
              </w:rPr>
            </w:pPr>
          </w:p>
        </w:tc>
        <w:tc>
          <w:tcPr>
            <w:tcW w:w="325" w:type="pct"/>
            <w:shd w:val="clear" w:color="auto" w:fill="auto"/>
            <w:vAlign w:val="bottom"/>
          </w:tcPr>
          <w:p w14:paraId="07DD0456" w14:textId="77777777" w:rsidR="00AE727E" w:rsidRDefault="00AE727E">
            <w:pPr>
              <w:rPr>
                <w:rFonts w:ascii="宋体"/>
              </w:rPr>
            </w:pPr>
          </w:p>
        </w:tc>
        <w:tc>
          <w:tcPr>
            <w:tcW w:w="5" w:type="pct"/>
            <w:shd w:val="clear" w:color="auto" w:fill="auto"/>
            <w:vAlign w:val="bottom"/>
          </w:tcPr>
          <w:p w14:paraId="07DD0457" w14:textId="77777777" w:rsidR="00AE727E" w:rsidRDefault="00AE727E">
            <w:pPr>
              <w:rPr>
                <w:rFonts w:ascii="宋体"/>
              </w:rPr>
            </w:pPr>
          </w:p>
        </w:tc>
        <w:tc>
          <w:tcPr>
            <w:tcW w:w="5" w:type="pct"/>
            <w:shd w:val="clear" w:color="auto" w:fill="auto"/>
            <w:vAlign w:val="bottom"/>
          </w:tcPr>
          <w:p w14:paraId="07DD0458" w14:textId="77777777" w:rsidR="00AE727E" w:rsidRDefault="00AE727E">
            <w:pPr>
              <w:rPr>
                <w:rFonts w:ascii="宋体"/>
              </w:rPr>
            </w:pPr>
          </w:p>
        </w:tc>
        <w:tc>
          <w:tcPr>
            <w:tcW w:w="19" w:type="pct"/>
            <w:shd w:val="clear" w:color="auto" w:fill="auto"/>
            <w:vAlign w:val="bottom"/>
          </w:tcPr>
          <w:p w14:paraId="07DD0459" w14:textId="77777777" w:rsidR="00AE727E" w:rsidRDefault="00AE727E">
            <w:pPr>
              <w:rPr>
                <w:rFonts w:ascii="宋体"/>
              </w:rPr>
            </w:pPr>
          </w:p>
        </w:tc>
        <w:tc>
          <w:tcPr>
            <w:tcW w:w="5" w:type="pct"/>
            <w:shd w:val="clear" w:color="auto" w:fill="auto"/>
            <w:vAlign w:val="bottom"/>
          </w:tcPr>
          <w:p w14:paraId="07DD045A" w14:textId="77777777" w:rsidR="00AE727E" w:rsidRDefault="00AE727E">
            <w:pPr>
              <w:rPr>
                <w:rFonts w:ascii="宋体"/>
              </w:rPr>
            </w:pPr>
          </w:p>
        </w:tc>
        <w:tc>
          <w:tcPr>
            <w:tcW w:w="50" w:type="pct"/>
            <w:shd w:val="clear" w:color="auto" w:fill="auto"/>
            <w:vAlign w:val="bottom"/>
          </w:tcPr>
          <w:p w14:paraId="07DD045B" w14:textId="77777777" w:rsidR="00AE727E" w:rsidRDefault="00AE727E">
            <w:pPr>
              <w:rPr>
                <w:rFonts w:ascii="宋体"/>
              </w:rPr>
            </w:pPr>
          </w:p>
        </w:tc>
        <w:tc>
          <w:tcPr>
            <w:tcW w:w="529" w:type="pct"/>
            <w:shd w:val="clear" w:color="auto" w:fill="auto"/>
            <w:vAlign w:val="bottom"/>
          </w:tcPr>
          <w:p w14:paraId="07DD045C" w14:textId="77777777" w:rsidR="00AE727E" w:rsidRDefault="00AE727E">
            <w:pPr>
              <w:rPr>
                <w:rFonts w:ascii="宋体"/>
              </w:rPr>
            </w:pPr>
          </w:p>
        </w:tc>
        <w:tc>
          <w:tcPr>
            <w:tcW w:w="5" w:type="pct"/>
            <w:shd w:val="clear" w:color="auto" w:fill="auto"/>
            <w:vAlign w:val="bottom"/>
          </w:tcPr>
          <w:p w14:paraId="07DD045D" w14:textId="77777777" w:rsidR="00AE727E" w:rsidRDefault="00AE727E">
            <w:pPr>
              <w:rPr>
                <w:rFonts w:ascii="宋体"/>
              </w:rPr>
            </w:pPr>
          </w:p>
        </w:tc>
        <w:tc>
          <w:tcPr>
            <w:tcW w:w="5" w:type="pct"/>
            <w:shd w:val="clear" w:color="auto" w:fill="auto"/>
            <w:vAlign w:val="bottom"/>
          </w:tcPr>
          <w:p w14:paraId="07DD045E" w14:textId="77777777" w:rsidR="00AE727E" w:rsidRDefault="00AE727E">
            <w:pPr>
              <w:rPr>
                <w:rFonts w:ascii="宋体"/>
              </w:rPr>
            </w:pPr>
          </w:p>
        </w:tc>
        <w:tc>
          <w:tcPr>
            <w:tcW w:w="19" w:type="pct"/>
            <w:shd w:val="clear" w:color="auto" w:fill="auto"/>
            <w:vAlign w:val="bottom"/>
          </w:tcPr>
          <w:p w14:paraId="07DD045F" w14:textId="77777777" w:rsidR="00AE727E" w:rsidRDefault="00AE727E">
            <w:pPr>
              <w:rPr>
                <w:rFonts w:ascii="宋体"/>
              </w:rPr>
            </w:pPr>
          </w:p>
        </w:tc>
        <w:tc>
          <w:tcPr>
            <w:tcW w:w="5" w:type="pct"/>
            <w:shd w:val="clear" w:color="auto" w:fill="auto"/>
            <w:vAlign w:val="bottom"/>
          </w:tcPr>
          <w:p w14:paraId="07DD0460" w14:textId="77777777" w:rsidR="00AE727E" w:rsidRDefault="00AE727E">
            <w:pPr>
              <w:rPr>
                <w:rFonts w:ascii="宋体"/>
              </w:rPr>
            </w:pPr>
          </w:p>
        </w:tc>
        <w:tc>
          <w:tcPr>
            <w:tcW w:w="50" w:type="pct"/>
            <w:shd w:val="clear" w:color="auto" w:fill="auto"/>
            <w:vAlign w:val="bottom"/>
          </w:tcPr>
          <w:p w14:paraId="07DD0461" w14:textId="77777777" w:rsidR="00AE727E" w:rsidRDefault="00AE727E">
            <w:pPr>
              <w:rPr>
                <w:rFonts w:ascii="宋体"/>
              </w:rPr>
            </w:pPr>
          </w:p>
        </w:tc>
        <w:tc>
          <w:tcPr>
            <w:tcW w:w="529" w:type="pct"/>
            <w:shd w:val="clear" w:color="auto" w:fill="auto"/>
            <w:vAlign w:val="bottom"/>
          </w:tcPr>
          <w:p w14:paraId="07DD0462" w14:textId="77777777" w:rsidR="00AE727E" w:rsidRDefault="00AE727E">
            <w:pPr>
              <w:rPr>
                <w:rFonts w:ascii="宋体"/>
              </w:rPr>
            </w:pPr>
          </w:p>
        </w:tc>
        <w:tc>
          <w:tcPr>
            <w:tcW w:w="5" w:type="pct"/>
            <w:shd w:val="clear" w:color="auto" w:fill="auto"/>
            <w:vAlign w:val="bottom"/>
          </w:tcPr>
          <w:p w14:paraId="07DD0463" w14:textId="77777777" w:rsidR="00AE727E" w:rsidRDefault="00AE727E">
            <w:pPr>
              <w:rPr>
                <w:rFonts w:ascii="宋体"/>
              </w:rPr>
            </w:pPr>
          </w:p>
        </w:tc>
        <w:tc>
          <w:tcPr>
            <w:tcW w:w="5" w:type="pct"/>
            <w:shd w:val="clear" w:color="auto" w:fill="auto"/>
            <w:vAlign w:val="bottom"/>
          </w:tcPr>
          <w:p w14:paraId="07DD0464" w14:textId="77777777" w:rsidR="00AE727E" w:rsidRDefault="00AE727E">
            <w:pPr>
              <w:rPr>
                <w:rFonts w:ascii="宋体"/>
              </w:rPr>
            </w:pPr>
          </w:p>
        </w:tc>
        <w:tc>
          <w:tcPr>
            <w:tcW w:w="19" w:type="pct"/>
            <w:shd w:val="clear" w:color="auto" w:fill="auto"/>
            <w:vAlign w:val="bottom"/>
          </w:tcPr>
          <w:p w14:paraId="07DD0465" w14:textId="77777777" w:rsidR="00AE727E" w:rsidRDefault="00AE727E">
            <w:pPr>
              <w:rPr>
                <w:rFonts w:ascii="宋体"/>
              </w:rPr>
            </w:pPr>
          </w:p>
        </w:tc>
        <w:tc>
          <w:tcPr>
            <w:tcW w:w="5" w:type="pct"/>
            <w:shd w:val="clear" w:color="auto" w:fill="auto"/>
            <w:vAlign w:val="bottom"/>
          </w:tcPr>
          <w:p w14:paraId="07DD0466" w14:textId="77777777" w:rsidR="00AE727E" w:rsidRDefault="00AE727E">
            <w:pPr>
              <w:rPr>
                <w:rFonts w:ascii="宋体"/>
              </w:rPr>
            </w:pPr>
          </w:p>
        </w:tc>
        <w:tc>
          <w:tcPr>
            <w:tcW w:w="50" w:type="pct"/>
            <w:shd w:val="clear" w:color="auto" w:fill="auto"/>
            <w:vAlign w:val="bottom"/>
          </w:tcPr>
          <w:p w14:paraId="07DD0467" w14:textId="77777777" w:rsidR="00AE727E" w:rsidRDefault="00AE727E">
            <w:pPr>
              <w:rPr>
                <w:rFonts w:ascii="宋体"/>
              </w:rPr>
            </w:pPr>
          </w:p>
        </w:tc>
        <w:tc>
          <w:tcPr>
            <w:tcW w:w="325" w:type="pct"/>
            <w:shd w:val="clear" w:color="auto" w:fill="auto"/>
            <w:vAlign w:val="bottom"/>
          </w:tcPr>
          <w:p w14:paraId="07DD0468" w14:textId="77777777" w:rsidR="00AE727E" w:rsidRDefault="00AE727E">
            <w:pPr>
              <w:rPr>
                <w:rFonts w:ascii="宋体"/>
              </w:rPr>
            </w:pPr>
          </w:p>
        </w:tc>
        <w:tc>
          <w:tcPr>
            <w:tcW w:w="5" w:type="pct"/>
            <w:shd w:val="clear" w:color="auto" w:fill="auto"/>
            <w:vAlign w:val="bottom"/>
          </w:tcPr>
          <w:p w14:paraId="07DD0469" w14:textId="77777777" w:rsidR="00AE727E" w:rsidRDefault="00AE727E">
            <w:pPr>
              <w:rPr>
                <w:rFonts w:ascii="宋体"/>
              </w:rPr>
            </w:pPr>
          </w:p>
        </w:tc>
        <w:tc>
          <w:tcPr>
            <w:tcW w:w="5" w:type="pct"/>
            <w:shd w:val="clear" w:color="auto" w:fill="auto"/>
            <w:vAlign w:val="bottom"/>
          </w:tcPr>
          <w:p w14:paraId="07DD046A" w14:textId="77777777" w:rsidR="00AE727E" w:rsidRDefault="00AE727E">
            <w:pPr>
              <w:rPr>
                <w:rFonts w:ascii="宋体"/>
              </w:rPr>
            </w:pPr>
          </w:p>
        </w:tc>
        <w:tc>
          <w:tcPr>
            <w:tcW w:w="19" w:type="pct"/>
            <w:shd w:val="clear" w:color="auto" w:fill="auto"/>
            <w:vAlign w:val="bottom"/>
          </w:tcPr>
          <w:p w14:paraId="07DD046B" w14:textId="77777777" w:rsidR="00AE727E" w:rsidRDefault="00AE727E">
            <w:pPr>
              <w:rPr>
                <w:rFonts w:ascii="宋体"/>
              </w:rPr>
            </w:pPr>
          </w:p>
        </w:tc>
        <w:tc>
          <w:tcPr>
            <w:tcW w:w="5" w:type="pct"/>
            <w:shd w:val="clear" w:color="auto" w:fill="auto"/>
            <w:vAlign w:val="bottom"/>
          </w:tcPr>
          <w:p w14:paraId="07DD046C" w14:textId="77777777" w:rsidR="00AE727E" w:rsidRDefault="00AE727E">
            <w:pPr>
              <w:rPr>
                <w:rFonts w:ascii="宋体"/>
              </w:rPr>
            </w:pPr>
          </w:p>
        </w:tc>
        <w:tc>
          <w:tcPr>
            <w:tcW w:w="50" w:type="pct"/>
            <w:shd w:val="clear" w:color="auto" w:fill="auto"/>
            <w:vAlign w:val="bottom"/>
          </w:tcPr>
          <w:p w14:paraId="07DD046D" w14:textId="77777777" w:rsidR="00AE727E" w:rsidRDefault="00AE727E">
            <w:pPr>
              <w:rPr>
                <w:rFonts w:ascii="宋体"/>
              </w:rPr>
            </w:pPr>
          </w:p>
        </w:tc>
        <w:tc>
          <w:tcPr>
            <w:tcW w:w="530" w:type="pct"/>
            <w:shd w:val="clear" w:color="auto" w:fill="auto"/>
            <w:vAlign w:val="bottom"/>
          </w:tcPr>
          <w:p w14:paraId="07DD046E" w14:textId="77777777" w:rsidR="00AE727E" w:rsidRDefault="00AE727E">
            <w:pPr>
              <w:rPr>
                <w:rFonts w:ascii="宋体"/>
              </w:rPr>
            </w:pPr>
          </w:p>
        </w:tc>
        <w:tc>
          <w:tcPr>
            <w:tcW w:w="5" w:type="pct"/>
            <w:shd w:val="clear" w:color="auto" w:fill="auto"/>
            <w:vAlign w:val="bottom"/>
          </w:tcPr>
          <w:p w14:paraId="07DD046F" w14:textId="77777777" w:rsidR="00AE727E" w:rsidRDefault="00AE727E">
            <w:pPr>
              <w:rPr>
                <w:rFonts w:ascii="宋体"/>
              </w:rPr>
            </w:pPr>
          </w:p>
        </w:tc>
      </w:tr>
      <w:tr w:rsidR="00AE727E" w14:paraId="07DD0475" w14:textId="77777777">
        <w:trPr>
          <w:jc w:val="center"/>
        </w:trPr>
        <w:tc>
          <w:tcPr>
            <w:tcW w:w="0" w:type="auto"/>
            <w:gridSpan w:val="3"/>
            <w:shd w:val="clear" w:color="auto" w:fill="auto"/>
            <w:tcMar>
              <w:top w:w="0" w:type="dxa"/>
              <w:left w:w="20" w:type="dxa"/>
              <w:bottom w:w="0" w:type="dxa"/>
              <w:right w:w="20" w:type="dxa"/>
            </w:tcMar>
            <w:vAlign w:val="bottom"/>
          </w:tcPr>
          <w:p w14:paraId="07DD0471"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472"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473"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474"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482" w14:textId="77777777">
        <w:trPr>
          <w:jc w:val="center"/>
        </w:trPr>
        <w:tc>
          <w:tcPr>
            <w:tcW w:w="0" w:type="auto"/>
            <w:gridSpan w:val="3"/>
            <w:shd w:val="clear" w:color="auto" w:fill="auto"/>
            <w:tcMar>
              <w:top w:w="40" w:type="dxa"/>
              <w:left w:w="20" w:type="dxa"/>
              <w:bottom w:w="40" w:type="dxa"/>
              <w:right w:w="20" w:type="dxa"/>
            </w:tcMar>
            <w:vAlign w:val="bottom"/>
          </w:tcPr>
          <w:p w14:paraId="07DD0476"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47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47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479"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47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47B"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47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47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47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47F"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48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481"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485" w14:textId="77777777">
        <w:trPr>
          <w:jc w:val="center"/>
        </w:trPr>
        <w:tc>
          <w:tcPr>
            <w:tcW w:w="0" w:type="auto"/>
            <w:gridSpan w:val="3"/>
            <w:shd w:val="clear" w:color="auto" w:fill="auto"/>
            <w:tcMar>
              <w:top w:w="0" w:type="dxa"/>
              <w:left w:w="20" w:type="dxa"/>
              <w:bottom w:w="0" w:type="dxa"/>
              <w:right w:w="20" w:type="dxa"/>
            </w:tcMar>
            <w:vAlign w:val="bottom"/>
          </w:tcPr>
          <w:p w14:paraId="07DD0483"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D0484" w14:textId="77777777" w:rsidR="00AE727E" w:rsidRDefault="008433E0">
            <w:pPr>
              <w:jc w:val="center"/>
              <w:textAlignment w:val="center"/>
            </w:pPr>
            <w:r>
              <w:rPr>
                <w:rFonts w:ascii="Times New Roman" w:eastAsia="宋体" w:hAnsi="Times New Roman"/>
                <w:color w:val="000000"/>
                <w:sz w:val="20"/>
                <w:szCs w:val="20"/>
              </w:rPr>
              <w:t>(in millions, except percentages)</w:t>
            </w:r>
          </w:p>
        </w:tc>
      </w:tr>
      <w:tr w:rsidR="00AE727E" w14:paraId="07DD049C" w14:textId="77777777">
        <w:trPr>
          <w:jc w:val="center"/>
        </w:trPr>
        <w:tc>
          <w:tcPr>
            <w:tcW w:w="0" w:type="auto"/>
            <w:gridSpan w:val="3"/>
            <w:shd w:val="clear" w:color="auto" w:fill="CCEEFF"/>
            <w:tcMar>
              <w:top w:w="40" w:type="dxa"/>
              <w:left w:w="20" w:type="dxa"/>
              <w:bottom w:w="40" w:type="dxa"/>
              <w:right w:w="20" w:type="dxa"/>
            </w:tcMar>
            <w:vAlign w:val="bottom"/>
          </w:tcPr>
          <w:p w14:paraId="07DD0486" w14:textId="77777777" w:rsidR="00AE727E" w:rsidRDefault="008433E0">
            <w:pPr>
              <w:textAlignment w:val="bottom"/>
            </w:pPr>
            <w:r>
              <w:rPr>
                <w:rFonts w:ascii="Times New Roman" w:eastAsia="宋体" w:hAnsi="Times New Roman"/>
                <w:color w:val="000000"/>
                <w:sz w:val="20"/>
                <w:szCs w:val="20"/>
              </w:rPr>
              <w:t>Product net revenue</w:t>
            </w:r>
          </w:p>
        </w:tc>
        <w:tc>
          <w:tcPr>
            <w:tcW w:w="0" w:type="auto"/>
            <w:shd w:val="clear" w:color="auto" w:fill="CCEEFF"/>
            <w:tcMar>
              <w:top w:w="40" w:type="dxa"/>
              <w:left w:w="20" w:type="dxa"/>
              <w:bottom w:w="40" w:type="dxa"/>
              <w:right w:w="0" w:type="dxa"/>
            </w:tcMar>
            <w:vAlign w:val="center"/>
          </w:tcPr>
          <w:p w14:paraId="07DD048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488" w14:textId="77777777" w:rsidR="00AE727E" w:rsidRDefault="008433E0">
            <w:pPr>
              <w:jc w:val="right"/>
              <w:textAlignment w:val="center"/>
            </w:pPr>
            <w:r>
              <w:rPr>
                <w:rFonts w:ascii="Times New Roman" w:eastAsia="宋体" w:hAnsi="Times New Roman"/>
                <w:color w:val="000000"/>
                <w:sz w:val="20"/>
                <w:szCs w:val="20"/>
              </w:rPr>
              <w:t>21,540 </w:t>
            </w:r>
          </w:p>
        </w:tc>
        <w:tc>
          <w:tcPr>
            <w:tcW w:w="0" w:type="auto"/>
            <w:shd w:val="clear" w:color="auto" w:fill="CCEEFF"/>
            <w:tcMar>
              <w:top w:w="40" w:type="dxa"/>
              <w:left w:w="0" w:type="dxa"/>
              <w:bottom w:w="40" w:type="dxa"/>
              <w:right w:w="20" w:type="dxa"/>
            </w:tcMar>
            <w:vAlign w:val="center"/>
          </w:tcPr>
          <w:p w14:paraId="07DD048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8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48B" w14:textId="77777777" w:rsidR="00AE727E" w:rsidRDefault="008433E0">
            <w:pPr>
              <w:jc w:val="right"/>
              <w:textAlignment w:val="center"/>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center"/>
          </w:tcPr>
          <w:p w14:paraId="07DD048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48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48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48F" w14:textId="77777777" w:rsidR="00AE727E" w:rsidRDefault="008433E0">
            <w:pPr>
              <w:jc w:val="right"/>
              <w:textAlignment w:val="center"/>
            </w:pPr>
            <w:r>
              <w:rPr>
                <w:rFonts w:ascii="Times New Roman" w:eastAsia="宋体" w:hAnsi="Times New Roman"/>
                <w:color w:val="000000"/>
                <w:sz w:val="20"/>
                <w:szCs w:val="20"/>
              </w:rPr>
              <w:t>17,352 </w:t>
            </w:r>
          </w:p>
        </w:tc>
        <w:tc>
          <w:tcPr>
            <w:tcW w:w="0" w:type="auto"/>
            <w:shd w:val="clear" w:color="auto" w:fill="CCEEFF"/>
            <w:tcMar>
              <w:top w:w="40" w:type="dxa"/>
              <w:left w:w="0" w:type="dxa"/>
              <w:bottom w:w="40" w:type="dxa"/>
              <w:right w:w="20" w:type="dxa"/>
            </w:tcMar>
            <w:vAlign w:val="center"/>
          </w:tcPr>
          <w:p w14:paraId="07DD04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9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49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493" w14:textId="77777777" w:rsidR="00AE727E" w:rsidRDefault="008433E0">
            <w:pPr>
              <w:jc w:val="right"/>
              <w:textAlignment w:val="center"/>
            </w:pPr>
            <w:r>
              <w:rPr>
                <w:rFonts w:ascii="Times New Roman" w:eastAsia="宋体" w:hAnsi="Times New Roman"/>
                <w:color w:val="000000"/>
                <w:sz w:val="20"/>
                <w:szCs w:val="20"/>
              </w:rPr>
              <w:t>58,968 </w:t>
            </w:r>
          </w:p>
        </w:tc>
        <w:tc>
          <w:tcPr>
            <w:tcW w:w="0" w:type="auto"/>
            <w:shd w:val="clear" w:color="auto" w:fill="CCEEFF"/>
            <w:tcMar>
              <w:top w:w="40" w:type="dxa"/>
              <w:left w:w="0" w:type="dxa"/>
              <w:bottom w:w="40" w:type="dxa"/>
              <w:right w:w="20" w:type="dxa"/>
            </w:tcMar>
            <w:vAlign w:val="center"/>
          </w:tcPr>
          <w:p w14:paraId="07DD04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9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496" w14:textId="77777777" w:rsidR="00AE727E" w:rsidRDefault="008433E0">
            <w:pPr>
              <w:jc w:val="right"/>
              <w:textAlignment w:val="center"/>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center"/>
          </w:tcPr>
          <w:p w14:paraId="07DD049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49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49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49A" w14:textId="77777777" w:rsidR="00AE727E" w:rsidRDefault="008433E0">
            <w:pPr>
              <w:jc w:val="right"/>
              <w:textAlignment w:val="center"/>
            </w:pPr>
            <w:r>
              <w:rPr>
                <w:rFonts w:ascii="Times New Roman" w:eastAsia="宋体" w:hAnsi="Times New Roman"/>
                <w:color w:val="000000"/>
                <w:sz w:val="20"/>
                <w:szCs w:val="20"/>
              </w:rPr>
              <w:t>50,127 </w:t>
            </w:r>
          </w:p>
        </w:tc>
        <w:tc>
          <w:tcPr>
            <w:tcW w:w="0" w:type="auto"/>
            <w:shd w:val="clear" w:color="auto" w:fill="CCEEFF"/>
            <w:tcMar>
              <w:top w:w="40" w:type="dxa"/>
              <w:left w:w="0" w:type="dxa"/>
              <w:bottom w:w="40" w:type="dxa"/>
              <w:right w:w="20" w:type="dxa"/>
            </w:tcMar>
            <w:vAlign w:val="center"/>
          </w:tcPr>
          <w:p w14:paraId="07DD049B" w14:textId="77777777" w:rsidR="00AE727E" w:rsidRDefault="00AE727E">
            <w:pPr>
              <w:jc w:val="right"/>
              <w:rPr>
                <w:rFonts w:ascii="宋体"/>
              </w:rPr>
            </w:pPr>
          </w:p>
        </w:tc>
      </w:tr>
      <w:tr w:rsidR="00AE727E" w14:paraId="07DD04A9" w14:textId="77777777">
        <w:trPr>
          <w:jc w:val="center"/>
        </w:trPr>
        <w:tc>
          <w:tcPr>
            <w:tcW w:w="0" w:type="auto"/>
            <w:gridSpan w:val="3"/>
            <w:shd w:val="clear" w:color="auto" w:fill="FFFFFF"/>
            <w:tcMar>
              <w:top w:w="40" w:type="dxa"/>
              <w:left w:w="155" w:type="dxa"/>
              <w:bottom w:w="40" w:type="dxa"/>
              <w:right w:w="20" w:type="dxa"/>
            </w:tcMar>
            <w:vAlign w:val="bottom"/>
          </w:tcPr>
          <w:p w14:paraId="07DD049D"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FFFFFF"/>
            <w:tcMar>
              <w:top w:w="0" w:type="dxa"/>
              <w:left w:w="20" w:type="dxa"/>
              <w:bottom w:w="0" w:type="dxa"/>
              <w:right w:w="20" w:type="dxa"/>
            </w:tcMar>
            <w:vAlign w:val="bottom"/>
          </w:tcPr>
          <w:p w14:paraId="07DD049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9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4A8" w14:textId="77777777" w:rsidR="00AE727E" w:rsidRDefault="00AE727E">
            <w:pPr>
              <w:rPr>
                <w:rFonts w:ascii="宋体"/>
              </w:rPr>
            </w:pPr>
          </w:p>
        </w:tc>
      </w:tr>
      <w:tr w:rsidR="00AE727E" w14:paraId="07DD04BA" w14:textId="77777777">
        <w:trPr>
          <w:jc w:val="center"/>
        </w:trPr>
        <w:tc>
          <w:tcPr>
            <w:tcW w:w="0" w:type="auto"/>
            <w:gridSpan w:val="3"/>
            <w:shd w:val="clear" w:color="auto" w:fill="CCEEFF"/>
            <w:tcMar>
              <w:top w:w="40" w:type="dxa"/>
              <w:left w:w="245" w:type="dxa"/>
              <w:bottom w:w="40" w:type="dxa"/>
              <w:right w:w="20" w:type="dxa"/>
            </w:tcMar>
            <w:vAlign w:val="bottom"/>
          </w:tcPr>
          <w:p w14:paraId="07DD04AA"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07DD04AB"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D04A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A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A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A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4B0" w14:textId="77777777" w:rsidR="00AE727E" w:rsidRDefault="008433E0">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07DD04B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B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4B3"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D04B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4B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B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B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4B8"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07DD04B9" w14:textId="77777777" w:rsidR="00AE727E" w:rsidRDefault="00AE727E">
            <w:pPr>
              <w:jc w:val="right"/>
              <w:rPr>
                <w:rFonts w:ascii="宋体"/>
              </w:rPr>
            </w:pPr>
          </w:p>
        </w:tc>
      </w:tr>
      <w:tr w:rsidR="00AE727E" w14:paraId="07DD04D1" w14:textId="77777777">
        <w:trPr>
          <w:jc w:val="center"/>
        </w:trPr>
        <w:tc>
          <w:tcPr>
            <w:tcW w:w="0" w:type="auto"/>
            <w:gridSpan w:val="3"/>
            <w:shd w:val="clear" w:color="auto" w:fill="FFFFFF"/>
            <w:tcMar>
              <w:top w:w="40" w:type="dxa"/>
              <w:left w:w="380" w:type="dxa"/>
              <w:bottom w:w="40" w:type="dxa"/>
              <w:right w:w="20" w:type="dxa"/>
            </w:tcMar>
            <w:vAlign w:val="bottom"/>
          </w:tcPr>
          <w:p w14:paraId="07DD04BB" w14:textId="77777777" w:rsidR="00AE727E" w:rsidRDefault="008433E0">
            <w:pPr>
              <w:textAlignment w:val="bottom"/>
            </w:pPr>
            <w:r>
              <w:rPr>
                <w:rFonts w:ascii="Times New Roman" w:eastAsia="宋体" w:hAnsi="Times New Roman"/>
                <w:color w:val="000000"/>
                <w:sz w:val="20"/>
                <w:szCs w:val="20"/>
              </w:rPr>
              <w:t>Non-GAAP product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04B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4BD" w14:textId="77777777" w:rsidR="00AE727E" w:rsidRDefault="008433E0">
            <w:pPr>
              <w:jc w:val="right"/>
              <w:textAlignment w:val="center"/>
            </w:pPr>
            <w:r>
              <w:rPr>
                <w:rFonts w:ascii="Times New Roman" w:eastAsia="宋体" w:hAnsi="Times New Roman"/>
                <w:color w:val="000000"/>
                <w:sz w:val="20"/>
                <w:szCs w:val="20"/>
              </w:rPr>
              <w:t>21,540 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4B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B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4C0" w14:textId="77777777" w:rsidR="00AE727E" w:rsidRDefault="008433E0">
            <w:pPr>
              <w:jc w:val="right"/>
              <w:textAlignment w:val="center"/>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center"/>
          </w:tcPr>
          <w:p w14:paraId="07DD04C1"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4C2"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4C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4C4" w14:textId="77777777" w:rsidR="00AE727E" w:rsidRDefault="008433E0">
            <w:pPr>
              <w:jc w:val="right"/>
              <w:textAlignment w:val="center"/>
            </w:pPr>
            <w:r>
              <w:rPr>
                <w:rFonts w:ascii="Times New Roman" w:eastAsia="宋体" w:hAnsi="Times New Roman"/>
                <w:color w:val="000000"/>
                <w:sz w:val="20"/>
                <w:szCs w:val="20"/>
              </w:rPr>
              <w:t>17,354 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4C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C6"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4C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4C8" w14:textId="77777777" w:rsidR="00AE727E" w:rsidRDefault="008433E0">
            <w:pPr>
              <w:jc w:val="right"/>
              <w:textAlignment w:val="center"/>
            </w:pPr>
            <w:r>
              <w:rPr>
                <w:rFonts w:ascii="Times New Roman" w:eastAsia="宋体" w:hAnsi="Times New Roman"/>
                <w:color w:val="000000"/>
                <w:sz w:val="20"/>
                <w:szCs w:val="20"/>
              </w:rPr>
              <w:t>58,968 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4C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C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4CB" w14:textId="77777777" w:rsidR="00AE727E" w:rsidRDefault="008433E0">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07DD04C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4CD"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4C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4CF" w14:textId="77777777" w:rsidR="00AE727E" w:rsidRDefault="008433E0">
            <w:pPr>
              <w:jc w:val="right"/>
              <w:textAlignment w:val="center"/>
            </w:pPr>
            <w:r>
              <w:rPr>
                <w:rFonts w:ascii="Times New Roman" w:eastAsia="宋体" w:hAnsi="Times New Roman"/>
                <w:color w:val="000000"/>
                <w:sz w:val="20"/>
                <w:szCs w:val="20"/>
              </w:rPr>
              <w:t>50,135 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4D0" w14:textId="77777777" w:rsidR="00AE727E" w:rsidRDefault="00AE727E">
            <w:pPr>
              <w:jc w:val="right"/>
              <w:rPr>
                <w:rFonts w:ascii="宋体"/>
              </w:rPr>
            </w:pPr>
          </w:p>
        </w:tc>
      </w:tr>
      <w:tr w:rsidR="00AE727E" w14:paraId="07DD04DE" w14:textId="77777777">
        <w:trPr>
          <w:trHeight w:val="280"/>
          <w:jc w:val="center"/>
        </w:trPr>
        <w:tc>
          <w:tcPr>
            <w:tcW w:w="0" w:type="auto"/>
            <w:gridSpan w:val="3"/>
            <w:shd w:val="clear" w:color="auto" w:fill="CCEEFF"/>
            <w:tcMar>
              <w:top w:w="0" w:type="dxa"/>
              <w:left w:w="20" w:type="dxa"/>
              <w:bottom w:w="0" w:type="dxa"/>
              <w:right w:w="20" w:type="dxa"/>
            </w:tcMar>
            <w:vAlign w:val="bottom"/>
          </w:tcPr>
          <w:p w14:paraId="07DD04D2"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4D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6"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4D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8"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4D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DC"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4DD" w14:textId="77777777" w:rsidR="00AE727E" w:rsidRDefault="00AE727E">
            <w:pPr>
              <w:rPr>
                <w:rFonts w:ascii="宋体"/>
              </w:rPr>
            </w:pPr>
          </w:p>
        </w:tc>
      </w:tr>
      <w:tr w:rsidR="00AE727E" w14:paraId="07DD04F5" w14:textId="77777777">
        <w:trPr>
          <w:jc w:val="center"/>
        </w:trPr>
        <w:tc>
          <w:tcPr>
            <w:tcW w:w="0" w:type="auto"/>
            <w:gridSpan w:val="3"/>
            <w:shd w:val="clear" w:color="auto" w:fill="FFFFFF"/>
            <w:tcMar>
              <w:top w:w="40" w:type="dxa"/>
              <w:left w:w="20" w:type="dxa"/>
              <w:bottom w:w="40" w:type="dxa"/>
              <w:right w:w="20" w:type="dxa"/>
            </w:tcMar>
            <w:vAlign w:val="bottom"/>
          </w:tcPr>
          <w:p w14:paraId="07DD04DF" w14:textId="77777777" w:rsidR="00AE727E" w:rsidRDefault="008433E0">
            <w:pPr>
              <w:textAlignment w:val="bottom"/>
            </w:pPr>
            <w:r>
              <w:rPr>
                <w:rFonts w:ascii="Times New Roman" w:eastAsia="宋体" w:hAnsi="Times New Roman"/>
                <w:color w:val="000000"/>
                <w:sz w:val="20"/>
                <w:szCs w:val="20"/>
              </w:rPr>
              <w:t>Services net revenue</w:t>
            </w:r>
          </w:p>
        </w:tc>
        <w:tc>
          <w:tcPr>
            <w:tcW w:w="0" w:type="auto"/>
            <w:shd w:val="clear" w:color="auto" w:fill="FFFFFF"/>
            <w:tcMar>
              <w:top w:w="40" w:type="dxa"/>
              <w:left w:w="20" w:type="dxa"/>
              <w:bottom w:w="40" w:type="dxa"/>
              <w:right w:w="0" w:type="dxa"/>
            </w:tcMar>
            <w:vAlign w:val="center"/>
          </w:tcPr>
          <w:p w14:paraId="07DD04E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4E1" w14:textId="77777777" w:rsidR="00AE727E" w:rsidRDefault="008433E0">
            <w:pPr>
              <w:jc w:val="right"/>
              <w:textAlignment w:val="center"/>
            </w:pPr>
            <w:r>
              <w:rPr>
                <w:rFonts w:ascii="Times New Roman" w:eastAsia="宋体" w:hAnsi="Times New Roman"/>
                <w:color w:val="000000"/>
                <w:sz w:val="20"/>
                <w:szCs w:val="20"/>
              </w:rPr>
              <w:t>6,854 </w:t>
            </w:r>
          </w:p>
        </w:tc>
        <w:tc>
          <w:tcPr>
            <w:tcW w:w="0" w:type="auto"/>
            <w:shd w:val="clear" w:color="auto" w:fill="FFFFFF"/>
            <w:tcMar>
              <w:top w:w="40" w:type="dxa"/>
              <w:left w:w="0" w:type="dxa"/>
              <w:bottom w:w="40" w:type="dxa"/>
              <w:right w:w="20" w:type="dxa"/>
            </w:tcMar>
            <w:vAlign w:val="center"/>
          </w:tcPr>
          <w:p w14:paraId="07DD04E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E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4E4"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07DD04E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4E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4E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4E8" w14:textId="77777777" w:rsidR="00AE727E" w:rsidRDefault="008433E0">
            <w:pPr>
              <w:jc w:val="right"/>
              <w:textAlignment w:val="center"/>
            </w:pPr>
            <w:r>
              <w:rPr>
                <w:rFonts w:ascii="Times New Roman" w:eastAsia="宋体" w:hAnsi="Times New Roman"/>
                <w:color w:val="000000"/>
                <w:sz w:val="20"/>
                <w:szCs w:val="20"/>
              </w:rPr>
              <w:t>6,130 </w:t>
            </w:r>
          </w:p>
        </w:tc>
        <w:tc>
          <w:tcPr>
            <w:tcW w:w="0" w:type="auto"/>
            <w:shd w:val="clear" w:color="auto" w:fill="FFFFFF"/>
            <w:tcMar>
              <w:top w:w="40" w:type="dxa"/>
              <w:left w:w="0" w:type="dxa"/>
              <w:bottom w:w="40" w:type="dxa"/>
              <w:right w:w="20" w:type="dxa"/>
            </w:tcMar>
            <w:vAlign w:val="center"/>
          </w:tcPr>
          <w:p w14:paraId="07DD04E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EA"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4E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4EC" w14:textId="77777777" w:rsidR="00AE727E" w:rsidRDefault="008433E0">
            <w:pPr>
              <w:jc w:val="right"/>
              <w:textAlignment w:val="center"/>
            </w:pPr>
            <w:r>
              <w:rPr>
                <w:rFonts w:ascii="Times New Roman" w:eastAsia="宋体" w:hAnsi="Times New Roman"/>
                <w:color w:val="000000"/>
                <w:sz w:val="20"/>
                <w:szCs w:val="20"/>
              </w:rPr>
              <w:t>20,035 </w:t>
            </w:r>
          </w:p>
        </w:tc>
        <w:tc>
          <w:tcPr>
            <w:tcW w:w="0" w:type="auto"/>
            <w:shd w:val="clear" w:color="auto" w:fill="FFFFFF"/>
            <w:tcMar>
              <w:top w:w="40" w:type="dxa"/>
              <w:left w:w="0" w:type="dxa"/>
              <w:bottom w:w="40" w:type="dxa"/>
              <w:right w:w="20" w:type="dxa"/>
            </w:tcMar>
            <w:vAlign w:val="center"/>
          </w:tcPr>
          <w:p w14:paraId="07DD04E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4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4EF"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07DD04F0"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4F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4F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4F3" w14:textId="77777777" w:rsidR="00AE727E" w:rsidRDefault="008433E0">
            <w:pPr>
              <w:jc w:val="right"/>
              <w:textAlignment w:val="center"/>
            </w:pPr>
            <w:r>
              <w:rPr>
                <w:rFonts w:ascii="Times New Roman" w:eastAsia="宋体" w:hAnsi="Times New Roman"/>
                <w:color w:val="000000"/>
                <w:sz w:val="20"/>
                <w:szCs w:val="20"/>
              </w:rPr>
              <w:t>17,985 </w:t>
            </w:r>
          </w:p>
        </w:tc>
        <w:tc>
          <w:tcPr>
            <w:tcW w:w="0" w:type="auto"/>
            <w:shd w:val="clear" w:color="auto" w:fill="FFFFFF"/>
            <w:tcMar>
              <w:top w:w="40" w:type="dxa"/>
              <w:left w:w="0" w:type="dxa"/>
              <w:bottom w:w="40" w:type="dxa"/>
              <w:right w:w="20" w:type="dxa"/>
            </w:tcMar>
            <w:vAlign w:val="center"/>
          </w:tcPr>
          <w:p w14:paraId="07DD04F4" w14:textId="77777777" w:rsidR="00AE727E" w:rsidRDefault="00AE727E">
            <w:pPr>
              <w:jc w:val="right"/>
              <w:rPr>
                <w:rFonts w:ascii="宋体"/>
              </w:rPr>
            </w:pPr>
          </w:p>
        </w:tc>
      </w:tr>
      <w:tr w:rsidR="00AE727E" w14:paraId="07DD0502" w14:textId="77777777">
        <w:trPr>
          <w:jc w:val="center"/>
        </w:trPr>
        <w:tc>
          <w:tcPr>
            <w:tcW w:w="0" w:type="auto"/>
            <w:gridSpan w:val="3"/>
            <w:shd w:val="clear" w:color="auto" w:fill="CCEEFF"/>
            <w:tcMar>
              <w:top w:w="40" w:type="dxa"/>
              <w:left w:w="155" w:type="dxa"/>
              <w:bottom w:w="40" w:type="dxa"/>
              <w:right w:w="20" w:type="dxa"/>
            </w:tcMar>
            <w:vAlign w:val="bottom"/>
          </w:tcPr>
          <w:p w14:paraId="07DD04F6"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CCEEFF"/>
            <w:tcMar>
              <w:top w:w="0" w:type="dxa"/>
              <w:left w:w="20" w:type="dxa"/>
              <w:bottom w:w="0" w:type="dxa"/>
              <w:right w:w="20" w:type="dxa"/>
            </w:tcMar>
            <w:vAlign w:val="bottom"/>
          </w:tcPr>
          <w:p w14:paraId="07DD04F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4F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0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01" w14:textId="77777777" w:rsidR="00AE727E" w:rsidRDefault="00AE727E">
            <w:pPr>
              <w:rPr>
                <w:rFonts w:ascii="宋体"/>
              </w:rPr>
            </w:pPr>
          </w:p>
        </w:tc>
      </w:tr>
      <w:tr w:rsidR="00AE727E" w14:paraId="07DD0513" w14:textId="77777777">
        <w:trPr>
          <w:jc w:val="center"/>
        </w:trPr>
        <w:tc>
          <w:tcPr>
            <w:tcW w:w="0" w:type="auto"/>
            <w:gridSpan w:val="3"/>
            <w:shd w:val="clear" w:color="auto" w:fill="FFFFFF"/>
            <w:tcMar>
              <w:top w:w="40" w:type="dxa"/>
              <w:left w:w="245" w:type="dxa"/>
              <w:bottom w:w="40" w:type="dxa"/>
              <w:right w:w="20" w:type="dxa"/>
            </w:tcMar>
            <w:vAlign w:val="bottom"/>
          </w:tcPr>
          <w:p w14:paraId="07DD0503"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07DD0504"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07DD05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0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0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0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09" w14:textId="77777777" w:rsidR="00AE727E" w:rsidRDefault="008433E0">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07DD050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0C" w14:textId="77777777" w:rsidR="00AE727E" w:rsidRDefault="008433E0">
            <w:pPr>
              <w:jc w:val="right"/>
              <w:textAlignment w:val="center"/>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center"/>
          </w:tcPr>
          <w:p w14:paraId="07DD050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0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0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1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11" w14:textId="77777777" w:rsidR="00AE727E" w:rsidRDefault="008433E0">
            <w:pPr>
              <w:jc w:val="right"/>
              <w:textAlignment w:val="center"/>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center"/>
          </w:tcPr>
          <w:p w14:paraId="07DD0512" w14:textId="77777777" w:rsidR="00AE727E" w:rsidRDefault="00AE727E">
            <w:pPr>
              <w:jc w:val="right"/>
              <w:rPr>
                <w:rFonts w:ascii="宋体"/>
              </w:rPr>
            </w:pPr>
          </w:p>
        </w:tc>
      </w:tr>
      <w:tr w:rsidR="00AE727E" w14:paraId="07DD052A" w14:textId="77777777">
        <w:trPr>
          <w:jc w:val="center"/>
        </w:trPr>
        <w:tc>
          <w:tcPr>
            <w:tcW w:w="0" w:type="auto"/>
            <w:gridSpan w:val="3"/>
            <w:shd w:val="clear" w:color="auto" w:fill="CCEEFF"/>
            <w:tcMar>
              <w:top w:w="40" w:type="dxa"/>
              <w:left w:w="380" w:type="dxa"/>
              <w:bottom w:w="40" w:type="dxa"/>
              <w:right w:w="20" w:type="dxa"/>
            </w:tcMar>
            <w:vAlign w:val="bottom"/>
          </w:tcPr>
          <w:p w14:paraId="07DD0514" w14:textId="77777777" w:rsidR="00AE727E" w:rsidRDefault="008433E0">
            <w:pPr>
              <w:textAlignment w:val="bottom"/>
            </w:pPr>
            <w:r>
              <w:rPr>
                <w:rFonts w:ascii="Times New Roman" w:eastAsia="宋体" w:hAnsi="Times New Roman"/>
                <w:color w:val="000000"/>
                <w:sz w:val="20"/>
                <w:szCs w:val="20"/>
              </w:rPr>
              <w:t>Non-GAAP services net revenue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051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516" w14:textId="77777777" w:rsidR="00AE727E" w:rsidRDefault="008433E0">
            <w:pPr>
              <w:jc w:val="right"/>
              <w:textAlignment w:val="center"/>
            </w:pPr>
            <w:r>
              <w:rPr>
                <w:rFonts w:ascii="Times New Roman" w:eastAsia="宋体" w:hAnsi="Times New Roman"/>
                <w:color w:val="000000"/>
                <w:sz w:val="20"/>
                <w:szCs w:val="20"/>
              </w:rPr>
              <w:t>6,865 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51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1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19"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51A"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51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51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51D" w14:textId="77777777" w:rsidR="00AE727E" w:rsidRDefault="008433E0">
            <w:pPr>
              <w:jc w:val="right"/>
              <w:textAlignment w:val="center"/>
            </w:pPr>
            <w:r>
              <w:rPr>
                <w:rFonts w:ascii="Times New Roman" w:eastAsia="宋体" w:hAnsi="Times New Roman"/>
                <w:color w:val="000000"/>
                <w:sz w:val="20"/>
                <w:szCs w:val="20"/>
              </w:rPr>
              <w:t>6,167 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51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1F"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52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521" w14:textId="77777777" w:rsidR="00AE727E" w:rsidRDefault="008433E0">
            <w:pPr>
              <w:jc w:val="right"/>
              <w:textAlignment w:val="center"/>
            </w:pPr>
            <w:r>
              <w:rPr>
                <w:rFonts w:ascii="Times New Roman" w:eastAsia="宋体" w:hAnsi="Times New Roman"/>
                <w:color w:val="000000"/>
                <w:sz w:val="20"/>
                <w:szCs w:val="20"/>
              </w:rPr>
              <w:t>20,069 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52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2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24"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52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526"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52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528" w14:textId="77777777" w:rsidR="00AE727E" w:rsidRDefault="008433E0">
            <w:pPr>
              <w:jc w:val="right"/>
              <w:textAlignment w:val="center"/>
            </w:pPr>
            <w:r>
              <w:rPr>
                <w:rFonts w:ascii="Times New Roman" w:eastAsia="宋体" w:hAnsi="Times New Roman"/>
                <w:color w:val="000000"/>
                <w:sz w:val="20"/>
                <w:szCs w:val="20"/>
              </w:rPr>
              <w:t>18,106 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529" w14:textId="77777777" w:rsidR="00AE727E" w:rsidRDefault="00AE727E">
            <w:pPr>
              <w:jc w:val="right"/>
              <w:rPr>
                <w:rFonts w:ascii="宋体"/>
              </w:rPr>
            </w:pPr>
          </w:p>
        </w:tc>
      </w:tr>
      <w:tr w:rsidR="00AE727E" w14:paraId="07DD0537" w14:textId="77777777">
        <w:trPr>
          <w:trHeight w:val="280"/>
          <w:jc w:val="center"/>
        </w:trPr>
        <w:tc>
          <w:tcPr>
            <w:tcW w:w="0" w:type="auto"/>
            <w:gridSpan w:val="3"/>
            <w:shd w:val="clear" w:color="auto" w:fill="FFFFFF"/>
            <w:tcMar>
              <w:top w:w="0" w:type="dxa"/>
              <w:left w:w="20" w:type="dxa"/>
              <w:bottom w:w="0" w:type="dxa"/>
              <w:right w:w="20" w:type="dxa"/>
            </w:tcMar>
            <w:vAlign w:val="bottom"/>
          </w:tcPr>
          <w:p w14:paraId="07DD052B"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52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2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2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2F"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53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31"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53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3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3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35"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536" w14:textId="77777777" w:rsidR="00AE727E" w:rsidRDefault="00AE727E">
            <w:pPr>
              <w:rPr>
                <w:rFonts w:ascii="宋体"/>
              </w:rPr>
            </w:pPr>
          </w:p>
        </w:tc>
      </w:tr>
      <w:tr w:rsidR="00AE727E" w14:paraId="07DD054E" w14:textId="77777777">
        <w:trPr>
          <w:jc w:val="center"/>
        </w:trPr>
        <w:tc>
          <w:tcPr>
            <w:tcW w:w="0" w:type="auto"/>
            <w:gridSpan w:val="3"/>
            <w:shd w:val="clear" w:color="auto" w:fill="CCEEFF"/>
            <w:tcMar>
              <w:top w:w="40" w:type="dxa"/>
              <w:left w:w="20" w:type="dxa"/>
              <w:bottom w:w="40" w:type="dxa"/>
              <w:right w:w="20" w:type="dxa"/>
            </w:tcMar>
            <w:vAlign w:val="bottom"/>
          </w:tcPr>
          <w:p w14:paraId="07DD0538" w14:textId="77777777" w:rsidR="00AE727E" w:rsidRDefault="008433E0">
            <w:pPr>
              <w:textAlignment w:val="bottom"/>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right w:w="0" w:type="dxa"/>
            </w:tcMar>
            <w:vAlign w:val="center"/>
          </w:tcPr>
          <w:p w14:paraId="07DD053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53A" w14:textId="77777777" w:rsidR="00AE727E" w:rsidRDefault="008433E0">
            <w:pPr>
              <w:jc w:val="right"/>
              <w:textAlignment w:val="center"/>
            </w:pPr>
            <w:r>
              <w:rPr>
                <w:rFonts w:ascii="Times New Roman" w:eastAsia="宋体" w:hAnsi="Times New Roman"/>
                <w:color w:val="000000"/>
                <w:sz w:val="20"/>
                <w:szCs w:val="20"/>
              </w:rPr>
              <w:t>28,394 </w:t>
            </w:r>
          </w:p>
        </w:tc>
        <w:tc>
          <w:tcPr>
            <w:tcW w:w="0" w:type="auto"/>
            <w:shd w:val="clear" w:color="auto" w:fill="CCEEFF"/>
            <w:tcMar>
              <w:top w:w="40" w:type="dxa"/>
              <w:left w:w="0" w:type="dxa"/>
              <w:bottom w:w="40" w:type="dxa"/>
              <w:right w:w="20" w:type="dxa"/>
            </w:tcMar>
            <w:vAlign w:val="center"/>
          </w:tcPr>
          <w:p w14:paraId="07DD053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3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3D" w14:textId="77777777" w:rsidR="00AE727E" w:rsidRDefault="008433E0">
            <w:pPr>
              <w:jc w:val="right"/>
              <w:textAlignment w:val="center"/>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center"/>
          </w:tcPr>
          <w:p w14:paraId="07DD053E"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53F"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54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541" w14:textId="77777777" w:rsidR="00AE727E" w:rsidRDefault="008433E0">
            <w:pPr>
              <w:jc w:val="right"/>
              <w:textAlignment w:val="center"/>
            </w:pPr>
            <w:r>
              <w:rPr>
                <w:rFonts w:ascii="Times New Roman" w:eastAsia="宋体" w:hAnsi="Times New Roman"/>
                <w:color w:val="000000"/>
                <w:sz w:val="20"/>
                <w:szCs w:val="20"/>
              </w:rPr>
              <w:t>23,482 </w:t>
            </w:r>
          </w:p>
        </w:tc>
        <w:tc>
          <w:tcPr>
            <w:tcW w:w="0" w:type="auto"/>
            <w:shd w:val="clear" w:color="auto" w:fill="CCEEFF"/>
            <w:tcMar>
              <w:top w:w="40" w:type="dxa"/>
              <w:left w:w="0" w:type="dxa"/>
              <w:bottom w:w="40" w:type="dxa"/>
              <w:right w:w="20" w:type="dxa"/>
            </w:tcMar>
            <w:vAlign w:val="center"/>
          </w:tcPr>
          <w:p w14:paraId="07DD05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43"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54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545" w14:textId="77777777" w:rsidR="00AE727E" w:rsidRDefault="008433E0">
            <w:pPr>
              <w:jc w:val="right"/>
              <w:textAlignment w:val="center"/>
            </w:pPr>
            <w:r>
              <w:rPr>
                <w:rFonts w:ascii="Times New Roman" w:eastAsia="宋体" w:hAnsi="Times New Roman"/>
                <w:color w:val="000000"/>
                <w:sz w:val="20"/>
                <w:szCs w:val="20"/>
              </w:rPr>
              <w:t>79,003 </w:t>
            </w:r>
          </w:p>
        </w:tc>
        <w:tc>
          <w:tcPr>
            <w:tcW w:w="0" w:type="auto"/>
            <w:shd w:val="clear" w:color="auto" w:fill="CCEEFF"/>
            <w:tcMar>
              <w:top w:w="40" w:type="dxa"/>
              <w:left w:w="0" w:type="dxa"/>
              <w:bottom w:w="40" w:type="dxa"/>
              <w:right w:w="20" w:type="dxa"/>
            </w:tcMar>
            <w:vAlign w:val="center"/>
          </w:tcPr>
          <w:p w14:paraId="07DD054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4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48"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center"/>
          </w:tcPr>
          <w:p w14:paraId="07DD0549"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54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54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54C" w14:textId="77777777" w:rsidR="00AE727E" w:rsidRDefault="008433E0">
            <w:pPr>
              <w:jc w:val="right"/>
              <w:textAlignment w:val="center"/>
            </w:pPr>
            <w:r>
              <w:rPr>
                <w:rFonts w:ascii="Times New Roman" w:eastAsia="宋体" w:hAnsi="Times New Roman"/>
                <w:color w:val="000000"/>
                <w:sz w:val="20"/>
                <w:szCs w:val="20"/>
              </w:rPr>
              <w:t>68,112 </w:t>
            </w:r>
          </w:p>
        </w:tc>
        <w:tc>
          <w:tcPr>
            <w:tcW w:w="0" w:type="auto"/>
            <w:shd w:val="clear" w:color="auto" w:fill="CCEEFF"/>
            <w:tcMar>
              <w:top w:w="40" w:type="dxa"/>
              <w:left w:w="0" w:type="dxa"/>
              <w:bottom w:w="40" w:type="dxa"/>
              <w:right w:w="20" w:type="dxa"/>
            </w:tcMar>
            <w:vAlign w:val="center"/>
          </w:tcPr>
          <w:p w14:paraId="07DD054D" w14:textId="77777777" w:rsidR="00AE727E" w:rsidRDefault="00AE727E">
            <w:pPr>
              <w:jc w:val="right"/>
              <w:rPr>
                <w:rFonts w:ascii="宋体"/>
              </w:rPr>
            </w:pPr>
          </w:p>
        </w:tc>
      </w:tr>
      <w:tr w:rsidR="00AE727E" w14:paraId="07DD055B" w14:textId="77777777">
        <w:trPr>
          <w:jc w:val="center"/>
        </w:trPr>
        <w:tc>
          <w:tcPr>
            <w:tcW w:w="0" w:type="auto"/>
            <w:gridSpan w:val="3"/>
            <w:shd w:val="clear" w:color="auto" w:fill="FFFFFF"/>
            <w:tcMar>
              <w:top w:w="40" w:type="dxa"/>
              <w:left w:w="155" w:type="dxa"/>
              <w:bottom w:w="40" w:type="dxa"/>
              <w:right w:w="20" w:type="dxa"/>
            </w:tcMar>
            <w:vAlign w:val="bottom"/>
          </w:tcPr>
          <w:p w14:paraId="07DD054F"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FFFFFF"/>
            <w:tcMar>
              <w:top w:w="0" w:type="dxa"/>
              <w:left w:w="20" w:type="dxa"/>
              <w:bottom w:w="0" w:type="dxa"/>
              <w:right w:w="20" w:type="dxa"/>
            </w:tcMar>
            <w:vAlign w:val="bottom"/>
          </w:tcPr>
          <w:p w14:paraId="07DD055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5A" w14:textId="77777777" w:rsidR="00AE727E" w:rsidRDefault="00AE727E">
            <w:pPr>
              <w:rPr>
                <w:rFonts w:ascii="宋体"/>
              </w:rPr>
            </w:pPr>
          </w:p>
        </w:tc>
      </w:tr>
      <w:tr w:rsidR="00AE727E" w14:paraId="07DD056C" w14:textId="77777777">
        <w:trPr>
          <w:jc w:val="center"/>
        </w:trPr>
        <w:tc>
          <w:tcPr>
            <w:tcW w:w="0" w:type="auto"/>
            <w:gridSpan w:val="3"/>
            <w:shd w:val="clear" w:color="auto" w:fill="CCEEFF"/>
            <w:tcMar>
              <w:top w:w="40" w:type="dxa"/>
              <w:left w:w="245" w:type="dxa"/>
              <w:bottom w:w="40" w:type="dxa"/>
              <w:right w:w="20" w:type="dxa"/>
            </w:tcMar>
            <w:vAlign w:val="bottom"/>
          </w:tcPr>
          <w:p w14:paraId="07DD055C"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07DD055D"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55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6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6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62" w14:textId="77777777" w:rsidR="00AE727E" w:rsidRDefault="008433E0">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07DD05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6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65" w14:textId="77777777" w:rsidR="00AE727E" w:rsidRDefault="008433E0">
            <w:pPr>
              <w:jc w:val="right"/>
              <w:textAlignment w:val="center"/>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center"/>
          </w:tcPr>
          <w:p w14:paraId="07DD056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6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6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6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6A" w14:textId="77777777" w:rsidR="00AE727E" w:rsidRDefault="008433E0">
            <w:pPr>
              <w:jc w:val="right"/>
              <w:textAlignment w:val="center"/>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center"/>
          </w:tcPr>
          <w:p w14:paraId="07DD056B" w14:textId="77777777" w:rsidR="00AE727E" w:rsidRDefault="00AE727E">
            <w:pPr>
              <w:jc w:val="right"/>
              <w:rPr>
                <w:rFonts w:ascii="宋体"/>
              </w:rPr>
            </w:pPr>
          </w:p>
        </w:tc>
      </w:tr>
      <w:tr w:rsidR="00AE727E" w14:paraId="07DD0583" w14:textId="77777777">
        <w:trPr>
          <w:jc w:val="center"/>
        </w:trPr>
        <w:tc>
          <w:tcPr>
            <w:tcW w:w="0" w:type="auto"/>
            <w:gridSpan w:val="3"/>
            <w:shd w:val="clear" w:color="auto" w:fill="FFFFFF"/>
            <w:tcMar>
              <w:top w:w="40" w:type="dxa"/>
              <w:left w:w="380" w:type="dxa"/>
              <w:bottom w:w="40" w:type="dxa"/>
              <w:right w:w="20" w:type="dxa"/>
            </w:tcMar>
            <w:vAlign w:val="bottom"/>
          </w:tcPr>
          <w:p w14:paraId="07DD056D" w14:textId="77777777" w:rsidR="00AE727E" w:rsidRDefault="008433E0">
            <w:pPr>
              <w:textAlignment w:val="bottom"/>
            </w:pPr>
            <w:r>
              <w:rPr>
                <w:rFonts w:ascii="Times New Roman" w:eastAsia="宋体" w:hAnsi="Times New Roman"/>
                <w:color w:val="000000"/>
                <w:sz w:val="20"/>
                <w:szCs w:val="20"/>
              </w:rPr>
              <w:t>Non-GAAP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056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56F" w14:textId="77777777" w:rsidR="00AE727E" w:rsidRDefault="008433E0">
            <w:pPr>
              <w:jc w:val="right"/>
              <w:textAlignment w:val="center"/>
            </w:pPr>
            <w:r>
              <w:rPr>
                <w:rFonts w:ascii="Times New Roman" w:eastAsia="宋体" w:hAnsi="Times New Roman"/>
                <w:color w:val="000000"/>
                <w:sz w:val="20"/>
                <w:szCs w:val="20"/>
              </w:rPr>
              <w:t>28,405 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5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7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72" w14:textId="77777777" w:rsidR="00AE727E" w:rsidRDefault="008433E0">
            <w:pPr>
              <w:jc w:val="right"/>
              <w:textAlignment w:val="center"/>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center"/>
          </w:tcPr>
          <w:p w14:paraId="07DD0573"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57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57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576" w14:textId="77777777" w:rsidR="00AE727E" w:rsidRDefault="008433E0">
            <w:pPr>
              <w:jc w:val="right"/>
              <w:textAlignment w:val="center"/>
            </w:pPr>
            <w:r>
              <w:rPr>
                <w:rFonts w:ascii="Times New Roman" w:eastAsia="宋体" w:hAnsi="Times New Roman"/>
                <w:color w:val="000000"/>
                <w:sz w:val="20"/>
                <w:szCs w:val="20"/>
              </w:rPr>
              <w:t>23,521 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57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78"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57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57A" w14:textId="77777777" w:rsidR="00AE727E" w:rsidRDefault="008433E0">
            <w:pPr>
              <w:jc w:val="right"/>
              <w:textAlignment w:val="center"/>
            </w:pPr>
            <w:r>
              <w:rPr>
                <w:rFonts w:ascii="Times New Roman" w:eastAsia="宋体" w:hAnsi="Times New Roman"/>
                <w:color w:val="000000"/>
                <w:sz w:val="20"/>
                <w:szCs w:val="20"/>
              </w:rPr>
              <w:t>79,037 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57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7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7D"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center"/>
          </w:tcPr>
          <w:p w14:paraId="07DD057E"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57F"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58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581" w14:textId="77777777" w:rsidR="00AE727E" w:rsidRDefault="008433E0">
            <w:pPr>
              <w:jc w:val="right"/>
              <w:textAlignment w:val="center"/>
            </w:pPr>
            <w:r>
              <w:rPr>
                <w:rFonts w:ascii="Times New Roman" w:eastAsia="宋体" w:hAnsi="Times New Roman"/>
                <w:color w:val="000000"/>
                <w:sz w:val="20"/>
                <w:szCs w:val="20"/>
              </w:rPr>
              <w:t>68,241 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582" w14:textId="77777777" w:rsidR="00AE727E" w:rsidRDefault="00AE727E">
            <w:pPr>
              <w:jc w:val="right"/>
              <w:rPr>
                <w:rFonts w:ascii="宋体"/>
              </w:rPr>
            </w:pPr>
          </w:p>
        </w:tc>
      </w:tr>
      <w:tr w:rsidR="00AE727E" w14:paraId="07DD0590" w14:textId="77777777">
        <w:trPr>
          <w:trHeight w:val="280"/>
          <w:jc w:val="center"/>
        </w:trPr>
        <w:tc>
          <w:tcPr>
            <w:tcW w:w="0" w:type="auto"/>
            <w:gridSpan w:val="3"/>
            <w:shd w:val="clear" w:color="auto" w:fill="CCEEFF"/>
            <w:tcMar>
              <w:top w:w="0" w:type="dxa"/>
              <w:left w:w="20" w:type="dxa"/>
              <w:bottom w:w="0" w:type="dxa"/>
              <w:right w:w="20" w:type="dxa"/>
            </w:tcMar>
            <w:vAlign w:val="bottom"/>
          </w:tcPr>
          <w:p w14:paraId="07DD0584"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58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8"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58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A"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58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8E"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58F" w14:textId="77777777" w:rsidR="00AE727E" w:rsidRDefault="00AE727E">
            <w:pPr>
              <w:rPr>
                <w:rFonts w:ascii="宋体"/>
              </w:rPr>
            </w:pPr>
          </w:p>
        </w:tc>
      </w:tr>
      <w:tr w:rsidR="00AE727E" w14:paraId="07DD05A7" w14:textId="77777777">
        <w:trPr>
          <w:jc w:val="center"/>
        </w:trPr>
        <w:tc>
          <w:tcPr>
            <w:tcW w:w="0" w:type="auto"/>
            <w:gridSpan w:val="3"/>
            <w:shd w:val="clear" w:color="auto" w:fill="FFFFFF"/>
            <w:tcMar>
              <w:top w:w="40" w:type="dxa"/>
              <w:left w:w="20" w:type="dxa"/>
              <w:bottom w:w="40" w:type="dxa"/>
              <w:right w:w="20" w:type="dxa"/>
            </w:tcMar>
            <w:vAlign w:val="bottom"/>
          </w:tcPr>
          <w:p w14:paraId="07DD0591" w14:textId="77777777" w:rsidR="00AE727E" w:rsidRDefault="008433E0">
            <w:pPr>
              <w:textAlignment w:val="bottom"/>
            </w:pPr>
            <w:r>
              <w:rPr>
                <w:rFonts w:ascii="Times New Roman" w:eastAsia="宋体" w:hAnsi="Times New Roman"/>
                <w:color w:val="000000"/>
                <w:sz w:val="20"/>
                <w:szCs w:val="20"/>
              </w:rPr>
              <w:t>Product gross margin</w:t>
            </w:r>
          </w:p>
        </w:tc>
        <w:tc>
          <w:tcPr>
            <w:tcW w:w="0" w:type="auto"/>
            <w:shd w:val="clear" w:color="auto" w:fill="FFFFFF"/>
            <w:tcMar>
              <w:top w:w="40" w:type="dxa"/>
              <w:left w:w="20" w:type="dxa"/>
              <w:bottom w:w="40" w:type="dxa"/>
              <w:right w:w="0" w:type="dxa"/>
            </w:tcMar>
            <w:vAlign w:val="center"/>
          </w:tcPr>
          <w:p w14:paraId="07DD059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593" w14:textId="77777777" w:rsidR="00AE727E" w:rsidRDefault="008433E0">
            <w:pPr>
              <w:jc w:val="right"/>
              <w:textAlignment w:val="center"/>
            </w:pPr>
            <w:r>
              <w:rPr>
                <w:rFonts w:ascii="Times New Roman" w:eastAsia="宋体" w:hAnsi="Times New Roman"/>
                <w:color w:val="000000"/>
                <w:sz w:val="20"/>
                <w:szCs w:val="20"/>
              </w:rPr>
              <w:t>3,988 </w:t>
            </w:r>
          </w:p>
        </w:tc>
        <w:tc>
          <w:tcPr>
            <w:tcW w:w="0" w:type="auto"/>
            <w:shd w:val="clear" w:color="auto" w:fill="FFFFFF"/>
            <w:tcMar>
              <w:top w:w="40" w:type="dxa"/>
              <w:left w:w="0" w:type="dxa"/>
              <w:bottom w:w="40" w:type="dxa"/>
              <w:right w:w="20" w:type="dxa"/>
            </w:tcMar>
            <w:vAlign w:val="center"/>
          </w:tcPr>
          <w:p w14:paraId="07DD059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9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96"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07DD059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598"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59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59A" w14:textId="77777777" w:rsidR="00AE727E" w:rsidRDefault="008433E0">
            <w:pPr>
              <w:jc w:val="right"/>
              <w:textAlignment w:val="center"/>
            </w:pPr>
            <w:r>
              <w:rPr>
                <w:rFonts w:ascii="Times New Roman" w:eastAsia="宋体" w:hAnsi="Times New Roman"/>
                <w:color w:val="000000"/>
                <w:sz w:val="20"/>
                <w:szCs w:val="20"/>
              </w:rPr>
              <w:t>3,563 </w:t>
            </w:r>
          </w:p>
        </w:tc>
        <w:tc>
          <w:tcPr>
            <w:tcW w:w="0" w:type="auto"/>
            <w:shd w:val="clear" w:color="auto" w:fill="FFFFFF"/>
            <w:tcMar>
              <w:top w:w="40" w:type="dxa"/>
              <w:left w:w="0" w:type="dxa"/>
              <w:bottom w:w="40" w:type="dxa"/>
              <w:right w:w="20" w:type="dxa"/>
            </w:tcMar>
            <w:vAlign w:val="center"/>
          </w:tcPr>
          <w:p w14:paraId="07DD05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9C"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59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59E" w14:textId="77777777" w:rsidR="00AE727E" w:rsidRDefault="008433E0">
            <w:pPr>
              <w:jc w:val="right"/>
              <w:textAlignment w:val="center"/>
            </w:pPr>
            <w:r>
              <w:rPr>
                <w:rFonts w:ascii="Times New Roman" w:eastAsia="宋体" w:hAnsi="Times New Roman"/>
                <w:color w:val="000000"/>
                <w:sz w:val="20"/>
                <w:szCs w:val="20"/>
              </w:rPr>
              <w:t>11,831 </w:t>
            </w:r>
          </w:p>
        </w:tc>
        <w:tc>
          <w:tcPr>
            <w:tcW w:w="0" w:type="auto"/>
            <w:shd w:val="clear" w:color="auto" w:fill="FFFFFF"/>
            <w:tcMar>
              <w:top w:w="40" w:type="dxa"/>
              <w:left w:w="0" w:type="dxa"/>
              <w:bottom w:w="40" w:type="dxa"/>
              <w:right w:w="20" w:type="dxa"/>
            </w:tcMar>
            <w:vAlign w:val="center"/>
          </w:tcPr>
          <w:p w14:paraId="07DD059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A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A1" w14:textId="77777777" w:rsidR="00AE727E" w:rsidRDefault="008433E0">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center"/>
          </w:tcPr>
          <w:p w14:paraId="07DD05A2"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5A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5A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5A5" w14:textId="77777777" w:rsidR="00AE727E" w:rsidRDefault="008433E0">
            <w:pPr>
              <w:jc w:val="right"/>
              <w:textAlignment w:val="center"/>
            </w:pPr>
            <w:r>
              <w:rPr>
                <w:rFonts w:ascii="Times New Roman" w:eastAsia="宋体" w:hAnsi="Times New Roman"/>
                <w:color w:val="000000"/>
                <w:sz w:val="20"/>
                <w:szCs w:val="20"/>
              </w:rPr>
              <w:t>10,204 </w:t>
            </w:r>
          </w:p>
        </w:tc>
        <w:tc>
          <w:tcPr>
            <w:tcW w:w="0" w:type="auto"/>
            <w:shd w:val="clear" w:color="auto" w:fill="FFFFFF"/>
            <w:tcMar>
              <w:top w:w="40" w:type="dxa"/>
              <w:left w:w="0" w:type="dxa"/>
              <w:bottom w:w="40" w:type="dxa"/>
              <w:right w:w="20" w:type="dxa"/>
            </w:tcMar>
            <w:vAlign w:val="center"/>
          </w:tcPr>
          <w:p w14:paraId="07DD05A6" w14:textId="77777777" w:rsidR="00AE727E" w:rsidRDefault="00AE727E">
            <w:pPr>
              <w:jc w:val="right"/>
              <w:rPr>
                <w:rFonts w:ascii="宋体"/>
              </w:rPr>
            </w:pPr>
          </w:p>
        </w:tc>
      </w:tr>
      <w:tr w:rsidR="00AE727E" w14:paraId="07DD05B4" w14:textId="77777777">
        <w:trPr>
          <w:jc w:val="center"/>
        </w:trPr>
        <w:tc>
          <w:tcPr>
            <w:tcW w:w="0" w:type="auto"/>
            <w:gridSpan w:val="3"/>
            <w:shd w:val="clear" w:color="auto" w:fill="CCEEFF"/>
            <w:tcMar>
              <w:top w:w="40" w:type="dxa"/>
              <w:left w:w="155" w:type="dxa"/>
              <w:bottom w:w="40" w:type="dxa"/>
              <w:right w:w="20" w:type="dxa"/>
            </w:tcMar>
            <w:vAlign w:val="bottom"/>
          </w:tcPr>
          <w:p w14:paraId="07DD05A8"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CCEEFF"/>
            <w:tcMar>
              <w:top w:w="0" w:type="dxa"/>
              <w:left w:w="20" w:type="dxa"/>
              <w:bottom w:w="0" w:type="dxa"/>
              <w:right w:w="20" w:type="dxa"/>
            </w:tcMar>
            <w:vAlign w:val="bottom"/>
          </w:tcPr>
          <w:p w14:paraId="07DD05A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A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B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B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B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B3" w14:textId="77777777" w:rsidR="00AE727E" w:rsidRDefault="00AE727E">
            <w:pPr>
              <w:rPr>
                <w:rFonts w:ascii="宋体"/>
              </w:rPr>
            </w:pPr>
          </w:p>
        </w:tc>
      </w:tr>
      <w:tr w:rsidR="00AE727E" w14:paraId="07DD05C5" w14:textId="77777777">
        <w:trPr>
          <w:jc w:val="center"/>
        </w:trPr>
        <w:tc>
          <w:tcPr>
            <w:tcW w:w="0" w:type="auto"/>
            <w:gridSpan w:val="3"/>
            <w:shd w:val="clear" w:color="auto" w:fill="FFFFFF"/>
            <w:tcMar>
              <w:top w:w="40" w:type="dxa"/>
              <w:left w:w="245" w:type="dxa"/>
              <w:bottom w:w="40" w:type="dxa"/>
              <w:right w:w="20" w:type="dxa"/>
            </w:tcMar>
            <w:vAlign w:val="bottom"/>
          </w:tcPr>
          <w:p w14:paraId="07DD05B5"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07DD05B6" w14:textId="77777777" w:rsidR="00AE727E" w:rsidRDefault="008433E0">
            <w:pPr>
              <w:jc w:val="right"/>
              <w:textAlignment w:val="center"/>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center"/>
          </w:tcPr>
          <w:p w14:paraId="07DD05B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B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B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B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BB" w14:textId="77777777" w:rsidR="00AE727E" w:rsidRDefault="008433E0">
            <w:pPr>
              <w:jc w:val="right"/>
              <w:textAlignment w:val="center"/>
            </w:pPr>
            <w:r>
              <w:rPr>
                <w:rFonts w:ascii="Times New Roman" w:eastAsia="宋体" w:hAnsi="Times New Roman"/>
                <w:color w:val="000000"/>
                <w:sz w:val="20"/>
                <w:szCs w:val="20"/>
              </w:rPr>
              <w:t>376 </w:t>
            </w:r>
          </w:p>
        </w:tc>
        <w:tc>
          <w:tcPr>
            <w:tcW w:w="0" w:type="auto"/>
            <w:shd w:val="clear" w:color="auto" w:fill="FFFFFF"/>
            <w:tcMar>
              <w:top w:w="40" w:type="dxa"/>
              <w:left w:w="0" w:type="dxa"/>
              <w:bottom w:w="40" w:type="dxa"/>
              <w:right w:w="20" w:type="dxa"/>
            </w:tcMar>
            <w:vAlign w:val="center"/>
          </w:tcPr>
          <w:p w14:paraId="07DD05B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B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BE" w14:textId="77777777" w:rsidR="00AE727E" w:rsidRDefault="008433E0">
            <w:pPr>
              <w:jc w:val="right"/>
              <w:textAlignment w:val="center"/>
            </w:pPr>
            <w:r>
              <w:rPr>
                <w:rFonts w:ascii="Times New Roman" w:eastAsia="宋体" w:hAnsi="Times New Roman"/>
                <w:color w:val="000000"/>
                <w:sz w:val="20"/>
                <w:szCs w:val="20"/>
              </w:rPr>
              <w:t>828 </w:t>
            </w:r>
          </w:p>
        </w:tc>
        <w:tc>
          <w:tcPr>
            <w:tcW w:w="0" w:type="auto"/>
            <w:shd w:val="clear" w:color="auto" w:fill="FFFFFF"/>
            <w:tcMar>
              <w:top w:w="40" w:type="dxa"/>
              <w:left w:w="0" w:type="dxa"/>
              <w:bottom w:w="40" w:type="dxa"/>
              <w:right w:w="20" w:type="dxa"/>
            </w:tcMar>
            <w:vAlign w:val="center"/>
          </w:tcPr>
          <w:p w14:paraId="07DD05B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C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C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C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C3" w14:textId="77777777" w:rsidR="00AE727E" w:rsidRDefault="008433E0">
            <w:pPr>
              <w:jc w:val="right"/>
              <w:textAlignment w:val="center"/>
            </w:pPr>
            <w:r>
              <w:rPr>
                <w:rFonts w:ascii="Times New Roman" w:eastAsia="宋体" w:hAnsi="Times New Roman"/>
                <w:color w:val="000000"/>
                <w:sz w:val="20"/>
                <w:szCs w:val="20"/>
              </w:rPr>
              <w:t>1,122 </w:t>
            </w:r>
          </w:p>
        </w:tc>
        <w:tc>
          <w:tcPr>
            <w:tcW w:w="0" w:type="auto"/>
            <w:shd w:val="clear" w:color="auto" w:fill="FFFFFF"/>
            <w:tcMar>
              <w:top w:w="40" w:type="dxa"/>
              <w:left w:w="0" w:type="dxa"/>
              <w:bottom w:w="40" w:type="dxa"/>
              <w:right w:w="20" w:type="dxa"/>
            </w:tcMar>
            <w:vAlign w:val="center"/>
          </w:tcPr>
          <w:p w14:paraId="07DD05C4" w14:textId="77777777" w:rsidR="00AE727E" w:rsidRDefault="00AE727E">
            <w:pPr>
              <w:jc w:val="right"/>
              <w:rPr>
                <w:rFonts w:ascii="宋体"/>
              </w:rPr>
            </w:pPr>
          </w:p>
        </w:tc>
      </w:tr>
      <w:tr w:rsidR="00AE727E" w14:paraId="07DD05D6" w14:textId="77777777">
        <w:trPr>
          <w:jc w:val="center"/>
        </w:trPr>
        <w:tc>
          <w:tcPr>
            <w:tcW w:w="0" w:type="auto"/>
            <w:gridSpan w:val="3"/>
            <w:shd w:val="clear" w:color="auto" w:fill="CCEEFF"/>
            <w:tcMar>
              <w:top w:w="40" w:type="dxa"/>
              <w:left w:w="245" w:type="dxa"/>
              <w:bottom w:w="40" w:type="dxa"/>
              <w:right w:w="20" w:type="dxa"/>
            </w:tcMar>
            <w:vAlign w:val="bottom"/>
          </w:tcPr>
          <w:p w14:paraId="07DD05C6"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07DD05C7"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05C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C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C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C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CC" w14:textId="77777777" w:rsidR="00AE727E" w:rsidRDefault="008433E0">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07DD05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C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CF" w14:textId="77777777" w:rsidR="00AE727E" w:rsidRDefault="008433E0">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07DD05D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D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D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D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D4" w14:textId="77777777" w:rsidR="00AE727E" w:rsidRDefault="008433E0">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center"/>
          </w:tcPr>
          <w:p w14:paraId="07DD05D5" w14:textId="77777777" w:rsidR="00AE727E" w:rsidRDefault="00AE727E">
            <w:pPr>
              <w:jc w:val="right"/>
              <w:rPr>
                <w:rFonts w:ascii="宋体"/>
              </w:rPr>
            </w:pPr>
          </w:p>
        </w:tc>
      </w:tr>
      <w:tr w:rsidR="00AE727E" w14:paraId="07DD05E3" w14:textId="77777777">
        <w:trPr>
          <w:jc w:val="center"/>
          <w:hidden/>
        </w:trPr>
        <w:tc>
          <w:tcPr>
            <w:tcW w:w="0" w:type="auto"/>
            <w:gridSpan w:val="3"/>
            <w:shd w:val="clear" w:color="auto" w:fill="auto"/>
            <w:vAlign w:val="bottom"/>
          </w:tcPr>
          <w:p w14:paraId="07DD05D7" w14:textId="77777777" w:rsidR="00AE727E" w:rsidRDefault="00AE727E">
            <w:pPr>
              <w:rPr>
                <w:rFonts w:ascii="宋体"/>
                <w:vanish/>
              </w:rPr>
            </w:pPr>
          </w:p>
        </w:tc>
        <w:tc>
          <w:tcPr>
            <w:tcW w:w="0" w:type="auto"/>
            <w:gridSpan w:val="3"/>
            <w:shd w:val="clear" w:color="auto" w:fill="auto"/>
            <w:vAlign w:val="bottom"/>
          </w:tcPr>
          <w:p w14:paraId="07DD05D8" w14:textId="77777777" w:rsidR="00AE727E" w:rsidRDefault="00AE727E">
            <w:pPr>
              <w:rPr>
                <w:rFonts w:ascii="宋体"/>
                <w:vanish/>
              </w:rPr>
            </w:pPr>
          </w:p>
        </w:tc>
        <w:tc>
          <w:tcPr>
            <w:tcW w:w="0" w:type="auto"/>
            <w:gridSpan w:val="3"/>
            <w:shd w:val="clear" w:color="auto" w:fill="auto"/>
            <w:vAlign w:val="bottom"/>
          </w:tcPr>
          <w:p w14:paraId="07DD05D9" w14:textId="77777777" w:rsidR="00AE727E" w:rsidRDefault="00AE727E">
            <w:pPr>
              <w:rPr>
                <w:rFonts w:ascii="宋体"/>
                <w:vanish/>
              </w:rPr>
            </w:pPr>
          </w:p>
        </w:tc>
        <w:tc>
          <w:tcPr>
            <w:tcW w:w="0" w:type="auto"/>
            <w:gridSpan w:val="3"/>
            <w:shd w:val="clear" w:color="auto" w:fill="auto"/>
            <w:vAlign w:val="bottom"/>
          </w:tcPr>
          <w:p w14:paraId="07DD05DA" w14:textId="77777777" w:rsidR="00AE727E" w:rsidRDefault="00AE727E">
            <w:pPr>
              <w:rPr>
                <w:rFonts w:ascii="宋体"/>
                <w:vanish/>
              </w:rPr>
            </w:pPr>
          </w:p>
        </w:tc>
        <w:tc>
          <w:tcPr>
            <w:tcW w:w="0" w:type="auto"/>
            <w:gridSpan w:val="3"/>
            <w:shd w:val="clear" w:color="auto" w:fill="auto"/>
            <w:vAlign w:val="bottom"/>
          </w:tcPr>
          <w:p w14:paraId="07DD05DB" w14:textId="77777777" w:rsidR="00AE727E" w:rsidRDefault="00AE727E">
            <w:pPr>
              <w:rPr>
                <w:rFonts w:ascii="宋体"/>
                <w:vanish/>
              </w:rPr>
            </w:pPr>
          </w:p>
        </w:tc>
        <w:tc>
          <w:tcPr>
            <w:tcW w:w="0" w:type="auto"/>
            <w:gridSpan w:val="3"/>
            <w:shd w:val="clear" w:color="auto" w:fill="auto"/>
            <w:vAlign w:val="bottom"/>
          </w:tcPr>
          <w:p w14:paraId="07DD05DC" w14:textId="77777777" w:rsidR="00AE727E" w:rsidRDefault="00AE727E">
            <w:pPr>
              <w:rPr>
                <w:rFonts w:ascii="宋体"/>
                <w:vanish/>
              </w:rPr>
            </w:pPr>
          </w:p>
        </w:tc>
        <w:tc>
          <w:tcPr>
            <w:tcW w:w="0" w:type="auto"/>
            <w:gridSpan w:val="3"/>
            <w:shd w:val="clear" w:color="auto" w:fill="auto"/>
            <w:vAlign w:val="bottom"/>
          </w:tcPr>
          <w:p w14:paraId="07DD05DD" w14:textId="77777777" w:rsidR="00AE727E" w:rsidRDefault="00AE727E">
            <w:pPr>
              <w:rPr>
                <w:rFonts w:ascii="宋体"/>
                <w:vanish/>
              </w:rPr>
            </w:pPr>
          </w:p>
        </w:tc>
        <w:tc>
          <w:tcPr>
            <w:tcW w:w="0" w:type="auto"/>
            <w:gridSpan w:val="3"/>
            <w:shd w:val="clear" w:color="auto" w:fill="auto"/>
            <w:vAlign w:val="bottom"/>
          </w:tcPr>
          <w:p w14:paraId="07DD05DE" w14:textId="77777777" w:rsidR="00AE727E" w:rsidRDefault="00AE727E">
            <w:pPr>
              <w:rPr>
                <w:rFonts w:ascii="宋体"/>
                <w:vanish/>
              </w:rPr>
            </w:pPr>
          </w:p>
        </w:tc>
        <w:tc>
          <w:tcPr>
            <w:tcW w:w="0" w:type="auto"/>
            <w:gridSpan w:val="3"/>
            <w:shd w:val="clear" w:color="auto" w:fill="auto"/>
            <w:vAlign w:val="bottom"/>
          </w:tcPr>
          <w:p w14:paraId="07DD05DF" w14:textId="77777777" w:rsidR="00AE727E" w:rsidRDefault="00AE727E">
            <w:pPr>
              <w:rPr>
                <w:rFonts w:ascii="宋体"/>
                <w:vanish/>
              </w:rPr>
            </w:pPr>
          </w:p>
        </w:tc>
        <w:tc>
          <w:tcPr>
            <w:tcW w:w="0" w:type="auto"/>
            <w:gridSpan w:val="3"/>
            <w:shd w:val="clear" w:color="auto" w:fill="auto"/>
            <w:vAlign w:val="bottom"/>
          </w:tcPr>
          <w:p w14:paraId="07DD05E0" w14:textId="77777777" w:rsidR="00AE727E" w:rsidRDefault="00AE727E">
            <w:pPr>
              <w:rPr>
                <w:rFonts w:ascii="宋体"/>
                <w:vanish/>
              </w:rPr>
            </w:pPr>
          </w:p>
        </w:tc>
        <w:tc>
          <w:tcPr>
            <w:tcW w:w="0" w:type="auto"/>
            <w:gridSpan w:val="3"/>
            <w:shd w:val="clear" w:color="auto" w:fill="auto"/>
            <w:vAlign w:val="bottom"/>
          </w:tcPr>
          <w:p w14:paraId="07DD05E1" w14:textId="77777777" w:rsidR="00AE727E" w:rsidRDefault="00AE727E">
            <w:pPr>
              <w:rPr>
                <w:rFonts w:ascii="宋体"/>
                <w:vanish/>
              </w:rPr>
            </w:pPr>
          </w:p>
        </w:tc>
        <w:tc>
          <w:tcPr>
            <w:tcW w:w="0" w:type="auto"/>
            <w:gridSpan w:val="3"/>
            <w:shd w:val="clear" w:color="auto" w:fill="auto"/>
            <w:vAlign w:val="bottom"/>
          </w:tcPr>
          <w:p w14:paraId="07DD05E2" w14:textId="77777777" w:rsidR="00AE727E" w:rsidRDefault="00AE727E">
            <w:pPr>
              <w:rPr>
                <w:rFonts w:ascii="宋体"/>
                <w:vanish/>
              </w:rPr>
            </w:pPr>
          </w:p>
        </w:tc>
      </w:tr>
      <w:tr w:rsidR="00AE727E" w14:paraId="07DD05F4" w14:textId="77777777">
        <w:trPr>
          <w:jc w:val="center"/>
        </w:trPr>
        <w:tc>
          <w:tcPr>
            <w:tcW w:w="0" w:type="auto"/>
            <w:gridSpan w:val="3"/>
            <w:shd w:val="clear" w:color="auto" w:fill="FFFFFF"/>
            <w:tcMar>
              <w:top w:w="40" w:type="dxa"/>
              <w:left w:w="245" w:type="dxa"/>
              <w:bottom w:w="40" w:type="dxa"/>
              <w:right w:w="20" w:type="dxa"/>
            </w:tcMar>
            <w:vAlign w:val="bottom"/>
          </w:tcPr>
          <w:p w14:paraId="07DD05E4"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07DD05E5" w14:textId="77777777" w:rsidR="00AE727E" w:rsidRDefault="008433E0">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07DD05E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E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E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E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EA" w14:textId="77777777" w:rsidR="00AE727E" w:rsidRDefault="008433E0">
            <w:pPr>
              <w:jc w:val="right"/>
              <w:textAlignment w:val="center"/>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center"/>
          </w:tcPr>
          <w:p w14:paraId="07DD05E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E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ED" w14:textId="77777777" w:rsidR="00AE727E" w:rsidRDefault="008433E0">
            <w:pPr>
              <w:jc w:val="right"/>
              <w:textAlignment w:val="center"/>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center"/>
          </w:tcPr>
          <w:p w14:paraId="07DD05E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5E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F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5F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5F2"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D05F3" w14:textId="77777777" w:rsidR="00AE727E" w:rsidRDefault="00AE727E">
            <w:pPr>
              <w:jc w:val="right"/>
              <w:rPr>
                <w:rFonts w:ascii="宋体"/>
              </w:rPr>
            </w:pPr>
          </w:p>
        </w:tc>
      </w:tr>
      <w:tr w:rsidR="00AE727E" w14:paraId="07DD0605" w14:textId="77777777">
        <w:trPr>
          <w:jc w:val="center"/>
        </w:trPr>
        <w:tc>
          <w:tcPr>
            <w:tcW w:w="0" w:type="auto"/>
            <w:gridSpan w:val="3"/>
            <w:shd w:val="clear" w:color="auto" w:fill="CCEEFF"/>
            <w:tcMar>
              <w:top w:w="40" w:type="dxa"/>
              <w:left w:w="245" w:type="dxa"/>
              <w:bottom w:w="40" w:type="dxa"/>
              <w:right w:w="20" w:type="dxa"/>
            </w:tcMar>
            <w:vAlign w:val="bottom"/>
          </w:tcPr>
          <w:p w14:paraId="07DD05F5" w14:textId="77777777" w:rsidR="00AE727E" w:rsidRDefault="008433E0">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07DD05F6"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05F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F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F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5F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FB"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07DD05F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5F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5FE" w14:textId="77777777" w:rsidR="00AE727E" w:rsidRDefault="008433E0">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07DD05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0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0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0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03" w14:textId="77777777" w:rsidR="00AE727E" w:rsidRDefault="008433E0">
            <w:pPr>
              <w:jc w:val="right"/>
              <w:textAlignment w:val="center"/>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center"/>
          </w:tcPr>
          <w:p w14:paraId="07DD0604" w14:textId="77777777" w:rsidR="00AE727E" w:rsidRDefault="00AE727E">
            <w:pPr>
              <w:jc w:val="right"/>
              <w:rPr>
                <w:rFonts w:ascii="宋体"/>
              </w:rPr>
            </w:pPr>
          </w:p>
        </w:tc>
      </w:tr>
      <w:tr w:rsidR="00AE727E" w14:paraId="07DD061C" w14:textId="77777777">
        <w:trPr>
          <w:jc w:val="center"/>
        </w:trPr>
        <w:tc>
          <w:tcPr>
            <w:tcW w:w="0" w:type="auto"/>
            <w:gridSpan w:val="3"/>
            <w:shd w:val="clear" w:color="auto" w:fill="FFFFFF"/>
            <w:tcMar>
              <w:top w:w="40" w:type="dxa"/>
              <w:left w:w="515" w:type="dxa"/>
              <w:bottom w:w="40" w:type="dxa"/>
              <w:right w:w="20" w:type="dxa"/>
            </w:tcMar>
            <w:vAlign w:val="bottom"/>
          </w:tcPr>
          <w:p w14:paraId="07DD0606" w14:textId="77777777" w:rsidR="00AE727E" w:rsidRDefault="008433E0">
            <w:pPr>
              <w:textAlignment w:val="bottom"/>
            </w:pPr>
            <w:r>
              <w:rPr>
                <w:rFonts w:ascii="Times New Roman" w:eastAsia="宋体" w:hAnsi="Times New Roman"/>
                <w:color w:val="000000"/>
                <w:sz w:val="20"/>
                <w:szCs w:val="20"/>
              </w:rPr>
              <w:t xml:space="preserve">Non-GAAP product gross margin </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060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608" w14:textId="77777777" w:rsidR="00AE727E" w:rsidRDefault="008433E0">
            <w:pPr>
              <w:jc w:val="right"/>
              <w:textAlignment w:val="center"/>
            </w:pPr>
            <w:r>
              <w:rPr>
                <w:rFonts w:ascii="Times New Roman" w:eastAsia="宋体" w:hAnsi="Times New Roman"/>
                <w:color w:val="000000"/>
                <w:sz w:val="20"/>
                <w:szCs w:val="20"/>
              </w:rPr>
              <w:t>4,281 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60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0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0B"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DD060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0D"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60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60F" w14:textId="77777777" w:rsidR="00AE727E" w:rsidRDefault="008433E0">
            <w:pPr>
              <w:jc w:val="right"/>
              <w:textAlignment w:val="center"/>
            </w:pPr>
            <w:r>
              <w:rPr>
                <w:rFonts w:ascii="Times New Roman" w:eastAsia="宋体" w:hAnsi="Times New Roman"/>
                <w:color w:val="000000"/>
                <w:sz w:val="20"/>
                <w:szCs w:val="20"/>
              </w:rPr>
              <w:t>3,961 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6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11"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61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613" w14:textId="77777777" w:rsidR="00AE727E" w:rsidRDefault="008433E0">
            <w:pPr>
              <w:jc w:val="right"/>
              <w:textAlignment w:val="center"/>
            </w:pPr>
            <w:r>
              <w:rPr>
                <w:rFonts w:ascii="Times New Roman" w:eastAsia="宋体" w:hAnsi="Times New Roman"/>
                <w:color w:val="000000"/>
                <w:sz w:val="20"/>
                <w:szCs w:val="20"/>
              </w:rPr>
              <w:t>12,702 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61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1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16"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07DD061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18"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61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61A" w14:textId="77777777" w:rsidR="00AE727E" w:rsidRDefault="008433E0">
            <w:pPr>
              <w:jc w:val="right"/>
              <w:textAlignment w:val="center"/>
            </w:pPr>
            <w:r>
              <w:rPr>
                <w:rFonts w:ascii="Times New Roman" w:eastAsia="宋体" w:hAnsi="Times New Roman"/>
                <w:color w:val="000000"/>
                <w:sz w:val="20"/>
                <w:szCs w:val="20"/>
              </w:rPr>
              <w:t>11,371 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61B" w14:textId="77777777" w:rsidR="00AE727E" w:rsidRDefault="00AE727E">
            <w:pPr>
              <w:jc w:val="right"/>
              <w:rPr>
                <w:rFonts w:ascii="宋体"/>
              </w:rPr>
            </w:pPr>
          </w:p>
        </w:tc>
      </w:tr>
      <w:tr w:rsidR="00AE727E" w14:paraId="07DD0629" w14:textId="77777777">
        <w:trPr>
          <w:trHeight w:val="280"/>
          <w:jc w:val="center"/>
        </w:trPr>
        <w:tc>
          <w:tcPr>
            <w:tcW w:w="0" w:type="auto"/>
            <w:gridSpan w:val="3"/>
            <w:shd w:val="clear" w:color="auto" w:fill="CCEEFF"/>
            <w:tcMar>
              <w:top w:w="0" w:type="dxa"/>
              <w:left w:w="20" w:type="dxa"/>
              <w:bottom w:w="0" w:type="dxa"/>
              <w:right w:w="20" w:type="dxa"/>
            </w:tcMar>
            <w:vAlign w:val="bottom"/>
          </w:tcPr>
          <w:p w14:paraId="07DD061D"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61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1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1"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62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3"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62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27"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628" w14:textId="77777777" w:rsidR="00AE727E" w:rsidRDefault="00AE727E">
            <w:pPr>
              <w:rPr>
                <w:rFonts w:ascii="宋体"/>
              </w:rPr>
            </w:pPr>
          </w:p>
        </w:tc>
      </w:tr>
      <w:tr w:rsidR="00AE727E" w14:paraId="07DD0640" w14:textId="77777777">
        <w:trPr>
          <w:jc w:val="center"/>
        </w:trPr>
        <w:tc>
          <w:tcPr>
            <w:tcW w:w="0" w:type="auto"/>
            <w:gridSpan w:val="3"/>
            <w:shd w:val="clear" w:color="auto" w:fill="FFFFFF"/>
            <w:tcMar>
              <w:top w:w="40" w:type="dxa"/>
              <w:left w:w="20" w:type="dxa"/>
              <w:bottom w:w="40" w:type="dxa"/>
              <w:right w:w="20" w:type="dxa"/>
            </w:tcMar>
            <w:vAlign w:val="bottom"/>
          </w:tcPr>
          <w:p w14:paraId="07DD062A" w14:textId="77777777" w:rsidR="00AE727E" w:rsidRDefault="008433E0">
            <w:pPr>
              <w:textAlignment w:val="bottom"/>
            </w:pPr>
            <w:r>
              <w:rPr>
                <w:rFonts w:ascii="Times New Roman" w:eastAsia="宋体" w:hAnsi="Times New Roman"/>
                <w:color w:val="000000"/>
                <w:sz w:val="20"/>
                <w:szCs w:val="20"/>
              </w:rPr>
              <w:t xml:space="preserve">Services gross margin </w:t>
            </w:r>
          </w:p>
        </w:tc>
        <w:tc>
          <w:tcPr>
            <w:tcW w:w="0" w:type="auto"/>
            <w:shd w:val="clear" w:color="auto" w:fill="FFFFFF"/>
            <w:tcMar>
              <w:top w:w="40" w:type="dxa"/>
              <w:left w:w="20" w:type="dxa"/>
              <w:bottom w:w="40" w:type="dxa"/>
              <w:right w:w="0" w:type="dxa"/>
            </w:tcMar>
            <w:vAlign w:val="center"/>
          </w:tcPr>
          <w:p w14:paraId="07DD062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62C" w14:textId="77777777" w:rsidR="00AE727E" w:rsidRDefault="008433E0">
            <w:pPr>
              <w:jc w:val="right"/>
              <w:textAlignment w:val="center"/>
            </w:pPr>
            <w:r>
              <w:rPr>
                <w:rFonts w:ascii="Times New Roman" w:eastAsia="宋体" w:hAnsi="Times New Roman"/>
                <w:color w:val="000000"/>
                <w:sz w:val="20"/>
                <w:szCs w:val="20"/>
              </w:rPr>
              <w:t>4,071 </w:t>
            </w:r>
          </w:p>
        </w:tc>
        <w:tc>
          <w:tcPr>
            <w:tcW w:w="0" w:type="auto"/>
            <w:shd w:val="clear" w:color="auto" w:fill="FFFFFF"/>
            <w:tcMar>
              <w:top w:w="40" w:type="dxa"/>
              <w:left w:w="0" w:type="dxa"/>
              <w:bottom w:w="40" w:type="dxa"/>
              <w:right w:w="20" w:type="dxa"/>
            </w:tcMar>
            <w:vAlign w:val="center"/>
          </w:tcPr>
          <w:p w14:paraId="07DD062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2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2F"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D0630"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3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63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633" w14:textId="77777777" w:rsidR="00AE727E" w:rsidRDefault="008433E0">
            <w:pPr>
              <w:jc w:val="right"/>
              <w:textAlignment w:val="center"/>
            </w:pPr>
            <w:r>
              <w:rPr>
                <w:rFonts w:ascii="Times New Roman" w:eastAsia="宋体" w:hAnsi="Times New Roman"/>
                <w:color w:val="000000"/>
                <w:sz w:val="20"/>
                <w:szCs w:val="20"/>
              </w:rPr>
              <w:t>3,698 </w:t>
            </w:r>
          </w:p>
        </w:tc>
        <w:tc>
          <w:tcPr>
            <w:tcW w:w="0" w:type="auto"/>
            <w:shd w:val="clear" w:color="auto" w:fill="FFFFFF"/>
            <w:tcMar>
              <w:top w:w="40" w:type="dxa"/>
              <w:left w:w="0" w:type="dxa"/>
              <w:bottom w:w="40" w:type="dxa"/>
              <w:right w:w="20" w:type="dxa"/>
            </w:tcMar>
            <w:vAlign w:val="center"/>
          </w:tcPr>
          <w:p w14:paraId="07DD063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3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63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637" w14:textId="77777777" w:rsidR="00AE727E" w:rsidRDefault="008433E0">
            <w:pPr>
              <w:jc w:val="right"/>
              <w:textAlignment w:val="center"/>
            </w:pPr>
            <w:r>
              <w:rPr>
                <w:rFonts w:ascii="Times New Roman" w:eastAsia="宋体" w:hAnsi="Times New Roman"/>
                <w:color w:val="000000"/>
                <w:sz w:val="20"/>
                <w:szCs w:val="20"/>
              </w:rPr>
              <w:t>11,871 </w:t>
            </w:r>
          </w:p>
        </w:tc>
        <w:tc>
          <w:tcPr>
            <w:tcW w:w="0" w:type="auto"/>
            <w:shd w:val="clear" w:color="auto" w:fill="FFFFFF"/>
            <w:tcMar>
              <w:top w:w="40" w:type="dxa"/>
              <w:left w:w="0" w:type="dxa"/>
              <w:bottom w:w="40" w:type="dxa"/>
              <w:right w:w="20" w:type="dxa"/>
            </w:tcMar>
            <w:vAlign w:val="center"/>
          </w:tcPr>
          <w:p w14:paraId="07DD063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3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3A" w14:textId="77777777" w:rsidR="00AE727E" w:rsidRDefault="008433E0">
            <w:pPr>
              <w:jc w:val="right"/>
              <w:textAlignment w:val="center"/>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center"/>
          </w:tcPr>
          <w:p w14:paraId="07DD063B"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3C"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63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63E" w14:textId="77777777" w:rsidR="00AE727E" w:rsidRDefault="008433E0">
            <w:pPr>
              <w:jc w:val="right"/>
              <w:textAlignment w:val="center"/>
            </w:pPr>
            <w:r>
              <w:rPr>
                <w:rFonts w:ascii="Times New Roman" w:eastAsia="宋体" w:hAnsi="Times New Roman"/>
                <w:color w:val="000000"/>
                <w:sz w:val="20"/>
                <w:szCs w:val="20"/>
              </w:rPr>
              <w:t>11,066 </w:t>
            </w:r>
          </w:p>
        </w:tc>
        <w:tc>
          <w:tcPr>
            <w:tcW w:w="0" w:type="auto"/>
            <w:shd w:val="clear" w:color="auto" w:fill="FFFFFF"/>
            <w:tcMar>
              <w:top w:w="40" w:type="dxa"/>
              <w:left w:w="0" w:type="dxa"/>
              <w:bottom w:w="40" w:type="dxa"/>
              <w:right w:w="20" w:type="dxa"/>
            </w:tcMar>
            <w:vAlign w:val="center"/>
          </w:tcPr>
          <w:p w14:paraId="07DD063F" w14:textId="77777777" w:rsidR="00AE727E" w:rsidRDefault="00AE727E">
            <w:pPr>
              <w:jc w:val="right"/>
              <w:rPr>
                <w:rFonts w:ascii="宋体"/>
              </w:rPr>
            </w:pPr>
          </w:p>
        </w:tc>
      </w:tr>
      <w:tr w:rsidR="00AE727E" w14:paraId="07DD064D" w14:textId="77777777">
        <w:trPr>
          <w:jc w:val="center"/>
        </w:trPr>
        <w:tc>
          <w:tcPr>
            <w:tcW w:w="0" w:type="auto"/>
            <w:gridSpan w:val="3"/>
            <w:shd w:val="clear" w:color="auto" w:fill="CCEEFF"/>
            <w:tcMar>
              <w:top w:w="40" w:type="dxa"/>
              <w:left w:w="155" w:type="dxa"/>
              <w:bottom w:w="40" w:type="dxa"/>
              <w:right w:w="20" w:type="dxa"/>
            </w:tcMar>
            <w:vAlign w:val="bottom"/>
          </w:tcPr>
          <w:p w14:paraId="07DD0641"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CCEEFF"/>
            <w:tcMar>
              <w:top w:w="0" w:type="dxa"/>
              <w:left w:w="20" w:type="dxa"/>
              <w:bottom w:w="0" w:type="dxa"/>
              <w:right w:w="20" w:type="dxa"/>
            </w:tcMar>
            <w:vAlign w:val="bottom"/>
          </w:tcPr>
          <w:p w14:paraId="07DD064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4C" w14:textId="77777777" w:rsidR="00AE727E" w:rsidRDefault="00AE727E">
            <w:pPr>
              <w:rPr>
                <w:rFonts w:ascii="宋体"/>
              </w:rPr>
            </w:pPr>
          </w:p>
        </w:tc>
      </w:tr>
      <w:tr w:rsidR="00AE727E" w14:paraId="07DD065E" w14:textId="77777777">
        <w:trPr>
          <w:jc w:val="center"/>
        </w:trPr>
        <w:tc>
          <w:tcPr>
            <w:tcW w:w="0" w:type="auto"/>
            <w:gridSpan w:val="3"/>
            <w:shd w:val="clear" w:color="auto" w:fill="FFFFFF"/>
            <w:tcMar>
              <w:top w:w="40" w:type="dxa"/>
              <w:left w:w="245" w:type="dxa"/>
              <w:bottom w:w="40" w:type="dxa"/>
              <w:right w:w="20" w:type="dxa"/>
            </w:tcMar>
            <w:vAlign w:val="bottom"/>
          </w:tcPr>
          <w:p w14:paraId="07DD064E"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07DD064F" w14:textId="77777777" w:rsidR="00AE727E" w:rsidRDefault="008433E0">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07DD065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5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5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5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54" w14:textId="77777777" w:rsidR="00AE727E" w:rsidRDefault="008433E0">
            <w:pPr>
              <w:jc w:val="right"/>
              <w:textAlignment w:val="center"/>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center"/>
          </w:tcPr>
          <w:p w14:paraId="07DD06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5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57" w14:textId="77777777" w:rsidR="00AE727E" w:rsidRDefault="008433E0">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07DD065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5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5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5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5C"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D065D" w14:textId="77777777" w:rsidR="00AE727E" w:rsidRDefault="00AE727E">
            <w:pPr>
              <w:jc w:val="right"/>
              <w:rPr>
                <w:rFonts w:ascii="宋体"/>
              </w:rPr>
            </w:pPr>
          </w:p>
        </w:tc>
      </w:tr>
      <w:tr w:rsidR="00AE727E" w14:paraId="07DD066F" w14:textId="77777777">
        <w:trPr>
          <w:jc w:val="center"/>
        </w:trPr>
        <w:tc>
          <w:tcPr>
            <w:tcW w:w="0" w:type="auto"/>
            <w:gridSpan w:val="3"/>
            <w:shd w:val="clear" w:color="auto" w:fill="CCEEFF"/>
            <w:tcMar>
              <w:top w:w="40" w:type="dxa"/>
              <w:left w:w="245" w:type="dxa"/>
              <w:bottom w:w="40" w:type="dxa"/>
              <w:right w:w="20" w:type="dxa"/>
            </w:tcMar>
            <w:vAlign w:val="bottom"/>
          </w:tcPr>
          <w:p w14:paraId="07DD065F"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07DD0660"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66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6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6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6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65" w14:textId="77777777" w:rsidR="00AE727E" w:rsidRDefault="008433E0">
            <w:pPr>
              <w:jc w:val="right"/>
              <w:textAlignment w:val="center"/>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center"/>
          </w:tcPr>
          <w:p w14:paraId="07DD066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6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68" w14:textId="77777777" w:rsidR="00AE727E" w:rsidRDefault="008433E0">
            <w:pPr>
              <w:jc w:val="right"/>
              <w:textAlignment w:val="center"/>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center"/>
          </w:tcPr>
          <w:p w14:paraId="07DD066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6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6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6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6D" w14:textId="77777777" w:rsidR="00AE727E" w:rsidRDefault="008433E0">
            <w:pPr>
              <w:jc w:val="right"/>
              <w:textAlignment w:val="center"/>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vAlign w:val="center"/>
          </w:tcPr>
          <w:p w14:paraId="07DD066E" w14:textId="77777777" w:rsidR="00AE727E" w:rsidRDefault="00AE727E">
            <w:pPr>
              <w:jc w:val="right"/>
              <w:rPr>
                <w:rFonts w:ascii="宋体"/>
              </w:rPr>
            </w:pPr>
          </w:p>
        </w:tc>
      </w:tr>
      <w:tr w:rsidR="00AE727E" w14:paraId="07DD067C" w14:textId="77777777">
        <w:trPr>
          <w:jc w:val="center"/>
          <w:hidden/>
        </w:trPr>
        <w:tc>
          <w:tcPr>
            <w:tcW w:w="0" w:type="auto"/>
            <w:gridSpan w:val="3"/>
            <w:shd w:val="clear" w:color="auto" w:fill="auto"/>
            <w:vAlign w:val="bottom"/>
          </w:tcPr>
          <w:p w14:paraId="07DD0670" w14:textId="77777777" w:rsidR="00AE727E" w:rsidRDefault="00AE727E">
            <w:pPr>
              <w:rPr>
                <w:rFonts w:ascii="宋体"/>
                <w:vanish/>
              </w:rPr>
            </w:pPr>
          </w:p>
        </w:tc>
        <w:tc>
          <w:tcPr>
            <w:tcW w:w="0" w:type="auto"/>
            <w:gridSpan w:val="3"/>
            <w:shd w:val="clear" w:color="auto" w:fill="auto"/>
            <w:vAlign w:val="bottom"/>
          </w:tcPr>
          <w:p w14:paraId="07DD0671" w14:textId="77777777" w:rsidR="00AE727E" w:rsidRDefault="00AE727E">
            <w:pPr>
              <w:rPr>
                <w:rFonts w:ascii="宋体"/>
                <w:vanish/>
              </w:rPr>
            </w:pPr>
          </w:p>
        </w:tc>
        <w:tc>
          <w:tcPr>
            <w:tcW w:w="0" w:type="auto"/>
            <w:gridSpan w:val="3"/>
            <w:shd w:val="clear" w:color="auto" w:fill="auto"/>
            <w:vAlign w:val="bottom"/>
          </w:tcPr>
          <w:p w14:paraId="07DD0672" w14:textId="77777777" w:rsidR="00AE727E" w:rsidRDefault="00AE727E">
            <w:pPr>
              <w:rPr>
                <w:rFonts w:ascii="宋体"/>
                <w:vanish/>
              </w:rPr>
            </w:pPr>
          </w:p>
        </w:tc>
        <w:tc>
          <w:tcPr>
            <w:tcW w:w="0" w:type="auto"/>
            <w:gridSpan w:val="3"/>
            <w:shd w:val="clear" w:color="auto" w:fill="auto"/>
            <w:vAlign w:val="bottom"/>
          </w:tcPr>
          <w:p w14:paraId="07DD0673" w14:textId="77777777" w:rsidR="00AE727E" w:rsidRDefault="00AE727E">
            <w:pPr>
              <w:rPr>
                <w:rFonts w:ascii="宋体"/>
                <w:vanish/>
              </w:rPr>
            </w:pPr>
          </w:p>
        </w:tc>
        <w:tc>
          <w:tcPr>
            <w:tcW w:w="0" w:type="auto"/>
            <w:gridSpan w:val="3"/>
            <w:shd w:val="clear" w:color="auto" w:fill="auto"/>
            <w:vAlign w:val="bottom"/>
          </w:tcPr>
          <w:p w14:paraId="07DD0674" w14:textId="77777777" w:rsidR="00AE727E" w:rsidRDefault="00AE727E">
            <w:pPr>
              <w:rPr>
                <w:rFonts w:ascii="宋体"/>
                <w:vanish/>
              </w:rPr>
            </w:pPr>
          </w:p>
        </w:tc>
        <w:tc>
          <w:tcPr>
            <w:tcW w:w="0" w:type="auto"/>
            <w:gridSpan w:val="3"/>
            <w:shd w:val="clear" w:color="auto" w:fill="auto"/>
            <w:vAlign w:val="bottom"/>
          </w:tcPr>
          <w:p w14:paraId="07DD0675" w14:textId="77777777" w:rsidR="00AE727E" w:rsidRDefault="00AE727E">
            <w:pPr>
              <w:rPr>
                <w:rFonts w:ascii="宋体"/>
                <w:vanish/>
              </w:rPr>
            </w:pPr>
          </w:p>
        </w:tc>
        <w:tc>
          <w:tcPr>
            <w:tcW w:w="0" w:type="auto"/>
            <w:gridSpan w:val="3"/>
            <w:shd w:val="clear" w:color="auto" w:fill="auto"/>
            <w:vAlign w:val="bottom"/>
          </w:tcPr>
          <w:p w14:paraId="07DD0676" w14:textId="77777777" w:rsidR="00AE727E" w:rsidRDefault="00AE727E">
            <w:pPr>
              <w:rPr>
                <w:rFonts w:ascii="宋体"/>
                <w:vanish/>
              </w:rPr>
            </w:pPr>
          </w:p>
        </w:tc>
        <w:tc>
          <w:tcPr>
            <w:tcW w:w="0" w:type="auto"/>
            <w:gridSpan w:val="3"/>
            <w:shd w:val="clear" w:color="auto" w:fill="auto"/>
            <w:vAlign w:val="bottom"/>
          </w:tcPr>
          <w:p w14:paraId="07DD0677" w14:textId="77777777" w:rsidR="00AE727E" w:rsidRDefault="00AE727E">
            <w:pPr>
              <w:rPr>
                <w:rFonts w:ascii="宋体"/>
                <w:vanish/>
              </w:rPr>
            </w:pPr>
          </w:p>
        </w:tc>
        <w:tc>
          <w:tcPr>
            <w:tcW w:w="0" w:type="auto"/>
            <w:gridSpan w:val="3"/>
            <w:shd w:val="clear" w:color="auto" w:fill="auto"/>
            <w:vAlign w:val="bottom"/>
          </w:tcPr>
          <w:p w14:paraId="07DD0678" w14:textId="77777777" w:rsidR="00AE727E" w:rsidRDefault="00AE727E">
            <w:pPr>
              <w:rPr>
                <w:rFonts w:ascii="宋体"/>
                <w:vanish/>
              </w:rPr>
            </w:pPr>
          </w:p>
        </w:tc>
        <w:tc>
          <w:tcPr>
            <w:tcW w:w="0" w:type="auto"/>
            <w:gridSpan w:val="3"/>
            <w:shd w:val="clear" w:color="auto" w:fill="auto"/>
            <w:vAlign w:val="bottom"/>
          </w:tcPr>
          <w:p w14:paraId="07DD0679" w14:textId="77777777" w:rsidR="00AE727E" w:rsidRDefault="00AE727E">
            <w:pPr>
              <w:rPr>
                <w:rFonts w:ascii="宋体"/>
                <w:vanish/>
              </w:rPr>
            </w:pPr>
          </w:p>
        </w:tc>
        <w:tc>
          <w:tcPr>
            <w:tcW w:w="0" w:type="auto"/>
            <w:gridSpan w:val="3"/>
            <w:shd w:val="clear" w:color="auto" w:fill="auto"/>
            <w:vAlign w:val="bottom"/>
          </w:tcPr>
          <w:p w14:paraId="07DD067A" w14:textId="77777777" w:rsidR="00AE727E" w:rsidRDefault="00AE727E">
            <w:pPr>
              <w:rPr>
                <w:rFonts w:ascii="宋体"/>
                <w:vanish/>
              </w:rPr>
            </w:pPr>
          </w:p>
        </w:tc>
        <w:tc>
          <w:tcPr>
            <w:tcW w:w="0" w:type="auto"/>
            <w:gridSpan w:val="3"/>
            <w:shd w:val="clear" w:color="auto" w:fill="auto"/>
            <w:vAlign w:val="bottom"/>
          </w:tcPr>
          <w:p w14:paraId="07DD067B" w14:textId="77777777" w:rsidR="00AE727E" w:rsidRDefault="00AE727E">
            <w:pPr>
              <w:rPr>
                <w:rFonts w:ascii="宋体"/>
                <w:vanish/>
              </w:rPr>
            </w:pPr>
          </w:p>
        </w:tc>
      </w:tr>
      <w:tr w:rsidR="00AE727E" w14:paraId="07DD068D" w14:textId="77777777">
        <w:trPr>
          <w:jc w:val="center"/>
        </w:trPr>
        <w:tc>
          <w:tcPr>
            <w:tcW w:w="0" w:type="auto"/>
            <w:gridSpan w:val="3"/>
            <w:shd w:val="clear" w:color="auto" w:fill="FFFFFF"/>
            <w:tcMar>
              <w:top w:w="40" w:type="dxa"/>
              <w:left w:w="245" w:type="dxa"/>
              <w:bottom w:w="40" w:type="dxa"/>
              <w:right w:w="20" w:type="dxa"/>
            </w:tcMar>
            <w:vAlign w:val="bottom"/>
          </w:tcPr>
          <w:p w14:paraId="07DD067D"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07DD067E" w14:textId="77777777" w:rsidR="00AE727E" w:rsidRDefault="008433E0">
            <w:pPr>
              <w:jc w:val="right"/>
              <w:textAlignment w:val="center"/>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center"/>
          </w:tcPr>
          <w:p w14:paraId="07DD067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8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8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8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83" w14:textId="77777777" w:rsidR="00AE727E" w:rsidRDefault="008433E0">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07DD068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8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86" w14:textId="77777777" w:rsidR="00AE727E" w:rsidRDefault="008433E0">
            <w:pPr>
              <w:jc w:val="right"/>
              <w:textAlignment w:val="center"/>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center"/>
          </w:tcPr>
          <w:p w14:paraId="07DD068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8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8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68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8B" w14:textId="77777777" w:rsidR="00AE727E" w:rsidRDefault="008433E0">
            <w:pPr>
              <w:jc w:val="right"/>
              <w:textAlignment w:val="center"/>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center"/>
          </w:tcPr>
          <w:p w14:paraId="07DD068C" w14:textId="77777777" w:rsidR="00AE727E" w:rsidRDefault="00AE727E">
            <w:pPr>
              <w:jc w:val="right"/>
              <w:rPr>
                <w:rFonts w:ascii="宋体"/>
              </w:rPr>
            </w:pPr>
          </w:p>
        </w:tc>
      </w:tr>
      <w:tr w:rsidR="00AE727E" w14:paraId="07DD069E" w14:textId="77777777">
        <w:trPr>
          <w:jc w:val="center"/>
        </w:trPr>
        <w:tc>
          <w:tcPr>
            <w:tcW w:w="0" w:type="auto"/>
            <w:gridSpan w:val="3"/>
            <w:shd w:val="clear" w:color="auto" w:fill="CCEEFF"/>
            <w:tcMar>
              <w:top w:w="40" w:type="dxa"/>
              <w:left w:w="245" w:type="dxa"/>
              <w:bottom w:w="40" w:type="dxa"/>
              <w:right w:w="20" w:type="dxa"/>
            </w:tcMar>
            <w:vAlign w:val="bottom"/>
          </w:tcPr>
          <w:p w14:paraId="07DD068E" w14:textId="77777777" w:rsidR="00AE727E" w:rsidRDefault="008433E0">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07DD068F"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06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9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9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9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94" w14:textId="77777777" w:rsidR="00AE727E" w:rsidRDefault="008433E0">
            <w:pPr>
              <w:jc w:val="right"/>
              <w:textAlignment w:val="center"/>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center"/>
          </w:tcPr>
          <w:p w14:paraId="07DD069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9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97"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center"/>
          </w:tcPr>
          <w:p w14:paraId="07DD069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9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9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69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9C" w14:textId="77777777" w:rsidR="00AE727E" w:rsidRDefault="008433E0">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07DD069D" w14:textId="77777777" w:rsidR="00AE727E" w:rsidRDefault="00AE727E">
            <w:pPr>
              <w:jc w:val="right"/>
              <w:rPr>
                <w:rFonts w:ascii="宋体"/>
              </w:rPr>
            </w:pPr>
          </w:p>
        </w:tc>
      </w:tr>
      <w:tr w:rsidR="00AE727E" w14:paraId="07DD06B5" w14:textId="77777777">
        <w:trPr>
          <w:jc w:val="center"/>
        </w:trPr>
        <w:tc>
          <w:tcPr>
            <w:tcW w:w="0" w:type="auto"/>
            <w:gridSpan w:val="3"/>
            <w:shd w:val="clear" w:color="auto" w:fill="FFFFFF"/>
            <w:tcMar>
              <w:top w:w="40" w:type="dxa"/>
              <w:left w:w="515" w:type="dxa"/>
              <w:bottom w:w="40" w:type="dxa"/>
              <w:right w:w="20" w:type="dxa"/>
            </w:tcMar>
            <w:vAlign w:val="bottom"/>
          </w:tcPr>
          <w:p w14:paraId="07DD069F" w14:textId="77777777" w:rsidR="00AE727E" w:rsidRDefault="008433E0">
            <w:pPr>
              <w:textAlignment w:val="bottom"/>
            </w:pPr>
            <w:r>
              <w:rPr>
                <w:rFonts w:ascii="Times New Roman" w:eastAsia="宋体"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6A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6A1" w14:textId="77777777" w:rsidR="00AE727E" w:rsidRDefault="008433E0">
            <w:pPr>
              <w:jc w:val="right"/>
              <w:textAlignment w:val="center"/>
            </w:pPr>
            <w:r>
              <w:rPr>
                <w:rFonts w:ascii="Times New Roman" w:eastAsia="宋体" w:hAnsi="Times New Roman"/>
                <w:color w:val="000000"/>
                <w:sz w:val="20"/>
                <w:szCs w:val="20"/>
              </w:rPr>
              <w:t>4,129 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6A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A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A4"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DD06A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A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6A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6A8" w14:textId="77777777" w:rsidR="00AE727E" w:rsidRDefault="008433E0">
            <w:pPr>
              <w:jc w:val="right"/>
              <w:textAlignment w:val="center"/>
            </w:pPr>
            <w:r>
              <w:rPr>
                <w:rFonts w:ascii="Times New Roman" w:eastAsia="宋体" w:hAnsi="Times New Roman"/>
                <w:color w:val="000000"/>
                <w:sz w:val="20"/>
                <w:szCs w:val="20"/>
              </w:rPr>
              <w:t>3,810 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6A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A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6A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6AC" w14:textId="77777777" w:rsidR="00AE727E" w:rsidRDefault="008433E0">
            <w:pPr>
              <w:jc w:val="right"/>
              <w:textAlignment w:val="center"/>
            </w:pPr>
            <w:r>
              <w:rPr>
                <w:rFonts w:ascii="Times New Roman" w:eastAsia="宋体" w:hAnsi="Times New Roman"/>
                <w:color w:val="000000"/>
                <w:sz w:val="20"/>
                <w:szCs w:val="20"/>
              </w:rPr>
              <w:t>12,068 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6A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6A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6AF" w14:textId="77777777" w:rsidR="00AE727E" w:rsidRDefault="008433E0">
            <w:pPr>
              <w:jc w:val="right"/>
              <w:textAlignment w:val="center"/>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center"/>
          </w:tcPr>
          <w:p w14:paraId="07DD06B0"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6B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6B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6B3" w14:textId="77777777" w:rsidR="00AE727E" w:rsidRDefault="008433E0">
            <w:pPr>
              <w:jc w:val="right"/>
              <w:textAlignment w:val="center"/>
            </w:pPr>
            <w:r>
              <w:rPr>
                <w:rFonts w:ascii="Times New Roman" w:eastAsia="宋体" w:hAnsi="Times New Roman"/>
                <w:color w:val="000000"/>
                <w:sz w:val="20"/>
                <w:szCs w:val="20"/>
              </w:rPr>
              <w:t>11,351 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6B4" w14:textId="77777777" w:rsidR="00AE727E" w:rsidRDefault="00AE727E">
            <w:pPr>
              <w:jc w:val="right"/>
              <w:rPr>
                <w:rFonts w:ascii="宋体"/>
              </w:rPr>
            </w:pPr>
          </w:p>
        </w:tc>
      </w:tr>
    </w:tbl>
    <w:p w14:paraId="07DD06B6" w14:textId="77777777" w:rsidR="00AE727E" w:rsidRDefault="00AE727E"/>
    <w:p w14:paraId="07DD06B7" w14:textId="77777777" w:rsidR="00AE727E" w:rsidRDefault="00AE727E">
      <w:pPr>
        <w:jc w:val="center"/>
      </w:pPr>
    </w:p>
    <w:p w14:paraId="07DD06B8" w14:textId="77777777" w:rsidR="00AE727E" w:rsidRDefault="008433E0">
      <w:pPr>
        <w:jc w:val="center"/>
      </w:pPr>
      <w:r>
        <w:rPr>
          <w:rFonts w:ascii="Times New Roman" w:eastAsia="宋体" w:hAnsi="Times New Roman"/>
          <w:color w:val="000000"/>
          <w:sz w:val="20"/>
          <w:szCs w:val="20"/>
        </w:rPr>
        <w:t>69</w:t>
      </w:r>
    </w:p>
    <w:p w14:paraId="07DD06B9" w14:textId="77777777" w:rsidR="00AE727E" w:rsidRDefault="00AE727E">
      <w:pPr>
        <w:jc w:val="center"/>
      </w:pPr>
    </w:p>
    <w:p w14:paraId="07DD06BA" w14:textId="77777777" w:rsidR="00AE727E" w:rsidRDefault="008433E0">
      <w:r>
        <w:pict w14:anchorId="07DD1915">
          <v:rect id="_x0000_i1093" style="width:415.3pt;height:1.5pt" o:hralign="center" o:hrstd="t" o:hr="t" fillcolor="#a0a0a0" stroked="f"/>
        </w:pict>
      </w:r>
    </w:p>
    <w:p w14:paraId="07DD06BB" w14:textId="77777777" w:rsidR="00AE727E" w:rsidRDefault="008433E0">
      <w:hyperlink r:id="rId194" w:anchor="i1c8279be622a460ea19600488436f115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722"/>
        <w:gridCol w:w="40"/>
        <w:gridCol w:w="121"/>
        <w:gridCol w:w="667"/>
        <w:gridCol w:w="36"/>
        <w:gridCol w:w="36"/>
        <w:gridCol w:w="36"/>
        <w:gridCol w:w="36"/>
        <w:gridCol w:w="94"/>
        <w:gridCol w:w="593"/>
        <w:gridCol w:w="187"/>
        <w:gridCol w:w="36"/>
        <w:gridCol w:w="36"/>
        <w:gridCol w:w="36"/>
        <w:gridCol w:w="121"/>
        <w:gridCol w:w="667"/>
        <w:gridCol w:w="36"/>
        <w:gridCol w:w="36"/>
        <w:gridCol w:w="36"/>
        <w:gridCol w:w="36"/>
        <w:gridCol w:w="120"/>
        <w:gridCol w:w="624"/>
        <w:gridCol w:w="36"/>
        <w:gridCol w:w="36"/>
        <w:gridCol w:w="36"/>
        <w:gridCol w:w="36"/>
        <w:gridCol w:w="94"/>
        <w:gridCol w:w="593"/>
        <w:gridCol w:w="187"/>
        <w:gridCol w:w="36"/>
        <w:gridCol w:w="36"/>
        <w:gridCol w:w="36"/>
        <w:gridCol w:w="120"/>
        <w:gridCol w:w="653"/>
        <w:gridCol w:w="36"/>
      </w:tblGrid>
      <w:tr w:rsidR="00AE727E" w14:paraId="07DD06E0" w14:textId="77777777">
        <w:trPr>
          <w:jc w:val="center"/>
        </w:trPr>
        <w:tc>
          <w:tcPr>
            <w:tcW w:w="50" w:type="pct"/>
            <w:shd w:val="clear" w:color="auto" w:fill="auto"/>
            <w:vAlign w:val="bottom"/>
          </w:tcPr>
          <w:p w14:paraId="07DD06BC" w14:textId="77777777" w:rsidR="00AE727E" w:rsidRDefault="00AE727E">
            <w:pPr>
              <w:rPr>
                <w:rFonts w:ascii="宋体"/>
              </w:rPr>
            </w:pPr>
          </w:p>
        </w:tc>
        <w:tc>
          <w:tcPr>
            <w:tcW w:w="1830" w:type="pct"/>
            <w:shd w:val="clear" w:color="auto" w:fill="auto"/>
            <w:vAlign w:val="bottom"/>
          </w:tcPr>
          <w:p w14:paraId="07DD06BD" w14:textId="77777777" w:rsidR="00AE727E" w:rsidRDefault="00AE727E">
            <w:pPr>
              <w:rPr>
                <w:rFonts w:ascii="宋体"/>
              </w:rPr>
            </w:pPr>
          </w:p>
        </w:tc>
        <w:tc>
          <w:tcPr>
            <w:tcW w:w="5" w:type="pct"/>
            <w:shd w:val="clear" w:color="auto" w:fill="auto"/>
            <w:vAlign w:val="bottom"/>
          </w:tcPr>
          <w:p w14:paraId="07DD06BE" w14:textId="77777777" w:rsidR="00AE727E" w:rsidRDefault="00AE727E">
            <w:pPr>
              <w:rPr>
                <w:rFonts w:ascii="宋体"/>
              </w:rPr>
            </w:pPr>
          </w:p>
        </w:tc>
        <w:tc>
          <w:tcPr>
            <w:tcW w:w="50" w:type="pct"/>
            <w:shd w:val="clear" w:color="auto" w:fill="auto"/>
            <w:vAlign w:val="bottom"/>
          </w:tcPr>
          <w:p w14:paraId="07DD06BF" w14:textId="77777777" w:rsidR="00AE727E" w:rsidRDefault="00AE727E">
            <w:pPr>
              <w:rPr>
                <w:rFonts w:ascii="宋体"/>
              </w:rPr>
            </w:pPr>
          </w:p>
        </w:tc>
        <w:tc>
          <w:tcPr>
            <w:tcW w:w="500" w:type="pct"/>
            <w:shd w:val="clear" w:color="auto" w:fill="auto"/>
            <w:vAlign w:val="bottom"/>
          </w:tcPr>
          <w:p w14:paraId="07DD06C0" w14:textId="77777777" w:rsidR="00AE727E" w:rsidRDefault="00AE727E">
            <w:pPr>
              <w:rPr>
                <w:rFonts w:ascii="宋体"/>
              </w:rPr>
            </w:pPr>
          </w:p>
        </w:tc>
        <w:tc>
          <w:tcPr>
            <w:tcW w:w="5" w:type="pct"/>
            <w:shd w:val="clear" w:color="auto" w:fill="auto"/>
            <w:vAlign w:val="bottom"/>
          </w:tcPr>
          <w:p w14:paraId="07DD06C1" w14:textId="77777777" w:rsidR="00AE727E" w:rsidRDefault="00AE727E">
            <w:pPr>
              <w:rPr>
                <w:rFonts w:ascii="宋体"/>
              </w:rPr>
            </w:pPr>
          </w:p>
        </w:tc>
        <w:tc>
          <w:tcPr>
            <w:tcW w:w="5" w:type="pct"/>
            <w:shd w:val="clear" w:color="auto" w:fill="auto"/>
            <w:vAlign w:val="bottom"/>
          </w:tcPr>
          <w:p w14:paraId="07DD06C2" w14:textId="77777777" w:rsidR="00AE727E" w:rsidRDefault="00AE727E">
            <w:pPr>
              <w:rPr>
                <w:rFonts w:ascii="宋体"/>
              </w:rPr>
            </w:pPr>
          </w:p>
        </w:tc>
        <w:tc>
          <w:tcPr>
            <w:tcW w:w="19" w:type="pct"/>
            <w:shd w:val="clear" w:color="auto" w:fill="auto"/>
            <w:vAlign w:val="bottom"/>
          </w:tcPr>
          <w:p w14:paraId="07DD06C3" w14:textId="77777777" w:rsidR="00AE727E" w:rsidRDefault="00AE727E">
            <w:pPr>
              <w:rPr>
                <w:rFonts w:ascii="宋体"/>
              </w:rPr>
            </w:pPr>
          </w:p>
        </w:tc>
        <w:tc>
          <w:tcPr>
            <w:tcW w:w="5" w:type="pct"/>
            <w:shd w:val="clear" w:color="auto" w:fill="auto"/>
            <w:vAlign w:val="bottom"/>
          </w:tcPr>
          <w:p w14:paraId="07DD06C4" w14:textId="77777777" w:rsidR="00AE727E" w:rsidRDefault="00AE727E">
            <w:pPr>
              <w:rPr>
                <w:rFonts w:ascii="宋体"/>
              </w:rPr>
            </w:pPr>
          </w:p>
        </w:tc>
        <w:tc>
          <w:tcPr>
            <w:tcW w:w="50" w:type="pct"/>
            <w:shd w:val="clear" w:color="auto" w:fill="auto"/>
            <w:vAlign w:val="bottom"/>
          </w:tcPr>
          <w:p w14:paraId="07DD06C5" w14:textId="77777777" w:rsidR="00AE727E" w:rsidRDefault="00AE727E">
            <w:pPr>
              <w:rPr>
                <w:rFonts w:ascii="宋体"/>
              </w:rPr>
            </w:pPr>
          </w:p>
        </w:tc>
        <w:tc>
          <w:tcPr>
            <w:tcW w:w="317" w:type="pct"/>
            <w:shd w:val="clear" w:color="auto" w:fill="auto"/>
            <w:vAlign w:val="bottom"/>
          </w:tcPr>
          <w:p w14:paraId="07DD06C6" w14:textId="77777777" w:rsidR="00AE727E" w:rsidRDefault="00AE727E">
            <w:pPr>
              <w:rPr>
                <w:rFonts w:ascii="宋体"/>
              </w:rPr>
            </w:pPr>
          </w:p>
        </w:tc>
        <w:tc>
          <w:tcPr>
            <w:tcW w:w="5" w:type="pct"/>
            <w:shd w:val="clear" w:color="auto" w:fill="auto"/>
            <w:vAlign w:val="bottom"/>
          </w:tcPr>
          <w:p w14:paraId="07DD06C7" w14:textId="77777777" w:rsidR="00AE727E" w:rsidRDefault="00AE727E">
            <w:pPr>
              <w:rPr>
                <w:rFonts w:ascii="宋体"/>
              </w:rPr>
            </w:pPr>
          </w:p>
        </w:tc>
        <w:tc>
          <w:tcPr>
            <w:tcW w:w="5" w:type="pct"/>
            <w:shd w:val="clear" w:color="auto" w:fill="auto"/>
            <w:vAlign w:val="bottom"/>
          </w:tcPr>
          <w:p w14:paraId="07DD06C8" w14:textId="77777777" w:rsidR="00AE727E" w:rsidRDefault="00AE727E">
            <w:pPr>
              <w:rPr>
                <w:rFonts w:ascii="宋体"/>
              </w:rPr>
            </w:pPr>
          </w:p>
        </w:tc>
        <w:tc>
          <w:tcPr>
            <w:tcW w:w="19" w:type="pct"/>
            <w:shd w:val="clear" w:color="auto" w:fill="auto"/>
            <w:vAlign w:val="bottom"/>
          </w:tcPr>
          <w:p w14:paraId="07DD06C9" w14:textId="77777777" w:rsidR="00AE727E" w:rsidRDefault="00AE727E">
            <w:pPr>
              <w:rPr>
                <w:rFonts w:ascii="宋体"/>
              </w:rPr>
            </w:pPr>
          </w:p>
        </w:tc>
        <w:tc>
          <w:tcPr>
            <w:tcW w:w="5" w:type="pct"/>
            <w:shd w:val="clear" w:color="auto" w:fill="auto"/>
            <w:vAlign w:val="bottom"/>
          </w:tcPr>
          <w:p w14:paraId="07DD06CA" w14:textId="77777777" w:rsidR="00AE727E" w:rsidRDefault="00AE727E">
            <w:pPr>
              <w:rPr>
                <w:rFonts w:ascii="宋体"/>
              </w:rPr>
            </w:pPr>
          </w:p>
        </w:tc>
        <w:tc>
          <w:tcPr>
            <w:tcW w:w="50" w:type="pct"/>
            <w:shd w:val="clear" w:color="auto" w:fill="auto"/>
            <w:vAlign w:val="bottom"/>
          </w:tcPr>
          <w:p w14:paraId="07DD06CB" w14:textId="77777777" w:rsidR="00AE727E" w:rsidRDefault="00AE727E">
            <w:pPr>
              <w:rPr>
                <w:rFonts w:ascii="宋体"/>
              </w:rPr>
            </w:pPr>
          </w:p>
        </w:tc>
        <w:tc>
          <w:tcPr>
            <w:tcW w:w="500" w:type="pct"/>
            <w:shd w:val="clear" w:color="auto" w:fill="auto"/>
            <w:vAlign w:val="bottom"/>
          </w:tcPr>
          <w:p w14:paraId="07DD06CC" w14:textId="77777777" w:rsidR="00AE727E" w:rsidRDefault="00AE727E">
            <w:pPr>
              <w:rPr>
                <w:rFonts w:ascii="宋体"/>
              </w:rPr>
            </w:pPr>
          </w:p>
        </w:tc>
        <w:tc>
          <w:tcPr>
            <w:tcW w:w="5" w:type="pct"/>
            <w:shd w:val="clear" w:color="auto" w:fill="auto"/>
            <w:vAlign w:val="bottom"/>
          </w:tcPr>
          <w:p w14:paraId="07DD06CD" w14:textId="77777777" w:rsidR="00AE727E" w:rsidRDefault="00AE727E">
            <w:pPr>
              <w:rPr>
                <w:rFonts w:ascii="宋体"/>
              </w:rPr>
            </w:pPr>
          </w:p>
        </w:tc>
        <w:tc>
          <w:tcPr>
            <w:tcW w:w="5" w:type="pct"/>
            <w:shd w:val="clear" w:color="auto" w:fill="auto"/>
            <w:vAlign w:val="bottom"/>
          </w:tcPr>
          <w:p w14:paraId="07DD06CE" w14:textId="77777777" w:rsidR="00AE727E" w:rsidRDefault="00AE727E">
            <w:pPr>
              <w:rPr>
                <w:rFonts w:ascii="宋体"/>
              </w:rPr>
            </w:pPr>
          </w:p>
        </w:tc>
        <w:tc>
          <w:tcPr>
            <w:tcW w:w="19" w:type="pct"/>
            <w:shd w:val="clear" w:color="auto" w:fill="auto"/>
            <w:vAlign w:val="bottom"/>
          </w:tcPr>
          <w:p w14:paraId="07DD06CF" w14:textId="77777777" w:rsidR="00AE727E" w:rsidRDefault="00AE727E">
            <w:pPr>
              <w:rPr>
                <w:rFonts w:ascii="宋体"/>
              </w:rPr>
            </w:pPr>
          </w:p>
        </w:tc>
        <w:tc>
          <w:tcPr>
            <w:tcW w:w="5" w:type="pct"/>
            <w:shd w:val="clear" w:color="auto" w:fill="auto"/>
            <w:vAlign w:val="bottom"/>
          </w:tcPr>
          <w:p w14:paraId="07DD06D0" w14:textId="77777777" w:rsidR="00AE727E" w:rsidRDefault="00AE727E">
            <w:pPr>
              <w:rPr>
                <w:rFonts w:ascii="宋体"/>
              </w:rPr>
            </w:pPr>
          </w:p>
        </w:tc>
        <w:tc>
          <w:tcPr>
            <w:tcW w:w="50" w:type="pct"/>
            <w:shd w:val="clear" w:color="auto" w:fill="auto"/>
            <w:vAlign w:val="bottom"/>
          </w:tcPr>
          <w:p w14:paraId="07DD06D1" w14:textId="77777777" w:rsidR="00AE727E" w:rsidRDefault="00AE727E">
            <w:pPr>
              <w:rPr>
                <w:rFonts w:ascii="宋体"/>
              </w:rPr>
            </w:pPr>
          </w:p>
        </w:tc>
        <w:tc>
          <w:tcPr>
            <w:tcW w:w="500" w:type="pct"/>
            <w:shd w:val="clear" w:color="auto" w:fill="auto"/>
            <w:vAlign w:val="bottom"/>
          </w:tcPr>
          <w:p w14:paraId="07DD06D2" w14:textId="77777777" w:rsidR="00AE727E" w:rsidRDefault="00AE727E">
            <w:pPr>
              <w:rPr>
                <w:rFonts w:ascii="宋体"/>
              </w:rPr>
            </w:pPr>
          </w:p>
        </w:tc>
        <w:tc>
          <w:tcPr>
            <w:tcW w:w="5" w:type="pct"/>
            <w:shd w:val="clear" w:color="auto" w:fill="auto"/>
            <w:vAlign w:val="bottom"/>
          </w:tcPr>
          <w:p w14:paraId="07DD06D3" w14:textId="77777777" w:rsidR="00AE727E" w:rsidRDefault="00AE727E">
            <w:pPr>
              <w:rPr>
                <w:rFonts w:ascii="宋体"/>
              </w:rPr>
            </w:pPr>
          </w:p>
        </w:tc>
        <w:tc>
          <w:tcPr>
            <w:tcW w:w="5" w:type="pct"/>
            <w:shd w:val="clear" w:color="auto" w:fill="auto"/>
            <w:vAlign w:val="bottom"/>
          </w:tcPr>
          <w:p w14:paraId="07DD06D4" w14:textId="77777777" w:rsidR="00AE727E" w:rsidRDefault="00AE727E">
            <w:pPr>
              <w:rPr>
                <w:rFonts w:ascii="宋体"/>
              </w:rPr>
            </w:pPr>
          </w:p>
        </w:tc>
        <w:tc>
          <w:tcPr>
            <w:tcW w:w="19" w:type="pct"/>
            <w:shd w:val="clear" w:color="auto" w:fill="auto"/>
            <w:vAlign w:val="bottom"/>
          </w:tcPr>
          <w:p w14:paraId="07DD06D5" w14:textId="77777777" w:rsidR="00AE727E" w:rsidRDefault="00AE727E">
            <w:pPr>
              <w:rPr>
                <w:rFonts w:ascii="宋体"/>
              </w:rPr>
            </w:pPr>
          </w:p>
        </w:tc>
        <w:tc>
          <w:tcPr>
            <w:tcW w:w="5" w:type="pct"/>
            <w:shd w:val="clear" w:color="auto" w:fill="auto"/>
            <w:vAlign w:val="bottom"/>
          </w:tcPr>
          <w:p w14:paraId="07DD06D6" w14:textId="77777777" w:rsidR="00AE727E" w:rsidRDefault="00AE727E">
            <w:pPr>
              <w:rPr>
                <w:rFonts w:ascii="宋体"/>
              </w:rPr>
            </w:pPr>
          </w:p>
        </w:tc>
        <w:tc>
          <w:tcPr>
            <w:tcW w:w="50" w:type="pct"/>
            <w:shd w:val="clear" w:color="auto" w:fill="auto"/>
            <w:vAlign w:val="bottom"/>
          </w:tcPr>
          <w:p w14:paraId="07DD06D7" w14:textId="77777777" w:rsidR="00AE727E" w:rsidRDefault="00AE727E">
            <w:pPr>
              <w:rPr>
                <w:rFonts w:ascii="宋体"/>
              </w:rPr>
            </w:pPr>
          </w:p>
        </w:tc>
        <w:tc>
          <w:tcPr>
            <w:tcW w:w="317" w:type="pct"/>
            <w:shd w:val="clear" w:color="auto" w:fill="auto"/>
            <w:vAlign w:val="bottom"/>
          </w:tcPr>
          <w:p w14:paraId="07DD06D8" w14:textId="77777777" w:rsidR="00AE727E" w:rsidRDefault="00AE727E">
            <w:pPr>
              <w:rPr>
                <w:rFonts w:ascii="宋体"/>
              </w:rPr>
            </w:pPr>
          </w:p>
        </w:tc>
        <w:tc>
          <w:tcPr>
            <w:tcW w:w="5" w:type="pct"/>
            <w:shd w:val="clear" w:color="auto" w:fill="auto"/>
            <w:vAlign w:val="bottom"/>
          </w:tcPr>
          <w:p w14:paraId="07DD06D9" w14:textId="77777777" w:rsidR="00AE727E" w:rsidRDefault="00AE727E">
            <w:pPr>
              <w:rPr>
                <w:rFonts w:ascii="宋体"/>
              </w:rPr>
            </w:pPr>
          </w:p>
        </w:tc>
        <w:tc>
          <w:tcPr>
            <w:tcW w:w="5" w:type="pct"/>
            <w:shd w:val="clear" w:color="auto" w:fill="auto"/>
            <w:vAlign w:val="bottom"/>
          </w:tcPr>
          <w:p w14:paraId="07DD06DA" w14:textId="77777777" w:rsidR="00AE727E" w:rsidRDefault="00AE727E">
            <w:pPr>
              <w:rPr>
                <w:rFonts w:ascii="宋体"/>
              </w:rPr>
            </w:pPr>
          </w:p>
        </w:tc>
        <w:tc>
          <w:tcPr>
            <w:tcW w:w="19" w:type="pct"/>
            <w:shd w:val="clear" w:color="auto" w:fill="auto"/>
            <w:vAlign w:val="bottom"/>
          </w:tcPr>
          <w:p w14:paraId="07DD06DB" w14:textId="77777777" w:rsidR="00AE727E" w:rsidRDefault="00AE727E">
            <w:pPr>
              <w:rPr>
                <w:rFonts w:ascii="宋体"/>
              </w:rPr>
            </w:pPr>
          </w:p>
        </w:tc>
        <w:tc>
          <w:tcPr>
            <w:tcW w:w="5" w:type="pct"/>
            <w:shd w:val="clear" w:color="auto" w:fill="auto"/>
            <w:vAlign w:val="bottom"/>
          </w:tcPr>
          <w:p w14:paraId="07DD06DC" w14:textId="77777777" w:rsidR="00AE727E" w:rsidRDefault="00AE727E">
            <w:pPr>
              <w:rPr>
                <w:rFonts w:ascii="宋体"/>
              </w:rPr>
            </w:pPr>
          </w:p>
        </w:tc>
        <w:tc>
          <w:tcPr>
            <w:tcW w:w="50" w:type="pct"/>
            <w:shd w:val="clear" w:color="auto" w:fill="auto"/>
            <w:vAlign w:val="bottom"/>
          </w:tcPr>
          <w:p w14:paraId="07DD06DD" w14:textId="77777777" w:rsidR="00AE727E" w:rsidRDefault="00AE727E">
            <w:pPr>
              <w:rPr>
                <w:rFonts w:ascii="宋体"/>
              </w:rPr>
            </w:pPr>
          </w:p>
        </w:tc>
        <w:tc>
          <w:tcPr>
            <w:tcW w:w="500" w:type="pct"/>
            <w:shd w:val="clear" w:color="auto" w:fill="auto"/>
            <w:vAlign w:val="bottom"/>
          </w:tcPr>
          <w:p w14:paraId="07DD06DE" w14:textId="77777777" w:rsidR="00AE727E" w:rsidRDefault="00AE727E">
            <w:pPr>
              <w:rPr>
                <w:rFonts w:ascii="宋体"/>
              </w:rPr>
            </w:pPr>
          </w:p>
        </w:tc>
        <w:tc>
          <w:tcPr>
            <w:tcW w:w="5" w:type="pct"/>
            <w:shd w:val="clear" w:color="auto" w:fill="auto"/>
            <w:vAlign w:val="bottom"/>
          </w:tcPr>
          <w:p w14:paraId="07DD06DF" w14:textId="77777777" w:rsidR="00AE727E" w:rsidRDefault="00AE727E">
            <w:pPr>
              <w:rPr>
                <w:rFonts w:ascii="宋体"/>
              </w:rPr>
            </w:pPr>
          </w:p>
        </w:tc>
      </w:tr>
      <w:tr w:rsidR="00AE727E" w14:paraId="07DD06E5" w14:textId="77777777">
        <w:trPr>
          <w:jc w:val="center"/>
        </w:trPr>
        <w:tc>
          <w:tcPr>
            <w:tcW w:w="0" w:type="auto"/>
            <w:gridSpan w:val="3"/>
            <w:shd w:val="clear" w:color="auto" w:fill="auto"/>
            <w:tcMar>
              <w:top w:w="0" w:type="dxa"/>
              <w:left w:w="20" w:type="dxa"/>
              <w:bottom w:w="0" w:type="dxa"/>
              <w:right w:w="20" w:type="dxa"/>
            </w:tcMar>
            <w:vAlign w:val="bottom"/>
          </w:tcPr>
          <w:p w14:paraId="07DD06E1"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6E2"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6E3"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6E4"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6F2" w14:textId="77777777">
        <w:trPr>
          <w:jc w:val="center"/>
        </w:trPr>
        <w:tc>
          <w:tcPr>
            <w:tcW w:w="0" w:type="auto"/>
            <w:gridSpan w:val="3"/>
            <w:shd w:val="clear" w:color="auto" w:fill="auto"/>
            <w:tcMar>
              <w:top w:w="40" w:type="dxa"/>
              <w:left w:w="20" w:type="dxa"/>
              <w:bottom w:w="40" w:type="dxa"/>
              <w:right w:w="20" w:type="dxa"/>
            </w:tcMar>
            <w:vAlign w:val="bottom"/>
          </w:tcPr>
          <w:p w14:paraId="07DD06E6"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6E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6E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6E9"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6E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6EB"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6E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6E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6EE"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6EF"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6F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6F1"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6F5" w14:textId="77777777">
        <w:trPr>
          <w:jc w:val="center"/>
        </w:trPr>
        <w:tc>
          <w:tcPr>
            <w:tcW w:w="0" w:type="auto"/>
            <w:gridSpan w:val="3"/>
            <w:shd w:val="clear" w:color="auto" w:fill="auto"/>
            <w:tcMar>
              <w:top w:w="0" w:type="dxa"/>
              <w:left w:w="20" w:type="dxa"/>
              <w:bottom w:w="0" w:type="dxa"/>
              <w:right w:w="20" w:type="dxa"/>
            </w:tcMar>
            <w:vAlign w:val="bottom"/>
          </w:tcPr>
          <w:p w14:paraId="07DD06F3"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D06F4" w14:textId="77777777" w:rsidR="00AE727E" w:rsidRDefault="008433E0">
            <w:pPr>
              <w:jc w:val="center"/>
              <w:textAlignment w:val="center"/>
            </w:pPr>
            <w:r>
              <w:rPr>
                <w:rFonts w:ascii="Times New Roman" w:eastAsia="宋体" w:hAnsi="Times New Roman"/>
                <w:color w:val="000000"/>
                <w:sz w:val="20"/>
                <w:szCs w:val="20"/>
              </w:rPr>
              <w:t>(in millions, except percentages)</w:t>
            </w:r>
          </w:p>
        </w:tc>
      </w:tr>
      <w:tr w:rsidR="00AE727E" w14:paraId="07DD070C" w14:textId="77777777">
        <w:trPr>
          <w:jc w:val="center"/>
        </w:trPr>
        <w:tc>
          <w:tcPr>
            <w:tcW w:w="0" w:type="auto"/>
            <w:gridSpan w:val="3"/>
            <w:shd w:val="clear" w:color="auto" w:fill="CCEEFF"/>
            <w:tcMar>
              <w:top w:w="40" w:type="dxa"/>
              <w:left w:w="20" w:type="dxa"/>
              <w:bottom w:w="40" w:type="dxa"/>
              <w:right w:w="20" w:type="dxa"/>
            </w:tcMar>
            <w:vAlign w:val="bottom"/>
          </w:tcPr>
          <w:p w14:paraId="07DD06F6" w14:textId="77777777" w:rsidR="00AE727E" w:rsidRDefault="008433E0">
            <w:pPr>
              <w:textAlignment w:val="bottom"/>
            </w:pPr>
            <w:r>
              <w:rPr>
                <w:rFonts w:ascii="Times New Roman" w:eastAsia="宋体" w:hAnsi="Times New Roman"/>
                <w:color w:val="000000"/>
                <w:sz w:val="20"/>
                <w:szCs w:val="20"/>
              </w:rPr>
              <w:t>Gross margin</w:t>
            </w:r>
          </w:p>
        </w:tc>
        <w:tc>
          <w:tcPr>
            <w:tcW w:w="0" w:type="auto"/>
            <w:shd w:val="clear" w:color="auto" w:fill="CCEEFF"/>
            <w:tcMar>
              <w:top w:w="40" w:type="dxa"/>
              <w:left w:w="20" w:type="dxa"/>
              <w:bottom w:w="40" w:type="dxa"/>
              <w:right w:w="0" w:type="dxa"/>
            </w:tcMar>
            <w:vAlign w:val="center"/>
          </w:tcPr>
          <w:p w14:paraId="07DD06F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6F8" w14:textId="77777777" w:rsidR="00AE727E" w:rsidRDefault="008433E0">
            <w:pPr>
              <w:jc w:val="right"/>
              <w:textAlignment w:val="center"/>
            </w:pPr>
            <w:r>
              <w:rPr>
                <w:rFonts w:ascii="Times New Roman" w:eastAsia="宋体" w:hAnsi="Times New Roman"/>
                <w:color w:val="000000"/>
                <w:sz w:val="20"/>
                <w:szCs w:val="20"/>
              </w:rPr>
              <w:t>8,059 </w:t>
            </w:r>
          </w:p>
        </w:tc>
        <w:tc>
          <w:tcPr>
            <w:tcW w:w="0" w:type="auto"/>
            <w:shd w:val="clear" w:color="auto" w:fill="CCEEFF"/>
            <w:tcMar>
              <w:top w:w="40" w:type="dxa"/>
              <w:left w:w="0" w:type="dxa"/>
              <w:bottom w:w="40" w:type="dxa"/>
              <w:right w:w="20" w:type="dxa"/>
            </w:tcMar>
            <w:vAlign w:val="center"/>
          </w:tcPr>
          <w:p w14:paraId="07DD06F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6F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6FB"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6F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6FD"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6F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6FF" w14:textId="77777777" w:rsidR="00AE727E" w:rsidRDefault="008433E0">
            <w:pPr>
              <w:jc w:val="right"/>
              <w:textAlignment w:val="center"/>
            </w:pPr>
            <w:r>
              <w:rPr>
                <w:rFonts w:ascii="Times New Roman" w:eastAsia="宋体" w:hAnsi="Times New Roman"/>
                <w:color w:val="000000"/>
                <w:sz w:val="20"/>
                <w:szCs w:val="20"/>
              </w:rPr>
              <w:t>7,261 </w:t>
            </w:r>
          </w:p>
        </w:tc>
        <w:tc>
          <w:tcPr>
            <w:tcW w:w="0" w:type="auto"/>
            <w:shd w:val="clear" w:color="auto" w:fill="CCEEFF"/>
            <w:tcMar>
              <w:top w:w="40" w:type="dxa"/>
              <w:left w:w="0" w:type="dxa"/>
              <w:bottom w:w="40" w:type="dxa"/>
              <w:right w:w="20" w:type="dxa"/>
            </w:tcMar>
            <w:vAlign w:val="center"/>
          </w:tcPr>
          <w:p w14:paraId="07DD070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0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70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03" w14:textId="77777777" w:rsidR="00AE727E" w:rsidRDefault="008433E0">
            <w:pPr>
              <w:jc w:val="right"/>
              <w:textAlignment w:val="center"/>
            </w:pPr>
            <w:r>
              <w:rPr>
                <w:rFonts w:ascii="Times New Roman" w:eastAsia="宋体" w:hAnsi="Times New Roman"/>
                <w:color w:val="000000"/>
                <w:sz w:val="20"/>
                <w:szCs w:val="20"/>
              </w:rPr>
              <w:t>23,702 </w:t>
            </w:r>
          </w:p>
        </w:tc>
        <w:tc>
          <w:tcPr>
            <w:tcW w:w="0" w:type="auto"/>
            <w:shd w:val="clear" w:color="auto" w:fill="CCEEFF"/>
            <w:tcMar>
              <w:top w:w="40" w:type="dxa"/>
              <w:left w:w="0" w:type="dxa"/>
              <w:bottom w:w="40" w:type="dxa"/>
              <w:right w:w="20" w:type="dxa"/>
            </w:tcMar>
            <w:vAlign w:val="center"/>
          </w:tcPr>
          <w:p w14:paraId="07DD070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0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06" w14:textId="77777777" w:rsidR="00AE727E" w:rsidRDefault="008433E0">
            <w:pPr>
              <w:jc w:val="right"/>
              <w:textAlignment w:val="center"/>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center"/>
          </w:tcPr>
          <w:p w14:paraId="07DD070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708"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70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0A" w14:textId="77777777" w:rsidR="00AE727E" w:rsidRDefault="008433E0">
            <w:pPr>
              <w:jc w:val="right"/>
              <w:textAlignment w:val="center"/>
            </w:pPr>
            <w:r>
              <w:rPr>
                <w:rFonts w:ascii="Times New Roman" w:eastAsia="宋体" w:hAnsi="Times New Roman"/>
                <w:color w:val="000000"/>
                <w:sz w:val="20"/>
                <w:szCs w:val="20"/>
              </w:rPr>
              <w:t>21,270 </w:t>
            </w:r>
          </w:p>
        </w:tc>
        <w:tc>
          <w:tcPr>
            <w:tcW w:w="0" w:type="auto"/>
            <w:shd w:val="clear" w:color="auto" w:fill="CCEEFF"/>
            <w:tcMar>
              <w:top w:w="40" w:type="dxa"/>
              <w:left w:w="0" w:type="dxa"/>
              <w:bottom w:w="40" w:type="dxa"/>
              <w:right w:w="20" w:type="dxa"/>
            </w:tcMar>
            <w:vAlign w:val="center"/>
          </w:tcPr>
          <w:p w14:paraId="07DD070B" w14:textId="77777777" w:rsidR="00AE727E" w:rsidRDefault="00AE727E">
            <w:pPr>
              <w:jc w:val="right"/>
              <w:rPr>
                <w:rFonts w:ascii="宋体"/>
              </w:rPr>
            </w:pPr>
          </w:p>
        </w:tc>
      </w:tr>
      <w:tr w:rsidR="00AE727E" w14:paraId="07DD0719" w14:textId="77777777">
        <w:trPr>
          <w:jc w:val="center"/>
        </w:trPr>
        <w:tc>
          <w:tcPr>
            <w:tcW w:w="0" w:type="auto"/>
            <w:gridSpan w:val="3"/>
            <w:shd w:val="clear" w:color="auto" w:fill="FFFFFF"/>
            <w:tcMar>
              <w:top w:w="40" w:type="dxa"/>
              <w:left w:w="155" w:type="dxa"/>
              <w:bottom w:w="40" w:type="dxa"/>
              <w:right w:w="20" w:type="dxa"/>
            </w:tcMar>
            <w:vAlign w:val="bottom"/>
          </w:tcPr>
          <w:p w14:paraId="07DD070D" w14:textId="77777777" w:rsidR="00AE727E" w:rsidRDefault="008433E0">
            <w:pPr>
              <w:textAlignment w:val="bottom"/>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07DD070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0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18" w14:textId="77777777" w:rsidR="00AE727E" w:rsidRDefault="00AE727E">
            <w:pPr>
              <w:rPr>
                <w:rFonts w:ascii="宋体"/>
              </w:rPr>
            </w:pPr>
          </w:p>
        </w:tc>
      </w:tr>
      <w:tr w:rsidR="00AE727E" w14:paraId="07DD072A" w14:textId="77777777">
        <w:trPr>
          <w:jc w:val="center"/>
        </w:trPr>
        <w:tc>
          <w:tcPr>
            <w:tcW w:w="0" w:type="auto"/>
            <w:gridSpan w:val="3"/>
            <w:shd w:val="clear" w:color="auto" w:fill="CCEEFF"/>
            <w:tcMar>
              <w:top w:w="40" w:type="dxa"/>
              <w:left w:w="245" w:type="dxa"/>
              <w:bottom w:w="40" w:type="dxa"/>
              <w:right w:w="20" w:type="dxa"/>
            </w:tcMar>
            <w:vAlign w:val="bottom"/>
          </w:tcPr>
          <w:p w14:paraId="07DD071A"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07DD071B" w14:textId="77777777" w:rsidR="00AE727E" w:rsidRDefault="008433E0">
            <w:pPr>
              <w:jc w:val="right"/>
              <w:textAlignment w:val="center"/>
            </w:pPr>
            <w:r>
              <w:rPr>
                <w:rFonts w:ascii="Times New Roman" w:eastAsia="宋体" w:hAnsi="Times New Roman"/>
                <w:color w:val="000000"/>
                <w:sz w:val="20"/>
                <w:szCs w:val="20"/>
              </w:rPr>
              <w:t>275 </w:t>
            </w:r>
          </w:p>
        </w:tc>
        <w:tc>
          <w:tcPr>
            <w:tcW w:w="0" w:type="auto"/>
            <w:shd w:val="clear" w:color="auto" w:fill="CCEEFF"/>
            <w:tcMar>
              <w:top w:w="40" w:type="dxa"/>
              <w:left w:w="0" w:type="dxa"/>
              <w:bottom w:w="40" w:type="dxa"/>
              <w:right w:w="20" w:type="dxa"/>
            </w:tcMar>
            <w:vAlign w:val="center"/>
          </w:tcPr>
          <w:p w14:paraId="07DD071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1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1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20" w14:textId="77777777" w:rsidR="00AE727E" w:rsidRDefault="008433E0">
            <w:pPr>
              <w:jc w:val="right"/>
              <w:textAlignment w:val="center"/>
            </w:pPr>
            <w:r>
              <w:rPr>
                <w:rFonts w:ascii="Times New Roman" w:eastAsia="宋体" w:hAnsi="Times New Roman"/>
                <w:color w:val="000000"/>
                <w:sz w:val="20"/>
                <w:szCs w:val="20"/>
              </w:rPr>
              <w:t>375 </w:t>
            </w:r>
          </w:p>
        </w:tc>
        <w:tc>
          <w:tcPr>
            <w:tcW w:w="0" w:type="auto"/>
            <w:shd w:val="clear" w:color="auto" w:fill="CCEEFF"/>
            <w:tcMar>
              <w:top w:w="40" w:type="dxa"/>
              <w:left w:w="0" w:type="dxa"/>
              <w:bottom w:w="40" w:type="dxa"/>
              <w:right w:w="20" w:type="dxa"/>
            </w:tcMar>
            <w:vAlign w:val="center"/>
          </w:tcPr>
          <w:p w14:paraId="07DD072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2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23" w14:textId="77777777" w:rsidR="00AE727E" w:rsidRDefault="008433E0">
            <w:pPr>
              <w:jc w:val="right"/>
              <w:textAlignment w:val="center"/>
            </w:pPr>
            <w:r>
              <w:rPr>
                <w:rFonts w:ascii="Times New Roman" w:eastAsia="宋体" w:hAnsi="Times New Roman"/>
                <w:color w:val="000000"/>
                <w:sz w:val="20"/>
                <w:szCs w:val="20"/>
              </w:rPr>
              <w:t>826 </w:t>
            </w:r>
          </w:p>
        </w:tc>
        <w:tc>
          <w:tcPr>
            <w:tcW w:w="0" w:type="auto"/>
            <w:shd w:val="clear" w:color="auto" w:fill="CCEEFF"/>
            <w:tcMar>
              <w:top w:w="40" w:type="dxa"/>
              <w:left w:w="0" w:type="dxa"/>
              <w:bottom w:w="40" w:type="dxa"/>
              <w:right w:w="20" w:type="dxa"/>
            </w:tcMar>
            <w:vAlign w:val="center"/>
          </w:tcPr>
          <w:p w14:paraId="07DD07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2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2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2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28" w14:textId="77777777" w:rsidR="00AE727E" w:rsidRDefault="008433E0">
            <w:pPr>
              <w:jc w:val="right"/>
              <w:textAlignment w:val="center"/>
            </w:pPr>
            <w:r>
              <w:rPr>
                <w:rFonts w:ascii="Times New Roman" w:eastAsia="宋体" w:hAnsi="Times New Roman"/>
                <w:color w:val="000000"/>
                <w:sz w:val="20"/>
                <w:szCs w:val="20"/>
              </w:rPr>
              <w:t>1,122 </w:t>
            </w:r>
          </w:p>
        </w:tc>
        <w:tc>
          <w:tcPr>
            <w:tcW w:w="0" w:type="auto"/>
            <w:shd w:val="clear" w:color="auto" w:fill="CCEEFF"/>
            <w:tcMar>
              <w:top w:w="40" w:type="dxa"/>
              <w:left w:w="0" w:type="dxa"/>
              <w:bottom w:w="40" w:type="dxa"/>
              <w:right w:w="20" w:type="dxa"/>
            </w:tcMar>
            <w:vAlign w:val="center"/>
          </w:tcPr>
          <w:p w14:paraId="07DD0729" w14:textId="77777777" w:rsidR="00AE727E" w:rsidRDefault="00AE727E">
            <w:pPr>
              <w:jc w:val="right"/>
              <w:rPr>
                <w:rFonts w:ascii="宋体"/>
              </w:rPr>
            </w:pPr>
          </w:p>
        </w:tc>
      </w:tr>
      <w:tr w:rsidR="00AE727E" w14:paraId="07DD073B" w14:textId="77777777">
        <w:trPr>
          <w:jc w:val="center"/>
        </w:trPr>
        <w:tc>
          <w:tcPr>
            <w:tcW w:w="0" w:type="auto"/>
            <w:gridSpan w:val="3"/>
            <w:shd w:val="clear" w:color="auto" w:fill="FFFFFF"/>
            <w:tcMar>
              <w:top w:w="40" w:type="dxa"/>
              <w:left w:w="245" w:type="dxa"/>
              <w:bottom w:w="40" w:type="dxa"/>
              <w:right w:w="20" w:type="dxa"/>
            </w:tcMar>
            <w:vAlign w:val="bottom"/>
          </w:tcPr>
          <w:p w14:paraId="07DD072B"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07DD072C"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07DD072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2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2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3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31" w14:textId="77777777" w:rsidR="00AE727E" w:rsidRDefault="008433E0">
            <w:pPr>
              <w:jc w:val="right"/>
              <w:textAlignment w:val="center"/>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center"/>
          </w:tcPr>
          <w:p w14:paraId="07DD073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3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34" w14:textId="77777777" w:rsidR="00AE727E" w:rsidRDefault="008433E0">
            <w:pPr>
              <w:jc w:val="right"/>
              <w:textAlignment w:val="center"/>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center"/>
          </w:tcPr>
          <w:p w14:paraId="07DD073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3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3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3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39" w14:textId="77777777" w:rsidR="00AE727E" w:rsidRDefault="008433E0">
            <w:pPr>
              <w:jc w:val="right"/>
              <w:textAlignment w:val="center"/>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center"/>
          </w:tcPr>
          <w:p w14:paraId="07DD073A" w14:textId="77777777" w:rsidR="00AE727E" w:rsidRDefault="00AE727E">
            <w:pPr>
              <w:jc w:val="right"/>
              <w:rPr>
                <w:rFonts w:ascii="宋体"/>
              </w:rPr>
            </w:pPr>
          </w:p>
        </w:tc>
      </w:tr>
      <w:tr w:rsidR="00AE727E" w14:paraId="07DD0748" w14:textId="77777777">
        <w:trPr>
          <w:jc w:val="center"/>
          <w:hidden/>
        </w:trPr>
        <w:tc>
          <w:tcPr>
            <w:tcW w:w="0" w:type="auto"/>
            <w:gridSpan w:val="3"/>
            <w:shd w:val="clear" w:color="auto" w:fill="auto"/>
            <w:vAlign w:val="bottom"/>
          </w:tcPr>
          <w:p w14:paraId="07DD073C" w14:textId="77777777" w:rsidR="00AE727E" w:rsidRDefault="00AE727E">
            <w:pPr>
              <w:rPr>
                <w:rFonts w:ascii="宋体"/>
                <w:vanish/>
              </w:rPr>
            </w:pPr>
          </w:p>
        </w:tc>
        <w:tc>
          <w:tcPr>
            <w:tcW w:w="0" w:type="auto"/>
            <w:gridSpan w:val="3"/>
            <w:shd w:val="clear" w:color="auto" w:fill="auto"/>
            <w:vAlign w:val="bottom"/>
          </w:tcPr>
          <w:p w14:paraId="07DD073D" w14:textId="77777777" w:rsidR="00AE727E" w:rsidRDefault="00AE727E">
            <w:pPr>
              <w:rPr>
                <w:rFonts w:ascii="宋体"/>
                <w:vanish/>
              </w:rPr>
            </w:pPr>
          </w:p>
        </w:tc>
        <w:tc>
          <w:tcPr>
            <w:tcW w:w="0" w:type="auto"/>
            <w:gridSpan w:val="3"/>
            <w:shd w:val="clear" w:color="auto" w:fill="auto"/>
            <w:vAlign w:val="bottom"/>
          </w:tcPr>
          <w:p w14:paraId="07DD073E" w14:textId="77777777" w:rsidR="00AE727E" w:rsidRDefault="00AE727E">
            <w:pPr>
              <w:rPr>
                <w:rFonts w:ascii="宋体"/>
                <w:vanish/>
              </w:rPr>
            </w:pPr>
          </w:p>
        </w:tc>
        <w:tc>
          <w:tcPr>
            <w:tcW w:w="0" w:type="auto"/>
            <w:gridSpan w:val="3"/>
            <w:shd w:val="clear" w:color="auto" w:fill="auto"/>
            <w:vAlign w:val="bottom"/>
          </w:tcPr>
          <w:p w14:paraId="07DD073F" w14:textId="77777777" w:rsidR="00AE727E" w:rsidRDefault="00AE727E">
            <w:pPr>
              <w:rPr>
                <w:rFonts w:ascii="宋体"/>
                <w:vanish/>
              </w:rPr>
            </w:pPr>
          </w:p>
        </w:tc>
        <w:tc>
          <w:tcPr>
            <w:tcW w:w="0" w:type="auto"/>
            <w:gridSpan w:val="3"/>
            <w:shd w:val="clear" w:color="auto" w:fill="auto"/>
            <w:vAlign w:val="bottom"/>
          </w:tcPr>
          <w:p w14:paraId="07DD0740" w14:textId="77777777" w:rsidR="00AE727E" w:rsidRDefault="00AE727E">
            <w:pPr>
              <w:rPr>
                <w:rFonts w:ascii="宋体"/>
                <w:vanish/>
              </w:rPr>
            </w:pPr>
          </w:p>
        </w:tc>
        <w:tc>
          <w:tcPr>
            <w:tcW w:w="0" w:type="auto"/>
            <w:gridSpan w:val="3"/>
            <w:shd w:val="clear" w:color="auto" w:fill="auto"/>
            <w:vAlign w:val="bottom"/>
          </w:tcPr>
          <w:p w14:paraId="07DD0741" w14:textId="77777777" w:rsidR="00AE727E" w:rsidRDefault="00AE727E">
            <w:pPr>
              <w:rPr>
                <w:rFonts w:ascii="宋体"/>
                <w:vanish/>
              </w:rPr>
            </w:pPr>
          </w:p>
        </w:tc>
        <w:tc>
          <w:tcPr>
            <w:tcW w:w="0" w:type="auto"/>
            <w:gridSpan w:val="3"/>
            <w:shd w:val="clear" w:color="auto" w:fill="auto"/>
            <w:vAlign w:val="bottom"/>
          </w:tcPr>
          <w:p w14:paraId="07DD0742" w14:textId="77777777" w:rsidR="00AE727E" w:rsidRDefault="00AE727E">
            <w:pPr>
              <w:rPr>
                <w:rFonts w:ascii="宋体"/>
                <w:vanish/>
              </w:rPr>
            </w:pPr>
          </w:p>
        </w:tc>
        <w:tc>
          <w:tcPr>
            <w:tcW w:w="0" w:type="auto"/>
            <w:gridSpan w:val="3"/>
            <w:shd w:val="clear" w:color="auto" w:fill="auto"/>
            <w:vAlign w:val="bottom"/>
          </w:tcPr>
          <w:p w14:paraId="07DD0743" w14:textId="77777777" w:rsidR="00AE727E" w:rsidRDefault="00AE727E">
            <w:pPr>
              <w:rPr>
                <w:rFonts w:ascii="宋体"/>
                <w:vanish/>
              </w:rPr>
            </w:pPr>
          </w:p>
        </w:tc>
        <w:tc>
          <w:tcPr>
            <w:tcW w:w="0" w:type="auto"/>
            <w:gridSpan w:val="3"/>
            <w:shd w:val="clear" w:color="auto" w:fill="auto"/>
            <w:vAlign w:val="bottom"/>
          </w:tcPr>
          <w:p w14:paraId="07DD0744" w14:textId="77777777" w:rsidR="00AE727E" w:rsidRDefault="00AE727E">
            <w:pPr>
              <w:rPr>
                <w:rFonts w:ascii="宋体"/>
                <w:vanish/>
              </w:rPr>
            </w:pPr>
          </w:p>
        </w:tc>
        <w:tc>
          <w:tcPr>
            <w:tcW w:w="0" w:type="auto"/>
            <w:gridSpan w:val="3"/>
            <w:shd w:val="clear" w:color="auto" w:fill="auto"/>
            <w:vAlign w:val="bottom"/>
          </w:tcPr>
          <w:p w14:paraId="07DD0745" w14:textId="77777777" w:rsidR="00AE727E" w:rsidRDefault="00AE727E">
            <w:pPr>
              <w:rPr>
                <w:rFonts w:ascii="宋体"/>
                <w:vanish/>
              </w:rPr>
            </w:pPr>
          </w:p>
        </w:tc>
        <w:tc>
          <w:tcPr>
            <w:tcW w:w="0" w:type="auto"/>
            <w:gridSpan w:val="3"/>
            <w:shd w:val="clear" w:color="auto" w:fill="auto"/>
            <w:vAlign w:val="bottom"/>
          </w:tcPr>
          <w:p w14:paraId="07DD0746" w14:textId="77777777" w:rsidR="00AE727E" w:rsidRDefault="00AE727E">
            <w:pPr>
              <w:rPr>
                <w:rFonts w:ascii="宋体"/>
                <w:vanish/>
              </w:rPr>
            </w:pPr>
          </w:p>
        </w:tc>
        <w:tc>
          <w:tcPr>
            <w:tcW w:w="0" w:type="auto"/>
            <w:gridSpan w:val="3"/>
            <w:shd w:val="clear" w:color="auto" w:fill="auto"/>
            <w:vAlign w:val="bottom"/>
          </w:tcPr>
          <w:p w14:paraId="07DD0747" w14:textId="77777777" w:rsidR="00AE727E" w:rsidRDefault="00AE727E">
            <w:pPr>
              <w:rPr>
                <w:rFonts w:ascii="宋体"/>
                <w:vanish/>
              </w:rPr>
            </w:pPr>
          </w:p>
        </w:tc>
      </w:tr>
      <w:tr w:rsidR="00AE727E" w14:paraId="07DD0759" w14:textId="77777777">
        <w:trPr>
          <w:jc w:val="center"/>
        </w:trPr>
        <w:tc>
          <w:tcPr>
            <w:tcW w:w="0" w:type="auto"/>
            <w:gridSpan w:val="3"/>
            <w:shd w:val="clear" w:color="auto" w:fill="CCEEFF"/>
            <w:tcMar>
              <w:top w:w="40" w:type="dxa"/>
              <w:left w:w="245" w:type="dxa"/>
              <w:bottom w:w="40" w:type="dxa"/>
              <w:right w:w="20" w:type="dxa"/>
            </w:tcMar>
            <w:vAlign w:val="bottom"/>
          </w:tcPr>
          <w:p w14:paraId="07DD0749"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07DD074A" w14:textId="77777777" w:rsidR="00AE727E" w:rsidRDefault="008433E0">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07DD07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4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4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4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4F" w14:textId="77777777" w:rsidR="00AE727E" w:rsidRDefault="008433E0">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center"/>
          </w:tcPr>
          <w:p w14:paraId="07DD075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5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52" w14:textId="77777777" w:rsidR="00AE727E" w:rsidRDefault="008433E0">
            <w:pPr>
              <w:jc w:val="right"/>
              <w:textAlignment w:val="center"/>
            </w:pPr>
            <w:r>
              <w:rPr>
                <w:rFonts w:ascii="Times New Roman" w:eastAsia="宋体" w:hAnsi="Times New Roman"/>
                <w:color w:val="000000"/>
                <w:sz w:val="20"/>
                <w:szCs w:val="20"/>
              </w:rPr>
              <w:t>183 </w:t>
            </w:r>
          </w:p>
        </w:tc>
        <w:tc>
          <w:tcPr>
            <w:tcW w:w="0" w:type="auto"/>
            <w:shd w:val="clear" w:color="auto" w:fill="CCEEFF"/>
            <w:tcMar>
              <w:top w:w="40" w:type="dxa"/>
              <w:left w:w="0" w:type="dxa"/>
              <w:bottom w:w="40" w:type="dxa"/>
              <w:right w:w="20" w:type="dxa"/>
            </w:tcMar>
            <w:vAlign w:val="center"/>
          </w:tcPr>
          <w:p w14:paraId="07DD075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5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5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5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57" w14:textId="77777777" w:rsidR="00AE727E" w:rsidRDefault="008433E0">
            <w:pPr>
              <w:jc w:val="right"/>
              <w:textAlignment w:val="center"/>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center"/>
          </w:tcPr>
          <w:p w14:paraId="07DD0758" w14:textId="77777777" w:rsidR="00AE727E" w:rsidRDefault="00AE727E">
            <w:pPr>
              <w:jc w:val="right"/>
              <w:rPr>
                <w:rFonts w:ascii="宋体"/>
              </w:rPr>
            </w:pPr>
          </w:p>
        </w:tc>
      </w:tr>
      <w:tr w:rsidR="00AE727E" w14:paraId="07DD076A" w14:textId="77777777">
        <w:trPr>
          <w:jc w:val="center"/>
        </w:trPr>
        <w:tc>
          <w:tcPr>
            <w:tcW w:w="0" w:type="auto"/>
            <w:gridSpan w:val="3"/>
            <w:shd w:val="clear" w:color="auto" w:fill="FFFFFF"/>
            <w:tcMar>
              <w:top w:w="40" w:type="dxa"/>
              <w:left w:w="245" w:type="dxa"/>
              <w:bottom w:w="40" w:type="dxa"/>
              <w:right w:w="20" w:type="dxa"/>
            </w:tcMar>
            <w:vAlign w:val="bottom"/>
          </w:tcPr>
          <w:p w14:paraId="07DD075A" w14:textId="77777777" w:rsidR="00AE727E" w:rsidRDefault="008433E0">
            <w:pPr>
              <w:textAlignment w:val="bottom"/>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07DD075B" w14:textId="77777777" w:rsidR="00AE727E" w:rsidRDefault="008433E0">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07DD075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5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5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5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60" w14:textId="77777777" w:rsidR="00AE727E" w:rsidRDefault="008433E0">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07DD076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6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63" w14:textId="77777777" w:rsidR="00AE727E" w:rsidRDefault="008433E0">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07DD076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6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6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6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68" w14:textId="77777777" w:rsidR="00AE727E" w:rsidRDefault="008433E0">
            <w:pPr>
              <w:jc w:val="right"/>
              <w:textAlignment w:val="center"/>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center"/>
          </w:tcPr>
          <w:p w14:paraId="07DD0769" w14:textId="77777777" w:rsidR="00AE727E" w:rsidRDefault="00AE727E">
            <w:pPr>
              <w:jc w:val="right"/>
              <w:rPr>
                <w:rFonts w:ascii="宋体"/>
              </w:rPr>
            </w:pPr>
          </w:p>
        </w:tc>
      </w:tr>
      <w:tr w:rsidR="00AE727E" w14:paraId="07DD0781" w14:textId="77777777">
        <w:trPr>
          <w:jc w:val="center"/>
        </w:trPr>
        <w:tc>
          <w:tcPr>
            <w:tcW w:w="0" w:type="auto"/>
            <w:gridSpan w:val="3"/>
            <w:shd w:val="clear" w:color="auto" w:fill="CCEEFF"/>
            <w:tcMar>
              <w:top w:w="40" w:type="dxa"/>
              <w:left w:w="515" w:type="dxa"/>
              <w:bottom w:w="40" w:type="dxa"/>
              <w:right w:w="20" w:type="dxa"/>
            </w:tcMar>
            <w:vAlign w:val="bottom"/>
          </w:tcPr>
          <w:p w14:paraId="07DD076B" w14:textId="77777777" w:rsidR="00AE727E" w:rsidRDefault="008433E0">
            <w:pPr>
              <w:textAlignment w:val="bottom"/>
            </w:pPr>
            <w:r>
              <w:rPr>
                <w:rFonts w:ascii="Times New Roman" w:eastAsia="宋体" w:hAnsi="Times New Roman"/>
                <w:color w:val="000000"/>
                <w:sz w:val="20"/>
                <w:szCs w:val="20"/>
              </w:rPr>
              <w:t>Non-GAAP gross margin</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076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76D" w14:textId="77777777" w:rsidR="00AE727E" w:rsidRDefault="008433E0">
            <w:pPr>
              <w:jc w:val="right"/>
              <w:textAlignment w:val="center"/>
            </w:pPr>
            <w:r>
              <w:rPr>
                <w:rFonts w:ascii="Times New Roman" w:eastAsia="宋体" w:hAnsi="Times New Roman"/>
                <w:color w:val="000000"/>
                <w:sz w:val="20"/>
                <w:szCs w:val="20"/>
              </w:rPr>
              <w:t>8,410 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76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6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70"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07DD0771"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77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77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774" w14:textId="77777777" w:rsidR="00AE727E" w:rsidRDefault="008433E0">
            <w:pPr>
              <w:jc w:val="right"/>
              <w:textAlignment w:val="center"/>
            </w:pPr>
            <w:r>
              <w:rPr>
                <w:rFonts w:ascii="Times New Roman" w:eastAsia="宋体" w:hAnsi="Times New Roman"/>
                <w:color w:val="000000"/>
                <w:sz w:val="20"/>
                <w:szCs w:val="20"/>
              </w:rPr>
              <w:t>7,771 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77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76"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77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778" w14:textId="77777777" w:rsidR="00AE727E" w:rsidRDefault="008433E0">
            <w:pPr>
              <w:jc w:val="right"/>
              <w:textAlignment w:val="center"/>
            </w:pPr>
            <w:r>
              <w:rPr>
                <w:rFonts w:ascii="Times New Roman" w:eastAsia="宋体" w:hAnsi="Times New Roman"/>
                <w:color w:val="000000"/>
                <w:sz w:val="20"/>
                <w:szCs w:val="20"/>
              </w:rPr>
              <w:t>24,770 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7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7B"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07DD077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77D"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77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77F" w14:textId="77777777" w:rsidR="00AE727E" w:rsidRDefault="008433E0">
            <w:pPr>
              <w:jc w:val="right"/>
              <w:textAlignment w:val="center"/>
            </w:pPr>
            <w:r>
              <w:rPr>
                <w:rFonts w:ascii="Times New Roman" w:eastAsia="宋体" w:hAnsi="Times New Roman"/>
                <w:color w:val="000000"/>
                <w:sz w:val="20"/>
                <w:szCs w:val="20"/>
              </w:rPr>
              <w:t>22,722 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780" w14:textId="77777777" w:rsidR="00AE727E" w:rsidRDefault="00AE727E">
            <w:pPr>
              <w:jc w:val="right"/>
              <w:rPr>
                <w:rFonts w:ascii="宋体"/>
              </w:rPr>
            </w:pPr>
          </w:p>
        </w:tc>
      </w:tr>
      <w:tr w:rsidR="00AE727E" w14:paraId="07DD078E"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DD0782"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78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6"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78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8"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78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8C"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78D" w14:textId="77777777" w:rsidR="00AE727E" w:rsidRDefault="00AE727E">
            <w:pPr>
              <w:rPr>
                <w:rFonts w:ascii="宋体"/>
              </w:rPr>
            </w:pPr>
          </w:p>
        </w:tc>
      </w:tr>
      <w:tr w:rsidR="00AE727E" w14:paraId="07DD07A5" w14:textId="77777777">
        <w:trPr>
          <w:jc w:val="center"/>
        </w:trPr>
        <w:tc>
          <w:tcPr>
            <w:tcW w:w="0" w:type="auto"/>
            <w:gridSpan w:val="3"/>
            <w:shd w:val="clear" w:color="auto" w:fill="CCEEFF"/>
            <w:tcMar>
              <w:top w:w="40" w:type="dxa"/>
              <w:left w:w="20" w:type="dxa"/>
              <w:bottom w:w="40" w:type="dxa"/>
              <w:right w:w="20" w:type="dxa"/>
            </w:tcMar>
            <w:vAlign w:val="bottom"/>
          </w:tcPr>
          <w:p w14:paraId="07DD078F" w14:textId="77777777" w:rsidR="00AE727E" w:rsidRDefault="008433E0">
            <w:pPr>
              <w:textAlignment w:val="bottom"/>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right w:w="0" w:type="dxa"/>
            </w:tcMar>
            <w:vAlign w:val="center"/>
          </w:tcPr>
          <w:p w14:paraId="07DD079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91" w14:textId="77777777" w:rsidR="00AE727E" w:rsidRDefault="008433E0">
            <w:pPr>
              <w:jc w:val="right"/>
              <w:textAlignment w:val="center"/>
            </w:pPr>
            <w:r>
              <w:rPr>
                <w:rFonts w:ascii="Times New Roman" w:eastAsia="宋体" w:hAnsi="Times New Roman"/>
                <w:color w:val="000000"/>
                <w:sz w:val="20"/>
                <w:szCs w:val="20"/>
              </w:rPr>
              <w:t>6,710 </w:t>
            </w:r>
          </w:p>
        </w:tc>
        <w:tc>
          <w:tcPr>
            <w:tcW w:w="0" w:type="auto"/>
            <w:shd w:val="clear" w:color="auto" w:fill="CCEEFF"/>
            <w:tcMar>
              <w:top w:w="40" w:type="dxa"/>
              <w:left w:w="0" w:type="dxa"/>
              <w:bottom w:w="40" w:type="dxa"/>
              <w:right w:w="20" w:type="dxa"/>
            </w:tcMar>
            <w:vAlign w:val="center"/>
          </w:tcPr>
          <w:p w14:paraId="07DD079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9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94"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07DD079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796"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79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98" w14:textId="77777777" w:rsidR="00AE727E" w:rsidRDefault="008433E0">
            <w:pPr>
              <w:jc w:val="right"/>
              <w:textAlignment w:val="center"/>
            </w:pPr>
            <w:r>
              <w:rPr>
                <w:rFonts w:ascii="Times New Roman" w:eastAsia="宋体" w:hAnsi="Times New Roman"/>
                <w:color w:val="000000"/>
                <w:sz w:val="20"/>
                <w:szCs w:val="20"/>
              </w:rPr>
              <w:t>6,132 </w:t>
            </w:r>
          </w:p>
        </w:tc>
        <w:tc>
          <w:tcPr>
            <w:tcW w:w="0" w:type="auto"/>
            <w:shd w:val="clear" w:color="auto" w:fill="CCEEFF"/>
            <w:tcMar>
              <w:top w:w="40" w:type="dxa"/>
              <w:left w:w="0" w:type="dxa"/>
              <w:bottom w:w="40" w:type="dxa"/>
              <w:right w:w="20" w:type="dxa"/>
            </w:tcMar>
            <w:vAlign w:val="center"/>
          </w:tcPr>
          <w:p w14:paraId="07DD079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9A"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79B"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9C" w14:textId="77777777" w:rsidR="00AE727E" w:rsidRDefault="008433E0">
            <w:pPr>
              <w:jc w:val="right"/>
              <w:textAlignment w:val="center"/>
            </w:pPr>
            <w:r>
              <w:rPr>
                <w:rFonts w:ascii="Times New Roman" w:eastAsia="宋体" w:hAnsi="Times New Roman"/>
                <w:color w:val="000000"/>
                <w:sz w:val="20"/>
                <w:szCs w:val="20"/>
              </w:rPr>
              <w:t>19,606 </w:t>
            </w:r>
          </w:p>
        </w:tc>
        <w:tc>
          <w:tcPr>
            <w:tcW w:w="0" w:type="auto"/>
            <w:shd w:val="clear" w:color="auto" w:fill="CCEEFF"/>
            <w:tcMar>
              <w:top w:w="40" w:type="dxa"/>
              <w:left w:w="0" w:type="dxa"/>
              <w:bottom w:w="40" w:type="dxa"/>
              <w:right w:w="20" w:type="dxa"/>
            </w:tcMar>
            <w:vAlign w:val="center"/>
          </w:tcPr>
          <w:p w14:paraId="07DD079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9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9F" w14:textId="77777777" w:rsidR="00AE727E" w:rsidRDefault="008433E0">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07DD07A0"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7A1"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7A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7A3" w14:textId="77777777" w:rsidR="00AE727E" w:rsidRDefault="008433E0">
            <w:pPr>
              <w:jc w:val="right"/>
              <w:textAlignment w:val="center"/>
            </w:pPr>
            <w:r>
              <w:rPr>
                <w:rFonts w:ascii="Times New Roman" w:eastAsia="宋体" w:hAnsi="Times New Roman"/>
                <w:color w:val="000000"/>
                <w:sz w:val="20"/>
                <w:szCs w:val="20"/>
              </w:rPr>
              <w:t>18,303 </w:t>
            </w:r>
          </w:p>
        </w:tc>
        <w:tc>
          <w:tcPr>
            <w:tcW w:w="0" w:type="auto"/>
            <w:shd w:val="clear" w:color="auto" w:fill="CCEEFF"/>
            <w:tcMar>
              <w:top w:w="40" w:type="dxa"/>
              <w:left w:w="0" w:type="dxa"/>
              <w:bottom w:w="40" w:type="dxa"/>
              <w:right w:w="20" w:type="dxa"/>
            </w:tcMar>
            <w:vAlign w:val="center"/>
          </w:tcPr>
          <w:p w14:paraId="07DD07A4" w14:textId="77777777" w:rsidR="00AE727E" w:rsidRDefault="00AE727E">
            <w:pPr>
              <w:jc w:val="right"/>
              <w:rPr>
                <w:rFonts w:ascii="宋体"/>
              </w:rPr>
            </w:pPr>
          </w:p>
        </w:tc>
      </w:tr>
      <w:tr w:rsidR="00AE727E" w14:paraId="07DD07B2" w14:textId="77777777">
        <w:trPr>
          <w:jc w:val="center"/>
        </w:trPr>
        <w:tc>
          <w:tcPr>
            <w:tcW w:w="0" w:type="auto"/>
            <w:gridSpan w:val="3"/>
            <w:shd w:val="clear" w:color="auto" w:fill="FFFFFF"/>
            <w:tcMar>
              <w:top w:w="40" w:type="dxa"/>
              <w:left w:w="155" w:type="dxa"/>
              <w:bottom w:w="40" w:type="dxa"/>
              <w:right w:w="20" w:type="dxa"/>
            </w:tcMar>
            <w:vAlign w:val="bottom"/>
          </w:tcPr>
          <w:p w14:paraId="07DD07A6"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FFFFFF"/>
            <w:tcMar>
              <w:top w:w="0" w:type="dxa"/>
              <w:left w:w="20" w:type="dxa"/>
              <w:bottom w:w="0" w:type="dxa"/>
              <w:right w:w="20" w:type="dxa"/>
            </w:tcMar>
            <w:vAlign w:val="bottom"/>
          </w:tcPr>
          <w:p w14:paraId="07DD07A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A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B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B1" w14:textId="77777777" w:rsidR="00AE727E" w:rsidRDefault="00AE727E">
            <w:pPr>
              <w:rPr>
                <w:rFonts w:ascii="宋体"/>
              </w:rPr>
            </w:pPr>
          </w:p>
        </w:tc>
      </w:tr>
      <w:tr w:rsidR="00AE727E" w14:paraId="07DD07C3" w14:textId="77777777">
        <w:trPr>
          <w:jc w:val="center"/>
        </w:trPr>
        <w:tc>
          <w:tcPr>
            <w:tcW w:w="0" w:type="auto"/>
            <w:gridSpan w:val="3"/>
            <w:shd w:val="clear" w:color="auto" w:fill="CCEEFF"/>
            <w:tcMar>
              <w:top w:w="40" w:type="dxa"/>
              <w:left w:w="245" w:type="dxa"/>
              <w:bottom w:w="40" w:type="dxa"/>
              <w:right w:w="20" w:type="dxa"/>
            </w:tcMar>
            <w:vAlign w:val="bottom"/>
          </w:tcPr>
          <w:p w14:paraId="07DD07B3"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07DD07B4" w14:textId="77777777" w:rsidR="00AE727E" w:rsidRDefault="008433E0">
            <w:pPr>
              <w:jc w:val="right"/>
              <w:textAlignment w:val="center"/>
            </w:pPr>
            <w:r>
              <w:rPr>
                <w:rFonts w:ascii="Times New Roman" w:eastAsia="宋体" w:hAnsi="Times New Roman"/>
                <w:color w:val="000000"/>
                <w:sz w:val="20"/>
                <w:szCs w:val="20"/>
              </w:rPr>
              <w:t>(419)</w:t>
            </w:r>
          </w:p>
        </w:tc>
        <w:tc>
          <w:tcPr>
            <w:tcW w:w="0" w:type="auto"/>
            <w:shd w:val="clear" w:color="auto" w:fill="CCEEFF"/>
            <w:tcMar>
              <w:top w:w="40" w:type="dxa"/>
              <w:left w:w="0" w:type="dxa"/>
              <w:bottom w:w="40" w:type="dxa"/>
              <w:right w:w="20" w:type="dxa"/>
            </w:tcMar>
            <w:vAlign w:val="center"/>
          </w:tcPr>
          <w:p w14:paraId="07DD07B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B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B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B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B9" w14:textId="77777777" w:rsidR="00AE727E" w:rsidRDefault="008433E0">
            <w:pPr>
              <w:jc w:val="right"/>
              <w:textAlignment w:val="center"/>
            </w:pPr>
            <w:r>
              <w:rPr>
                <w:rFonts w:ascii="Times New Roman" w:eastAsia="宋体" w:hAnsi="Times New Roman"/>
                <w:color w:val="000000"/>
                <w:sz w:val="20"/>
                <w:szCs w:val="20"/>
              </w:rPr>
              <w:t>(470)</w:t>
            </w:r>
          </w:p>
        </w:tc>
        <w:tc>
          <w:tcPr>
            <w:tcW w:w="0" w:type="auto"/>
            <w:shd w:val="clear" w:color="auto" w:fill="CCEEFF"/>
            <w:tcMar>
              <w:top w:w="40" w:type="dxa"/>
              <w:left w:w="0" w:type="dxa"/>
              <w:bottom w:w="40" w:type="dxa"/>
              <w:right w:w="20" w:type="dxa"/>
            </w:tcMar>
            <w:vAlign w:val="center"/>
          </w:tcPr>
          <w:p w14:paraId="07DD07B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B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BC" w14:textId="77777777" w:rsidR="00AE727E" w:rsidRDefault="008433E0">
            <w:pPr>
              <w:jc w:val="right"/>
              <w:textAlignment w:val="center"/>
            </w:pPr>
            <w:r>
              <w:rPr>
                <w:rFonts w:ascii="Times New Roman" w:eastAsia="宋体" w:hAnsi="Times New Roman"/>
                <w:color w:val="000000"/>
                <w:sz w:val="20"/>
                <w:szCs w:val="20"/>
              </w:rPr>
              <w:t>(1,288)</w:t>
            </w:r>
          </w:p>
        </w:tc>
        <w:tc>
          <w:tcPr>
            <w:tcW w:w="0" w:type="auto"/>
            <w:shd w:val="clear" w:color="auto" w:fill="CCEEFF"/>
            <w:tcMar>
              <w:top w:w="40" w:type="dxa"/>
              <w:left w:w="0" w:type="dxa"/>
              <w:bottom w:w="40" w:type="dxa"/>
              <w:right w:w="20" w:type="dxa"/>
            </w:tcMar>
            <w:vAlign w:val="center"/>
          </w:tcPr>
          <w:p w14:paraId="07DD07B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B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B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C1" w14:textId="77777777" w:rsidR="00AE727E" w:rsidRDefault="008433E0">
            <w:pPr>
              <w:jc w:val="right"/>
              <w:textAlignment w:val="center"/>
            </w:pPr>
            <w:r>
              <w:rPr>
                <w:rFonts w:ascii="Times New Roman" w:eastAsia="宋体" w:hAnsi="Times New Roman"/>
                <w:color w:val="000000"/>
                <w:sz w:val="20"/>
                <w:szCs w:val="20"/>
              </w:rPr>
              <w:t>(1,425)</w:t>
            </w:r>
          </w:p>
        </w:tc>
        <w:tc>
          <w:tcPr>
            <w:tcW w:w="0" w:type="auto"/>
            <w:shd w:val="clear" w:color="auto" w:fill="CCEEFF"/>
            <w:tcMar>
              <w:top w:w="40" w:type="dxa"/>
              <w:left w:w="0" w:type="dxa"/>
              <w:bottom w:w="40" w:type="dxa"/>
              <w:right w:w="20" w:type="dxa"/>
            </w:tcMar>
            <w:vAlign w:val="center"/>
          </w:tcPr>
          <w:p w14:paraId="07DD07C2" w14:textId="77777777" w:rsidR="00AE727E" w:rsidRDefault="00AE727E">
            <w:pPr>
              <w:jc w:val="right"/>
              <w:rPr>
                <w:rFonts w:ascii="宋体"/>
              </w:rPr>
            </w:pPr>
          </w:p>
        </w:tc>
      </w:tr>
      <w:tr w:rsidR="00AE727E" w14:paraId="07DD07D4" w14:textId="77777777">
        <w:trPr>
          <w:jc w:val="center"/>
        </w:trPr>
        <w:tc>
          <w:tcPr>
            <w:tcW w:w="0" w:type="auto"/>
            <w:gridSpan w:val="3"/>
            <w:shd w:val="clear" w:color="auto" w:fill="FFFFFF"/>
            <w:tcMar>
              <w:top w:w="40" w:type="dxa"/>
              <w:left w:w="245" w:type="dxa"/>
              <w:bottom w:w="40" w:type="dxa"/>
              <w:right w:w="20" w:type="dxa"/>
            </w:tcMar>
            <w:vAlign w:val="bottom"/>
          </w:tcPr>
          <w:p w14:paraId="07DD07C4"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07DD07C5" w14:textId="77777777" w:rsidR="00AE727E" w:rsidRDefault="008433E0">
            <w:pPr>
              <w:jc w:val="right"/>
              <w:textAlignment w:val="center"/>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center"/>
          </w:tcPr>
          <w:p w14:paraId="07DD07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C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C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C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CA" w14:textId="77777777" w:rsidR="00AE727E" w:rsidRDefault="008433E0">
            <w:pPr>
              <w:jc w:val="right"/>
              <w:textAlignment w:val="center"/>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center"/>
          </w:tcPr>
          <w:p w14:paraId="07DD07C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C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CD" w14:textId="77777777" w:rsidR="00AE727E" w:rsidRDefault="008433E0">
            <w:pPr>
              <w:jc w:val="right"/>
              <w:textAlignment w:val="center"/>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center"/>
          </w:tcPr>
          <w:p w14:paraId="07DD07C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C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D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D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D2" w14:textId="77777777" w:rsidR="00AE727E" w:rsidRDefault="008433E0">
            <w:pPr>
              <w:jc w:val="right"/>
              <w:textAlignment w:val="center"/>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center"/>
          </w:tcPr>
          <w:p w14:paraId="07DD07D3" w14:textId="77777777" w:rsidR="00AE727E" w:rsidRDefault="00AE727E">
            <w:pPr>
              <w:jc w:val="right"/>
              <w:rPr>
                <w:rFonts w:ascii="宋体"/>
              </w:rPr>
            </w:pPr>
          </w:p>
        </w:tc>
      </w:tr>
      <w:tr w:rsidR="00AE727E" w14:paraId="07DD07E5" w14:textId="77777777">
        <w:trPr>
          <w:jc w:val="center"/>
        </w:trPr>
        <w:tc>
          <w:tcPr>
            <w:tcW w:w="0" w:type="auto"/>
            <w:gridSpan w:val="3"/>
            <w:shd w:val="clear" w:color="auto" w:fill="CCEEFF"/>
            <w:tcMar>
              <w:top w:w="40" w:type="dxa"/>
              <w:left w:w="245" w:type="dxa"/>
              <w:bottom w:w="40" w:type="dxa"/>
              <w:right w:w="20" w:type="dxa"/>
            </w:tcMar>
            <w:vAlign w:val="bottom"/>
          </w:tcPr>
          <w:p w14:paraId="07DD07D5" w14:textId="77777777" w:rsidR="00AE727E" w:rsidRDefault="008433E0">
            <w:pPr>
              <w:textAlignment w:val="bottom"/>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07DD07D6" w14:textId="77777777" w:rsidR="00AE727E" w:rsidRDefault="008433E0">
            <w:pPr>
              <w:jc w:val="right"/>
              <w:textAlignment w:val="center"/>
            </w:pPr>
            <w:r>
              <w:rPr>
                <w:rFonts w:ascii="Times New Roman" w:eastAsia="宋体" w:hAnsi="Times New Roman"/>
                <w:color w:val="000000"/>
                <w:sz w:val="20"/>
                <w:szCs w:val="20"/>
              </w:rPr>
              <w:t>(311)</w:t>
            </w:r>
          </w:p>
        </w:tc>
        <w:tc>
          <w:tcPr>
            <w:tcW w:w="0" w:type="auto"/>
            <w:shd w:val="clear" w:color="auto" w:fill="CCEEFF"/>
            <w:tcMar>
              <w:top w:w="40" w:type="dxa"/>
              <w:left w:w="0" w:type="dxa"/>
              <w:bottom w:w="40" w:type="dxa"/>
              <w:right w:w="20" w:type="dxa"/>
            </w:tcMar>
            <w:vAlign w:val="center"/>
          </w:tcPr>
          <w:p w14:paraId="07DD07D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D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D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D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DB" w14:textId="77777777" w:rsidR="00AE727E" w:rsidRDefault="008433E0">
            <w:pPr>
              <w:jc w:val="right"/>
              <w:textAlignment w:val="center"/>
            </w:pPr>
            <w:r>
              <w:rPr>
                <w:rFonts w:ascii="Times New Roman" w:eastAsia="宋体" w:hAnsi="Times New Roman"/>
                <w:color w:val="000000"/>
                <w:sz w:val="20"/>
                <w:szCs w:val="20"/>
              </w:rPr>
              <w:t>(52)</w:t>
            </w:r>
          </w:p>
        </w:tc>
        <w:tc>
          <w:tcPr>
            <w:tcW w:w="0" w:type="auto"/>
            <w:shd w:val="clear" w:color="auto" w:fill="CCEEFF"/>
            <w:tcMar>
              <w:top w:w="40" w:type="dxa"/>
              <w:left w:w="0" w:type="dxa"/>
              <w:bottom w:w="40" w:type="dxa"/>
              <w:right w:w="20" w:type="dxa"/>
            </w:tcMar>
            <w:vAlign w:val="center"/>
          </w:tcPr>
          <w:p w14:paraId="07DD07D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D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DE" w14:textId="77777777" w:rsidR="00AE727E" w:rsidRDefault="008433E0">
            <w:pPr>
              <w:jc w:val="right"/>
              <w:textAlignment w:val="center"/>
            </w:pPr>
            <w:r>
              <w:rPr>
                <w:rFonts w:ascii="Times New Roman" w:eastAsia="宋体" w:hAnsi="Times New Roman"/>
                <w:color w:val="000000"/>
                <w:sz w:val="20"/>
                <w:szCs w:val="20"/>
              </w:rPr>
              <w:t>(422)</w:t>
            </w:r>
          </w:p>
        </w:tc>
        <w:tc>
          <w:tcPr>
            <w:tcW w:w="0" w:type="auto"/>
            <w:shd w:val="clear" w:color="auto" w:fill="CCEEFF"/>
            <w:tcMar>
              <w:top w:w="40" w:type="dxa"/>
              <w:left w:w="0" w:type="dxa"/>
              <w:bottom w:w="40" w:type="dxa"/>
              <w:right w:w="20" w:type="dxa"/>
            </w:tcMar>
            <w:vAlign w:val="center"/>
          </w:tcPr>
          <w:p w14:paraId="07DD07D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E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E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E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E3" w14:textId="77777777" w:rsidR="00AE727E" w:rsidRDefault="008433E0">
            <w:pPr>
              <w:jc w:val="right"/>
              <w:textAlignment w:val="center"/>
            </w:pPr>
            <w:r>
              <w:rPr>
                <w:rFonts w:ascii="Times New Roman" w:eastAsia="宋体" w:hAnsi="Times New Roman"/>
                <w:color w:val="000000"/>
                <w:sz w:val="20"/>
                <w:szCs w:val="20"/>
              </w:rPr>
              <w:t>(211)</w:t>
            </w:r>
          </w:p>
        </w:tc>
        <w:tc>
          <w:tcPr>
            <w:tcW w:w="0" w:type="auto"/>
            <w:shd w:val="clear" w:color="auto" w:fill="CCEEFF"/>
            <w:tcMar>
              <w:top w:w="40" w:type="dxa"/>
              <w:left w:w="0" w:type="dxa"/>
              <w:bottom w:w="40" w:type="dxa"/>
              <w:right w:w="20" w:type="dxa"/>
            </w:tcMar>
            <w:vAlign w:val="center"/>
          </w:tcPr>
          <w:p w14:paraId="07DD07E4" w14:textId="77777777" w:rsidR="00AE727E" w:rsidRDefault="00AE727E">
            <w:pPr>
              <w:jc w:val="right"/>
              <w:rPr>
                <w:rFonts w:ascii="宋体"/>
              </w:rPr>
            </w:pPr>
          </w:p>
        </w:tc>
      </w:tr>
      <w:tr w:rsidR="00AE727E" w14:paraId="07DD07F6" w14:textId="77777777">
        <w:trPr>
          <w:jc w:val="center"/>
        </w:trPr>
        <w:tc>
          <w:tcPr>
            <w:tcW w:w="0" w:type="auto"/>
            <w:gridSpan w:val="3"/>
            <w:shd w:val="clear" w:color="auto" w:fill="FFFFFF"/>
            <w:tcMar>
              <w:top w:w="40" w:type="dxa"/>
              <w:left w:w="245" w:type="dxa"/>
              <w:bottom w:w="40" w:type="dxa"/>
              <w:right w:w="20" w:type="dxa"/>
            </w:tcMar>
            <w:vAlign w:val="bottom"/>
          </w:tcPr>
          <w:p w14:paraId="07DD07E6"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07DD07E7" w14:textId="77777777" w:rsidR="00AE727E" w:rsidRDefault="008433E0">
            <w:pPr>
              <w:jc w:val="right"/>
              <w:textAlignment w:val="center"/>
            </w:pPr>
            <w:r>
              <w:rPr>
                <w:rFonts w:ascii="Times New Roman" w:eastAsia="宋体" w:hAnsi="Times New Roman"/>
                <w:color w:val="000000"/>
                <w:sz w:val="20"/>
                <w:szCs w:val="20"/>
              </w:rPr>
              <w:t>(410)</w:t>
            </w:r>
          </w:p>
        </w:tc>
        <w:tc>
          <w:tcPr>
            <w:tcW w:w="0" w:type="auto"/>
            <w:shd w:val="clear" w:color="auto" w:fill="FFFFFF"/>
            <w:tcMar>
              <w:top w:w="40" w:type="dxa"/>
              <w:left w:w="0" w:type="dxa"/>
              <w:bottom w:w="40" w:type="dxa"/>
              <w:right w:w="20" w:type="dxa"/>
            </w:tcMar>
            <w:vAlign w:val="center"/>
          </w:tcPr>
          <w:p w14:paraId="07DD07E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E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E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E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EC" w14:textId="77777777" w:rsidR="00AE727E" w:rsidRDefault="008433E0">
            <w:pPr>
              <w:jc w:val="right"/>
              <w:textAlignment w:val="center"/>
            </w:pPr>
            <w:r>
              <w:rPr>
                <w:rFonts w:ascii="Times New Roman" w:eastAsia="宋体" w:hAnsi="Times New Roman"/>
                <w:color w:val="000000"/>
                <w:sz w:val="20"/>
                <w:szCs w:val="20"/>
              </w:rPr>
              <w:t>(385)</w:t>
            </w:r>
          </w:p>
        </w:tc>
        <w:tc>
          <w:tcPr>
            <w:tcW w:w="0" w:type="auto"/>
            <w:shd w:val="clear" w:color="auto" w:fill="FFFFFF"/>
            <w:tcMar>
              <w:top w:w="40" w:type="dxa"/>
              <w:left w:w="0" w:type="dxa"/>
              <w:bottom w:w="40" w:type="dxa"/>
              <w:right w:w="20" w:type="dxa"/>
            </w:tcMar>
            <w:vAlign w:val="center"/>
          </w:tcPr>
          <w:p w14:paraId="07DD07E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EF" w14:textId="77777777" w:rsidR="00AE727E" w:rsidRDefault="008433E0">
            <w:pPr>
              <w:jc w:val="right"/>
              <w:textAlignment w:val="center"/>
            </w:pPr>
            <w:r>
              <w:rPr>
                <w:rFonts w:ascii="Times New Roman" w:eastAsia="宋体" w:hAnsi="Times New Roman"/>
                <w:color w:val="000000"/>
                <w:sz w:val="20"/>
                <w:szCs w:val="20"/>
              </w:rPr>
              <w:t>(1,223)</w:t>
            </w:r>
          </w:p>
        </w:tc>
        <w:tc>
          <w:tcPr>
            <w:tcW w:w="0" w:type="auto"/>
            <w:shd w:val="clear" w:color="auto" w:fill="FFFFFF"/>
            <w:tcMar>
              <w:top w:w="40" w:type="dxa"/>
              <w:left w:w="0" w:type="dxa"/>
              <w:bottom w:w="40" w:type="dxa"/>
              <w:right w:w="20" w:type="dxa"/>
            </w:tcMar>
            <w:vAlign w:val="center"/>
          </w:tcPr>
          <w:p w14:paraId="07DD07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7F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F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7F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7F4" w14:textId="77777777" w:rsidR="00AE727E" w:rsidRDefault="008433E0">
            <w:pPr>
              <w:jc w:val="right"/>
              <w:textAlignment w:val="center"/>
            </w:pPr>
            <w:r>
              <w:rPr>
                <w:rFonts w:ascii="Times New Roman" w:eastAsia="宋体" w:hAnsi="Times New Roman"/>
                <w:color w:val="000000"/>
                <w:sz w:val="20"/>
                <w:szCs w:val="20"/>
              </w:rPr>
              <w:t>(1,078)</w:t>
            </w:r>
          </w:p>
        </w:tc>
        <w:tc>
          <w:tcPr>
            <w:tcW w:w="0" w:type="auto"/>
            <w:shd w:val="clear" w:color="auto" w:fill="FFFFFF"/>
            <w:tcMar>
              <w:top w:w="40" w:type="dxa"/>
              <w:left w:w="0" w:type="dxa"/>
              <w:bottom w:w="40" w:type="dxa"/>
              <w:right w:w="20" w:type="dxa"/>
            </w:tcMar>
            <w:vAlign w:val="center"/>
          </w:tcPr>
          <w:p w14:paraId="07DD07F5" w14:textId="77777777" w:rsidR="00AE727E" w:rsidRDefault="00AE727E">
            <w:pPr>
              <w:jc w:val="right"/>
              <w:rPr>
                <w:rFonts w:ascii="宋体"/>
              </w:rPr>
            </w:pPr>
          </w:p>
        </w:tc>
      </w:tr>
      <w:tr w:rsidR="00AE727E" w14:paraId="07DD0807" w14:textId="77777777">
        <w:trPr>
          <w:jc w:val="center"/>
        </w:trPr>
        <w:tc>
          <w:tcPr>
            <w:tcW w:w="0" w:type="auto"/>
            <w:gridSpan w:val="3"/>
            <w:shd w:val="clear" w:color="auto" w:fill="CCEEFF"/>
            <w:tcMar>
              <w:top w:w="40" w:type="dxa"/>
              <w:left w:w="245" w:type="dxa"/>
              <w:bottom w:w="40" w:type="dxa"/>
              <w:right w:w="20" w:type="dxa"/>
            </w:tcMar>
            <w:vAlign w:val="bottom"/>
          </w:tcPr>
          <w:p w14:paraId="07DD07F7" w14:textId="77777777" w:rsidR="00AE727E" w:rsidRDefault="008433E0">
            <w:pPr>
              <w:textAlignment w:val="bottom"/>
            </w:pPr>
            <w:r>
              <w:rPr>
                <w:rFonts w:ascii="Times New Roman" w:eastAsia="宋体" w:hAnsi="Times New Roman"/>
                <w:color w:val="000000"/>
                <w:sz w:val="20"/>
                <w:szCs w:val="20"/>
              </w:rPr>
              <w:t>Other corporate expens</w:t>
            </w:r>
            <w:r>
              <w:rPr>
                <w:rFonts w:ascii="Times New Roman" w:eastAsia="宋体" w:hAnsi="Times New Roman"/>
                <w:color w:val="000000"/>
                <w:sz w:val="20"/>
                <w:szCs w:val="20"/>
              </w:rPr>
              <w:t>es</w:t>
            </w:r>
          </w:p>
        </w:tc>
        <w:tc>
          <w:tcPr>
            <w:tcW w:w="0" w:type="auto"/>
            <w:gridSpan w:val="2"/>
            <w:shd w:val="clear" w:color="auto" w:fill="CCEEFF"/>
            <w:tcMar>
              <w:top w:w="40" w:type="dxa"/>
              <w:left w:w="20" w:type="dxa"/>
              <w:bottom w:w="40" w:type="dxa"/>
              <w:right w:w="0" w:type="dxa"/>
            </w:tcMar>
            <w:vAlign w:val="center"/>
          </w:tcPr>
          <w:p w14:paraId="07DD07F8" w14:textId="77777777" w:rsidR="00AE727E" w:rsidRDefault="008433E0">
            <w:pPr>
              <w:jc w:val="right"/>
              <w:textAlignment w:val="center"/>
            </w:pPr>
            <w:r>
              <w:rPr>
                <w:rFonts w:ascii="Times New Roman" w:eastAsia="宋体" w:hAnsi="Times New Roman"/>
                <w:color w:val="000000"/>
                <w:sz w:val="20"/>
                <w:szCs w:val="20"/>
              </w:rPr>
              <w:t>(23)</w:t>
            </w:r>
          </w:p>
        </w:tc>
        <w:tc>
          <w:tcPr>
            <w:tcW w:w="0" w:type="auto"/>
            <w:shd w:val="clear" w:color="auto" w:fill="CCEEFF"/>
            <w:tcMar>
              <w:top w:w="40" w:type="dxa"/>
              <w:left w:w="0" w:type="dxa"/>
              <w:bottom w:w="40" w:type="dxa"/>
              <w:right w:w="20" w:type="dxa"/>
            </w:tcMar>
            <w:vAlign w:val="center"/>
          </w:tcPr>
          <w:p w14:paraId="07DD07F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F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F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7F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7FD" w14:textId="77777777" w:rsidR="00AE727E" w:rsidRDefault="008433E0">
            <w:pPr>
              <w:jc w:val="right"/>
              <w:textAlignment w:val="center"/>
            </w:pPr>
            <w:r>
              <w:rPr>
                <w:rFonts w:ascii="Times New Roman" w:eastAsia="宋体" w:hAnsi="Times New Roman"/>
                <w:color w:val="000000"/>
                <w:sz w:val="20"/>
                <w:szCs w:val="20"/>
              </w:rPr>
              <w:t>(170)</w:t>
            </w:r>
          </w:p>
        </w:tc>
        <w:tc>
          <w:tcPr>
            <w:tcW w:w="0" w:type="auto"/>
            <w:shd w:val="clear" w:color="auto" w:fill="CCEEFF"/>
            <w:tcMar>
              <w:top w:w="40" w:type="dxa"/>
              <w:left w:w="0" w:type="dxa"/>
              <w:bottom w:w="40" w:type="dxa"/>
              <w:right w:w="20" w:type="dxa"/>
            </w:tcMar>
            <w:vAlign w:val="center"/>
          </w:tcPr>
          <w:p w14:paraId="07DD07F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7F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00" w14:textId="77777777" w:rsidR="00AE727E" w:rsidRDefault="008433E0">
            <w:pPr>
              <w:jc w:val="right"/>
              <w:textAlignment w:val="center"/>
            </w:pPr>
            <w:r>
              <w:rPr>
                <w:rFonts w:ascii="Times New Roman" w:eastAsia="宋体" w:hAnsi="Times New Roman"/>
                <w:color w:val="000000"/>
                <w:sz w:val="20"/>
                <w:szCs w:val="20"/>
              </w:rPr>
              <w:t>(271)</w:t>
            </w:r>
          </w:p>
        </w:tc>
        <w:tc>
          <w:tcPr>
            <w:tcW w:w="0" w:type="auto"/>
            <w:shd w:val="clear" w:color="auto" w:fill="CCEEFF"/>
            <w:tcMar>
              <w:top w:w="40" w:type="dxa"/>
              <w:left w:w="0" w:type="dxa"/>
              <w:bottom w:w="40" w:type="dxa"/>
              <w:right w:w="20" w:type="dxa"/>
            </w:tcMar>
            <w:vAlign w:val="center"/>
          </w:tcPr>
          <w:p w14:paraId="07DD080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0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0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0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05" w14:textId="77777777" w:rsidR="00AE727E" w:rsidRDefault="008433E0">
            <w:pPr>
              <w:jc w:val="right"/>
              <w:textAlignment w:val="center"/>
            </w:pPr>
            <w:r>
              <w:rPr>
                <w:rFonts w:ascii="Times New Roman" w:eastAsia="宋体" w:hAnsi="Times New Roman"/>
                <w:color w:val="000000"/>
                <w:sz w:val="20"/>
                <w:szCs w:val="20"/>
              </w:rPr>
              <w:t>(340)</w:t>
            </w:r>
          </w:p>
        </w:tc>
        <w:tc>
          <w:tcPr>
            <w:tcW w:w="0" w:type="auto"/>
            <w:shd w:val="clear" w:color="auto" w:fill="CCEEFF"/>
            <w:tcMar>
              <w:top w:w="40" w:type="dxa"/>
              <w:left w:w="0" w:type="dxa"/>
              <w:bottom w:w="40" w:type="dxa"/>
              <w:right w:w="20" w:type="dxa"/>
            </w:tcMar>
            <w:vAlign w:val="center"/>
          </w:tcPr>
          <w:p w14:paraId="07DD0806" w14:textId="77777777" w:rsidR="00AE727E" w:rsidRDefault="00AE727E">
            <w:pPr>
              <w:jc w:val="right"/>
              <w:rPr>
                <w:rFonts w:ascii="宋体"/>
              </w:rPr>
            </w:pPr>
          </w:p>
        </w:tc>
      </w:tr>
      <w:tr w:rsidR="00AE727E" w14:paraId="07DD081E" w14:textId="77777777">
        <w:trPr>
          <w:jc w:val="center"/>
        </w:trPr>
        <w:tc>
          <w:tcPr>
            <w:tcW w:w="0" w:type="auto"/>
            <w:gridSpan w:val="3"/>
            <w:shd w:val="clear" w:color="auto" w:fill="FFFFFF"/>
            <w:tcMar>
              <w:top w:w="40" w:type="dxa"/>
              <w:left w:w="515" w:type="dxa"/>
              <w:bottom w:w="40" w:type="dxa"/>
              <w:right w:w="20" w:type="dxa"/>
            </w:tcMar>
            <w:vAlign w:val="bottom"/>
          </w:tcPr>
          <w:p w14:paraId="07DD0808" w14:textId="77777777" w:rsidR="00AE727E" w:rsidRDefault="008433E0">
            <w:pPr>
              <w:textAlignment w:val="bottom"/>
            </w:pPr>
            <w:r>
              <w:rPr>
                <w:rFonts w:ascii="Times New Roman" w:eastAsia="宋体" w:hAnsi="Times New Roman"/>
                <w:color w:val="000000"/>
                <w:sz w:val="20"/>
                <w:szCs w:val="20"/>
              </w:rPr>
              <w:t>Non-GAAP operating expenses</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080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80A" w14:textId="77777777" w:rsidR="00AE727E" w:rsidRDefault="008433E0">
            <w:pPr>
              <w:jc w:val="right"/>
              <w:textAlignment w:val="center"/>
            </w:pPr>
            <w:r>
              <w:rPr>
                <w:rFonts w:ascii="Times New Roman" w:eastAsia="宋体" w:hAnsi="Times New Roman"/>
                <w:color w:val="000000"/>
                <w:sz w:val="20"/>
                <w:szCs w:val="20"/>
              </w:rPr>
              <w:t>5,542 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80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0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0D"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D080E"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80F"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81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811" w14:textId="77777777" w:rsidR="00AE727E" w:rsidRDefault="008433E0">
            <w:pPr>
              <w:jc w:val="right"/>
              <w:textAlignment w:val="center"/>
            </w:pPr>
            <w:r>
              <w:rPr>
                <w:rFonts w:ascii="Times New Roman" w:eastAsia="宋体" w:hAnsi="Times New Roman"/>
                <w:color w:val="000000"/>
                <w:sz w:val="20"/>
                <w:szCs w:val="20"/>
              </w:rPr>
              <w:t>5,046 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81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13"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81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815" w14:textId="77777777" w:rsidR="00AE727E" w:rsidRDefault="008433E0">
            <w:pPr>
              <w:jc w:val="right"/>
              <w:textAlignment w:val="center"/>
            </w:pPr>
            <w:r>
              <w:rPr>
                <w:rFonts w:ascii="Times New Roman" w:eastAsia="宋体" w:hAnsi="Times New Roman"/>
                <w:color w:val="000000"/>
                <w:sz w:val="20"/>
                <w:szCs w:val="20"/>
              </w:rPr>
              <w:t>16,377 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81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1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18"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DD0819"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81A"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081B"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081C" w14:textId="77777777" w:rsidR="00AE727E" w:rsidRDefault="008433E0">
            <w:pPr>
              <w:jc w:val="right"/>
              <w:textAlignment w:val="center"/>
            </w:pPr>
            <w:r>
              <w:rPr>
                <w:rFonts w:ascii="Times New Roman" w:eastAsia="宋体" w:hAnsi="Times New Roman"/>
                <w:color w:val="000000"/>
                <w:sz w:val="20"/>
                <w:szCs w:val="20"/>
              </w:rPr>
              <w:t>15,218 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081D" w14:textId="77777777" w:rsidR="00AE727E" w:rsidRDefault="00AE727E">
            <w:pPr>
              <w:jc w:val="right"/>
              <w:rPr>
                <w:rFonts w:ascii="宋体"/>
              </w:rPr>
            </w:pPr>
          </w:p>
        </w:tc>
      </w:tr>
      <w:tr w:rsidR="00AE727E" w14:paraId="07DD082B"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DD081F"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82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3"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82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5"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82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29"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82A" w14:textId="77777777" w:rsidR="00AE727E" w:rsidRDefault="00AE727E">
            <w:pPr>
              <w:rPr>
                <w:rFonts w:ascii="宋体"/>
              </w:rPr>
            </w:pPr>
          </w:p>
        </w:tc>
      </w:tr>
      <w:tr w:rsidR="00AE727E" w14:paraId="07DD0842" w14:textId="77777777">
        <w:trPr>
          <w:jc w:val="center"/>
        </w:trPr>
        <w:tc>
          <w:tcPr>
            <w:tcW w:w="0" w:type="auto"/>
            <w:gridSpan w:val="3"/>
            <w:shd w:val="clear" w:color="auto" w:fill="FFFFFF"/>
            <w:tcMar>
              <w:top w:w="40" w:type="dxa"/>
              <w:left w:w="20" w:type="dxa"/>
              <w:bottom w:w="40" w:type="dxa"/>
              <w:right w:w="20" w:type="dxa"/>
            </w:tcMar>
            <w:vAlign w:val="bottom"/>
          </w:tcPr>
          <w:p w14:paraId="07DD082C" w14:textId="77777777" w:rsidR="00AE727E" w:rsidRDefault="008433E0">
            <w:pPr>
              <w:textAlignment w:val="bottom"/>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right w:w="0" w:type="dxa"/>
            </w:tcMar>
            <w:vAlign w:val="center"/>
          </w:tcPr>
          <w:p w14:paraId="07DD082D"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82E" w14:textId="77777777" w:rsidR="00AE727E" w:rsidRDefault="008433E0">
            <w:pPr>
              <w:jc w:val="right"/>
              <w:textAlignment w:val="center"/>
            </w:pPr>
            <w:r>
              <w:rPr>
                <w:rFonts w:ascii="Times New Roman" w:eastAsia="宋体" w:hAnsi="Times New Roman"/>
                <w:color w:val="000000"/>
                <w:sz w:val="20"/>
                <w:szCs w:val="20"/>
              </w:rPr>
              <w:t>1,349 </w:t>
            </w:r>
          </w:p>
        </w:tc>
        <w:tc>
          <w:tcPr>
            <w:tcW w:w="0" w:type="auto"/>
            <w:shd w:val="clear" w:color="auto" w:fill="FFFFFF"/>
            <w:tcMar>
              <w:top w:w="40" w:type="dxa"/>
              <w:left w:w="0" w:type="dxa"/>
              <w:bottom w:w="40" w:type="dxa"/>
              <w:right w:w="20" w:type="dxa"/>
            </w:tcMar>
            <w:vAlign w:val="center"/>
          </w:tcPr>
          <w:p w14:paraId="07DD082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3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31" w14:textId="77777777" w:rsidR="00AE727E" w:rsidRDefault="008433E0">
            <w:pPr>
              <w:jc w:val="right"/>
              <w:textAlignment w:val="center"/>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center"/>
          </w:tcPr>
          <w:p w14:paraId="07DD0832"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833"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834"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835" w14:textId="77777777" w:rsidR="00AE727E" w:rsidRDefault="008433E0">
            <w:pPr>
              <w:jc w:val="right"/>
              <w:textAlignment w:val="center"/>
            </w:pPr>
            <w:r>
              <w:rPr>
                <w:rFonts w:ascii="Times New Roman" w:eastAsia="宋体" w:hAnsi="Times New Roman"/>
                <w:color w:val="000000"/>
                <w:sz w:val="20"/>
                <w:szCs w:val="20"/>
              </w:rPr>
              <w:t>1,129 </w:t>
            </w:r>
          </w:p>
        </w:tc>
        <w:tc>
          <w:tcPr>
            <w:tcW w:w="0" w:type="auto"/>
            <w:shd w:val="clear" w:color="auto" w:fill="FFFFFF"/>
            <w:tcMar>
              <w:top w:w="40" w:type="dxa"/>
              <w:left w:w="0" w:type="dxa"/>
              <w:bottom w:w="40" w:type="dxa"/>
              <w:right w:w="20" w:type="dxa"/>
            </w:tcMar>
            <w:vAlign w:val="center"/>
          </w:tcPr>
          <w:p w14:paraId="07DD083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37"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838"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839" w14:textId="77777777" w:rsidR="00AE727E" w:rsidRDefault="008433E0">
            <w:pPr>
              <w:jc w:val="right"/>
              <w:textAlignment w:val="center"/>
            </w:pPr>
            <w:r>
              <w:rPr>
                <w:rFonts w:ascii="Times New Roman" w:eastAsia="宋体" w:hAnsi="Times New Roman"/>
                <w:color w:val="000000"/>
                <w:sz w:val="20"/>
                <w:szCs w:val="20"/>
              </w:rPr>
              <w:t>4,096 </w:t>
            </w:r>
          </w:p>
        </w:tc>
        <w:tc>
          <w:tcPr>
            <w:tcW w:w="0" w:type="auto"/>
            <w:shd w:val="clear" w:color="auto" w:fill="FFFFFF"/>
            <w:tcMar>
              <w:top w:w="40" w:type="dxa"/>
              <w:left w:w="0" w:type="dxa"/>
              <w:bottom w:w="40" w:type="dxa"/>
              <w:right w:w="20" w:type="dxa"/>
            </w:tcMar>
            <w:vAlign w:val="center"/>
          </w:tcPr>
          <w:p w14:paraId="07DD083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3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3C" w14:textId="77777777" w:rsidR="00AE727E" w:rsidRDefault="008433E0">
            <w:pPr>
              <w:jc w:val="right"/>
              <w:textAlignment w:val="center"/>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center"/>
          </w:tcPr>
          <w:p w14:paraId="07DD083D"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83E"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083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0840" w14:textId="77777777" w:rsidR="00AE727E" w:rsidRDefault="008433E0">
            <w:pPr>
              <w:jc w:val="right"/>
              <w:textAlignment w:val="center"/>
            </w:pPr>
            <w:r>
              <w:rPr>
                <w:rFonts w:ascii="Times New Roman" w:eastAsia="宋体" w:hAnsi="Times New Roman"/>
                <w:color w:val="000000"/>
                <w:sz w:val="20"/>
                <w:szCs w:val="20"/>
              </w:rPr>
              <w:t>2,967 </w:t>
            </w:r>
          </w:p>
        </w:tc>
        <w:tc>
          <w:tcPr>
            <w:tcW w:w="0" w:type="auto"/>
            <w:shd w:val="clear" w:color="auto" w:fill="FFFFFF"/>
            <w:tcMar>
              <w:top w:w="40" w:type="dxa"/>
              <w:left w:w="0" w:type="dxa"/>
              <w:bottom w:w="40" w:type="dxa"/>
              <w:right w:w="20" w:type="dxa"/>
            </w:tcMar>
            <w:vAlign w:val="center"/>
          </w:tcPr>
          <w:p w14:paraId="07DD0841" w14:textId="77777777" w:rsidR="00AE727E" w:rsidRDefault="00AE727E">
            <w:pPr>
              <w:jc w:val="right"/>
              <w:rPr>
                <w:rFonts w:ascii="宋体"/>
              </w:rPr>
            </w:pPr>
          </w:p>
        </w:tc>
      </w:tr>
      <w:tr w:rsidR="00AE727E" w14:paraId="07DD084F" w14:textId="77777777">
        <w:trPr>
          <w:jc w:val="center"/>
        </w:trPr>
        <w:tc>
          <w:tcPr>
            <w:tcW w:w="0" w:type="auto"/>
            <w:gridSpan w:val="3"/>
            <w:shd w:val="clear" w:color="auto" w:fill="CCEEFF"/>
            <w:tcMar>
              <w:top w:w="40" w:type="dxa"/>
              <w:left w:w="155" w:type="dxa"/>
              <w:bottom w:w="40" w:type="dxa"/>
              <w:right w:w="20" w:type="dxa"/>
            </w:tcMar>
            <w:vAlign w:val="bottom"/>
          </w:tcPr>
          <w:p w14:paraId="07DD0843"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CCEEFF"/>
            <w:tcMar>
              <w:top w:w="0" w:type="dxa"/>
              <w:left w:w="20" w:type="dxa"/>
              <w:bottom w:w="0" w:type="dxa"/>
              <w:right w:w="20" w:type="dxa"/>
            </w:tcMar>
            <w:vAlign w:val="bottom"/>
          </w:tcPr>
          <w:p w14:paraId="07DD084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4E" w14:textId="77777777" w:rsidR="00AE727E" w:rsidRDefault="00AE727E">
            <w:pPr>
              <w:rPr>
                <w:rFonts w:ascii="宋体"/>
              </w:rPr>
            </w:pPr>
          </w:p>
        </w:tc>
      </w:tr>
      <w:tr w:rsidR="00AE727E" w14:paraId="07DD0860" w14:textId="77777777">
        <w:trPr>
          <w:jc w:val="center"/>
        </w:trPr>
        <w:tc>
          <w:tcPr>
            <w:tcW w:w="0" w:type="auto"/>
            <w:gridSpan w:val="3"/>
            <w:shd w:val="clear" w:color="auto" w:fill="FFFFFF"/>
            <w:tcMar>
              <w:top w:w="40" w:type="dxa"/>
              <w:left w:w="245" w:type="dxa"/>
              <w:bottom w:w="40" w:type="dxa"/>
              <w:right w:w="20" w:type="dxa"/>
            </w:tcMar>
            <w:vAlign w:val="bottom"/>
          </w:tcPr>
          <w:p w14:paraId="07DD0850"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07DD0851" w14:textId="77777777" w:rsidR="00AE727E" w:rsidRDefault="008433E0">
            <w:pPr>
              <w:jc w:val="right"/>
              <w:textAlignment w:val="center"/>
            </w:pPr>
            <w:r>
              <w:rPr>
                <w:rFonts w:ascii="Times New Roman" w:eastAsia="宋体" w:hAnsi="Times New Roman"/>
                <w:color w:val="000000"/>
                <w:sz w:val="20"/>
                <w:szCs w:val="20"/>
              </w:rPr>
              <w:t>694 </w:t>
            </w:r>
          </w:p>
        </w:tc>
        <w:tc>
          <w:tcPr>
            <w:tcW w:w="0" w:type="auto"/>
            <w:shd w:val="clear" w:color="auto" w:fill="FFFFFF"/>
            <w:tcMar>
              <w:top w:w="40" w:type="dxa"/>
              <w:left w:w="0" w:type="dxa"/>
              <w:bottom w:w="40" w:type="dxa"/>
              <w:right w:w="20" w:type="dxa"/>
            </w:tcMar>
            <w:vAlign w:val="center"/>
          </w:tcPr>
          <w:p w14:paraId="07DD085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5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5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5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56" w14:textId="77777777" w:rsidR="00AE727E" w:rsidRDefault="008433E0">
            <w:pPr>
              <w:jc w:val="right"/>
              <w:textAlignment w:val="center"/>
            </w:pPr>
            <w:r>
              <w:rPr>
                <w:rFonts w:ascii="Times New Roman" w:eastAsia="宋体" w:hAnsi="Times New Roman"/>
                <w:color w:val="000000"/>
                <w:sz w:val="20"/>
                <w:szCs w:val="20"/>
              </w:rPr>
              <w:t>845 </w:t>
            </w:r>
          </w:p>
        </w:tc>
        <w:tc>
          <w:tcPr>
            <w:tcW w:w="0" w:type="auto"/>
            <w:shd w:val="clear" w:color="auto" w:fill="FFFFFF"/>
            <w:tcMar>
              <w:top w:w="40" w:type="dxa"/>
              <w:left w:w="0" w:type="dxa"/>
              <w:bottom w:w="40" w:type="dxa"/>
              <w:right w:w="20" w:type="dxa"/>
            </w:tcMar>
            <w:vAlign w:val="center"/>
          </w:tcPr>
          <w:p w14:paraId="07DD085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5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59" w14:textId="77777777" w:rsidR="00AE727E" w:rsidRDefault="008433E0">
            <w:pPr>
              <w:jc w:val="right"/>
              <w:textAlignment w:val="center"/>
            </w:pPr>
            <w:r>
              <w:rPr>
                <w:rFonts w:ascii="Times New Roman" w:eastAsia="宋体" w:hAnsi="Times New Roman"/>
                <w:color w:val="000000"/>
                <w:sz w:val="20"/>
                <w:szCs w:val="20"/>
              </w:rPr>
              <w:t>2,114 </w:t>
            </w:r>
          </w:p>
        </w:tc>
        <w:tc>
          <w:tcPr>
            <w:tcW w:w="0" w:type="auto"/>
            <w:shd w:val="clear" w:color="auto" w:fill="FFFFFF"/>
            <w:tcMar>
              <w:top w:w="40" w:type="dxa"/>
              <w:left w:w="0" w:type="dxa"/>
              <w:bottom w:w="40" w:type="dxa"/>
              <w:right w:w="20" w:type="dxa"/>
            </w:tcMar>
            <w:vAlign w:val="center"/>
          </w:tcPr>
          <w:p w14:paraId="07DD085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5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5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5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5E" w14:textId="77777777" w:rsidR="00AE727E" w:rsidRDefault="008433E0">
            <w:pPr>
              <w:jc w:val="right"/>
              <w:textAlignment w:val="center"/>
            </w:pPr>
            <w:r>
              <w:rPr>
                <w:rFonts w:ascii="Times New Roman" w:eastAsia="宋体" w:hAnsi="Times New Roman"/>
                <w:color w:val="000000"/>
                <w:sz w:val="20"/>
                <w:szCs w:val="20"/>
              </w:rPr>
              <w:t>2,547 </w:t>
            </w:r>
          </w:p>
        </w:tc>
        <w:tc>
          <w:tcPr>
            <w:tcW w:w="0" w:type="auto"/>
            <w:shd w:val="clear" w:color="auto" w:fill="FFFFFF"/>
            <w:tcMar>
              <w:top w:w="40" w:type="dxa"/>
              <w:left w:w="0" w:type="dxa"/>
              <w:bottom w:w="40" w:type="dxa"/>
              <w:right w:w="20" w:type="dxa"/>
            </w:tcMar>
            <w:vAlign w:val="center"/>
          </w:tcPr>
          <w:p w14:paraId="07DD085F" w14:textId="77777777" w:rsidR="00AE727E" w:rsidRDefault="00AE727E">
            <w:pPr>
              <w:jc w:val="right"/>
              <w:rPr>
                <w:rFonts w:ascii="宋体"/>
              </w:rPr>
            </w:pPr>
          </w:p>
        </w:tc>
      </w:tr>
      <w:tr w:rsidR="00AE727E" w14:paraId="07DD0871" w14:textId="77777777">
        <w:trPr>
          <w:jc w:val="center"/>
        </w:trPr>
        <w:tc>
          <w:tcPr>
            <w:tcW w:w="0" w:type="auto"/>
            <w:gridSpan w:val="3"/>
            <w:shd w:val="clear" w:color="auto" w:fill="CCEEFF"/>
            <w:tcMar>
              <w:top w:w="40" w:type="dxa"/>
              <w:left w:w="245" w:type="dxa"/>
              <w:bottom w:w="40" w:type="dxa"/>
              <w:right w:w="20" w:type="dxa"/>
            </w:tcMar>
            <w:vAlign w:val="bottom"/>
          </w:tcPr>
          <w:p w14:paraId="07DD0861"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07DD0862"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center"/>
          </w:tcPr>
          <w:p w14:paraId="07DD086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6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6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6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67" w14:textId="77777777" w:rsidR="00AE727E" w:rsidRDefault="008433E0">
            <w:pPr>
              <w:jc w:val="right"/>
              <w:textAlignment w:val="center"/>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center"/>
          </w:tcPr>
          <w:p w14:paraId="07DD086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6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6A" w14:textId="77777777" w:rsidR="00AE727E" w:rsidRDefault="008433E0">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07DD086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6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6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6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6F" w14:textId="77777777" w:rsidR="00AE727E" w:rsidRDefault="008433E0">
            <w:pPr>
              <w:jc w:val="right"/>
              <w:textAlignment w:val="center"/>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center"/>
          </w:tcPr>
          <w:p w14:paraId="07DD0870" w14:textId="77777777" w:rsidR="00AE727E" w:rsidRDefault="00AE727E">
            <w:pPr>
              <w:jc w:val="right"/>
              <w:rPr>
                <w:rFonts w:ascii="宋体"/>
              </w:rPr>
            </w:pPr>
          </w:p>
        </w:tc>
      </w:tr>
      <w:tr w:rsidR="00AE727E" w14:paraId="07DD0882" w14:textId="77777777">
        <w:trPr>
          <w:jc w:val="center"/>
        </w:trPr>
        <w:tc>
          <w:tcPr>
            <w:tcW w:w="0" w:type="auto"/>
            <w:gridSpan w:val="3"/>
            <w:shd w:val="clear" w:color="auto" w:fill="FFFFFF"/>
            <w:tcMar>
              <w:top w:w="40" w:type="dxa"/>
              <w:left w:w="245" w:type="dxa"/>
              <w:bottom w:w="40" w:type="dxa"/>
              <w:right w:w="20" w:type="dxa"/>
            </w:tcMar>
            <w:vAlign w:val="bottom"/>
          </w:tcPr>
          <w:p w14:paraId="07DD0872" w14:textId="77777777" w:rsidR="00AE727E" w:rsidRDefault="008433E0">
            <w:pPr>
              <w:textAlignment w:val="bottom"/>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07DD0873" w14:textId="77777777" w:rsidR="00AE727E" w:rsidRDefault="008433E0">
            <w:pPr>
              <w:jc w:val="right"/>
              <w:textAlignment w:val="center"/>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center"/>
          </w:tcPr>
          <w:p w14:paraId="07DD087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7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7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7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78" w14:textId="77777777" w:rsidR="00AE727E" w:rsidRDefault="008433E0">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07DD087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7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7B" w14:textId="77777777" w:rsidR="00AE727E" w:rsidRDefault="008433E0">
            <w:pPr>
              <w:jc w:val="right"/>
              <w:textAlignment w:val="center"/>
            </w:pPr>
            <w:r>
              <w:rPr>
                <w:rFonts w:ascii="Times New Roman" w:eastAsia="宋体" w:hAnsi="Times New Roman"/>
                <w:color w:val="000000"/>
                <w:sz w:val="20"/>
                <w:szCs w:val="20"/>
              </w:rPr>
              <w:t>422 </w:t>
            </w:r>
          </w:p>
        </w:tc>
        <w:tc>
          <w:tcPr>
            <w:tcW w:w="0" w:type="auto"/>
            <w:shd w:val="clear" w:color="auto" w:fill="FFFFFF"/>
            <w:tcMar>
              <w:top w:w="40" w:type="dxa"/>
              <w:left w:w="0" w:type="dxa"/>
              <w:bottom w:w="40" w:type="dxa"/>
              <w:right w:w="20" w:type="dxa"/>
            </w:tcMar>
            <w:vAlign w:val="center"/>
          </w:tcPr>
          <w:p w14:paraId="07DD087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7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7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7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80" w14:textId="77777777" w:rsidR="00AE727E" w:rsidRDefault="008433E0">
            <w:pPr>
              <w:jc w:val="right"/>
              <w:textAlignment w:val="center"/>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center"/>
          </w:tcPr>
          <w:p w14:paraId="07DD0881" w14:textId="77777777" w:rsidR="00AE727E" w:rsidRDefault="00AE727E">
            <w:pPr>
              <w:jc w:val="right"/>
              <w:rPr>
                <w:rFonts w:ascii="宋体"/>
              </w:rPr>
            </w:pPr>
          </w:p>
        </w:tc>
      </w:tr>
      <w:tr w:rsidR="00AE727E" w14:paraId="07DD0893" w14:textId="77777777">
        <w:trPr>
          <w:jc w:val="center"/>
        </w:trPr>
        <w:tc>
          <w:tcPr>
            <w:tcW w:w="0" w:type="auto"/>
            <w:gridSpan w:val="3"/>
            <w:shd w:val="clear" w:color="auto" w:fill="CCEEFF"/>
            <w:tcMar>
              <w:top w:w="40" w:type="dxa"/>
              <w:left w:w="245" w:type="dxa"/>
              <w:bottom w:w="40" w:type="dxa"/>
              <w:right w:w="20" w:type="dxa"/>
            </w:tcMar>
            <w:vAlign w:val="bottom"/>
          </w:tcPr>
          <w:p w14:paraId="07DD0883"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07DD0884" w14:textId="77777777" w:rsidR="00AE727E" w:rsidRDefault="008433E0">
            <w:pPr>
              <w:jc w:val="right"/>
              <w:textAlignment w:val="center"/>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center"/>
          </w:tcPr>
          <w:p w14:paraId="07DD088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8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8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8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89" w14:textId="77777777" w:rsidR="00AE727E" w:rsidRDefault="008433E0">
            <w:pPr>
              <w:jc w:val="right"/>
              <w:textAlignment w:val="center"/>
            </w:pPr>
            <w:r>
              <w:rPr>
                <w:rFonts w:ascii="Times New Roman" w:eastAsia="宋体" w:hAnsi="Times New Roman"/>
                <w:color w:val="000000"/>
                <w:sz w:val="20"/>
                <w:szCs w:val="20"/>
              </w:rPr>
              <w:t>436 </w:t>
            </w:r>
          </w:p>
        </w:tc>
        <w:tc>
          <w:tcPr>
            <w:tcW w:w="0" w:type="auto"/>
            <w:shd w:val="clear" w:color="auto" w:fill="CCEEFF"/>
            <w:tcMar>
              <w:top w:w="40" w:type="dxa"/>
              <w:left w:w="0" w:type="dxa"/>
              <w:bottom w:w="40" w:type="dxa"/>
              <w:right w:w="20" w:type="dxa"/>
            </w:tcMar>
            <w:vAlign w:val="center"/>
          </w:tcPr>
          <w:p w14:paraId="07DD08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8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8C" w14:textId="77777777" w:rsidR="00AE727E" w:rsidRDefault="008433E0">
            <w:pPr>
              <w:jc w:val="right"/>
              <w:textAlignment w:val="center"/>
            </w:pPr>
            <w:r>
              <w:rPr>
                <w:rFonts w:ascii="Times New Roman" w:eastAsia="宋体" w:hAnsi="Times New Roman"/>
                <w:color w:val="000000"/>
                <w:sz w:val="20"/>
                <w:szCs w:val="20"/>
              </w:rPr>
              <w:t>1,406 </w:t>
            </w:r>
          </w:p>
        </w:tc>
        <w:tc>
          <w:tcPr>
            <w:tcW w:w="0" w:type="auto"/>
            <w:shd w:val="clear" w:color="auto" w:fill="CCEEFF"/>
            <w:tcMar>
              <w:top w:w="40" w:type="dxa"/>
              <w:left w:w="0" w:type="dxa"/>
              <w:bottom w:w="40" w:type="dxa"/>
              <w:right w:w="20" w:type="dxa"/>
            </w:tcMar>
            <w:vAlign w:val="center"/>
          </w:tcPr>
          <w:p w14:paraId="07DD088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8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8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9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91" w14:textId="77777777" w:rsidR="00AE727E" w:rsidRDefault="008433E0">
            <w:pPr>
              <w:jc w:val="right"/>
              <w:textAlignment w:val="center"/>
            </w:pPr>
            <w:r>
              <w:rPr>
                <w:rFonts w:ascii="Times New Roman" w:eastAsia="宋体" w:hAnsi="Times New Roman"/>
                <w:color w:val="000000"/>
                <w:sz w:val="20"/>
                <w:szCs w:val="20"/>
              </w:rPr>
              <w:t>1,219 </w:t>
            </w:r>
          </w:p>
        </w:tc>
        <w:tc>
          <w:tcPr>
            <w:tcW w:w="0" w:type="auto"/>
            <w:shd w:val="clear" w:color="auto" w:fill="CCEEFF"/>
            <w:tcMar>
              <w:top w:w="40" w:type="dxa"/>
              <w:left w:w="0" w:type="dxa"/>
              <w:bottom w:w="40" w:type="dxa"/>
              <w:right w:w="20" w:type="dxa"/>
            </w:tcMar>
            <w:vAlign w:val="center"/>
          </w:tcPr>
          <w:p w14:paraId="07DD0892" w14:textId="77777777" w:rsidR="00AE727E" w:rsidRDefault="00AE727E">
            <w:pPr>
              <w:jc w:val="right"/>
              <w:rPr>
                <w:rFonts w:ascii="宋体"/>
              </w:rPr>
            </w:pPr>
          </w:p>
        </w:tc>
      </w:tr>
      <w:tr w:rsidR="00AE727E" w14:paraId="07DD08A4" w14:textId="77777777">
        <w:trPr>
          <w:jc w:val="center"/>
        </w:trPr>
        <w:tc>
          <w:tcPr>
            <w:tcW w:w="0" w:type="auto"/>
            <w:gridSpan w:val="3"/>
            <w:shd w:val="clear" w:color="auto" w:fill="FFFFFF"/>
            <w:tcMar>
              <w:top w:w="40" w:type="dxa"/>
              <w:left w:w="245" w:type="dxa"/>
              <w:bottom w:w="40" w:type="dxa"/>
              <w:right w:w="20" w:type="dxa"/>
            </w:tcMar>
            <w:vAlign w:val="bottom"/>
          </w:tcPr>
          <w:p w14:paraId="07DD0894" w14:textId="77777777" w:rsidR="00AE727E" w:rsidRDefault="008433E0">
            <w:pPr>
              <w:textAlignment w:val="bottom"/>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07DD0895" w14:textId="77777777" w:rsidR="00AE727E" w:rsidRDefault="008433E0">
            <w:pPr>
              <w:jc w:val="right"/>
              <w:textAlignment w:val="center"/>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center"/>
          </w:tcPr>
          <w:p w14:paraId="07DD089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9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9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9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9A" w14:textId="77777777" w:rsidR="00AE727E" w:rsidRDefault="008433E0">
            <w:pPr>
              <w:jc w:val="right"/>
              <w:textAlignment w:val="center"/>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center"/>
          </w:tcPr>
          <w:p w14:paraId="07DD08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9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9D" w14:textId="77777777" w:rsidR="00AE727E" w:rsidRDefault="008433E0">
            <w:pPr>
              <w:jc w:val="right"/>
              <w:textAlignment w:val="center"/>
            </w:pPr>
            <w:r>
              <w:rPr>
                <w:rFonts w:ascii="Times New Roman" w:eastAsia="宋体" w:hAnsi="Times New Roman"/>
                <w:color w:val="000000"/>
                <w:sz w:val="20"/>
                <w:szCs w:val="20"/>
              </w:rPr>
              <w:t>293 </w:t>
            </w:r>
          </w:p>
        </w:tc>
        <w:tc>
          <w:tcPr>
            <w:tcW w:w="0" w:type="auto"/>
            <w:shd w:val="clear" w:color="auto" w:fill="FFFFFF"/>
            <w:tcMar>
              <w:top w:w="40" w:type="dxa"/>
              <w:left w:w="0" w:type="dxa"/>
              <w:bottom w:w="40" w:type="dxa"/>
              <w:right w:w="20" w:type="dxa"/>
            </w:tcMar>
            <w:vAlign w:val="center"/>
          </w:tcPr>
          <w:p w14:paraId="07DD089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89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A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A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8A2" w14:textId="77777777" w:rsidR="00AE727E" w:rsidRDefault="008433E0">
            <w:pPr>
              <w:jc w:val="right"/>
              <w:textAlignment w:val="center"/>
            </w:pPr>
            <w:r>
              <w:rPr>
                <w:rFonts w:ascii="Times New Roman" w:eastAsia="宋体" w:hAnsi="Times New Roman"/>
                <w:color w:val="000000"/>
                <w:sz w:val="20"/>
                <w:szCs w:val="20"/>
              </w:rPr>
              <w:t>395 </w:t>
            </w:r>
          </w:p>
        </w:tc>
        <w:tc>
          <w:tcPr>
            <w:tcW w:w="0" w:type="auto"/>
            <w:shd w:val="clear" w:color="auto" w:fill="FFFFFF"/>
            <w:tcMar>
              <w:top w:w="40" w:type="dxa"/>
              <w:left w:w="0" w:type="dxa"/>
              <w:bottom w:w="40" w:type="dxa"/>
              <w:right w:w="20" w:type="dxa"/>
            </w:tcMar>
            <w:vAlign w:val="center"/>
          </w:tcPr>
          <w:p w14:paraId="07DD08A3" w14:textId="77777777" w:rsidR="00AE727E" w:rsidRDefault="00AE727E">
            <w:pPr>
              <w:jc w:val="right"/>
              <w:rPr>
                <w:rFonts w:ascii="宋体"/>
              </w:rPr>
            </w:pPr>
          </w:p>
        </w:tc>
      </w:tr>
      <w:tr w:rsidR="00AE727E" w14:paraId="07DD08BB" w14:textId="77777777">
        <w:trPr>
          <w:jc w:val="center"/>
        </w:trPr>
        <w:tc>
          <w:tcPr>
            <w:tcW w:w="0" w:type="auto"/>
            <w:gridSpan w:val="3"/>
            <w:shd w:val="clear" w:color="auto" w:fill="CCEEFF"/>
            <w:tcMar>
              <w:top w:w="40" w:type="dxa"/>
              <w:left w:w="515" w:type="dxa"/>
              <w:bottom w:w="40" w:type="dxa"/>
              <w:right w:w="20" w:type="dxa"/>
            </w:tcMar>
            <w:vAlign w:val="bottom"/>
          </w:tcPr>
          <w:p w14:paraId="07DD08A5" w14:textId="77777777" w:rsidR="00AE727E" w:rsidRDefault="008433E0">
            <w:pPr>
              <w:textAlignment w:val="bottom"/>
            </w:pPr>
            <w:r>
              <w:rPr>
                <w:rFonts w:ascii="Times New Roman" w:eastAsia="宋体" w:hAnsi="Times New Roman"/>
                <w:color w:val="000000"/>
                <w:sz w:val="20"/>
                <w:szCs w:val="20"/>
              </w:rPr>
              <w:t>Non-GAAP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08A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8A7" w14:textId="77777777" w:rsidR="00AE727E" w:rsidRDefault="008433E0">
            <w:pPr>
              <w:jc w:val="right"/>
              <w:textAlignment w:val="center"/>
            </w:pPr>
            <w:r>
              <w:rPr>
                <w:rFonts w:ascii="Times New Roman" w:eastAsia="宋体" w:hAnsi="Times New Roman"/>
                <w:color w:val="000000"/>
                <w:sz w:val="20"/>
                <w:szCs w:val="20"/>
              </w:rPr>
              <w:t>2,868 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8A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A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AA" w14:textId="77777777" w:rsidR="00AE727E" w:rsidRDefault="008433E0">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07DD08AB"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8A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8A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8AE" w14:textId="77777777" w:rsidR="00AE727E" w:rsidRDefault="008433E0">
            <w:pPr>
              <w:jc w:val="right"/>
              <w:textAlignment w:val="center"/>
            </w:pPr>
            <w:r>
              <w:rPr>
                <w:rFonts w:ascii="Times New Roman" w:eastAsia="宋体" w:hAnsi="Times New Roman"/>
                <w:color w:val="000000"/>
                <w:sz w:val="20"/>
                <w:szCs w:val="20"/>
              </w:rPr>
              <w:t>2,725 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8A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B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8B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8B2" w14:textId="77777777" w:rsidR="00AE727E" w:rsidRDefault="008433E0">
            <w:pPr>
              <w:jc w:val="right"/>
              <w:textAlignment w:val="center"/>
            </w:pPr>
            <w:r>
              <w:rPr>
                <w:rFonts w:ascii="Times New Roman" w:eastAsia="宋体" w:hAnsi="Times New Roman"/>
                <w:color w:val="000000"/>
                <w:sz w:val="20"/>
                <w:szCs w:val="20"/>
              </w:rPr>
              <w:t>8,393 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8B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B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B5" w14:textId="77777777" w:rsidR="00AE727E" w:rsidRDefault="008433E0">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07DD08B6"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8B7"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08B8"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08B9" w14:textId="77777777" w:rsidR="00AE727E" w:rsidRDefault="008433E0">
            <w:pPr>
              <w:jc w:val="right"/>
              <w:textAlignment w:val="center"/>
            </w:pPr>
            <w:r>
              <w:rPr>
                <w:rFonts w:ascii="Times New Roman" w:eastAsia="宋体" w:hAnsi="Times New Roman"/>
                <w:color w:val="000000"/>
                <w:sz w:val="20"/>
                <w:szCs w:val="20"/>
              </w:rPr>
              <w:t>7,504 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08BA" w14:textId="77777777" w:rsidR="00AE727E" w:rsidRDefault="00AE727E">
            <w:pPr>
              <w:jc w:val="right"/>
              <w:rPr>
                <w:rFonts w:ascii="宋体"/>
              </w:rPr>
            </w:pPr>
          </w:p>
        </w:tc>
      </w:tr>
      <w:tr w:rsidR="00AE727E" w14:paraId="07DD08C8"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DD08BC"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8B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B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B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C0"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8C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C2"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8C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C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C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C6" w14:textId="77777777" w:rsidR="00AE727E" w:rsidRDefault="00AE727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D08C7" w14:textId="77777777" w:rsidR="00AE727E" w:rsidRDefault="00AE727E">
            <w:pPr>
              <w:rPr>
                <w:rFonts w:ascii="宋体"/>
              </w:rPr>
            </w:pPr>
          </w:p>
        </w:tc>
      </w:tr>
      <w:tr w:rsidR="00AE727E" w14:paraId="07DD08DF" w14:textId="77777777">
        <w:trPr>
          <w:jc w:val="center"/>
        </w:trPr>
        <w:tc>
          <w:tcPr>
            <w:tcW w:w="0" w:type="auto"/>
            <w:gridSpan w:val="3"/>
            <w:shd w:val="clear" w:color="auto" w:fill="CCEEFF"/>
            <w:tcMar>
              <w:top w:w="40" w:type="dxa"/>
              <w:left w:w="20" w:type="dxa"/>
              <w:bottom w:w="40" w:type="dxa"/>
              <w:right w:w="20" w:type="dxa"/>
            </w:tcMar>
            <w:vAlign w:val="bottom"/>
          </w:tcPr>
          <w:p w14:paraId="07DD08C9" w14:textId="77777777" w:rsidR="00AE727E" w:rsidRDefault="008433E0">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center"/>
          </w:tcPr>
          <w:p w14:paraId="07DD08CA"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8CB" w14:textId="77777777" w:rsidR="00AE727E" w:rsidRDefault="008433E0">
            <w:pPr>
              <w:jc w:val="right"/>
              <w:textAlignment w:val="center"/>
            </w:pPr>
            <w:r>
              <w:rPr>
                <w:rFonts w:ascii="Times New Roman" w:eastAsia="宋体" w:hAnsi="Times New Roman"/>
                <w:color w:val="000000"/>
                <w:sz w:val="20"/>
                <w:szCs w:val="20"/>
              </w:rPr>
              <w:t>3,888 </w:t>
            </w:r>
          </w:p>
        </w:tc>
        <w:tc>
          <w:tcPr>
            <w:tcW w:w="0" w:type="auto"/>
            <w:shd w:val="clear" w:color="auto" w:fill="CCEEFF"/>
            <w:tcMar>
              <w:top w:w="40" w:type="dxa"/>
              <w:left w:w="0" w:type="dxa"/>
              <w:bottom w:w="40" w:type="dxa"/>
              <w:right w:w="20" w:type="dxa"/>
            </w:tcMar>
            <w:vAlign w:val="center"/>
          </w:tcPr>
          <w:p w14:paraId="07DD08C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C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CE" w14:textId="77777777" w:rsidR="00AE727E" w:rsidRDefault="008433E0">
            <w:pPr>
              <w:jc w:val="right"/>
              <w:textAlignment w:val="center"/>
            </w:pPr>
            <w:r>
              <w:rPr>
                <w:rFonts w:ascii="Times New Roman" w:eastAsia="宋体" w:hAnsi="Times New Roman"/>
                <w:color w:val="000000"/>
                <w:sz w:val="20"/>
                <w:szCs w:val="20"/>
              </w:rPr>
              <w:t>341 </w:t>
            </w:r>
          </w:p>
        </w:tc>
        <w:tc>
          <w:tcPr>
            <w:tcW w:w="0" w:type="auto"/>
            <w:shd w:val="clear" w:color="auto" w:fill="CCEEFF"/>
            <w:tcMar>
              <w:top w:w="40" w:type="dxa"/>
              <w:left w:w="0" w:type="dxa"/>
              <w:bottom w:w="40" w:type="dxa"/>
              <w:right w:w="20" w:type="dxa"/>
            </w:tcMar>
            <w:vAlign w:val="center"/>
          </w:tcPr>
          <w:p w14:paraId="07DD08CF"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8D0"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8D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8D2" w14:textId="77777777" w:rsidR="00AE727E" w:rsidRDefault="008433E0">
            <w:pPr>
              <w:jc w:val="right"/>
              <w:textAlignment w:val="center"/>
            </w:pPr>
            <w:r>
              <w:rPr>
                <w:rFonts w:ascii="Times New Roman" w:eastAsia="宋体" w:hAnsi="Times New Roman"/>
                <w:color w:val="000000"/>
                <w:sz w:val="20"/>
                <w:szCs w:val="20"/>
              </w:rPr>
              <w:t>881 </w:t>
            </w:r>
          </w:p>
        </w:tc>
        <w:tc>
          <w:tcPr>
            <w:tcW w:w="0" w:type="auto"/>
            <w:shd w:val="clear" w:color="auto" w:fill="CCEEFF"/>
            <w:tcMar>
              <w:top w:w="40" w:type="dxa"/>
              <w:left w:w="0" w:type="dxa"/>
              <w:bottom w:w="40" w:type="dxa"/>
              <w:right w:w="20" w:type="dxa"/>
            </w:tcMar>
            <w:vAlign w:val="center"/>
          </w:tcPr>
          <w:p w14:paraId="07DD08D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D4"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8D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8D6" w14:textId="77777777" w:rsidR="00AE727E" w:rsidRDefault="008433E0">
            <w:pPr>
              <w:jc w:val="right"/>
              <w:textAlignment w:val="center"/>
            </w:pPr>
            <w:r>
              <w:rPr>
                <w:rFonts w:ascii="Times New Roman" w:eastAsia="宋体" w:hAnsi="Times New Roman"/>
                <w:color w:val="000000"/>
                <w:sz w:val="20"/>
                <w:szCs w:val="20"/>
              </w:rPr>
              <w:t>5,706 </w:t>
            </w:r>
          </w:p>
        </w:tc>
        <w:tc>
          <w:tcPr>
            <w:tcW w:w="0" w:type="auto"/>
            <w:shd w:val="clear" w:color="auto" w:fill="CCEEFF"/>
            <w:tcMar>
              <w:top w:w="40" w:type="dxa"/>
              <w:left w:w="0" w:type="dxa"/>
              <w:bottom w:w="40" w:type="dxa"/>
              <w:right w:w="20" w:type="dxa"/>
            </w:tcMar>
            <w:vAlign w:val="center"/>
          </w:tcPr>
          <w:p w14:paraId="07DD08D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D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D9" w14:textId="77777777" w:rsidR="00AE727E" w:rsidRDefault="008433E0">
            <w:pPr>
              <w:jc w:val="right"/>
              <w:textAlignment w:val="center"/>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center"/>
          </w:tcPr>
          <w:p w14:paraId="07DD08DA"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8DB" w14:textId="77777777" w:rsidR="00AE727E" w:rsidRDefault="00AE727E">
            <w:pPr>
              <w:rPr>
                <w:rFonts w:ascii="宋体"/>
              </w:rPr>
            </w:pPr>
          </w:p>
        </w:tc>
        <w:tc>
          <w:tcPr>
            <w:tcW w:w="0" w:type="auto"/>
            <w:shd w:val="clear" w:color="auto" w:fill="CCEEFF"/>
            <w:tcMar>
              <w:top w:w="40" w:type="dxa"/>
              <w:left w:w="20" w:type="dxa"/>
              <w:bottom w:w="40" w:type="dxa"/>
              <w:right w:w="0" w:type="dxa"/>
            </w:tcMar>
            <w:vAlign w:val="center"/>
          </w:tcPr>
          <w:p w14:paraId="07DD08DC"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DD08DD" w14:textId="77777777" w:rsidR="00AE727E" w:rsidRDefault="008433E0">
            <w:pPr>
              <w:jc w:val="right"/>
              <w:textAlignment w:val="center"/>
            </w:pPr>
            <w:r>
              <w:rPr>
                <w:rFonts w:ascii="Times New Roman" w:eastAsia="宋体" w:hAnsi="Times New Roman"/>
                <w:color w:val="000000"/>
                <w:sz w:val="20"/>
                <w:szCs w:val="20"/>
              </w:rPr>
              <w:t>2,162 </w:t>
            </w:r>
          </w:p>
        </w:tc>
        <w:tc>
          <w:tcPr>
            <w:tcW w:w="0" w:type="auto"/>
            <w:shd w:val="clear" w:color="auto" w:fill="CCEEFF"/>
            <w:tcMar>
              <w:top w:w="40" w:type="dxa"/>
              <w:left w:w="0" w:type="dxa"/>
              <w:bottom w:w="40" w:type="dxa"/>
              <w:right w:w="20" w:type="dxa"/>
            </w:tcMar>
            <w:vAlign w:val="center"/>
          </w:tcPr>
          <w:p w14:paraId="07DD08DE" w14:textId="77777777" w:rsidR="00AE727E" w:rsidRDefault="00AE727E">
            <w:pPr>
              <w:jc w:val="right"/>
              <w:rPr>
                <w:rFonts w:ascii="宋体"/>
              </w:rPr>
            </w:pPr>
          </w:p>
        </w:tc>
      </w:tr>
      <w:tr w:rsidR="00AE727E" w14:paraId="07DD08EC" w14:textId="77777777">
        <w:trPr>
          <w:jc w:val="center"/>
        </w:trPr>
        <w:tc>
          <w:tcPr>
            <w:tcW w:w="0" w:type="auto"/>
            <w:gridSpan w:val="3"/>
            <w:shd w:val="clear" w:color="auto" w:fill="FFFFFF"/>
            <w:tcMar>
              <w:top w:w="40" w:type="dxa"/>
              <w:left w:w="155" w:type="dxa"/>
              <w:bottom w:w="40" w:type="dxa"/>
              <w:right w:w="20" w:type="dxa"/>
            </w:tcMar>
            <w:vAlign w:val="bottom"/>
          </w:tcPr>
          <w:p w14:paraId="07DD08E0" w14:textId="77777777" w:rsidR="00AE727E" w:rsidRDefault="008433E0">
            <w:pPr>
              <w:textAlignment w:val="bottom"/>
            </w:pPr>
            <w:r>
              <w:rPr>
                <w:rFonts w:ascii="Times New Roman" w:eastAsia="宋体" w:hAnsi="Times New Roman"/>
                <w:color w:val="000000"/>
                <w:sz w:val="20"/>
                <w:szCs w:val="20"/>
              </w:rPr>
              <w:t>Non-GAAP adj</w:t>
            </w:r>
            <w:r>
              <w:rPr>
                <w:rFonts w:ascii="Times New Roman" w:eastAsia="宋体" w:hAnsi="Times New Roman"/>
                <w:color w:val="000000"/>
                <w:sz w:val="20"/>
                <w:szCs w:val="20"/>
              </w:rPr>
              <w:t>ustments:</w:t>
            </w:r>
          </w:p>
        </w:tc>
        <w:tc>
          <w:tcPr>
            <w:tcW w:w="0" w:type="auto"/>
            <w:gridSpan w:val="3"/>
            <w:shd w:val="clear" w:color="auto" w:fill="FFFFFF"/>
            <w:tcMar>
              <w:top w:w="0" w:type="dxa"/>
              <w:left w:w="20" w:type="dxa"/>
              <w:bottom w:w="0" w:type="dxa"/>
              <w:right w:w="20" w:type="dxa"/>
            </w:tcMar>
            <w:vAlign w:val="bottom"/>
          </w:tcPr>
          <w:p w14:paraId="07DD08E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8EB" w14:textId="77777777" w:rsidR="00AE727E" w:rsidRDefault="00AE727E">
            <w:pPr>
              <w:rPr>
                <w:rFonts w:ascii="宋体"/>
              </w:rPr>
            </w:pPr>
          </w:p>
        </w:tc>
      </w:tr>
      <w:tr w:rsidR="00AE727E" w14:paraId="07DD08FD" w14:textId="77777777">
        <w:trPr>
          <w:jc w:val="center"/>
        </w:trPr>
        <w:tc>
          <w:tcPr>
            <w:tcW w:w="0" w:type="auto"/>
            <w:gridSpan w:val="3"/>
            <w:shd w:val="clear" w:color="auto" w:fill="CCEEFF"/>
            <w:tcMar>
              <w:top w:w="40" w:type="dxa"/>
              <w:left w:w="245" w:type="dxa"/>
              <w:bottom w:w="40" w:type="dxa"/>
              <w:right w:w="20" w:type="dxa"/>
            </w:tcMar>
            <w:vAlign w:val="bottom"/>
          </w:tcPr>
          <w:p w14:paraId="07DD08ED" w14:textId="77777777" w:rsidR="00AE727E" w:rsidRDefault="008433E0">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07DD08EE" w14:textId="77777777" w:rsidR="00AE727E" w:rsidRDefault="008433E0">
            <w:pPr>
              <w:jc w:val="right"/>
              <w:textAlignment w:val="center"/>
            </w:pPr>
            <w:r>
              <w:rPr>
                <w:rFonts w:ascii="Times New Roman" w:eastAsia="宋体" w:hAnsi="Times New Roman"/>
                <w:color w:val="000000"/>
                <w:sz w:val="20"/>
                <w:szCs w:val="20"/>
              </w:rPr>
              <w:t>694 </w:t>
            </w:r>
          </w:p>
        </w:tc>
        <w:tc>
          <w:tcPr>
            <w:tcW w:w="0" w:type="auto"/>
            <w:shd w:val="clear" w:color="auto" w:fill="CCEEFF"/>
            <w:tcMar>
              <w:top w:w="40" w:type="dxa"/>
              <w:left w:w="0" w:type="dxa"/>
              <w:bottom w:w="40" w:type="dxa"/>
              <w:right w:w="20" w:type="dxa"/>
            </w:tcMar>
            <w:vAlign w:val="center"/>
          </w:tcPr>
          <w:p w14:paraId="07DD08E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F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F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F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F3" w14:textId="77777777" w:rsidR="00AE727E" w:rsidRDefault="008433E0">
            <w:pPr>
              <w:jc w:val="right"/>
              <w:textAlignment w:val="center"/>
            </w:pPr>
            <w:r>
              <w:rPr>
                <w:rFonts w:ascii="Times New Roman" w:eastAsia="宋体" w:hAnsi="Times New Roman"/>
                <w:color w:val="000000"/>
                <w:sz w:val="20"/>
                <w:szCs w:val="20"/>
              </w:rPr>
              <w:t>845 </w:t>
            </w:r>
          </w:p>
        </w:tc>
        <w:tc>
          <w:tcPr>
            <w:tcW w:w="0" w:type="auto"/>
            <w:shd w:val="clear" w:color="auto" w:fill="CCEEFF"/>
            <w:tcMar>
              <w:top w:w="40" w:type="dxa"/>
              <w:left w:w="0" w:type="dxa"/>
              <w:bottom w:w="40" w:type="dxa"/>
              <w:right w:w="20" w:type="dxa"/>
            </w:tcMar>
            <w:vAlign w:val="center"/>
          </w:tcPr>
          <w:p w14:paraId="07DD08F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F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F6" w14:textId="77777777" w:rsidR="00AE727E" w:rsidRDefault="008433E0">
            <w:pPr>
              <w:jc w:val="right"/>
              <w:textAlignment w:val="center"/>
            </w:pPr>
            <w:r>
              <w:rPr>
                <w:rFonts w:ascii="Times New Roman" w:eastAsia="宋体" w:hAnsi="Times New Roman"/>
                <w:color w:val="000000"/>
                <w:sz w:val="20"/>
                <w:szCs w:val="20"/>
              </w:rPr>
              <w:t>2,114 </w:t>
            </w:r>
          </w:p>
        </w:tc>
        <w:tc>
          <w:tcPr>
            <w:tcW w:w="0" w:type="auto"/>
            <w:shd w:val="clear" w:color="auto" w:fill="CCEEFF"/>
            <w:tcMar>
              <w:top w:w="40" w:type="dxa"/>
              <w:left w:w="0" w:type="dxa"/>
              <w:bottom w:w="40" w:type="dxa"/>
              <w:right w:w="20" w:type="dxa"/>
            </w:tcMar>
            <w:vAlign w:val="center"/>
          </w:tcPr>
          <w:p w14:paraId="07DD08F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8F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F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8F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8FB" w14:textId="77777777" w:rsidR="00AE727E" w:rsidRDefault="008433E0">
            <w:pPr>
              <w:jc w:val="right"/>
              <w:textAlignment w:val="center"/>
            </w:pPr>
            <w:r>
              <w:rPr>
                <w:rFonts w:ascii="Times New Roman" w:eastAsia="宋体" w:hAnsi="Times New Roman"/>
                <w:color w:val="000000"/>
                <w:sz w:val="20"/>
                <w:szCs w:val="20"/>
              </w:rPr>
              <w:t>2,547 </w:t>
            </w:r>
          </w:p>
        </w:tc>
        <w:tc>
          <w:tcPr>
            <w:tcW w:w="0" w:type="auto"/>
            <w:shd w:val="clear" w:color="auto" w:fill="CCEEFF"/>
            <w:tcMar>
              <w:top w:w="40" w:type="dxa"/>
              <w:left w:w="0" w:type="dxa"/>
              <w:bottom w:w="40" w:type="dxa"/>
              <w:right w:w="20" w:type="dxa"/>
            </w:tcMar>
            <w:vAlign w:val="center"/>
          </w:tcPr>
          <w:p w14:paraId="07DD08FC" w14:textId="77777777" w:rsidR="00AE727E" w:rsidRDefault="00AE727E">
            <w:pPr>
              <w:jc w:val="right"/>
              <w:rPr>
                <w:rFonts w:ascii="宋体"/>
              </w:rPr>
            </w:pPr>
          </w:p>
        </w:tc>
      </w:tr>
      <w:tr w:rsidR="00AE727E" w14:paraId="07DD090E" w14:textId="77777777">
        <w:trPr>
          <w:jc w:val="center"/>
        </w:trPr>
        <w:tc>
          <w:tcPr>
            <w:tcW w:w="0" w:type="auto"/>
            <w:gridSpan w:val="3"/>
            <w:shd w:val="clear" w:color="auto" w:fill="FFFFFF"/>
            <w:tcMar>
              <w:top w:w="40" w:type="dxa"/>
              <w:left w:w="245" w:type="dxa"/>
              <w:bottom w:w="40" w:type="dxa"/>
              <w:right w:w="20" w:type="dxa"/>
            </w:tcMar>
            <w:vAlign w:val="bottom"/>
          </w:tcPr>
          <w:p w14:paraId="07DD08FE" w14:textId="77777777" w:rsidR="00AE727E" w:rsidRDefault="008433E0">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07DD08FF"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DD090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0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0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0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04" w14:textId="77777777" w:rsidR="00AE727E" w:rsidRDefault="008433E0">
            <w:pPr>
              <w:jc w:val="right"/>
              <w:textAlignment w:val="center"/>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center"/>
          </w:tcPr>
          <w:p w14:paraId="07DD09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0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07" w14:textId="77777777" w:rsidR="00AE727E" w:rsidRDefault="008433E0">
            <w:pPr>
              <w:jc w:val="right"/>
              <w:textAlignment w:val="center"/>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center"/>
          </w:tcPr>
          <w:p w14:paraId="07DD090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0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0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0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0C" w14:textId="77777777" w:rsidR="00AE727E" w:rsidRDefault="008433E0">
            <w:pPr>
              <w:jc w:val="right"/>
              <w:textAlignment w:val="center"/>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center"/>
          </w:tcPr>
          <w:p w14:paraId="07DD090D" w14:textId="77777777" w:rsidR="00AE727E" w:rsidRDefault="00AE727E">
            <w:pPr>
              <w:jc w:val="right"/>
              <w:rPr>
                <w:rFonts w:ascii="宋体"/>
              </w:rPr>
            </w:pPr>
          </w:p>
        </w:tc>
      </w:tr>
      <w:tr w:rsidR="00AE727E" w14:paraId="07DD091F" w14:textId="77777777">
        <w:trPr>
          <w:jc w:val="center"/>
        </w:trPr>
        <w:tc>
          <w:tcPr>
            <w:tcW w:w="0" w:type="auto"/>
            <w:gridSpan w:val="3"/>
            <w:shd w:val="clear" w:color="auto" w:fill="CCEEFF"/>
            <w:tcMar>
              <w:top w:w="40" w:type="dxa"/>
              <w:left w:w="245" w:type="dxa"/>
              <w:bottom w:w="40" w:type="dxa"/>
              <w:right w:w="20" w:type="dxa"/>
            </w:tcMar>
            <w:vAlign w:val="bottom"/>
          </w:tcPr>
          <w:p w14:paraId="07DD090F" w14:textId="77777777" w:rsidR="00AE727E" w:rsidRDefault="008433E0">
            <w:pPr>
              <w:textAlignment w:val="bottom"/>
            </w:pPr>
            <w:r>
              <w:rPr>
                <w:rFonts w:ascii="Times New Roman" w:eastAsia="宋体" w:hAnsi="Times New Roman"/>
                <w:color w:val="000000"/>
                <w:sz w:val="20"/>
                <w:szCs w:val="20"/>
              </w:rPr>
              <w:t>Transaction-related (income) and expenses</w:t>
            </w:r>
          </w:p>
        </w:tc>
        <w:tc>
          <w:tcPr>
            <w:tcW w:w="0" w:type="auto"/>
            <w:gridSpan w:val="2"/>
            <w:shd w:val="clear" w:color="auto" w:fill="CCEEFF"/>
            <w:tcMar>
              <w:top w:w="40" w:type="dxa"/>
              <w:left w:w="20" w:type="dxa"/>
              <w:bottom w:w="40" w:type="dxa"/>
              <w:right w:w="0" w:type="dxa"/>
            </w:tcMar>
            <w:vAlign w:val="center"/>
          </w:tcPr>
          <w:p w14:paraId="07DD0910" w14:textId="77777777" w:rsidR="00AE727E" w:rsidRDefault="008433E0">
            <w:pPr>
              <w:jc w:val="right"/>
              <w:textAlignment w:val="center"/>
            </w:pPr>
            <w:r>
              <w:rPr>
                <w:rFonts w:ascii="Times New Roman" w:eastAsia="宋体" w:hAnsi="Times New Roman"/>
                <w:color w:val="000000"/>
                <w:sz w:val="20"/>
                <w:szCs w:val="20"/>
              </w:rPr>
              <w:t>(3,607)</w:t>
            </w:r>
          </w:p>
        </w:tc>
        <w:tc>
          <w:tcPr>
            <w:tcW w:w="0" w:type="auto"/>
            <w:shd w:val="clear" w:color="auto" w:fill="CCEEFF"/>
            <w:tcMar>
              <w:top w:w="40" w:type="dxa"/>
              <w:left w:w="0" w:type="dxa"/>
              <w:bottom w:w="40" w:type="dxa"/>
              <w:right w:w="20" w:type="dxa"/>
            </w:tcMar>
            <w:vAlign w:val="center"/>
          </w:tcPr>
          <w:p w14:paraId="07DD091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1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1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1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15" w14:textId="77777777" w:rsidR="00AE727E" w:rsidRDefault="008433E0">
            <w:pPr>
              <w:jc w:val="right"/>
              <w:textAlignment w:val="center"/>
            </w:pPr>
            <w:r>
              <w:rPr>
                <w:rFonts w:ascii="Times New Roman" w:eastAsia="宋体" w:hAnsi="Times New Roman"/>
                <w:color w:val="000000"/>
                <w:sz w:val="20"/>
                <w:szCs w:val="20"/>
              </w:rPr>
              <w:t>(286)</w:t>
            </w:r>
          </w:p>
        </w:tc>
        <w:tc>
          <w:tcPr>
            <w:tcW w:w="0" w:type="auto"/>
            <w:shd w:val="clear" w:color="auto" w:fill="CCEEFF"/>
            <w:tcMar>
              <w:top w:w="40" w:type="dxa"/>
              <w:left w:w="0" w:type="dxa"/>
              <w:bottom w:w="40" w:type="dxa"/>
              <w:right w:w="20" w:type="dxa"/>
            </w:tcMar>
            <w:vAlign w:val="center"/>
          </w:tcPr>
          <w:p w14:paraId="07DD091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1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18" w14:textId="77777777" w:rsidR="00AE727E" w:rsidRDefault="008433E0">
            <w:pPr>
              <w:jc w:val="right"/>
              <w:textAlignment w:val="center"/>
            </w:pPr>
            <w:r>
              <w:rPr>
                <w:rFonts w:ascii="Times New Roman" w:eastAsia="宋体" w:hAnsi="Times New Roman"/>
                <w:color w:val="000000"/>
                <w:sz w:val="20"/>
                <w:szCs w:val="20"/>
              </w:rPr>
              <w:t>(3,508)</w:t>
            </w:r>
          </w:p>
        </w:tc>
        <w:tc>
          <w:tcPr>
            <w:tcW w:w="0" w:type="auto"/>
            <w:shd w:val="clear" w:color="auto" w:fill="CCEEFF"/>
            <w:tcMar>
              <w:top w:w="40" w:type="dxa"/>
              <w:left w:w="0" w:type="dxa"/>
              <w:bottom w:w="40" w:type="dxa"/>
              <w:right w:w="20" w:type="dxa"/>
            </w:tcMar>
            <w:vAlign w:val="center"/>
          </w:tcPr>
          <w:p w14:paraId="07DD091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1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1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1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1D" w14:textId="77777777" w:rsidR="00AE727E" w:rsidRDefault="008433E0">
            <w:pPr>
              <w:jc w:val="right"/>
              <w:textAlignment w:val="center"/>
            </w:pPr>
            <w:r>
              <w:rPr>
                <w:rFonts w:ascii="Times New Roman" w:eastAsia="宋体" w:hAnsi="Times New Roman"/>
                <w:color w:val="000000"/>
                <w:sz w:val="20"/>
                <w:szCs w:val="20"/>
              </w:rPr>
              <w:t>(247)</w:t>
            </w:r>
          </w:p>
        </w:tc>
        <w:tc>
          <w:tcPr>
            <w:tcW w:w="0" w:type="auto"/>
            <w:shd w:val="clear" w:color="auto" w:fill="CCEEFF"/>
            <w:tcMar>
              <w:top w:w="40" w:type="dxa"/>
              <w:left w:w="0" w:type="dxa"/>
              <w:bottom w:w="40" w:type="dxa"/>
              <w:right w:w="20" w:type="dxa"/>
            </w:tcMar>
            <w:vAlign w:val="center"/>
          </w:tcPr>
          <w:p w14:paraId="07DD091E" w14:textId="77777777" w:rsidR="00AE727E" w:rsidRDefault="00AE727E">
            <w:pPr>
              <w:jc w:val="right"/>
              <w:rPr>
                <w:rFonts w:ascii="宋体"/>
              </w:rPr>
            </w:pPr>
          </w:p>
        </w:tc>
      </w:tr>
      <w:tr w:rsidR="00AE727E" w14:paraId="07DD0930" w14:textId="77777777">
        <w:trPr>
          <w:jc w:val="center"/>
        </w:trPr>
        <w:tc>
          <w:tcPr>
            <w:tcW w:w="0" w:type="auto"/>
            <w:gridSpan w:val="3"/>
            <w:shd w:val="clear" w:color="auto" w:fill="FFFFFF"/>
            <w:tcMar>
              <w:top w:w="40" w:type="dxa"/>
              <w:left w:w="245" w:type="dxa"/>
              <w:bottom w:w="40" w:type="dxa"/>
              <w:right w:w="20" w:type="dxa"/>
            </w:tcMar>
            <w:vAlign w:val="bottom"/>
          </w:tcPr>
          <w:p w14:paraId="07DD0920"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07DD0921" w14:textId="77777777" w:rsidR="00AE727E" w:rsidRDefault="008433E0">
            <w:pPr>
              <w:jc w:val="right"/>
              <w:textAlignment w:val="center"/>
            </w:pPr>
            <w:r>
              <w:rPr>
                <w:rFonts w:ascii="Times New Roman" w:eastAsia="宋体" w:hAnsi="Times New Roman"/>
                <w:color w:val="000000"/>
                <w:sz w:val="20"/>
                <w:szCs w:val="20"/>
              </w:rPr>
              <w:t>472 </w:t>
            </w:r>
          </w:p>
        </w:tc>
        <w:tc>
          <w:tcPr>
            <w:tcW w:w="0" w:type="auto"/>
            <w:shd w:val="clear" w:color="auto" w:fill="FFFFFF"/>
            <w:tcMar>
              <w:top w:w="40" w:type="dxa"/>
              <w:left w:w="0" w:type="dxa"/>
              <w:bottom w:w="40" w:type="dxa"/>
              <w:right w:w="20" w:type="dxa"/>
            </w:tcMar>
            <w:vAlign w:val="center"/>
          </w:tcPr>
          <w:p w14:paraId="07DD09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2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2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2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26" w14:textId="77777777" w:rsidR="00AE727E" w:rsidRDefault="008433E0">
            <w:pPr>
              <w:jc w:val="right"/>
              <w:textAlignment w:val="center"/>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center"/>
          </w:tcPr>
          <w:p w14:paraId="07DD092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2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29" w14:textId="77777777" w:rsidR="00AE727E" w:rsidRDefault="008433E0">
            <w:pPr>
              <w:jc w:val="right"/>
              <w:textAlignment w:val="center"/>
            </w:pPr>
            <w:r>
              <w:rPr>
                <w:rFonts w:ascii="Times New Roman" w:eastAsia="宋体" w:hAnsi="Times New Roman"/>
                <w:color w:val="000000"/>
                <w:sz w:val="20"/>
                <w:szCs w:val="20"/>
              </w:rPr>
              <w:t>1,406 </w:t>
            </w:r>
          </w:p>
        </w:tc>
        <w:tc>
          <w:tcPr>
            <w:tcW w:w="0" w:type="auto"/>
            <w:shd w:val="clear" w:color="auto" w:fill="FFFFFF"/>
            <w:tcMar>
              <w:top w:w="40" w:type="dxa"/>
              <w:left w:w="0" w:type="dxa"/>
              <w:bottom w:w="40" w:type="dxa"/>
              <w:right w:w="20" w:type="dxa"/>
            </w:tcMar>
            <w:vAlign w:val="center"/>
          </w:tcPr>
          <w:p w14:paraId="07DD092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2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2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2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2E" w14:textId="77777777" w:rsidR="00AE727E" w:rsidRDefault="008433E0">
            <w:pPr>
              <w:jc w:val="right"/>
              <w:textAlignment w:val="center"/>
            </w:pPr>
            <w:r>
              <w:rPr>
                <w:rFonts w:ascii="Times New Roman" w:eastAsia="宋体" w:hAnsi="Times New Roman"/>
                <w:color w:val="000000"/>
                <w:sz w:val="20"/>
                <w:szCs w:val="20"/>
              </w:rPr>
              <w:t>1,219 </w:t>
            </w:r>
          </w:p>
        </w:tc>
        <w:tc>
          <w:tcPr>
            <w:tcW w:w="0" w:type="auto"/>
            <w:shd w:val="clear" w:color="auto" w:fill="FFFFFF"/>
            <w:tcMar>
              <w:top w:w="40" w:type="dxa"/>
              <w:left w:w="0" w:type="dxa"/>
              <w:bottom w:w="40" w:type="dxa"/>
              <w:right w:w="20" w:type="dxa"/>
            </w:tcMar>
            <w:vAlign w:val="center"/>
          </w:tcPr>
          <w:p w14:paraId="07DD092F" w14:textId="77777777" w:rsidR="00AE727E" w:rsidRDefault="00AE727E">
            <w:pPr>
              <w:jc w:val="right"/>
              <w:rPr>
                <w:rFonts w:ascii="宋体"/>
              </w:rPr>
            </w:pPr>
          </w:p>
        </w:tc>
      </w:tr>
      <w:tr w:rsidR="00AE727E" w14:paraId="07DD0941" w14:textId="77777777">
        <w:trPr>
          <w:jc w:val="center"/>
        </w:trPr>
        <w:tc>
          <w:tcPr>
            <w:tcW w:w="0" w:type="auto"/>
            <w:gridSpan w:val="3"/>
            <w:shd w:val="clear" w:color="auto" w:fill="CCEEFF"/>
            <w:tcMar>
              <w:top w:w="40" w:type="dxa"/>
              <w:left w:w="245" w:type="dxa"/>
              <w:bottom w:w="40" w:type="dxa"/>
              <w:right w:w="20" w:type="dxa"/>
            </w:tcMar>
            <w:vAlign w:val="bottom"/>
          </w:tcPr>
          <w:p w14:paraId="07DD0931" w14:textId="77777777" w:rsidR="00AE727E" w:rsidRDefault="008433E0">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07DD0932" w14:textId="77777777" w:rsidR="00AE727E" w:rsidRDefault="008433E0">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center"/>
          </w:tcPr>
          <w:p w14:paraId="07DD09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3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3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3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37" w14:textId="77777777" w:rsidR="00AE727E" w:rsidRDefault="008433E0">
            <w:pPr>
              <w:jc w:val="right"/>
              <w:textAlignment w:val="center"/>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center"/>
          </w:tcPr>
          <w:p w14:paraId="07DD093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3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3A" w14:textId="77777777" w:rsidR="00AE727E" w:rsidRDefault="008433E0">
            <w:pPr>
              <w:jc w:val="right"/>
              <w:textAlignment w:val="center"/>
            </w:pPr>
            <w:r>
              <w:rPr>
                <w:rFonts w:ascii="Times New Roman" w:eastAsia="宋体" w:hAnsi="Times New Roman"/>
                <w:color w:val="000000"/>
                <w:sz w:val="20"/>
                <w:szCs w:val="20"/>
              </w:rPr>
              <w:t>293 </w:t>
            </w:r>
          </w:p>
        </w:tc>
        <w:tc>
          <w:tcPr>
            <w:tcW w:w="0" w:type="auto"/>
            <w:shd w:val="clear" w:color="auto" w:fill="CCEEFF"/>
            <w:tcMar>
              <w:top w:w="40" w:type="dxa"/>
              <w:left w:w="0" w:type="dxa"/>
              <w:bottom w:w="40" w:type="dxa"/>
              <w:right w:w="20" w:type="dxa"/>
            </w:tcMar>
            <w:vAlign w:val="center"/>
          </w:tcPr>
          <w:p w14:paraId="07DD093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3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3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3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3F" w14:textId="77777777" w:rsidR="00AE727E" w:rsidRDefault="008433E0">
            <w:pPr>
              <w:jc w:val="right"/>
              <w:textAlignment w:val="center"/>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center"/>
          </w:tcPr>
          <w:p w14:paraId="07DD0940" w14:textId="77777777" w:rsidR="00AE727E" w:rsidRDefault="00AE727E">
            <w:pPr>
              <w:jc w:val="right"/>
              <w:rPr>
                <w:rFonts w:ascii="宋体"/>
              </w:rPr>
            </w:pPr>
          </w:p>
        </w:tc>
      </w:tr>
      <w:tr w:rsidR="00AE727E" w14:paraId="07DD0952" w14:textId="77777777">
        <w:trPr>
          <w:jc w:val="center"/>
        </w:trPr>
        <w:tc>
          <w:tcPr>
            <w:tcW w:w="0" w:type="auto"/>
            <w:gridSpan w:val="3"/>
            <w:shd w:val="clear" w:color="auto" w:fill="FFFFFF"/>
            <w:tcMar>
              <w:top w:w="40" w:type="dxa"/>
              <w:left w:w="245" w:type="dxa"/>
              <w:bottom w:w="40" w:type="dxa"/>
              <w:right w:w="20" w:type="dxa"/>
            </w:tcMar>
            <w:vAlign w:val="bottom"/>
          </w:tcPr>
          <w:p w14:paraId="07DD0942" w14:textId="77777777" w:rsidR="00AE727E" w:rsidRDefault="008433E0">
            <w:pPr>
              <w:textAlignment w:val="bottom"/>
            </w:pPr>
            <w:r>
              <w:rPr>
                <w:rFonts w:ascii="Times New Roman" w:eastAsia="宋体" w:hAnsi="Times New Roman"/>
                <w:color w:val="000000"/>
                <w:sz w:val="20"/>
                <w:szCs w:val="20"/>
              </w:rPr>
              <w:t>Fair value adjustments on equity investments</w:t>
            </w:r>
          </w:p>
        </w:tc>
        <w:tc>
          <w:tcPr>
            <w:tcW w:w="0" w:type="auto"/>
            <w:gridSpan w:val="2"/>
            <w:shd w:val="clear" w:color="auto" w:fill="FFFFFF"/>
            <w:tcMar>
              <w:top w:w="40" w:type="dxa"/>
              <w:left w:w="20" w:type="dxa"/>
              <w:bottom w:w="40" w:type="dxa"/>
              <w:right w:w="0" w:type="dxa"/>
            </w:tcMar>
            <w:vAlign w:val="bottom"/>
          </w:tcPr>
          <w:p w14:paraId="07DD0943" w14:textId="77777777" w:rsidR="00AE727E" w:rsidRDefault="008433E0">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07DD094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4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4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4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948" w14:textId="77777777" w:rsidR="00AE727E" w:rsidRDefault="008433E0">
            <w:pPr>
              <w:jc w:val="right"/>
              <w:textAlignment w:val="bottom"/>
            </w:pPr>
            <w:r>
              <w:rPr>
                <w:rFonts w:ascii="Times New Roman" w:eastAsia="宋体" w:hAnsi="Times New Roman"/>
                <w:color w:val="000000"/>
                <w:sz w:val="20"/>
                <w:szCs w:val="20"/>
              </w:rPr>
              <w:t>(489)</w:t>
            </w:r>
          </w:p>
        </w:tc>
        <w:tc>
          <w:tcPr>
            <w:tcW w:w="0" w:type="auto"/>
            <w:shd w:val="clear" w:color="auto" w:fill="FFFFFF"/>
            <w:tcMar>
              <w:top w:w="40" w:type="dxa"/>
              <w:left w:w="0" w:type="dxa"/>
              <w:bottom w:w="40" w:type="dxa"/>
              <w:right w:w="20" w:type="dxa"/>
            </w:tcMar>
            <w:vAlign w:val="bottom"/>
          </w:tcPr>
          <w:p w14:paraId="07DD094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4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94B" w14:textId="77777777" w:rsidR="00AE727E" w:rsidRDefault="008433E0">
            <w:pPr>
              <w:jc w:val="right"/>
              <w:textAlignment w:val="bottom"/>
            </w:pPr>
            <w:r>
              <w:rPr>
                <w:rFonts w:ascii="Times New Roman" w:eastAsia="宋体" w:hAnsi="Times New Roman"/>
                <w:color w:val="000000"/>
                <w:sz w:val="20"/>
                <w:szCs w:val="20"/>
              </w:rPr>
              <w:t>(352)</w:t>
            </w:r>
          </w:p>
        </w:tc>
        <w:tc>
          <w:tcPr>
            <w:tcW w:w="0" w:type="auto"/>
            <w:shd w:val="clear" w:color="auto" w:fill="FFFFFF"/>
            <w:tcMar>
              <w:top w:w="40" w:type="dxa"/>
              <w:left w:w="0" w:type="dxa"/>
              <w:bottom w:w="40" w:type="dxa"/>
              <w:right w:w="20" w:type="dxa"/>
            </w:tcMar>
            <w:vAlign w:val="bottom"/>
          </w:tcPr>
          <w:p w14:paraId="07DD094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4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4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4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950" w14:textId="77777777" w:rsidR="00AE727E" w:rsidRDefault="008433E0">
            <w:pPr>
              <w:jc w:val="right"/>
              <w:textAlignment w:val="bottom"/>
            </w:pPr>
            <w:r>
              <w:rPr>
                <w:rFonts w:ascii="Times New Roman" w:eastAsia="宋体" w:hAnsi="Times New Roman"/>
                <w:color w:val="000000"/>
                <w:sz w:val="20"/>
                <w:szCs w:val="20"/>
              </w:rPr>
              <w:t>(591)</w:t>
            </w:r>
          </w:p>
        </w:tc>
        <w:tc>
          <w:tcPr>
            <w:tcW w:w="0" w:type="auto"/>
            <w:shd w:val="clear" w:color="auto" w:fill="FFFFFF"/>
            <w:tcMar>
              <w:top w:w="40" w:type="dxa"/>
              <w:left w:w="0" w:type="dxa"/>
              <w:bottom w:w="40" w:type="dxa"/>
              <w:right w:w="20" w:type="dxa"/>
            </w:tcMar>
            <w:vAlign w:val="bottom"/>
          </w:tcPr>
          <w:p w14:paraId="07DD0951" w14:textId="77777777" w:rsidR="00AE727E" w:rsidRDefault="00AE727E">
            <w:pPr>
              <w:jc w:val="right"/>
              <w:rPr>
                <w:rFonts w:ascii="宋体"/>
              </w:rPr>
            </w:pPr>
          </w:p>
        </w:tc>
      </w:tr>
      <w:tr w:rsidR="00AE727E" w14:paraId="07DD0963" w14:textId="77777777">
        <w:trPr>
          <w:jc w:val="center"/>
        </w:trPr>
        <w:tc>
          <w:tcPr>
            <w:tcW w:w="0" w:type="auto"/>
            <w:gridSpan w:val="3"/>
            <w:shd w:val="clear" w:color="auto" w:fill="CCEEFF"/>
            <w:tcMar>
              <w:top w:w="40" w:type="dxa"/>
              <w:left w:w="245" w:type="dxa"/>
              <w:bottom w:w="40" w:type="dxa"/>
              <w:right w:w="20" w:type="dxa"/>
            </w:tcMar>
            <w:vAlign w:val="bottom"/>
          </w:tcPr>
          <w:p w14:paraId="07DD0953" w14:textId="77777777" w:rsidR="00AE727E" w:rsidRDefault="008433E0">
            <w:pPr>
              <w:textAlignment w:val="bottom"/>
            </w:pPr>
            <w:r>
              <w:rPr>
                <w:rFonts w:ascii="Times New Roman" w:eastAsia="宋体" w:hAnsi="Times New Roman"/>
                <w:color w:val="000000"/>
                <w:sz w:val="20"/>
                <w:szCs w:val="20"/>
              </w:rPr>
              <w:t>Aggregate adjustment for income taxes</w:t>
            </w:r>
          </w:p>
        </w:tc>
        <w:tc>
          <w:tcPr>
            <w:tcW w:w="0" w:type="auto"/>
            <w:gridSpan w:val="2"/>
            <w:shd w:val="clear" w:color="auto" w:fill="CCEEFF"/>
            <w:tcMar>
              <w:top w:w="40" w:type="dxa"/>
              <w:left w:w="20" w:type="dxa"/>
              <w:bottom w:w="40" w:type="dxa"/>
              <w:right w:w="0" w:type="dxa"/>
            </w:tcMar>
            <w:vAlign w:val="center"/>
          </w:tcPr>
          <w:p w14:paraId="07DD0954" w14:textId="77777777" w:rsidR="00AE727E" w:rsidRDefault="008433E0">
            <w:pPr>
              <w:jc w:val="right"/>
              <w:textAlignment w:val="center"/>
            </w:pPr>
            <w:r>
              <w:rPr>
                <w:rFonts w:ascii="Times New Roman" w:eastAsia="宋体" w:hAnsi="Times New Roman"/>
                <w:color w:val="000000"/>
                <w:sz w:val="20"/>
                <w:szCs w:val="20"/>
              </w:rPr>
              <w:t>553 </w:t>
            </w:r>
          </w:p>
        </w:tc>
        <w:tc>
          <w:tcPr>
            <w:tcW w:w="0" w:type="auto"/>
            <w:shd w:val="clear" w:color="auto" w:fill="CCEEFF"/>
            <w:tcMar>
              <w:top w:w="40" w:type="dxa"/>
              <w:left w:w="0" w:type="dxa"/>
              <w:bottom w:w="40" w:type="dxa"/>
              <w:right w:w="20" w:type="dxa"/>
            </w:tcMar>
            <w:vAlign w:val="center"/>
          </w:tcPr>
          <w:p w14:paraId="07DD095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5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5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5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59" w14:textId="77777777" w:rsidR="00AE727E" w:rsidRDefault="008433E0">
            <w:pPr>
              <w:jc w:val="right"/>
              <w:textAlignment w:val="center"/>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center"/>
          </w:tcPr>
          <w:p w14:paraId="07DD095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5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5C" w14:textId="77777777" w:rsidR="00AE727E" w:rsidRDefault="008433E0">
            <w:pPr>
              <w:jc w:val="right"/>
              <w:textAlignment w:val="center"/>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center"/>
          </w:tcPr>
          <w:p w14:paraId="07DD095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5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6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0961" w14:textId="77777777" w:rsidR="00AE727E" w:rsidRDefault="008433E0">
            <w:pPr>
              <w:jc w:val="right"/>
              <w:textAlignment w:val="center"/>
            </w:pPr>
            <w:r>
              <w:rPr>
                <w:rFonts w:ascii="Times New Roman" w:eastAsia="宋体" w:hAnsi="Times New Roman"/>
                <w:color w:val="000000"/>
                <w:sz w:val="20"/>
                <w:szCs w:val="20"/>
              </w:rPr>
              <w:t>(1,067)</w:t>
            </w:r>
          </w:p>
        </w:tc>
        <w:tc>
          <w:tcPr>
            <w:tcW w:w="0" w:type="auto"/>
            <w:shd w:val="clear" w:color="auto" w:fill="CCEEFF"/>
            <w:tcMar>
              <w:top w:w="40" w:type="dxa"/>
              <w:left w:w="0" w:type="dxa"/>
              <w:bottom w:w="40" w:type="dxa"/>
              <w:right w:w="20" w:type="dxa"/>
            </w:tcMar>
            <w:vAlign w:val="center"/>
          </w:tcPr>
          <w:p w14:paraId="07DD0962" w14:textId="77777777" w:rsidR="00AE727E" w:rsidRDefault="00AE727E">
            <w:pPr>
              <w:jc w:val="right"/>
              <w:rPr>
                <w:rFonts w:ascii="宋体"/>
              </w:rPr>
            </w:pPr>
          </w:p>
        </w:tc>
      </w:tr>
      <w:tr w:rsidR="00AE727E" w14:paraId="07DD097A" w14:textId="77777777">
        <w:trPr>
          <w:jc w:val="center"/>
        </w:trPr>
        <w:tc>
          <w:tcPr>
            <w:tcW w:w="0" w:type="auto"/>
            <w:gridSpan w:val="3"/>
            <w:shd w:val="clear" w:color="auto" w:fill="FFFFFF"/>
            <w:tcMar>
              <w:top w:w="40" w:type="dxa"/>
              <w:left w:w="485" w:type="dxa"/>
              <w:bottom w:w="40" w:type="dxa"/>
              <w:right w:w="20" w:type="dxa"/>
            </w:tcMar>
            <w:vAlign w:val="bottom"/>
          </w:tcPr>
          <w:p w14:paraId="07DD0964" w14:textId="77777777" w:rsidR="00AE727E" w:rsidRDefault="008433E0">
            <w:pPr>
              <w:textAlignment w:val="bottom"/>
            </w:pPr>
            <w:r>
              <w:rPr>
                <w:rFonts w:ascii="Times New Roman" w:eastAsia="宋体" w:hAnsi="Times New Roman"/>
                <w:color w:val="000000"/>
                <w:sz w:val="20"/>
                <w:szCs w:val="20"/>
              </w:rPr>
              <w:t>Non-GAAP 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96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966" w14:textId="77777777" w:rsidR="00AE727E" w:rsidRDefault="008433E0">
            <w:pPr>
              <w:jc w:val="right"/>
              <w:textAlignment w:val="center"/>
            </w:pPr>
            <w:r>
              <w:rPr>
                <w:rFonts w:ascii="Times New Roman" w:eastAsia="宋体" w:hAnsi="Times New Roman"/>
                <w:color w:val="000000"/>
                <w:sz w:val="20"/>
                <w:szCs w:val="20"/>
              </w:rPr>
              <w:t>2,015 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96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6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69" w14:textId="77777777" w:rsidR="00AE727E" w:rsidRDefault="008433E0">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07DD096A"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96B"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96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96D" w14:textId="77777777" w:rsidR="00AE727E" w:rsidRDefault="008433E0">
            <w:pPr>
              <w:jc w:val="right"/>
              <w:textAlignment w:val="center"/>
            </w:pPr>
            <w:r>
              <w:rPr>
                <w:rFonts w:ascii="Times New Roman" w:eastAsia="宋体" w:hAnsi="Times New Roman"/>
                <w:color w:val="000000"/>
                <w:sz w:val="20"/>
                <w:szCs w:val="20"/>
              </w:rPr>
              <w:t>1,711 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96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6F"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97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971" w14:textId="77777777" w:rsidR="00AE727E" w:rsidRDefault="008433E0">
            <w:pPr>
              <w:jc w:val="right"/>
              <w:textAlignment w:val="center"/>
            </w:pPr>
            <w:r>
              <w:rPr>
                <w:rFonts w:ascii="Times New Roman" w:eastAsia="宋体" w:hAnsi="Times New Roman"/>
                <w:color w:val="000000"/>
                <w:sz w:val="20"/>
                <w:szCs w:val="20"/>
              </w:rPr>
              <w:t>5,745 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97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7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0974" w14:textId="77777777" w:rsidR="00AE727E" w:rsidRDefault="008433E0">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07DD097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97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097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0978" w14:textId="77777777" w:rsidR="00AE727E" w:rsidRDefault="008433E0">
            <w:pPr>
              <w:jc w:val="right"/>
              <w:textAlignment w:val="center"/>
            </w:pPr>
            <w:r>
              <w:rPr>
                <w:rFonts w:ascii="Times New Roman" w:eastAsia="宋体" w:hAnsi="Times New Roman"/>
                <w:color w:val="000000"/>
                <w:sz w:val="20"/>
                <w:szCs w:val="20"/>
              </w:rPr>
              <w:t>4,475 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0979" w14:textId="77777777" w:rsidR="00AE727E" w:rsidRDefault="00AE727E">
            <w:pPr>
              <w:jc w:val="right"/>
              <w:rPr>
                <w:rFonts w:ascii="宋体"/>
              </w:rPr>
            </w:pPr>
          </w:p>
        </w:tc>
      </w:tr>
    </w:tbl>
    <w:p w14:paraId="07DD097B" w14:textId="77777777" w:rsidR="00AE727E" w:rsidRDefault="00AE727E">
      <w:pPr>
        <w:ind w:hanging="360"/>
      </w:pPr>
    </w:p>
    <w:p w14:paraId="07DD097C" w14:textId="77777777" w:rsidR="00AE727E" w:rsidRDefault="00AE727E">
      <w:pPr>
        <w:jc w:val="center"/>
      </w:pPr>
    </w:p>
    <w:p w14:paraId="07DD097D" w14:textId="77777777" w:rsidR="00AE727E" w:rsidRDefault="008433E0">
      <w:pPr>
        <w:jc w:val="center"/>
      </w:pPr>
      <w:r>
        <w:rPr>
          <w:rFonts w:ascii="Times New Roman" w:eastAsia="宋体" w:hAnsi="Times New Roman"/>
          <w:color w:val="000000"/>
          <w:sz w:val="20"/>
          <w:szCs w:val="20"/>
        </w:rPr>
        <w:t>70</w:t>
      </w:r>
    </w:p>
    <w:p w14:paraId="07DD097E" w14:textId="77777777" w:rsidR="00AE727E" w:rsidRDefault="00AE727E">
      <w:pPr>
        <w:jc w:val="center"/>
      </w:pPr>
    </w:p>
    <w:p w14:paraId="07DD097F" w14:textId="77777777" w:rsidR="00AE727E" w:rsidRDefault="008433E0">
      <w:r>
        <w:pict w14:anchorId="07DD1916">
          <v:rect id="_x0000_i1094" style="width:415.3pt;height:1.5pt" o:hralign="center" o:hrstd="t" o:hr="t" fillcolor="#a0a0a0" stroked="f"/>
        </w:pict>
      </w:r>
    </w:p>
    <w:p w14:paraId="07DD0980" w14:textId="77777777" w:rsidR="00AE727E" w:rsidRDefault="008433E0">
      <w:hyperlink r:id="rId195" w:anchor="i1c8279be622a460ea19600488436f115_10" w:history="1">
        <w:r>
          <w:rPr>
            <w:rStyle w:val="a5"/>
            <w:rFonts w:ascii="Times New Roman" w:eastAsia="宋体" w:hAnsi="Times New Roman"/>
            <w:sz w:val="20"/>
            <w:szCs w:val="20"/>
          </w:rPr>
          <w:t>Table of Contents</w:t>
        </w:r>
      </w:hyperlink>
    </w:p>
    <w:p w14:paraId="07DD0981" w14:textId="77777777" w:rsidR="00AE727E" w:rsidRDefault="008433E0">
      <w:r>
        <w:rPr>
          <w:rFonts w:ascii="Times New Roman" w:eastAsia="宋体" w:hAnsi="Times New Roman"/>
          <w:color w:val="000000"/>
          <w:sz w:val="20"/>
          <w:szCs w:val="20"/>
        </w:rPr>
        <w:t>In addition to the above me</w:t>
      </w:r>
      <w:r>
        <w:rPr>
          <w:rFonts w:ascii="Times New Roman" w:eastAsia="宋体" w:hAnsi="Times New Roman"/>
          <w:color w:val="000000"/>
          <w:sz w:val="20"/>
          <w:szCs w:val="20"/>
        </w:rPr>
        <w:t>asures, we also use EBITDA and adjusted EBITDA to provide additional information for evaluation of our operating performance. Adjusted EBITDA excludes purchase accounting adjustments, stock-based compensation expense, transaction-related expenses, and othe</w:t>
      </w:r>
      <w:r>
        <w:rPr>
          <w:rFonts w:ascii="Times New Roman" w:eastAsia="宋体" w:hAnsi="Times New Roman"/>
          <w:color w:val="000000"/>
          <w:sz w:val="20"/>
          <w:szCs w:val="20"/>
        </w:rPr>
        <w:t>r corporate expenses. Due to the nature of these transactions, we believe that it is appropriate to exclude these items.</w:t>
      </w:r>
    </w:p>
    <w:p w14:paraId="07DD0982" w14:textId="77777777" w:rsidR="00AE727E" w:rsidRDefault="00AE727E"/>
    <w:p w14:paraId="07DD0983" w14:textId="77777777" w:rsidR="00AE727E" w:rsidRDefault="008433E0">
      <w:r>
        <w:rPr>
          <w:rFonts w:ascii="Times New Roman" w:eastAsia="宋体" w:hAnsi="Times New Roman"/>
          <w:color w:val="000000"/>
          <w:sz w:val="20"/>
          <w:szCs w:val="20"/>
        </w:rPr>
        <w:t xml:space="preserve">As is the case with the non-GAAP measures presented above, users should consider the limitations of using EBITDA and adjusted EBITDA, </w:t>
      </w:r>
      <w:r>
        <w:rPr>
          <w:rFonts w:ascii="Times New Roman" w:eastAsia="宋体" w:hAnsi="Times New Roman"/>
          <w:color w:val="000000"/>
          <w:sz w:val="20"/>
          <w:szCs w:val="20"/>
        </w:rPr>
        <w:t>including the fact that those measures do not provide a complete measure of our operating performance. EBITDA and adjusted EBITDA do not purport to be alternatives to net income (loss) as measures of operating performance or to cash flows from operating ac</w:t>
      </w:r>
      <w:r>
        <w:rPr>
          <w:rFonts w:ascii="Times New Roman" w:eastAsia="宋体" w:hAnsi="Times New Roman"/>
          <w:color w:val="000000"/>
          <w:sz w:val="20"/>
          <w:szCs w:val="20"/>
        </w:rPr>
        <w:t>tivities as a measure of liquidity. In particular, EBITDA and adjusted EBITDA are not intended to be a measure of free cash flow available for management’s discretionary use, as these measures do not consider certain cash requirements, such as working capi</w:t>
      </w:r>
      <w:r>
        <w:rPr>
          <w:rFonts w:ascii="Times New Roman" w:eastAsia="宋体" w:hAnsi="Times New Roman"/>
          <w:color w:val="000000"/>
          <w:sz w:val="20"/>
          <w:szCs w:val="20"/>
        </w:rPr>
        <w:t>tal needs, capital expenditures, contractual commitments, interest payments, tax payments, and other debt service requirements.</w:t>
      </w:r>
    </w:p>
    <w:p w14:paraId="07DD0984" w14:textId="77777777" w:rsidR="00AE727E" w:rsidRDefault="00AE727E"/>
    <w:p w14:paraId="07DD0985" w14:textId="77777777" w:rsidR="00AE727E" w:rsidRDefault="008433E0">
      <w:pPr>
        <w:spacing w:after="60"/>
      </w:pPr>
      <w:r>
        <w:rPr>
          <w:rFonts w:ascii="Times New Roman" w:eastAsia="宋体" w:hAnsi="Times New Roman"/>
          <w:color w:val="000000"/>
          <w:sz w:val="20"/>
          <w:szCs w:val="20"/>
        </w:rPr>
        <w:t>The table below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2509"/>
        <w:gridCol w:w="39"/>
        <w:gridCol w:w="121"/>
        <w:gridCol w:w="704"/>
        <w:gridCol w:w="36"/>
        <w:gridCol w:w="36"/>
        <w:gridCol w:w="36"/>
        <w:gridCol w:w="36"/>
        <w:gridCol w:w="92"/>
        <w:gridCol w:w="595"/>
        <w:gridCol w:w="187"/>
        <w:gridCol w:w="36"/>
        <w:gridCol w:w="36"/>
        <w:gridCol w:w="36"/>
        <w:gridCol w:w="121"/>
        <w:gridCol w:w="704"/>
        <w:gridCol w:w="36"/>
        <w:gridCol w:w="36"/>
        <w:gridCol w:w="36"/>
        <w:gridCol w:w="36"/>
        <w:gridCol w:w="121"/>
        <w:gridCol w:w="705"/>
        <w:gridCol w:w="36"/>
        <w:gridCol w:w="36"/>
        <w:gridCol w:w="36"/>
        <w:gridCol w:w="36"/>
        <w:gridCol w:w="92"/>
        <w:gridCol w:w="595"/>
        <w:gridCol w:w="187"/>
        <w:gridCol w:w="36"/>
        <w:gridCol w:w="36"/>
        <w:gridCol w:w="36"/>
        <w:gridCol w:w="121"/>
        <w:gridCol w:w="707"/>
        <w:gridCol w:w="36"/>
      </w:tblGrid>
      <w:tr w:rsidR="00AE727E" w14:paraId="07DD09AA" w14:textId="77777777">
        <w:trPr>
          <w:jc w:val="center"/>
        </w:trPr>
        <w:tc>
          <w:tcPr>
            <w:tcW w:w="50" w:type="pct"/>
            <w:shd w:val="clear" w:color="auto" w:fill="auto"/>
            <w:vAlign w:val="bottom"/>
          </w:tcPr>
          <w:p w14:paraId="07DD0986" w14:textId="77777777" w:rsidR="00AE727E" w:rsidRDefault="00AE727E">
            <w:pPr>
              <w:rPr>
                <w:rFonts w:ascii="宋体"/>
              </w:rPr>
            </w:pPr>
          </w:p>
        </w:tc>
        <w:tc>
          <w:tcPr>
            <w:tcW w:w="1699" w:type="pct"/>
            <w:shd w:val="clear" w:color="auto" w:fill="auto"/>
            <w:vAlign w:val="bottom"/>
          </w:tcPr>
          <w:p w14:paraId="07DD0987" w14:textId="77777777" w:rsidR="00AE727E" w:rsidRDefault="00AE727E">
            <w:pPr>
              <w:rPr>
                <w:rFonts w:ascii="宋体"/>
              </w:rPr>
            </w:pPr>
          </w:p>
        </w:tc>
        <w:tc>
          <w:tcPr>
            <w:tcW w:w="5" w:type="pct"/>
            <w:shd w:val="clear" w:color="auto" w:fill="auto"/>
            <w:vAlign w:val="bottom"/>
          </w:tcPr>
          <w:p w14:paraId="07DD0988" w14:textId="77777777" w:rsidR="00AE727E" w:rsidRDefault="00AE727E">
            <w:pPr>
              <w:rPr>
                <w:rFonts w:ascii="宋体"/>
              </w:rPr>
            </w:pPr>
          </w:p>
        </w:tc>
        <w:tc>
          <w:tcPr>
            <w:tcW w:w="50" w:type="pct"/>
            <w:shd w:val="clear" w:color="auto" w:fill="auto"/>
            <w:vAlign w:val="bottom"/>
          </w:tcPr>
          <w:p w14:paraId="07DD0989" w14:textId="77777777" w:rsidR="00AE727E" w:rsidRDefault="00AE727E">
            <w:pPr>
              <w:rPr>
                <w:rFonts w:ascii="宋体"/>
              </w:rPr>
            </w:pPr>
          </w:p>
        </w:tc>
        <w:tc>
          <w:tcPr>
            <w:tcW w:w="529" w:type="pct"/>
            <w:shd w:val="clear" w:color="auto" w:fill="auto"/>
            <w:vAlign w:val="bottom"/>
          </w:tcPr>
          <w:p w14:paraId="07DD098A" w14:textId="77777777" w:rsidR="00AE727E" w:rsidRDefault="00AE727E">
            <w:pPr>
              <w:rPr>
                <w:rFonts w:ascii="宋体"/>
              </w:rPr>
            </w:pPr>
          </w:p>
        </w:tc>
        <w:tc>
          <w:tcPr>
            <w:tcW w:w="5" w:type="pct"/>
            <w:shd w:val="clear" w:color="auto" w:fill="auto"/>
            <w:vAlign w:val="bottom"/>
          </w:tcPr>
          <w:p w14:paraId="07DD098B" w14:textId="77777777" w:rsidR="00AE727E" w:rsidRDefault="00AE727E">
            <w:pPr>
              <w:rPr>
                <w:rFonts w:ascii="宋体"/>
              </w:rPr>
            </w:pPr>
          </w:p>
        </w:tc>
        <w:tc>
          <w:tcPr>
            <w:tcW w:w="5" w:type="pct"/>
            <w:shd w:val="clear" w:color="auto" w:fill="auto"/>
            <w:vAlign w:val="bottom"/>
          </w:tcPr>
          <w:p w14:paraId="07DD098C" w14:textId="77777777" w:rsidR="00AE727E" w:rsidRDefault="00AE727E">
            <w:pPr>
              <w:rPr>
                <w:rFonts w:ascii="宋体"/>
              </w:rPr>
            </w:pPr>
          </w:p>
        </w:tc>
        <w:tc>
          <w:tcPr>
            <w:tcW w:w="19" w:type="pct"/>
            <w:shd w:val="clear" w:color="auto" w:fill="auto"/>
            <w:vAlign w:val="bottom"/>
          </w:tcPr>
          <w:p w14:paraId="07DD098D" w14:textId="77777777" w:rsidR="00AE727E" w:rsidRDefault="00AE727E">
            <w:pPr>
              <w:rPr>
                <w:rFonts w:ascii="宋体"/>
              </w:rPr>
            </w:pPr>
          </w:p>
        </w:tc>
        <w:tc>
          <w:tcPr>
            <w:tcW w:w="5" w:type="pct"/>
            <w:shd w:val="clear" w:color="auto" w:fill="auto"/>
            <w:vAlign w:val="bottom"/>
          </w:tcPr>
          <w:p w14:paraId="07DD098E" w14:textId="77777777" w:rsidR="00AE727E" w:rsidRDefault="00AE727E">
            <w:pPr>
              <w:rPr>
                <w:rFonts w:ascii="宋体"/>
              </w:rPr>
            </w:pPr>
          </w:p>
        </w:tc>
        <w:tc>
          <w:tcPr>
            <w:tcW w:w="50" w:type="pct"/>
            <w:shd w:val="clear" w:color="auto" w:fill="auto"/>
            <w:vAlign w:val="bottom"/>
          </w:tcPr>
          <w:p w14:paraId="07DD098F" w14:textId="77777777" w:rsidR="00AE727E" w:rsidRDefault="00AE727E">
            <w:pPr>
              <w:rPr>
                <w:rFonts w:ascii="宋体"/>
              </w:rPr>
            </w:pPr>
          </w:p>
        </w:tc>
        <w:tc>
          <w:tcPr>
            <w:tcW w:w="325" w:type="pct"/>
            <w:shd w:val="clear" w:color="auto" w:fill="auto"/>
            <w:vAlign w:val="bottom"/>
          </w:tcPr>
          <w:p w14:paraId="07DD0990" w14:textId="77777777" w:rsidR="00AE727E" w:rsidRDefault="00AE727E">
            <w:pPr>
              <w:rPr>
                <w:rFonts w:ascii="宋体"/>
              </w:rPr>
            </w:pPr>
          </w:p>
        </w:tc>
        <w:tc>
          <w:tcPr>
            <w:tcW w:w="5" w:type="pct"/>
            <w:shd w:val="clear" w:color="auto" w:fill="auto"/>
            <w:vAlign w:val="bottom"/>
          </w:tcPr>
          <w:p w14:paraId="07DD0991" w14:textId="77777777" w:rsidR="00AE727E" w:rsidRDefault="00AE727E">
            <w:pPr>
              <w:rPr>
                <w:rFonts w:ascii="宋体"/>
              </w:rPr>
            </w:pPr>
          </w:p>
        </w:tc>
        <w:tc>
          <w:tcPr>
            <w:tcW w:w="5" w:type="pct"/>
            <w:shd w:val="clear" w:color="auto" w:fill="auto"/>
            <w:vAlign w:val="bottom"/>
          </w:tcPr>
          <w:p w14:paraId="07DD0992" w14:textId="77777777" w:rsidR="00AE727E" w:rsidRDefault="00AE727E">
            <w:pPr>
              <w:rPr>
                <w:rFonts w:ascii="宋体"/>
              </w:rPr>
            </w:pPr>
          </w:p>
        </w:tc>
        <w:tc>
          <w:tcPr>
            <w:tcW w:w="19" w:type="pct"/>
            <w:shd w:val="clear" w:color="auto" w:fill="auto"/>
            <w:vAlign w:val="bottom"/>
          </w:tcPr>
          <w:p w14:paraId="07DD0993" w14:textId="77777777" w:rsidR="00AE727E" w:rsidRDefault="00AE727E">
            <w:pPr>
              <w:rPr>
                <w:rFonts w:ascii="宋体"/>
              </w:rPr>
            </w:pPr>
          </w:p>
        </w:tc>
        <w:tc>
          <w:tcPr>
            <w:tcW w:w="5" w:type="pct"/>
            <w:shd w:val="clear" w:color="auto" w:fill="auto"/>
            <w:vAlign w:val="bottom"/>
          </w:tcPr>
          <w:p w14:paraId="07DD0994" w14:textId="77777777" w:rsidR="00AE727E" w:rsidRDefault="00AE727E">
            <w:pPr>
              <w:rPr>
                <w:rFonts w:ascii="宋体"/>
              </w:rPr>
            </w:pPr>
          </w:p>
        </w:tc>
        <w:tc>
          <w:tcPr>
            <w:tcW w:w="50" w:type="pct"/>
            <w:shd w:val="clear" w:color="auto" w:fill="auto"/>
            <w:vAlign w:val="bottom"/>
          </w:tcPr>
          <w:p w14:paraId="07DD0995" w14:textId="77777777" w:rsidR="00AE727E" w:rsidRDefault="00AE727E">
            <w:pPr>
              <w:rPr>
                <w:rFonts w:ascii="宋体"/>
              </w:rPr>
            </w:pPr>
          </w:p>
        </w:tc>
        <w:tc>
          <w:tcPr>
            <w:tcW w:w="529" w:type="pct"/>
            <w:shd w:val="clear" w:color="auto" w:fill="auto"/>
            <w:vAlign w:val="bottom"/>
          </w:tcPr>
          <w:p w14:paraId="07DD0996" w14:textId="77777777" w:rsidR="00AE727E" w:rsidRDefault="00AE727E">
            <w:pPr>
              <w:rPr>
                <w:rFonts w:ascii="宋体"/>
              </w:rPr>
            </w:pPr>
          </w:p>
        </w:tc>
        <w:tc>
          <w:tcPr>
            <w:tcW w:w="5" w:type="pct"/>
            <w:shd w:val="clear" w:color="auto" w:fill="auto"/>
            <w:vAlign w:val="bottom"/>
          </w:tcPr>
          <w:p w14:paraId="07DD0997" w14:textId="77777777" w:rsidR="00AE727E" w:rsidRDefault="00AE727E">
            <w:pPr>
              <w:rPr>
                <w:rFonts w:ascii="宋体"/>
              </w:rPr>
            </w:pPr>
          </w:p>
        </w:tc>
        <w:tc>
          <w:tcPr>
            <w:tcW w:w="5" w:type="pct"/>
            <w:shd w:val="clear" w:color="auto" w:fill="auto"/>
            <w:vAlign w:val="bottom"/>
          </w:tcPr>
          <w:p w14:paraId="07DD0998" w14:textId="77777777" w:rsidR="00AE727E" w:rsidRDefault="00AE727E">
            <w:pPr>
              <w:rPr>
                <w:rFonts w:ascii="宋体"/>
              </w:rPr>
            </w:pPr>
          </w:p>
        </w:tc>
        <w:tc>
          <w:tcPr>
            <w:tcW w:w="19" w:type="pct"/>
            <w:shd w:val="clear" w:color="auto" w:fill="auto"/>
            <w:vAlign w:val="bottom"/>
          </w:tcPr>
          <w:p w14:paraId="07DD0999" w14:textId="77777777" w:rsidR="00AE727E" w:rsidRDefault="00AE727E">
            <w:pPr>
              <w:rPr>
                <w:rFonts w:ascii="宋体"/>
              </w:rPr>
            </w:pPr>
          </w:p>
        </w:tc>
        <w:tc>
          <w:tcPr>
            <w:tcW w:w="5" w:type="pct"/>
            <w:shd w:val="clear" w:color="auto" w:fill="auto"/>
            <w:vAlign w:val="bottom"/>
          </w:tcPr>
          <w:p w14:paraId="07DD099A" w14:textId="77777777" w:rsidR="00AE727E" w:rsidRDefault="00AE727E">
            <w:pPr>
              <w:rPr>
                <w:rFonts w:ascii="宋体"/>
              </w:rPr>
            </w:pPr>
          </w:p>
        </w:tc>
        <w:tc>
          <w:tcPr>
            <w:tcW w:w="50" w:type="pct"/>
            <w:shd w:val="clear" w:color="auto" w:fill="auto"/>
            <w:vAlign w:val="bottom"/>
          </w:tcPr>
          <w:p w14:paraId="07DD099B" w14:textId="77777777" w:rsidR="00AE727E" w:rsidRDefault="00AE727E">
            <w:pPr>
              <w:rPr>
                <w:rFonts w:ascii="宋体"/>
              </w:rPr>
            </w:pPr>
          </w:p>
        </w:tc>
        <w:tc>
          <w:tcPr>
            <w:tcW w:w="529" w:type="pct"/>
            <w:shd w:val="clear" w:color="auto" w:fill="auto"/>
            <w:vAlign w:val="bottom"/>
          </w:tcPr>
          <w:p w14:paraId="07DD099C" w14:textId="77777777" w:rsidR="00AE727E" w:rsidRDefault="00AE727E">
            <w:pPr>
              <w:rPr>
                <w:rFonts w:ascii="宋体"/>
              </w:rPr>
            </w:pPr>
          </w:p>
        </w:tc>
        <w:tc>
          <w:tcPr>
            <w:tcW w:w="5" w:type="pct"/>
            <w:shd w:val="clear" w:color="auto" w:fill="auto"/>
            <w:vAlign w:val="bottom"/>
          </w:tcPr>
          <w:p w14:paraId="07DD099D" w14:textId="77777777" w:rsidR="00AE727E" w:rsidRDefault="00AE727E">
            <w:pPr>
              <w:rPr>
                <w:rFonts w:ascii="宋体"/>
              </w:rPr>
            </w:pPr>
          </w:p>
        </w:tc>
        <w:tc>
          <w:tcPr>
            <w:tcW w:w="5" w:type="pct"/>
            <w:shd w:val="clear" w:color="auto" w:fill="auto"/>
            <w:vAlign w:val="bottom"/>
          </w:tcPr>
          <w:p w14:paraId="07DD099E" w14:textId="77777777" w:rsidR="00AE727E" w:rsidRDefault="00AE727E">
            <w:pPr>
              <w:rPr>
                <w:rFonts w:ascii="宋体"/>
              </w:rPr>
            </w:pPr>
          </w:p>
        </w:tc>
        <w:tc>
          <w:tcPr>
            <w:tcW w:w="19" w:type="pct"/>
            <w:shd w:val="clear" w:color="auto" w:fill="auto"/>
            <w:vAlign w:val="bottom"/>
          </w:tcPr>
          <w:p w14:paraId="07DD099F" w14:textId="77777777" w:rsidR="00AE727E" w:rsidRDefault="00AE727E">
            <w:pPr>
              <w:rPr>
                <w:rFonts w:ascii="宋体"/>
              </w:rPr>
            </w:pPr>
          </w:p>
        </w:tc>
        <w:tc>
          <w:tcPr>
            <w:tcW w:w="5" w:type="pct"/>
            <w:shd w:val="clear" w:color="auto" w:fill="auto"/>
            <w:vAlign w:val="bottom"/>
          </w:tcPr>
          <w:p w14:paraId="07DD09A0" w14:textId="77777777" w:rsidR="00AE727E" w:rsidRDefault="00AE727E">
            <w:pPr>
              <w:rPr>
                <w:rFonts w:ascii="宋体"/>
              </w:rPr>
            </w:pPr>
          </w:p>
        </w:tc>
        <w:tc>
          <w:tcPr>
            <w:tcW w:w="50" w:type="pct"/>
            <w:shd w:val="clear" w:color="auto" w:fill="auto"/>
            <w:vAlign w:val="bottom"/>
          </w:tcPr>
          <w:p w14:paraId="07DD09A1" w14:textId="77777777" w:rsidR="00AE727E" w:rsidRDefault="00AE727E">
            <w:pPr>
              <w:rPr>
                <w:rFonts w:ascii="宋体"/>
              </w:rPr>
            </w:pPr>
          </w:p>
        </w:tc>
        <w:tc>
          <w:tcPr>
            <w:tcW w:w="325" w:type="pct"/>
            <w:shd w:val="clear" w:color="auto" w:fill="auto"/>
            <w:vAlign w:val="bottom"/>
          </w:tcPr>
          <w:p w14:paraId="07DD09A2" w14:textId="77777777" w:rsidR="00AE727E" w:rsidRDefault="00AE727E">
            <w:pPr>
              <w:rPr>
                <w:rFonts w:ascii="宋体"/>
              </w:rPr>
            </w:pPr>
          </w:p>
        </w:tc>
        <w:tc>
          <w:tcPr>
            <w:tcW w:w="5" w:type="pct"/>
            <w:shd w:val="clear" w:color="auto" w:fill="auto"/>
            <w:vAlign w:val="bottom"/>
          </w:tcPr>
          <w:p w14:paraId="07DD09A3" w14:textId="77777777" w:rsidR="00AE727E" w:rsidRDefault="00AE727E">
            <w:pPr>
              <w:rPr>
                <w:rFonts w:ascii="宋体"/>
              </w:rPr>
            </w:pPr>
          </w:p>
        </w:tc>
        <w:tc>
          <w:tcPr>
            <w:tcW w:w="5" w:type="pct"/>
            <w:shd w:val="clear" w:color="auto" w:fill="auto"/>
            <w:vAlign w:val="bottom"/>
          </w:tcPr>
          <w:p w14:paraId="07DD09A4" w14:textId="77777777" w:rsidR="00AE727E" w:rsidRDefault="00AE727E">
            <w:pPr>
              <w:rPr>
                <w:rFonts w:ascii="宋体"/>
              </w:rPr>
            </w:pPr>
          </w:p>
        </w:tc>
        <w:tc>
          <w:tcPr>
            <w:tcW w:w="19" w:type="pct"/>
            <w:shd w:val="clear" w:color="auto" w:fill="auto"/>
            <w:vAlign w:val="bottom"/>
          </w:tcPr>
          <w:p w14:paraId="07DD09A5" w14:textId="77777777" w:rsidR="00AE727E" w:rsidRDefault="00AE727E">
            <w:pPr>
              <w:rPr>
                <w:rFonts w:ascii="宋体"/>
              </w:rPr>
            </w:pPr>
          </w:p>
        </w:tc>
        <w:tc>
          <w:tcPr>
            <w:tcW w:w="5" w:type="pct"/>
            <w:shd w:val="clear" w:color="auto" w:fill="auto"/>
            <w:vAlign w:val="bottom"/>
          </w:tcPr>
          <w:p w14:paraId="07DD09A6" w14:textId="77777777" w:rsidR="00AE727E" w:rsidRDefault="00AE727E">
            <w:pPr>
              <w:rPr>
                <w:rFonts w:ascii="宋体"/>
              </w:rPr>
            </w:pPr>
          </w:p>
        </w:tc>
        <w:tc>
          <w:tcPr>
            <w:tcW w:w="50" w:type="pct"/>
            <w:shd w:val="clear" w:color="auto" w:fill="auto"/>
            <w:vAlign w:val="bottom"/>
          </w:tcPr>
          <w:p w14:paraId="07DD09A7" w14:textId="77777777" w:rsidR="00AE727E" w:rsidRDefault="00AE727E">
            <w:pPr>
              <w:rPr>
                <w:rFonts w:ascii="宋体"/>
              </w:rPr>
            </w:pPr>
          </w:p>
        </w:tc>
        <w:tc>
          <w:tcPr>
            <w:tcW w:w="530" w:type="pct"/>
            <w:shd w:val="clear" w:color="auto" w:fill="auto"/>
            <w:vAlign w:val="bottom"/>
          </w:tcPr>
          <w:p w14:paraId="07DD09A8" w14:textId="77777777" w:rsidR="00AE727E" w:rsidRDefault="00AE727E">
            <w:pPr>
              <w:rPr>
                <w:rFonts w:ascii="宋体"/>
              </w:rPr>
            </w:pPr>
          </w:p>
        </w:tc>
        <w:tc>
          <w:tcPr>
            <w:tcW w:w="5" w:type="pct"/>
            <w:shd w:val="clear" w:color="auto" w:fill="auto"/>
            <w:vAlign w:val="bottom"/>
          </w:tcPr>
          <w:p w14:paraId="07DD09A9" w14:textId="77777777" w:rsidR="00AE727E" w:rsidRDefault="00AE727E">
            <w:pPr>
              <w:rPr>
                <w:rFonts w:ascii="宋体"/>
              </w:rPr>
            </w:pPr>
          </w:p>
        </w:tc>
      </w:tr>
      <w:tr w:rsidR="00AE727E" w14:paraId="07DD09AF" w14:textId="77777777">
        <w:trPr>
          <w:jc w:val="center"/>
        </w:trPr>
        <w:tc>
          <w:tcPr>
            <w:tcW w:w="0" w:type="auto"/>
            <w:gridSpan w:val="3"/>
            <w:shd w:val="clear" w:color="auto" w:fill="auto"/>
            <w:tcMar>
              <w:top w:w="0" w:type="dxa"/>
              <w:left w:w="20" w:type="dxa"/>
              <w:bottom w:w="0" w:type="dxa"/>
              <w:right w:w="20" w:type="dxa"/>
            </w:tcMar>
            <w:vAlign w:val="bottom"/>
          </w:tcPr>
          <w:p w14:paraId="07DD09AB"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9AC"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9AD"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09AE"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9BC" w14:textId="77777777">
        <w:trPr>
          <w:jc w:val="center"/>
        </w:trPr>
        <w:tc>
          <w:tcPr>
            <w:tcW w:w="0" w:type="auto"/>
            <w:gridSpan w:val="3"/>
            <w:shd w:val="clear" w:color="auto" w:fill="auto"/>
            <w:tcMar>
              <w:top w:w="0" w:type="dxa"/>
              <w:left w:w="20" w:type="dxa"/>
              <w:bottom w:w="0" w:type="dxa"/>
              <w:right w:w="20" w:type="dxa"/>
            </w:tcMar>
            <w:vAlign w:val="bottom"/>
          </w:tcPr>
          <w:p w14:paraId="07DD09B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9B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9B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9B3"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9B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9B5"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9B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9B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9B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9B9"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9B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9BB"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9BF" w14:textId="77777777">
        <w:trPr>
          <w:jc w:val="center"/>
        </w:trPr>
        <w:tc>
          <w:tcPr>
            <w:tcW w:w="0" w:type="auto"/>
            <w:gridSpan w:val="3"/>
            <w:shd w:val="clear" w:color="auto" w:fill="auto"/>
            <w:tcMar>
              <w:top w:w="40" w:type="dxa"/>
              <w:left w:w="20" w:type="dxa"/>
              <w:bottom w:w="40" w:type="dxa"/>
              <w:right w:w="20" w:type="dxa"/>
            </w:tcMar>
            <w:vAlign w:val="bottom"/>
          </w:tcPr>
          <w:p w14:paraId="07DD09BD"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D09BE" w14:textId="77777777" w:rsidR="00AE727E" w:rsidRDefault="008433E0">
            <w:pPr>
              <w:jc w:val="center"/>
              <w:textAlignment w:val="bottom"/>
            </w:pPr>
            <w:r>
              <w:rPr>
                <w:rFonts w:ascii="Times New Roman" w:eastAsia="宋体" w:hAnsi="Times New Roman"/>
                <w:color w:val="000000"/>
                <w:sz w:val="20"/>
                <w:szCs w:val="20"/>
              </w:rPr>
              <w:t>(in millions, except percentages)</w:t>
            </w:r>
          </w:p>
        </w:tc>
      </w:tr>
      <w:tr w:rsidR="00AE727E" w14:paraId="07DD09D6" w14:textId="77777777">
        <w:trPr>
          <w:jc w:val="center"/>
        </w:trPr>
        <w:tc>
          <w:tcPr>
            <w:tcW w:w="0" w:type="auto"/>
            <w:gridSpan w:val="3"/>
            <w:shd w:val="clear" w:color="auto" w:fill="CCEEFF"/>
            <w:tcMar>
              <w:top w:w="40" w:type="dxa"/>
              <w:left w:w="20" w:type="dxa"/>
              <w:bottom w:w="40" w:type="dxa"/>
              <w:right w:w="20" w:type="dxa"/>
            </w:tcMar>
            <w:vAlign w:val="bottom"/>
          </w:tcPr>
          <w:p w14:paraId="07DD09C0" w14:textId="77777777" w:rsidR="00AE727E" w:rsidRDefault="008433E0">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07DD09C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9C2" w14:textId="77777777" w:rsidR="00AE727E" w:rsidRDefault="008433E0">
            <w:pPr>
              <w:jc w:val="right"/>
              <w:textAlignment w:val="bottom"/>
            </w:pPr>
            <w:r>
              <w:rPr>
                <w:rFonts w:ascii="Times New Roman" w:eastAsia="宋体" w:hAnsi="Times New Roman"/>
                <w:color w:val="000000"/>
                <w:sz w:val="20"/>
                <w:szCs w:val="20"/>
              </w:rPr>
              <w:t>3,888 </w:t>
            </w:r>
          </w:p>
        </w:tc>
        <w:tc>
          <w:tcPr>
            <w:tcW w:w="0" w:type="auto"/>
            <w:shd w:val="clear" w:color="auto" w:fill="CCEEFF"/>
            <w:tcMar>
              <w:top w:w="40" w:type="dxa"/>
              <w:left w:w="0" w:type="dxa"/>
              <w:bottom w:w="40" w:type="dxa"/>
              <w:right w:w="20" w:type="dxa"/>
            </w:tcMar>
            <w:vAlign w:val="bottom"/>
          </w:tcPr>
          <w:p w14:paraId="07DD09C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C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9C5" w14:textId="77777777" w:rsidR="00AE727E" w:rsidRDefault="008433E0">
            <w:pPr>
              <w:jc w:val="right"/>
              <w:textAlignment w:val="bottom"/>
            </w:pPr>
            <w:r>
              <w:rPr>
                <w:rFonts w:ascii="Times New Roman" w:eastAsia="宋体" w:hAnsi="Times New Roman"/>
                <w:color w:val="000000"/>
                <w:sz w:val="20"/>
                <w:szCs w:val="20"/>
              </w:rPr>
              <w:t>341 </w:t>
            </w:r>
          </w:p>
        </w:tc>
        <w:tc>
          <w:tcPr>
            <w:tcW w:w="0" w:type="auto"/>
            <w:shd w:val="clear" w:color="auto" w:fill="CCEEFF"/>
            <w:tcMar>
              <w:top w:w="40" w:type="dxa"/>
              <w:left w:w="0" w:type="dxa"/>
              <w:bottom w:w="40" w:type="dxa"/>
              <w:right w:w="20" w:type="dxa"/>
            </w:tcMar>
            <w:vAlign w:val="bottom"/>
          </w:tcPr>
          <w:p w14:paraId="07DD09C6"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9C7"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9C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9C9" w14:textId="77777777" w:rsidR="00AE727E" w:rsidRDefault="008433E0">
            <w:pPr>
              <w:jc w:val="right"/>
              <w:textAlignment w:val="bottom"/>
            </w:pPr>
            <w:r>
              <w:rPr>
                <w:rFonts w:ascii="Times New Roman" w:eastAsia="宋体" w:hAnsi="Times New Roman"/>
                <w:color w:val="000000"/>
                <w:sz w:val="20"/>
                <w:szCs w:val="20"/>
              </w:rPr>
              <w:t>881 </w:t>
            </w:r>
          </w:p>
        </w:tc>
        <w:tc>
          <w:tcPr>
            <w:tcW w:w="0" w:type="auto"/>
            <w:shd w:val="clear" w:color="auto" w:fill="CCEEFF"/>
            <w:tcMar>
              <w:top w:w="40" w:type="dxa"/>
              <w:left w:w="0" w:type="dxa"/>
              <w:bottom w:w="40" w:type="dxa"/>
              <w:right w:w="20" w:type="dxa"/>
            </w:tcMar>
            <w:vAlign w:val="bottom"/>
          </w:tcPr>
          <w:p w14:paraId="07DD09C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CB"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9C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9CD" w14:textId="77777777" w:rsidR="00AE727E" w:rsidRDefault="008433E0">
            <w:pPr>
              <w:jc w:val="right"/>
              <w:textAlignment w:val="bottom"/>
            </w:pPr>
            <w:r>
              <w:rPr>
                <w:rFonts w:ascii="Times New Roman" w:eastAsia="宋体" w:hAnsi="Times New Roman"/>
                <w:color w:val="000000"/>
                <w:sz w:val="20"/>
                <w:szCs w:val="20"/>
              </w:rPr>
              <w:t>5,706 </w:t>
            </w:r>
          </w:p>
        </w:tc>
        <w:tc>
          <w:tcPr>
            <w:tcW w:w="0" w:type="auto"/>
            <w:shd w:val="clear" w:color="auto" w:fill="CCEEFF"/>
            <w:tcMar>
              <w:top w:w="40" w:type="dxa"/>
              <w:left w:w="0" w:type="dxa"/>
              <w:bottom w:w="40" w:type="dxa"/>
              <w:right w:w="20" w:type="dxa"/>
            </w:tcMar>
            <w:vAlign w:val="bottom"/>
          </w:tcPr>
          <w:p w14:paraId="07DD09C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C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9D0" w14:textId="77777777" w:rsidR="00AE727E" w:rsidRDefault="008433E0">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07DD09D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09D2"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9D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09D4" w14:textId="77777777" w:rsidR="00AE727E" w:rsidRDefault="008433E0">
            <w:pPr>
              <w:jc w:val="right"/>
              <w:textAlignment w:val="bottom"/>
            </w:pPr>
            <w:r>
              <w:rPr>
                <w:rFonts w:ascii="Times New Roman" w:eastAsia="宋体" w:hAnsi="Times New Roman"/>
                <w:color w:val="000000"/>
                <w:sz w:val="20"/>
                <w:szCs w:val="20"/>
              </w:rPr>
              <w:t>2,162 </w:t>
            </w:r>
          </w:p>
        </w:tc>
        <w:tc>
          <w:tcPr>
            <w:tcW w:w="0" w:type="auto"/>
            <w:shd w:val="clear" w:color="auto" w:fill="CCEEFF"/>
            <w:tcMar>
              <w:top w:w="40" w:type="dxa"/>
              <w:left w:w="0" w:type="dxa"/>
              <w:bottom w:w="40" w:type="dxa"/>
              <w:right w:w="20" w:type="dxa"/>
            </w:tcMar>
            <w:vAlign w:val="bottom"/>
          </w:tcPr>
          <w:p w14:paraId="07DD09D5" w14:textId="77777777" w:rsidR="00AE727E" w:rsidRDefault="00AE727E">
            <w:pPr>
              <w:jc w:val="right"/>
              <w:rPr>
                <w:rFonts w:ascii="宋体"/>
              </w:rPr>
            </w:pPr>
          </w:p>
        </w:tc>
      </w:tr>
      <w:tr w:rsidR="00AE727E" w14:paraId="07DD09E3" w14:textId="77777777">
        <w:trPr>
          <w:jc w:val="center"/>
        </w:trPr>
        <w:tc>
          <w:tcPr>
            <w:tcW w:w="0" w:type="auto"/>
            <w:gridSpan w:val="3"/>
            <w:shd w:val="clear" w:color="auto" w:fill="FFFFFF"/>
            <w:tcMar>
              <w:top w:w="40" w:type="dxa"/>
              <w:left w:w="155" w:type="dxa"/>
              <w:bottom w:w="40" w:type="dxa"/>
              <w:right w:w="20" w:type="dxa"/>
            </w:tcMar>
            <w:vAlign w:val="bottom"/>
          </w:tcPr>
          <w:p w14:paraId="07DD09D7" w14:textId="77777777" w:rsidR="00AE727E" w:rsidRDefault="008433E0">
            <w:pPr>
              <w:textAlignment w:val="bottom"/>
            </w:pP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vAlign w:val="bottom"/>
          </w:tcPr>
          <w:p w14:paraId="07DD09D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E"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D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E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E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E2" w14:textId="77777777" w:rsidR="00AE727E" w:rsidRDefault="00AE727E">
            <w:pPr>
              <w:rPr>
                <w:rFonts w:ascii="宋体"/>
              </w:rPr>
            </w:pPr>
          </w:p>
        </w:tc>
      </w:tr>
      <w:tr w:rsidR="00AE727E" w14:paraId="07DD09F4" w14:textId="77777777">
        <w:trPr>
          <w:jc w:val="center"/>
        </w:trPr>
        <w:tc>
          <w:tcPr>
            <w:tcW w:w="0" w:type="auto"/>
            <w:gridSpan w:val="3"/>
            <w:shd w:val="clear" w:color="auto" w:fill="CCEEFF"/>
            <w:tcMar>
              <w:top w:w="40" w:type="dxa"/>
              <w:left w:w="245" w:type="dxa"/>
              <w:bottom w:w="40" w:type="dxa"/>
              <w:right w:w="20" w:type="dxa"/>
            </w:tcMar>
            <w:vAlign w:val="bottom"/>
          </w:tcPr>
          <w:p w14:paraId="07DD09E4" w14:textId="77777777" w:rsidR="00AE727E" w:rsidRDefault="008433E0">
            <w:pPr>
              <w:textAlignment w:val="bottom"/>
            </w:pPr>
            <w:r>
              <w:rPr>
                <w:rFonts w:ascii="Times New Roman" w:eastAsia="宋体" w:hAnsi="Times New Roman"/>
                <w:color w:val="000000"/>
                <w:sz w:val="20"/>
                <w:szCs w:val="20"/>
              </w:rPr>
              <w:t xml:space="preserve">Interest and </w:t>
            </w:r>
            <w:r>
              <w:rPr>
                <w:rFonts w:ascii="Times New Roman" w:eastAsia="宋体" w:hAnsi="Times New Roman"/>
                <w:color w:val="000000"/>
                <w:sz w:val="20"/>
                <w:szCs w:val="20"/>
              </w:rPr>
              <w:t>other, net (a)</w:t>
            </w:r>
          </w:p>
        </w:tc>
        <w:tc>
          <w:tcPr>
            <w:tcW w:w="0" w:type="auto"/>
            <w:gridSpan w:val="2"/>
            <w:shd w:val="clear" w:color="auto" w:fill="CCEEFF"/>
            <w:tcMar>
              <w:top w:w="40" w:type="dxa"/>
              <w:left w:w="20" w:type="dxa"/>
              <w:bottom w:w="40" w:type="dxa"/>
              <w:right w:w="0" w:type="dxa"/>
            </w:tcMar>
            <w:vAlign w:val="bottom"/>
          </w:tcPr>
          <w:p w14:paraId="07DD09E5" w14:textId="77777777" w:rsidR="00AE727E" w:rsidRDefault="008433E0">
            <w:pPr>
              <w:jc w:val="right"/>
              <w:textAlignment w:val="bottom"/>
            </w:pPr>
            <w:r>
              <w:rPr>
                <w:rFonts w:ascii="Times New Roman" w:eastAsia="宋体" w:hAnsi="Times New Roman"/>
                <w:color w:val="000000"/>
                <w:sz w:val="20"/>
                <w:szCs w:val="20"/>
              </w:rPr>
              <w:t>(3,436)</w:t>
            </w:r>
          </w:p>
        </w:tc>
        <w:tc>
          <w:tcPr>
            <w:tcW w:w="0" w:type="auto"/>
            <w:shd w:val="clear" w:color="auto" w:fill="CCEEFF"/>
            <w:tcMar>
              <w:top w:w="40" w:type="dxa"/>
              <w:left w:w="0" w:type="dxa"/>
              <w:bottom w:w="40" w:type="dxa"/>
              <w:right w:w="20" w:type="dxa"/>
            </w:tcMar>
            <w:vAlign w:val="bottom"/>
          </w:tcPr>
          <w:p w14:paraId="07DD09E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E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E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E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9EA" w14:textId="77777777" w:rsidR="00AE727E" w:rsidRDefault="008433E0">
            <w:pPr>
              <w:jc w:val="right"/>
              <w:textAlignment w:val="bottom"/>
            </w:pPr>
            <w:r>
              <w:rPr>
                <w:rFonts w:ascii="Times New Roman" w:eastAsia="宋体" w:hAnsi="Times New Roman"/>
                <w:color w:val="000000"/>
                <w:sz w:val="20"/>
                <w:szCs w:val="20"/>
              </w:rPr>
              <w:t>(273)</w:t>
            </w:r>
          </w:p>
        </w:tc>
        <w:tc>
          <w:tcPr>
            <w:tcW w:w="0" w:type="auto"/>
            <w:shd w:val="clear" w:color="auto" w:fill="CCEEFF"/>
            <w:tcMar>
              <w:top w:w="40" w:type="dxa"/>
              <w:left w:w="0" w:type="dxa"/>
              <w:bottom w:w="40" w:type="dxa"/>
              <w:right w:w="20" w:type="dxa"/>
            </w:tcMar>
            <w:vAlign w:val="bottom"/>
          </w:tcPr>
          <w:p w14:paraId="07DD09E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E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9ED" w14:textId="77777777" w:rsidR="00AE727E" w:rsidRDefault="008433E0">
            <w:pPr>
              <w:jc w:val="right"/>
              <w:textAlignment w:val="bottom"/>
            </w:pPr>
            <w:r>
              <w:rPr>
                <w:rFonts w:ascii="Times New Roman" w:eastAsia="宋体" w:hAnsi="Times New Roman"/>
                <w:color w:val="000000"/>
                <w:sz w:val="20"/>
                <w:szCs w:val="20"/>
              </w:rPr>
              <w:t>(2,689)</w:t>
            </w:r>
          </w:p>
        </w:tc>
        <w:tc>
          <w:tcPr>
            <w:tcW w:w="0" w:type="auto"/>
            <w:shd w:val="clear" w:color="auto" w:fill="CCEEFF"/>
            <w:tcMar>
              <w:top w:w="40" w:type="dxa"/>
              <w:left w:w="0" w:type="dxa"/>
              <w:bottom w:w="40" w:type="dxa"/>
              <w:right w:w="20" w:type="dxa"/>
            </w:tcMar>
            <w:vAlign w:val="bottom"/>
          </w:tcPr>
          <w:p w14:paraId="07DD09E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9E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F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9F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9F2" w14:textId="77777777" w:rsidR="00AE727E" w:rsidRDefault="008433E0">
            <w:pPr>
              <w:jc w:val="right"/>
              <w:textAlignment w:val="bottom"/>
            </w:pPr>
            <w:r>
              <w:rPr>
                <w:rFonts w:ascii="Times New Roman" w:eastAsia="宋体" w:hAnsi="Times New Roman"/>
                <w:color w:val="000000"/>
                <w:sz w:val="20"/>
                <w:szCs w:val="20"/>
              </w:rPr>
              <w:t>929 </w:t>
            </w:r>
          </w:p>
        </w:tc>
        <w:tc>
          <w:tcPr>
            <w:tcW w:w="0" w:type="auto"/>
            <w:shd w:val="clear" w:color="auto" w:fill="CCEEFF"/>
            <w:tcMar>
              <w:top w:w="40" w:type="dxa"/>
              <w:left w:w="0" w:type="dxa"/>
              <w:bottom w:w="40" w:type="dxa"/>
              <w:right w:w="20" w:type="dxa"/>
            </w:tcMar>
            <w:vAlign w:val="bottom"/>
          </w:tcPr>
          <w:p w14:paraId="07DD09F3" w14:textId="77777777" w:rsidR="00AE727E" w:rsidRDefault="00AE727E">
            <w:pPr>
              <w:jc w:val="right"/>
              <w:rPr>
                <w:rFonts w:ascii="宋体"/>
              </w:rPr>
            </w:pPr>
          </w:p>
        </w:tc>
      </w:tr>
      <w:tr w:rsidR="00AE727E" w14:paraId="07DD0A05" w14:textId="77777777">
        <w:trPr>
          <w:jc w:val="center"/>
        </w:trPr>
        <w:tc>
          <w:tcPr>
            <w:tcW w:w="0" w:type="auto"/>
            <w:gridSpan w:val="3"/>
            <w:shd w:val="clear" w:color="auto" w:fill="FFFFFF"/>
            <w:tcMar>
              <w:top w:w="40" w:type="dxa"/>
              <w:left w:w="245" w:type="dxa"/>
              <w:bottom w:w="40" w:type="dxa"/>
              <w:right w:w="20" w:type="dxa"/>
            </w:tcMar>
            <w:vAlign w:val="bottom"/>
          </w:tcPr>
          <w:p w14:paraId="07DD09F5" w14:textId="77777777" w:rsidR="00AE727E" w:rsidRDefault="008433E0">
            <w:pPr>
              <w:textAlignment w:val="bottom"/>
            </w:pPr>
            <w:r>
              <w:rPr>
                <w:rFonts w:ascii="Times New Roman" w:eastAsia="宋体" w:hAnsi="Times New Roman"/>
                <w:color w:val="000000"/>
                <w:sz w:val="20"/>
                <w:szCs w:val="20"/>
              </w:rPr>
              <w:t>Income tax expense (benefit) (b)</w:t>
            </w:r>
          </w:p>
        </w:tc>
        <w:tc>
          <w:tcPr>
            <w:tcW w:w="0" w:type="auto"/>
            <w:gridSpan w:val="2"/>
            <w:shd w:val="clear" w:color="auto" w:fill="FFFFFF"/>
            <w:tcMar>
              <w:top w:w="40" w:type="dxa"/>
              <w:left w:w="20" w:type="dxa"/>
              <w:bottom w:w="40" w:type="dxa"/>
              <w:right w:w="0" w:type="dxa"/>
            </w:tcMar>
            <w:vAlign w:val="bottom"/>
          </w:tcPr>
          <w:p w14:paraId="07DD09F6" w14:textId="77777777" w:rsidR="00AE727E" w:rsidRDefault="008433E0">
            <w:pPr>
              <w:jc w:val="right"/>
              <w:textAlignment w:val="bottom"/>
            </w:pPr>
            <w:r>
              <w:rPr>
                <w:rFonts w:ascii="Times New Roman" w:eastAsia="宋体" w:hAnsi="Times New Roman"/>
                <w:color w:val="000000"/>
                <w:sz w:val="20"/>
                <w:szCs w:val="20"/>
              </w:rPr>
              <w:t>897 </w:t>
            </w:r>
          </w:p>
        </w:tc>
        <w:tc>
          <w:tcPr>
            <w:tcW w:w="0" w:type="auto"/>
            <w:shd w:val="clear" w:color="auto" w:fill="FFFFFF"/>
            <w:tcMar>
              <w:top w:w="40" w:type="dxa"/>
              <w:left w:w="0" w:type="dxa"/>
              <w:bottom w:w="40" w:type="dxa"/>
              <w:right w:w="20" w:type="dxa"/>
            </w:tcMar>
            <w:vAlign w:val="bottom"/>
          </w:tcPr>
          <w:p w14:paraId="07DD09F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F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F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9F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9FB" w14:textId="77777777" w:rsidR="00AE727E" w:rsidRDefault="008433E0">
            <w:pPr>
              <w:jc w:val="right"/>
              <w:textAlignment w:val="bottom"/>
            </w:pPr>
            <w:r>
              <w:rPr>
                <w:rFonts w:ascii="Times New Roman" w:eastAsia="宋体" w:hAnsi="Times New Roman"/>
                <w:color w:val="000000"/>
                <w:sz w:val="20"/>
                <w:szCs w:val="20"/>
              </w:rPr>
              <w:t>521 </w:t>
            </w:r>
          </w:p>
        </w:tc>
        <w:tc>
          <w:tcPr>
            <w:tcW w:w="0" w:type="auto"/>
            <w:shd w:val="clear" w:color="auto" w:fill="FFFFFF"/>
            <w:tcMar>
              <w:top w:w="40" w:type="dxa"/>
              <w:left w:w="0" w:type="dxa"/>
              <w:bottom w:w="40" w:type="dxa"/>
              <w:right w:w="20" w:type="dxa"/>
            </w:tcMar>
            <w:vAlign w:val="bottom"/>
          </w:tcPr>
          <w:p w14:paraId="07DD09F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9F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9FE" w14:textId="77777777" w:rsidR="00AE727E" w:rsidRDefault="008433E0">
            <w:pPr>
              <w:jc w:val="right"/>
              <w:textAlignment w:val="bottom"/>
            </w:pPr>
            <w:r>
              <w:rPr>
                <w:rFonts w:ascii="Times New Roman" w:eastAsia="宋体" w:hAnsi="Times New Roman"/>
                <w:color w:val="000000"/>
                <w:sz w:val="20"/>
                <w:szCs w:val="20"/>
              </w:rPr>
              <w:t>1,079 </w:t>
            </w:r>
          </w:p>
        </w:tc>
        <w:tc>
          <w:tcPr>
            <w:tcW w:w="0" w:type="auto"/>
            <w:shd w:val="clear" w:color="auto" w:fill="FFFFFF"/>
            <w:tcMar>
              <w:top w:w="40" w:type="dxa"/>
              <w:left w:w="0" w:type="dxa"/>
              <w:bottom w:w="40" w:type="dxa"/>
              <w:right w:w="20" w:type="dxa"/>
            </w:tcMar>
            <w:vAlign w:val="bottom"/>
          </w:tcPr>
          <w:p w14:paraId="07DD09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0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0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0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03" w14:textId="77777777" w:rsidR="00AE727E" w:rsidRDefault="008433E0">
            <w:pPr>
              <w:jc w:val="right"/>
              <w:textAlignment w:val="bottom"/>
            </w:pPr>
            <w:r>
              <w:rPr>
                <w:rFonts w:ascii="Times New Roman" w:eastAsia="宋体" w:hAnsi="Times New Roman"/>
                <w:color w:val="000000"/>
                <w:sz w:val="20"/>
                <w:szCs w:val="20"/>
              </w:rPr>
              <w:t>(124)</w:t>
            </w:r>
          </w:p>
        </w:tc>
        <w:tc>
          <w:tcPr>
            <w:tcW w:w="0" w:type="auto"/>
            <w:shd w:val="clear" w:color="auto" w:fill="FFFFFF"/>
            <w:tcMar>
              <w:top w:w="40" w:type="dxa"/>
              <w:left w:w="0" w:type="dxa"/>
              <w:bottom w:w="40" w:type="dxa"/>
              <w:right w:w="20" w:type="dxa"/>
            </w:tcMar>
            <w:vAlign w:val="bottom"/>
          </w:tcPr>
          <w:p w14:paraId="07DD0A04" w14:textId="77777777" w:rsidR="00AE727E" w:rsidRDefault="00AE727E">
            <w:pPr>
              <w:jc w:val="right"/>
              <w:rPr>
                <w:rFonts w:ascii="宋体"/>
              </w:rPr>
            </w:pPr>
          </w:p>
        </w:tc>
      </w:tr>
      <w:tr w:rsidR="00AE727E" w14:paraId="07DD0A16" w14:textId="77777777">
        <w:trPr>
          <w:jc w:val="center"/>
        </w:trPr>
        <w:tc>
          <w:tcPr>
            <w:tcW w:w="0" w:type="auto"/>
            <w:gridSpan w:val="3"/>
            <w:shd w:val="clear" w:color="auto" w:fill="CCEEFF"/>
            <w:tcMar>
              <w:top w:w="40" w:type="dxa"/>
              <w:left w:w="245" w:type="dxa"/>
              <w:bottom w:w="40" w:type="dxa"/>
              <w:right w:w="20" w:type="dxa"/>
            </w:tcMar>
            <w:vAlign w:val="bottom"/>
          </w:tcPr>
          <w:p w14:paraId="07DD0A06" w14:textId="77777777" w:rsidR="00AE727E" w:rsidRDefault="008433E0">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07DD0A07" w14:textId="77777777" w:rsidR="00AE727E" w:rsidRDefault="008433E0">
            <w:pPr>
              <w:jc w:val="right"/>
              <w:textAlignment w:val="bottom"/>
            </w:pPr>
            <w:r>
              <w:rPr>
                <w:rFonts w:ascii="Times New Roman" w:eastAsia="宋体" w:hAnsi="Times New Roman"/>
                <w:color w:val="000000"/>
                <w:sz w:val="20"/>
                <w:szCs w:val="20"/>
              </w:rPr>
              <w:t>1,242 </w:t>
            </w:r>
          </w:p>
        </w:tc>
        <w:tc>
          <w:tcPr>
            <w:tcW w:w="0" w:type="auto"/>
            <w:shd w:val="clear" w:color="auto" w:fill="CCEEFF"/>
            <w:tcMar>
              <w:top w:w="40" w:type="dxa"/>
              <w:left w:w="0" w:type="dxa"/>
              <w:bottom w:w="40" w:type="dxa"/>
              <w:right w:w="20" w:type="dxa"/>
            </w:tcMar>
            <w:vAlign w:val="bottom"/>
          </w:tcPr>
          <w:p w14:paraId="07DD0A0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0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0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0C" w14:textId="77777777" w:rsidR="00AE727E" w:rsidRDefault="008433E0">
            <w:pPr>
              <w:jc w:val="right"/>
              <w:textAlignment w:val="bottom"/>
            </w:pPr>
            <w:r>
              <w:rPr>
                <w:rFonts w:ascii="Times New Roman" w:eastAsia="宋体" w:hAnsi="Times New Roman"/>
                <w:color w:val="000000"/>
                <w:sz w:val="20"/>
                <w:szCs w:val="20"/>
              </w:rPr>
              <w:t>1,361 </w:t>
            </w:r>
          </w:p>
        </w:tc>
        <w:tc>
          <w:tcPr>
            <w:tcW w:w="0" w:type="auto"/>
            <w:shd w:val="clear" w:color="auto" w:fill="CCEEFF"/>
            <w:tcMar>
              <w:top w:w="40" w:type="dxa"/>
              <w:left w:w="0" w:type="dxa"/>
              <w:bottom w:w="40" w:type="dxa"/>
              <w:right w:w="20" w:type="dxa"/>
            </w:tcMar>
            <w:vAlign w:val="bottom"/>
          </w:tcPr>
          <w:p w14:paraId="07DD0A0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0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0F" w14:textId="77777777" w:rsidR="00AE727E" w:rsidRDefault="008433E0">
            <w:pPr>
              <w:jc w:val="right"/>
              <w:textAlignment w:val="bottom"/>
            </w:pPr>
            <w:r>
              <w:rPr>
                <w:rFonts w:ascii="Times New Roman" w:eastAsia="宋体" w:hAnsi="Times New Roman"/>
                <w:color w:val="000000"/>
                <w:sz w:val="20"/>
                <w:szCs w:val="20"/>
              </w:rPr>
              <w:t>3,721 </w:t>
            </w:r>
          </w:p>
        </w:tc>
        <w:tc>
          <w:tcPr>
            <w:tcW w:w="0" w:type="auto"/>
            <w:shd w:val="clear" w:color="auto" w:fill="CCEEFF"/>
            <w:tcMar>
              <w:top w:w="40" w:type="dxa"/>
              <w:left w:w="0" w:type="dxa"/>
              <w:bottom w:w="40" w:type="dxa"/>
              <w:right w:w="20" w:type="dxa"/>
            </w:tcMar>
            <w:vAlign w:val="bottom"/>
          </w:tcPr>
          <w:p w14:paraId="07DD0A1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1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1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14" w14:textId="77777777" w:rsidR="00AE727E" w:rsidRDefault="008433E0">
            <w:pPr>
              <w:jc w:val="right"/>
              <w:textAlignment w:val="bottom"/>
            </w:pPr>
            <w:r>
              <w:rPr>
                <w:rFonts w:ascii="Times New Roman" w:eastAsia="宋体" w:hAnsi="Times New Roman"/>
                <w:color w:val="000000"/>
                <w:sz w:val="20"/>
                <w:szCs w:val="20"/>
              </w:rPr>
              <w:t>4,017 </w:t>
            </w:r>
          </w:p>
        </w:tc>
        <w:tc>
          <w:tcPr>
            <w:tcW w:w="0" w:type="auto"/>
            <w:shd w:val="clear" w:color="auto" w:fill="CCEEFF"/>
            <w:tcMar>
              <w:top w:w="40" w:type="dxa"/>
              <w:left w:w="0" w:type="dxa"/>
              <w:bottom w:w="40" w:type="dxa"/>
              <w:right w:w="20" w:type="dxa"/>
            </w:tcMar>
            <w:vAlign w:val="bottom"/>
          </w:tcPr>
          <w:p w14:paraId="07DD0A15" w14:textId="77777777" w:rsidR="00AE727E" w:rsidRDefault="00AE727E">
            <w:pPr>
              <w:jc w:val="right"/>
              <w:rPr>
                <w:rFonts w:ascii="宋体"/>
              </w:rPr>
            </w:pPr>
          </w:p>
        </w:tc>
      </w:tr>
      <w:tr w:rsidR="00AE727E" w14:paraId="07DD0A2D" w14:textId="77777777">
        <w:trPr>
          <w:jc w:val="center"/>
        </w:trPr>
        <w:tc>
          <w:tcPr>
            <w:tcW w:w="0" w:type="auto"/>
            <w:gridSpan w:val="3"/>
            <w:shd w:val="clear" w:color="auto" w:fill="FFFFFF"/>
            <w:tcMar>
              <w:top w:w="40" w:type="dxa"/>
              <w:left w:w="380" w:type="dxa"/>
              <w:bottom w:w="40" w:type="dxa"/>
              <w:right w:w="20" w:type="dxa"/>
            </w:tcMar>
            <w:vAlign w:val="bottom"/>
          </w:tcPr>
          <w:p w14:paraId="07DD0A17" w14:textId="77777777" w:rsidR="00AE727E" w:rsidRDefault="008433E0">
            <w:pPr>
              <w:textAlignment w:val="bottom"/>
            </w:pPr>
            <w:r>
              <w:rPr>
                <w:rFonts w:ascii="Times New Roman" w:eastAsia="宋体" w:hAnsi="Times New Roman"/>
                <w:color w:val="000000"/>
                <w:sz w:val="20"/>
                <w:szCs w:val="20"/>
              </w:rPr>
              <w:t>EBITDA</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0A18"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A19" w14:textId="77777777" w:rsidR="00AE727E" w:rsidRDefault="008433E0">
            <w:pPr>
              <w:jc w:val="right"/>
              <w:textAlignment w:val="bottom"/>
            </w:pPr>
            <w:r>
              <w:rPr>
                <w:rFonts w:ascii="Times New Roman" w:eastAsia="宋体" w:hAnsi="Times New Roman"/>
                <w:color w:val="000000"/>
                <w:sz w:val="20"/>
                <w:szCs w:val="20"/>
              </w:rPr>
              <w:t>2,591 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A1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1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1C"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7DD0A1D"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1E"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A1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A20" w14:textId="77777777" w:rsidR="00AE727E" w:rsidRDefault="008433E0">
            <w:pPr>
              <w:jc w:val="right"/>
              <w:textAlignment w:val="bottom"/>
            </w:pPr>
            <w:r>
              <w:rPr>
                <w:rFonts w:ascii="Times New Roman" w:eastAsia="宋体" w:hAnsi="Times New Roman"/>
                <w:color w:val="000000"/>
                <w:sz w:val="20"/>
                <w:szCs w:val="20"/>
              </w:rPr>
              <w:t>2,490 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A2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22"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A2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A24" w14:textId="77777777" w:rsidR="00AE727E" w:rsidRDefault="008433E0">
            <w:pPr>
              <w:jc w:val="right"/>
              <w:textAlignment w:val="bottom"/>
            </w:pPr>
            <w:r>
              <w:rPr>
                <w:rFonts w:ascii="Times New Roman" w:eastAsia="宋体" w:hAnsi="Times New Roman"/>
                <w:color w:val="000000"/>
                <w:sz w:val="20"/>
                <w:szCs w:val="20"/>
              </w:rPr>
              <w:t>7,817 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A2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2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27" w14:textId="77777777" w:rsidR="00AE727E" w:rsidRDefault="008433E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D0A28"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29"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A2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A2B" w14:textId="77777777" w:rsidR="00AE727E" w:rsidRDefault="008433E0">
            <w:pPr>
              <w:jc w:val="right"/>
              <w:textAlignment w:val="bottom"/>
            </w:pPr>
            <w:r>
              <w:rPr>
                <w:rFonts w:ascii="Times New Roman" w:eastAsia="宋体" w:hAnsi="Times New Roman"/>
                <w:color w:val="000000"/>
                <w:sz w:val="20"/>
                <w:szCs w:val="20"/>
              </w:rPr>
              <w:t>6,984 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A2C" w14:textId="77777777" w:rsidR="00AE727E" w:rsidRDefault="00AE727E">
            <w:pPr>
              <w:jc w:val="right"/>
              <w:rPr>
                <w:rFonts w:ascii="宋体"/>
              </w:rPr>
            </w:pPr>
          </w:p>
        </w:tc>
      </w:tr>
      <w:tr w:rsidR="00AE727E" w14:paraId="07DD0A3A"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DD0A2E"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A2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2"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A3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4"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A3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38" w14:textId="77777777" w:rsidR="00AE727E" w:rsidRDefault="00AE727E">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DD0A39" w14:textId="77777777" w:rsidR="00AE727E" w:rsidRDefault="00AE727E">
            <w:pPr>
              <w:rPr>
                <w:rFonts w:ascii="宋体"/>
              </w:rPr>
            </w:pPr>
          </w:p>
        </w:tc>
      </w:tr>
      <w:tr w:rsidR="00AE727E" w14:paraId="07DD0A51" w14:textId="77777777">
        <w:trPr>
          <w:jc w:val="center"/>
        </w:trPr>
        <w:tc>
          <w:tcPr>
            <w:tcW w:w="0" w:type="auto"/>
            <w:gridSpan w:val="3"/>
            <w:shd w:val="clear" w:color="auto" w:fill="FFFFFF"/>
            <w:tcMar>
              <w:top w:w="40" w:type="dxa"/>
              <w:left w:w="20" w:type="dxa"/>
              <w:bottom w:w="40" w:type="dxa"/>
              <w:right w:w="20" w:type="dxa"/>
            </w:tcMar>
            <w:vAlign w:val="bottom"/>
          </w:tcPr>
          <w:p w14:paraId="07DD0A3B" w14:textId="77777777" w:rsidR="00AE727E" w:rsidRDefault="008433E0">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07DD0A3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A3D" w14:textId="77777777" w:rsidR="00AE727E" w:rsidRDefault="008433E0">
            <w:pPr>
              <w:jc w:val="right"/>
              <w:textAlignment w:val="bottom"/>
            </w:pPr>
            <w:r>
              <w:rPr>
                <w:rFonts w:ascii="Times New Roman" w:eastAsia="宋体" w:hAnsi="Times New Roman"/>
                <w:color w:val="000000"/>
                <w:sz w:val="20"/>
                <w:szCs w:val="20"/>
              </w:rPr>
              <w:t>2,591 </w:t>
            </w:r>
          </w:p>
        </w:tc>
        <w:tc>
          <w:tcPr>
            <w:tcW w:w="0" w:type="auto"/>
            <w:shd w:val="clear" w:color="auto" w:fill="FFFFFF"/>
            <w:tcMar>
              <w:top w:w="40" w:type="dxa"/>
              <w:left w:w="0" w:type="dxa"/>
              <w:bottom w:w="40" w:type="dxa"/>
              <w:right w:w="20" w:type="dxa"/>
            </w:tcMar>
            <w:vAlign w:val="bottom"/>
          </w:tcPr>
          <w:p w14:paraId="07DD0A3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3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40"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7DD0A4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4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A4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A44" w14:textId="77777777" w:rsidR="00AE727E" w:rsidRDefault="008433E0">
            <w:pPr>
              <w:jc w:val="right"/>
              <w:textAlignment w:val="bottom"/>
            </w:pPr>
            <w:r>
              <w:rPr>
                <w:rFonts w:ascii="Times New Roman" w:eastAsia="宋体" w:hAnsi="Times New Roman"/>
                <w:color w:val="000000"/>
                <w:sz w:val="20"/>
                <w:szCs w:val="20"/>
              </w:rPr>
              <w:t>2,490 </w:t>
            </w:r>
          </w:p>
        </w:tc>
        <w:tc>
          <w:tcPr>
            <w:tcW w:w="0" w:type="auto"/>
            <w:shd w:val="clear" w:color="auto" w:fill="FFFFFF"/>
            <w:tcMar>
              <w:top w:w="40" w:type="dxa"/>
              <w:left w:w="0" w:type="dxa"/>
              <w:bottom w:w="40" w:type="dxa"/>
              <w:right w:w="20" w:type="dxa"/>
            </w:tcMar>
            <w:vAlign w:val="bottom"/>
          </w:tcPr>
          <w:p w14:paraId="07DD0A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4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A4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A48" w14:textId="77777777" w:rsidR="00AE727E" w:rsidRDefault="008433E0">
            <w:pPr>
              <w:jc w:val="right"/>
              <w:textAlignment w:val="bottom"/>
            </w:pPr>
            <w:r>
              <w:rPr>
                <w:rFonts w:ascii="Times New Roman" w:eastAsia="宋体" w:hAnsi="Times New Roman"/>
                <w:color w:val="000000"/>
                <w:sz w:val="20"/>
                <w:szCs w:val="20"/>
              </w:rPr>
              <w:t>7,817 </w:t>
            </w:r>
          </w:p>
        </w:tc>
        <w:tc>
          <w:tcPr>
            <w:tcW w:w="0" w:type="auto"/>
            <w:shd w:val="clear" w:color="auto" w:fill="FFFFFF"/>
            <w:tcMar>
              <w:top w:w="40" w:type="dxa"/>
              <w:left w:w="0" w:type="dxa"/>
              <w:bottom w:w="40" w:type="dxa"/>
              <w:right w:w="20" w:type="dxa"/>
            </w:tcMar>
            <w:vAlign w:val="bottom"/>
          </w:tcPr>
          <w:p w14:paraId="07DD0A4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4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4B" w14:textId="77777777" w:rsidR="00AE727E" w:rsidRDefault="008433E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D0A4C"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4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A4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A4F" w14:textId="77777777" w:rsidR="00AE727E" w:rsidRDefault="008433E0">
            <w:pPr>
              <w:jc w:val="right"/>
              <w:textAlignment w:val="bottom"/>
            </w:pPr>
            <w:r>
              <w:rPr>
                <w:rFonts w:ascii="Times New Roman" w:eastAsia="宋体" w:hAnsi="Times New Roman"/>
                <w:color w:val="000000"/>
                <w:sz w:val="20"/>
                <w:szCs w:val="20"/>
              </w:rPr>
              <w:t>6,984 </w:t>
            </w:r>
          </w:p>
        </w:tc>
        <w:tc>
          <w:tcPr>
            <w:tcW w:w="0" w:type="auto"/>
            <w:shd w:val="clear" w:color="auto" w:fill="FFFFFF"/>
            <w:tcMar>
              <w:top w:w="40" w:type="dxa"/>
              <w:left w:w="0" w:type="dxa"/>
              <w:bottom w:w="40" w:type="dxa"/>
              <w:right w:w="20" w:type="dxa"/>
            </w:tcMar>
            <w:vAlign w:val="bottom"/>
          </w:tcPr>
          <w:p w14:paraId="07DD0A50" w14:textId="77777777" w:rsidR="00AE727E" w:rsidRDefault="00AE727E">
            <w:pPr>
              <w:jc w:val="right"/>
              <w:rPr>
                <w:rFonts w:ascii="宋体"/>
              </w:rPr>
            </w:pPr>
          </w:p>
        </w:tc>
      </w:tr>
      <w:tr w:rsidR="00AE727E" w14:paraId="07DD0A5E" w14:textId="77777777">
        <w:trPr>
          <w:jc w:val="center"/>
        </w:trPr>
        <w:tc>
          <w:tcPr>
            <w:tcW w:w="0" w:type="auto"/>
            <w:gridSpan w:val="3"/>
            <w:shd w:val="clear" w:color="auto" w:fill="CCEEFF"/>
            <w:tcMar>
              <w:top w:w="40" w:type="dxa"/>
              <w:left w:w="155" w:type="dxa"/>
              <w:bottom w:w="40" w:type="dxa"/>
              <w:right w:w="20" w:type="dxa"/>
            </w:tcMar>
            <w:vAlign w:val="bottom"/>
          </w:tcPr>
          <w:p w14:paraId="07DD0A52" w14:textId="77777777" w:rsidR="00AE727E" w:rsidRDefault="008433E0">
            <w:pPr>
              <w:textAlignment w:val="bottom"/>
            </w:pP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vAlign w:val="bottom"/>
          </w:tcPr>
          <w:p w14:paraId="07DD0A5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5D" w14:textId="77777777" w:rsidR="00AE727E" w:rsidRDefault="00AE727E">
            <w:pPr>
              <w:rPr>
                <w:rFonts w:ascii="宋体"/>
              </w:rPr>
            </w:pPr>
          </w:p>
        </w:tc>
      </w:tr>
      <w:tr w:rsidR="00AE727E" w14:paraId="07DD0A6F" w14:textId="77777777">
        <w:trPr>
          <w:jc w:val="center"/>
        </w:trPr>
        <w:tc>
          <w:tcPr>
            <w:tcW w:w="0" w:type="auto"/>
            <w:gridSpan w:val="3"/>
            <w:shd w:val="clear" w:color="auto" w:fill="FFFFFF"/>
            <w:tcMar>
              <w:top w:w="40" w:type="dxa"/>
              <w:left w:w="245" w:type="dxa"/>
              <w:bottom w:w="40" w:type="dxa"/>
              <w:right w:w="20" w:type="dxa"/>
            </w:tcMar>
            <w:vAlign w:val="bottom"/>
          </w:tcPr>
          <w:p w14:paraId="07DD0A5F" w14:textId="77777777" w:rsidR="00AE727E" w:rsidRDefault="008433E0">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7DD0A60" w14:textId="77777777" w:rsidR="00AE727E" w:rsidRDefault="008433E0">
            <w:pPr>
              <w:jc w:val="right"/>
              <w:textAlignment w:val="bottom"/>
            </w:pPr>
            <w:r>
              <w:rPr>
                <w:rFonts w:ascii="Times New Roman" w:eastAsia="宋体" w:hAnsi="Times New Roman"/>
                <w:color w:val="000000"/>
                <w:sz w:val="20"/>
                <w:szCs w:val="20"/>
              </w:rPr>
              <w:t>472 </w:t>
            </w:r>
          </w:p>
        </w:tc>
        <w:tc>
          <w:tcPr>
            <w:tcW w:w="0" w:type="auto"/>
            <w:shd w:val="clear" w:color="auto" w:fill="FFFFFF"/>
            <w:tcMar>
              <w:top w:w="40" w:type="dxa"/>
              <w:left w:w="0" w:type="dxa"/>
              <w:bottom w:w="40" w:type="dxa"/>
              <w:right w:w="20" w:type="dxa"/>
            </w:tcMar>
            <w:vAlign w:val="bottom"/>
          </w:tcPr>
          <w:p w14:paraId="07DD0A6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6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6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6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65" w14:textId="77777777" w:rsidR="00AE727E" w:rsidRDefault="008433E0">
            <w:pPr>
              <w:jc w:val="right"/>
              <w:textAlignment w:val="bottom"/>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bottom"/>
          </w:tcPr>
          <w:p w14:paraId="07DD0A6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6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68" w14:textId="77777777" w:rsidR="00AE727E" w:rsidRDefault="008433E0">
            <w:pPr>
              <w:jc w:val="right"/>
              <w:textAlignment w:val="bottom"/>
            </w:pPr>
            <w:r>
              <w:rPr>
                <w:rFonts w:ascii="Times New Roman" w:eastAsia="宋体" w:hAnsi="Times New Roman"/>
                <w:color w:val="000000"/>
                <w:sz w:val="20"/>
                <w:szCs w:val="20"/>
              </w:rPr>
              <w:t>1,406 </w:t>
            </w:r>
          </w:p>
        </w:tc>
        <w:tc>
          <w:tcPr>
            <w:tcW w:w="0" w:type="auto"/>
            <w:shd w:val="clear" w:color="auto" w:fill="FFFFFF"/>
            <w:tcMar>
              <w:top w:w="40" w:type="dxa"/>
              <w:left w:w="0" w:type="dxa"/>
              <w:bottom w:w="40" w:type="dxa"/>
              <w:right w:w="20" w:type="dxa"/>
            </w:tcMar>
            <w:vAlign w:val="bottom"/>
          </w:tcPr>
          <w:p w14:paraId="07DD0A6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6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6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6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6D" w14:textId="77777777" w:rsidR="00AE727E" w:rsidRDefault="008433E0">
            <w:pPr>
              <w:jc w:val="right"/>
              <w:textAlignment w:val="bottom"/>
            </w:pPr>
            <w:r>
              <w:rPr>
                <w:rFonts w:ascii="Times New Roman" w:eastAsia="宋体" w:hAnsi="Times New Roman"/>
                <w:color w:val="000000"/>
                <w:sz w:val="20"/>
                <w:szCs w:val="20"/>
              </w:rPr>
              <w:t>1,219 </w:t>
            </w:r>
          </w:p>
        </w:tc>
        <w:tc>
          <w:tcPr>
            <w:tcW w:w="0" w:type="auto"/>
            <w:shd w:val="clear" w:color="auto" w:fill="FFFFFF"/>
            <w:tcMar>
              <w:top w:w="40" w:type="dxa"/>
              <w:left w:w="0" w:type="dxa"/>
              <w:bottom w:w="40" w:type="dxa"/>
              <w:right w:w="20" w:type="dxa"/>
            </w:tcMar>
            <w:vAlign w:val="bottom"/>
          </w:tcPr>
          <w:p w14:paraId="07DD0A6E" w14:textId="77777777" w:rsidR="00AE727E" w:rsidRDefault="00AE727E">
            <w:pPr>
              <w:jc w:val="right"/>
              <w:rPr>
                <w:rFonts w:ascii="宋体"/>
              </w:rPr>
            </w:pPr>
          </w:p>
        </w:tc>
      </w:tr>
      <w:tr w:rsidR="00AE727E" w14:paraId="07DD0A80" w14:textId="77777777">
        <w:trPr>
          <w:jc w:val="center"/>
        </w:trPr>
        <w:tc>
          <w:tcPr>
            <w:tcW w:w="0" w:type="auto"/>
            <w:gridSpan w:val="3"/>
            <w:shd w:val="clear" w:color="auto" w:fill="CCEEFF"/>
            <w:tcMar>
              <w:top w:w="40" w:type="dxa"/>
              <w:left w:w="245" w:type="dxa"/>
              <w:bottom w:w="40" w:type="dxa"/>
              <w:right w:w="20" w:type="dxa"/>
            </w:tcMar>
            <w:vAlign w:val="bottom"/>
          </w:tcPr>
          <w:p w14:paraId="07DD0A70" w14:textId="77777777" w:rsidR="00AE727E" w:rsidRDefault="008433E0">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bottom"/>
          </w:tcPr>
          <w:p w14:paraId="07DD0A71"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7DD0A7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7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7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7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76" w14:textId="77777777" w:rsidR="00AE727E" w:rsidRDefault="008433E0">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07DD0A7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7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79" w14:textId="77777777" w:rsidR="00AE727E" w:rsidRDefault="008433E0">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07DD0A7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7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7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7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7E" w14:textId="77777777" w:rsidR="00AE727E" w:rsidRDefault="008433E0">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07DD0A7F" w14:textId="77777777" w:rsidR="00AE727E" w:rsidRDefault="00AE727E">
            <w:pPr>
              <w:jc w:val="right"/>
              <w:rPr>
                <w:rFonts w:ascii="宋体"/>
              </w:rPr>
            </w:pPr>
          </w:p>
        </w:tc>
      </w:tr>
      <w:tr w:rsidR="00AE727E" w14:paraId="07DD0A91" w14:textId="77777777">
        <w:trPr>
          <w:jc w:val="center"/>
        </w:trPr>
        <w:tc>
          <w:tcPr>
            <w:tcW w:w="0" w:type="auto"/>
            <w:gridSpan w:val="3"/>
            <w:shd w:val="clear" w:color="auto" w:fill="FFFFFF"/>
            <w:tcMar>
              <w:top w:w="40" w:type="dxa"/>
              <w:left w:w="245" w:type="dxa"/>
              <w:bottom w:w="40" w:type="dxa"/>
              <w:right w:w="20" w:type="dxa"/>
            </w:tcMar>
            <w:vAlign w:val="bottom"/>
          </w:tcPr>
          <w:p w14:paraId="07DD0A81" w14:textId="77777777" w:rsidR="00AE727E" w:rsidRDefault="008433E0">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07DD0A82" w14:textId="77777777" w:rsidR="00AE727E" w:rsidRDefault="008433E0">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bottom"/>
          </w:tcPr>
          <w:p w14:paraId="07DD0A8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8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8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8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87" w14:textId="77777777" w:rsidR="00AE727E" w:rsidRDefault="008433E0">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7DD0A8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8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8A" w14:textId="77777777" w:rsidR="00AE727E" w:rsidRDefault="008433E0">
            <w:pPr>
              <w:jc w:val="right"/>
              <w:textAlignment w:val="bottom"/>
            </w:pPr>
            <w:r>
              <w:rPr>
                <w:rFonts w:ascii="Times New Roman" w:eastAsia="宋体" w:hAnsi="Times New Roman"/>
                <w:color w:val="000000"/>
                <w:sz w:val="20"/>
                <w:szCs w:val="20"/>
              </w:rPr>
              <w:t>422 </w:t>
            </w:r>
          </w:p>
        </w:tc>
        <w:tc>
          <w:tcPr>
            <w:tcW w:w="0" w:type="auto"/>
            <w:shd w:val="clear" w:color="auto" w:fill="FFFFFF"/>
            <w:tcMar>
              <w:top w:w="40" w:type="dxa"/>
              <w:left w:w="0" w:type="dxa"/>
              <w:bottom w:w="40" w:type="dxa"/>
              <w:right w:w="20" w:type="dxa"/>
            </w:tcMar>
            <w:vAlign w:val="bottom"/>
          </w:tcPr>
          <w:p w14:paraId="07DD0A8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8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8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0A8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8F" w14:textId="77777777" w:rsidR="00AE727E" w:rsidRDefault="008433E0">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07DD0A90" w14:textId="77777777" w:rsidR="00AE727E" w:rsidRDefault="00AE727E">
            <w:pPr>
              <w:jc w:val="right"/>
              <w:rPr>
                <w:rFonts w:ascii="宋体"/>
              </w:rPr>
            </w:pPr>
          </w:p>
        </w:tc>
      </w:tr>
      <w:tr w:rsidR="00AE727E" w14:paraId="07DD0AA2" w14:textId="77777777">
        <w:trPr>
          <w:jc w:val="center"/>
        </w:trPr>
        <w:tc>
          <w:tcPr>
            <w:tcW w:w="0" w:type="auto"/>
            <w:gridSpan w:val="3"/>
            <w:shd w:val="clear" w:color="auto" w:fill="CCEEFF"/>
            <w:tcMar>
              <w:top w:w="40" w:type="dxa"/>
              <w:left w:w="245" w:type="dxa"/>
              <w:bottom w:w="40" w:type="dxa"/>
              <w:right w:w="20" w:type="dxa"/>
            </w:tcMar>
            <w:vAlign w:val="bottom"/>
          </w:tcPr>
          <w:p w14:paraId="07DD0A92" w14:textId="77777777" w:rsidR="00AE727E" w:rsidRDefault="008433E0">
            <w:pPr>
              <w:textAlignment w:val="bottom"/>
            </w:pPr>
            <w:r>
              <w:rPr>
                <w:rFonts w:ascii="Times New Roman" w:eastAsia="宋体" w:hAnsi="Times New Roman"/>
                <w:color w:val="000000"/>
                <w:sz w:val="20"/>
                <w:szCs w:val="20"/>
              </w:rPr>
              <w:t>Other corporate expenses (e)</w:t>
            </w:r>
          </w:p>
        </w:tc>
        <w:tc>
          <w:tcPr>
            <w:tcW w:w="0" w:type="auto"/>
            <w:gridSpan w:val="2"/>
            <w:shd w:val="clear" w:color="auto" w:fill="CCEEFF"/>
            <w:tcMar>
              <w:top w:w="40" w:type="dxa"/>
              <w:left w:w="20" w:type="dxa"/>
              <w:bottom w:w="40" w:type="dxa"/>
              <w:right w:w="0" w:type="dxa"/>
            </w:tcMar>
            <w:vAlign w:val="bottom"/>
          </w:tcPr>
          <w:p w14:paraId="07DD0A93" w14:textId="77777777" w:rsidR="00AE727E" w:rsidRDefault="008433E0">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7DD0A9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9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9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9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98" w14:textId="77777777" w:rsidR="00AE727E" w:rsidRDefault="008433E0">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07DD0A9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9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9B" w14:textId="77777777" w:rsidR="00AE727E" w:rsidRDefault="008433E0">
            <w:pPr>
              <w:jc w:val="right"/>
              <w:textAlignment w:val="bottom"/>
            </w:pPr>
            <w:r>
              <w:rPr>
                <w:rFonts w:ascii="Times New Roman" w:eastAsia="宋体" w:hAnsi="Times New Roman"/>
                <w:color w:val="000000"/>
                <w:sz w:val="20"/>
                <w:szCs w:val="20"/>
              </w:rPr>
              <w:t>293 </w:t>
            </w:r>
          </w:p>
        </w:tc>
        <w:tc>
          <w:tcPr>
            <w:tcW w:w="0" w:type="auto"/>
            <w:shd w:val="clear" w:color="auto" w:fill="CCEEFF"/>
            <w:tcMar>
              <w:top w:w="40" w:type="dxa"/>
              <w:left w:w="0" w:type="dxa"/>
              <w:bottom w:w="40" w:type="dxa"/>
              <w:right w:w="20" w:type="dxa"/>
            </w:tcMar>
            <w:vAlign w:val="bottom"/>
          </w:tcPr>
          <w:p w14:paraId="07DD0A9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A9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9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A9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AA0" w14:textId="77777777" w:rsidR="00AE727E" w:rsidRDefault="008433E0">
            <w:pPr>
              <w:jc w:val="right"/>
              <w:textAlignment w:val="bottom"/>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bottom"/>
          </w:tcPr>
          <w:p w14:paraId="07DD0AA1" w14:textId="77777777" w:rsidR="00AE727E" w:rsidRDefault="00AE727E">
            <w:pPr>
              <w:jc w:val="right"/>
              <w:rPr>
                <w:rFonts w:ascii="宋体"/>
              </w:rPr>
            </w:pPr>
          </w:p>
        </w:tc>
      </w:tr>
      <w:tr w:rsidR="00AE727E" w14:paraId="07DD0AB9" w14:textId="77777777">
        <w:trPr>
          <w:jc w:val="center"/>
        </w:trPr>
        <w:tc>
          <w:tcPr>
            <w:tcW w:w="0" w:type="auto"/>
            <w:gridSpan w:val="3"/>
            <w:shd w:val="clear" w:color="auto" w:fill="FFFFFF"/>
            <w:tcMar>
              <w:top w:w="40" w:type="dxa"/>
              <w:left w:w="380" w:type="dxa"/>
              <w:bottom w:w="40" w:type="dxa"/>
              <w:right w:w="20" w:type="dxa"/>
            </w:tcMar>
            <w:vAlign w:val="bottom"/>
          </w:tcPr>
          <w:p w14:paraId="07DD0AA3" w14:textId="77777777" w:rsidR="00AE727E" w:rsidRDefault="008433E0">
            <w:pPr>
              <w:textAlignment w:val="bottom"/>
            </w:pPr>
            <w:r>
              <w:rPr>
                <w:rFonts w:ascii="Times New Roman" w:eastAsia="宋体"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AA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AA5" w14:textId="77777777" w:rsidR="00AE727E" w:rsidRDefault="008433E0">
            <w:pPr>
              <w:jc w:val="right"/>
              <w:textAlignment w:val="bottom"/>
            </w:pPr>
            <w:r>
              <w:rPr>
                <w:rFonts w:ascii="Times New Roman" w:eastAsia="宋体" w:hAnsi="Times New Roman"/>
                <w:color w:val="000000"/>
                <w:sz w:val="20"/>
                <w:szCs w:val="20"/>
              </w:rPr>
              <w:t>3,410 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AA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A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A8" w14:textId="77777777" w:rsidR="00AE727E" w:rsidRDefault="008433E0">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DD0AA9"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AA"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AA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AAC" w14:textId="77777777" w:rsidR="00AE727E" w:rsidRDefault="008433E0">
            <w:pPr>
              <w:jc w:val="right"/>
              <w:textAlignment w:val="bottom"/>
            </w:pPr>
            <w:r>
              <w:rPr>
                <w:rFonts w:ascii="Times New Roman" w:eastAsia="宋体" w:hAnsi="Times New Roman"/>
                <w:color w:val="000000"/>
                <w:sz w:val="20"/>
                <w:szCs w:val="20"/>
              </w:rPr>
              <w:t>3,231 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AA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A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AA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AB0" w14:textId="77777777" w:rsidR="00AE727E" w:rsidRDefault="008433E0">
            <w:pPr>
              <w:jc w:val="right"/>
              <w:textAlignment w:val="bottom"/>
            </w:pPr>
            <w:r>
              <w:rPr>
                <w:rFonts w:ascii="Times New Roman" w:eastAsia="宋体" w:hAnsi="Times New Roman"/>
                <w:color w:val="000000"/>
                <w:sz w:val="20"/>
                <w:szCs w:val="20"/>
              </w:rPr>
              <w:t>9,976 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AB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AB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AB3" w14:textId="77777777" w:rsidR="00AE727E" w:rsidRDefault="008433E0">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D0AB4"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AB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0AB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0AB7" w14:textId="77777777" w:rsidR="00AE727E" w:rsidRDefault="008433E0">
            <w:pPr>
              <w:jc w:val="right"/>
              <w:textAlignment w:val="bottom"/>
            </w:pPr>
            <w:r>
              <w:rPr>
                <w:rFonts w:ascii="Times New Roman" w:eastAsia="宋体" w:hAnsi="Times New Roman"/>
                <w:color w:val="000000"/>
                <w:sz w:val="20"/>
                <w:szCs w:val="20"/>
              </w:rPr>
              <w:t>8,938 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0AB8" w14:textId="77777777" w:rsidR="00AE727E" w:rsidRDefault="00AE727E">
            <w:pPr>
              <w:jc w:val="right"/>
              <w:rPr>
                <w:rFonts w:ascii="宋体"/>
              </w:rPr>
            </w:pPr>
          </w:p>
        </w:tc>
      </w:tr>
    </w:tbl>
    <w:p w14:paraId="07DD0ABA" w14:textId="77777777" w:rsidR="00AE727E" w:rsidRDefault="008433E0">
      <w:r>
        <w:rPr>
          <w:rFonts w:ascii="Times New Roman" w:eastAsia="宋体" w:hAnsi="Times New Roman"/>
          <w:color w:val="000000"/>
          <w:sz w:val="20"/>
          <w:szCs w:val="20"/>
        </w:rPr>
        <w:t>____________________</w:t>
      </w:r>
    </w:p>
    <w:p w14:paraId="07DD0ABB" w14:textId="77777777" w:rsidR="00AE727E" w:rsidRDefault="008433E0">
      <w:pP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07DD0ABC" w14:textId="77777777" w:rsidR="00AE727E" w:rsidRDefault="008433E0">
      <w:pPr>
        <w:ind w:hanging="360"/>
      </w:pPr>
      <w:r>
        <w:rPr>
          <w:rFonts w:ascii="Times New Roman" w:eastAsia="宋体" w:hAnsi="Times New Roman"/>
          <w:color w:val="000000"/>
          <w:sz w:val="20"/>
          <w:szCs w:val="20"/>
        </w:rPr>
        <w:t xml:space="preserve">(b)See Note 10 of the Notes to the Condensed Consolidated Financial Statements included in </w:t>
      </w:r>
      <w:r>
        <w:rPr>
          <w:rFonts w:ascii="Times New Roman" w:eastAsia="宋体" w:hAnsi="Times New Roman"/>
          <w:color w:val="000000"/>
          <w:sz w:val="20"/>
          <w:szCs w:val="20"/>
        </w:rPr>
        <w:t>this report for additional information on discrete tax items recorded during the third quarter and first nine months of Fiscal 2022 and Fiscal 2021.</w:t>
      </w:r>
    </w:p>
    <w:p w14:paraId="07DD0ABD" w14:textId="77777777" w:rsidR="00AE727E" w:rsidRDefault="008433E0">
      <w:pPr>
        <w:ind w:hanging="360"/>
      </w:pPr>
      <w:r>
        <w:rPr>
          <w:rFonts w:ascii="Times New Roman" w:eastAsia="宋体" w:hAnsi="Times New Roman"/>
          <w:color w:val="000000"/>
          <w:sz w:val="20"/>
          <w:szCs w:val="20"/>
        </w:rPr>
        <w:t xml:space="preserve">(c)This amount includes the non-cash purchase accounting adjustments related to the EMC merger transaction </w:t>
      </w:r>
      <w:r>
        <w:rPr>
          <w:rFonts w:ascii="Times New Roman" w:eastAsia="宋体" w:hAnsi="Times New Roman"/>
          <w:color w:val="000000"/>
          <w:sz w:val="20"/>
          <w:szCs w:val="20"/>
        </w:rPr>
        <w:t>and the going-private transaction, excluding depreciation.</w:t>
      </w:r>
    </w:p>
    <w:p w14:paraId="07DD0ABE" w14:textId="77777777" w:rsidR="00AE727E" w:rsidRDefault="008433E0">
      <w:pPr>
        <w:ind w:hanging="360"/>
      </w:pPr>
      <w:r>
        <w:rPr>
          <w:rFonts w:ascii="Times New Roman" w:eastAsia="宋体" w:hAnsi="Times New Roman"/>
          <w:color w:val="000000"/>
          <w:sz w:val="20"/>
          <w:szCs w:val="20"/>
        </w:rPr>
        <w:t>(d)Transaction-related expenses consist of acquisition, integration, and divestiture-related costs.</w:t>
      </w:r>
    </w:p>
    <w:p w14:paraId="07DD0ABF" w14:textId="77777777" w:rsidR="00AE727E" w:rsidRDefault="008433E0">
      <w:pPr>
        <w:ind w:hanging="360"/>
      </w:pPr>
      <w:r>
        <w:rPr>
          <w:rFonts w:ascii="Times New Roman" w:eastAsia="宋体" w:hAnsi="Times New Roman"/>
          <w:color w:val="000000"/>
          <w:sz w:val="20"/>
          <w:szCs w:val="20"/>
        </w:rPr>
        <w:t>(e)Other corporate expenses include impairment charges, incentive charges related to equity inves</w:t>
      </w:r>
      <w:r>
        <w:rPr>
          <w:rFonts w:ascii="Times New Roman" w:eastAsia="宋体" w:hAnsi="Times New Roman"/>
          <w:color w:val="000000"/>
          <w:sz w:val="20"/>
          <w:szCs w:val="20"/>
        </w:rPr>
        <w:t>tments, severance, facilities action, and other costs.</w:t>
      </w:r>
    </w:p>
    <w:p w14:paraId="07DD0AC0" w14:textId="77777777" w:rsidR="00AE727E" w:rsidRDefault="00AE727E"/>
    <w:p w14:paraId="07DD0AC1" w14:textId="77777777" w:rsidR="00AE727E" w:rsidRDefault="00AE727E">
      <w:pPr>
        <w:jc w:val="center"/>
      </w:pPr>
    </w:p>
    <w:p w14:paraId="07DD0AC2" w14:textId="77777777" w:rsidR="00AE727E" w:rsidRDefault="008433E0">
      <w:pPr>
        <w:jc w:val="center"/>
      </w:pPr>
      <w:r>
        <w:rPr>
          <w:rFonts w:ascii="Times New Roman" w:eastAsia="宋体" w:hAnsi="Times New Roman"/>
          <w:color w:val="000000"/>
          <w:sz w:val="20"/>
          <w:szCs w:val="20"/>
        </w:rPr>
        <w:t>71</w:t>
      </w:r>
    </w:p>
    <w:p w14:paraId="07DD0AC3" w14:textId="77777777" w:rsidR="00AE727E" w:rsidRDefault="00AE727E">
      <w:pPr>
        <w:jc w:val="center"/>
      </w:pPr>
    </w:p>
    <w:p w14:paraId="07DD0AC4" w14:textId="77777777" w:rsidR="00AE727E" w:rsidRDefault="008433E0">
      <w:r>
        <w:pict w14:anchorId="07DD1917">
          <v:rect id="_x0000_i1095" style="width:415.3pt;height:1.5pt" o:hralign="center" o:hrstd="t" o:hr="t" fillcolor="#a0a0a0" stroked="f"/>
        </w:pict>
      </w:r>
    </w:p>
    <w:p w14:paraId="07DD0AC5" w14:textId="77777777" w:rsidR="00AE727E" w:rsidRDefault="008433E0">
      <w:hyperlink r:id="rId196" w:anchor="i1c8279be622a460ea19600488436f115_10" w:history="1">
        <w:r>
          <w:rPr>
            <w:rStyle w:val="a5"/>
            <w:rFonts w:ascii="Times New Roman" w:eastAsia="宋体" w:hAnsi="Times New Roman"/>
            <w:sz w:val="20"/>
            <w:szCs w:val="20"/>
          </w:rPr>
          <w:t>Table of Contents</w:t>
        </w:r>
      </w:hyperlink>
    </w:p>
    <w:p w14:paraId="07DD0AC6" w14:textId="77777777" w:rsidR="00AE727E" w:rsidRDefault="008433E0">
      <w:r>
        <w:rPr>
          <w:rFonts w:ascii="Times New Roman" w:eastAsia="宋体" w:hAnsi="Times New Roman"/>
          <w:b/>
          <w:bCs/>
          <w:color w:val="000000"/>
          <w:sz w:val="20"/>
          <w:szCs w:val="20"/>
        </w:rPr>
        <w:t>RESULTS OF OPERATIONS</w:t>
      </w:r>
    </w:p>
    <w:p w14:paraId="07DD0AC7" w14:textId="77777777" w:rsidR="00AE727E" w:rsidRDefault="00AE727E"/>
    <w:p w14:paraId="07DD0AC8" w14:textId="77777777" w:rsidR="00AE727E" w:rsidRDefault="008433E0">
      <w:r>
        <w:rPr>
          <w:rFonts w:ascii="Times New Roman" w:eastAsia="宋体" w:hAnsi="Times New Roman"/>
          <w:b/>
          <w:bCs/>
          <w:color w:val="000000"/>
          <w:sz w:val="20"/>
          <w:szCs w:val="20"/>
        </w:rPr>
        <w:t>Consolidated Results</w:t>
      </w:r>
    </w:p>
    <w:p w14:paraId="07DD0AC9" w14:textId="77777777" w:rsidR="00AE727E" w:rsidRDefault="00AE727E"/>
    <w:p w14:paraId="07DD0ACA" w14:textId="77777777" w:rsidR="00AE727E" w:rsidRDefault="008433E0">
      <w:pPr>
        <w:spacing w:after="60"/>
      </w:pPr>
      <w:r>
        <w:rPr>
          <w:rFonts w:ascii="Times New Roman" w:eastAsia="宋体" w:hAnsi="Times New Roman"/>
          <w:color w:val="000000"/>
          <w:sz w:val="20"/>
          <w:szCs w:val="20"/>
        </w:rPr>
        <w:t>The following table summarizes our cons</w:t>
      </w:r>
      <w:r>
        <w:rPr>
          <w:rFonts w:ascii="Times New Roman" w:eastAsia="宋体" w:hAnsi="Times New Roman"/>
          <w:color w:val="000000"/>
          <w:sz w:val="20"/>
          <w:szCs w:val="20"/>
        </w:rPr>
        <w:t>olidated results for each of the periods presented. Unless otherwise indicated, all changes identified for the current period results represent comparisons to results for the prior corresponding fiscal period.</w:t>
      </w:r>
    </w:p>
    <w:tbl>
      <w:tblPr>
        <w:tblW w:w="5000" w:type="pct"/>
        <w:tblCellMar>
          <w:top w:w="15" w:type="dxa"/>
          <w:left w:w="15" w:type="dxa"/>
          <w:bottom w:w="15" w:type="dxa"/>
          <w:right w:w="15" w:type="dxa"/>
        </w:tblCellMar>
        <w:tblLook w:val="04A0" w:firstRow="1" w:lastRow="0" w:firstColumn="1" w:lastColumn="0" w:noHBand="0" w:noVBand="1"/>
      </w:tblPr>
      <w:tblGrid>
        <w:gridCol w:w="77"/>
        <w:gridCol w:w="798"/>
        <w:gridCol w:w="35"/>
        <w:gridCol w:w="98"/>
        <w:gridCol w:w="453"/>
        <w:gridCol w:w="34"/>
        <w:gridCol w:w="37"/>
        <w:gridCol w:w="34"/>
        <w:gridCol w:w="34"/>
        <w:gridCol w:w="83"/>
        <w:gridCol w:w="474"/>
        <w:gridCol w:w="147"/>
        <w:gridCol w:w="37"/>
        <w:gridCol w:w="35"/>
        <w:gridCol w:w="35"/>
        <w:gridCol w:w="81"/>
        <w:gridCol w:w="422"/>
        <w:gridCol w:w="147"/>
        <w:gridCol w:w="37"/>
        <w:gridCol w:w="35"/>
        <w:gridCol w:w="35"/>
        <w:gridCol w:w="99"/>
        <w:gridCol w:w="454"/>
        <w:gridCol w:w="35"/>
        <w:gridCol w:w="37"/>
        <w:gridCol w:w="35"/>
        <w:gridCol w:w="35"/>
        <w:gridCol w:w="83"/>
        <w:gridCol w:w="474"/>
        <w:gridCol w:w="147"/>
        <w:gridCol w:w="37"/>
        <w:gridCol w:w="35"/>
        <w:gridCol w:w="35"/>
        <w:gridCol w:w="99"/>
        <w:gridCol w:w="454"/>
        <w:gridCol w:w="35"/>
        <w:gridCol w:w="37"/>
        <w:gridCol w:w="35"/>
        <w:gridCol w:w="35"/>
        <w:gridCol w:w="83"/>
        <w:gridCol w:w="474"/>
        <w:gridCol w:w="147"/>
        <w:gridCol w:w="37"/>
        <w:gridCol w:w="35"/>
        <w:gridCol w:w="35"/>
        <w:gridCol w:w="81"/>
        <w:gridCol w:w="422"/>
        <w:gridCol w:w="147"/>
        <w:gridCol w:w="37"/>
        <w:gridCol w:w="35"/>
        <w:gridCol w:w="35"/>
        <w:gridCol w:w="99"/>
        <w:gridCol w:w="454"/>
        <w:gridCol w:w="35"/>
        <w:gridCol w:w="37"/>
        <w:gridCol w:w="35"/>
        <w:gridCol w:w="35"/>
        <w:gridCol w:w="82"/>
        <w:gridCol w:w="475"/>
        <w:gridCol w:w="147"/>
      </w:tblGrid>
      <w:tr w:rsidR="00AE727E" w14:paraId="07DD0B07" w14:textId="77777777">
        <w:tc>
          <w:tcPr>
            <w:tcW w:w="50" w:type="pct"/>
            <w:shd w:val="clear" w:color="auto" w:fill="auto"/>
            <w:vAlign w:val="bottom"/>
          </w:tcPr>
          <w:p w14:paraId="07DD0ACB" w14:textId="77777777" w:rsidR="00AE727E" w:rsidRDefault="00AE727E">
            <w:pPr>
              <w:rPr>
                <w:rFonts w:ascii="宋体"/>
              </w:rPr>
            </w:pPr>
          </w:p>
        </w:tc>
        <w:tc>
          <w:tcPr>
            <w:tcW w:w="1019" w:type="pct"/>
            <w:shd w:val="clear" w:color="auto" w:fill="auto"/>
            <w:vAlign w:val="bottom"/>
          </w:tcPr>
          <w:p w14:paraId="07DD0ACC" w14:textId="77777777" w:rsidR="00AE727E" w:rsidRDefault="00AE727E">
            <w:pPr>
              <w:rPr>
                <w:rFonts w:ascii="宋体"/>
              </w:rPr>
            </w:pPr>
          </w:p>
        </w:tc>
        <w:tc>
          <w:tcPr>
            <w:tcW w:w="5" w:type="pct"/>
            <w:shd w:val="clear" w:color="auto" w:fill="auto"/>
            <w:vAlign w:val="bottom"/>
          </w:tcPr>
          <w:p w14:paraId="07DD0ACD" w14:textId="77777777" w:rsidR="00AE727E" w:rsidRDefault="00AE727E">
            <w:pPr>
              <w:rPr>
                <w:rFonts w:ascii="宋体"/>
              </w:rPr>
            </w:pPr>
          </w:p>
        </w:tc>
        <w:tc>
          <w:tcPr>
            <w:tcW w:w="50" w:type="pct"/>
            <w:shd w:val="clear" w:color="auto" w:fill="auto"/>
            <w:vAlign w:val="bottom"/>
          </w:tcPr>
          <w:p w14:paraId="07DD0ACE" w14:textId="77777777" w:rsidR="00AE727E" w:rsidRDefault="00AE727E">
            <w:pPr>
              <w:rPr>
                <w:rFonts w:ascii="宋体"/>
              </w:rPr>
            </w:pPr>
          </w:p>
        </w:tc>
        <w:tc>
          <w:tcPr>
            <w:tcW w:w="310" w:type="pct"/>
            <w:shd w:val="clear" w:color="auto" w:fill="auto"/>
            <w:vAlign w:val="bottom"/>
          </w:tcPr>
          <w:p w14:paraId="07DD0ACF" w14:textId="77777777" w:rsidR="00AE727E" w:rsidRDefault="00AE727E">
            <w:pPr>
              <w:rPr>
                <w:rFonts w:ascii="宋体"/>
              </w:rPr>
            </w:pPr>
          </w:p>
        </w:tc>
        <w:tc>
          <w:tcPr>
            <w:tcW w:w="5" w:type="pct"/>
            <w:shd w:val="clear" w:color="auto" w:fill="auto"/>
            <w:vAlign w:val="bottom"/>
          </w:tcPr>
          <w:p w14:paraId="07DD0AD0" w14:textId="77777777" w:rsidR="00AE727E" w:rsidRDefault="00AE727E">
            <w:pPr>
              <w:rPr>
                <w:rFonts w:ascii="宋体"/>
              </w:rPr>
            </w:pPr>
          </w:p>
        </w:tc>
        <w:tc>
          <w:tcPr>
            <w:tcW w:w="5" w:type="pct"/>
            <w:shd w:val="clear" w:color="auto" w:fill="auto"/>
            <w:vAlign w:val="bottom"/>
          </w:tcPr>
          <w:p w14:paraId="07DD0AD1" w14:textId="77777777" w:rsidR="00AE727E" w:rsidRDefault="00AE727E">
            <w:pPr>
              <w:rPr>
                <w:rFonts w:ascii="宋体"/>
              </w:rPr>
            </w:pPr>
          </w:p>
        </w:tc>
        <w:tc>
          <w:tcPr>
            <w:tcW w:w="19" w:type="pct"/>
            <w:shd w:val="clear" w:color="auto" w:fill="auto"/>
            <w:vAlign w:val="bottom"/>
          </w:tcPr>
          <w:p w14:paraId="07DD0AD2" w14:textId="77777777" w:rsidR="00AE727E" w:rsidRDefault="00AE727E">
            <w:pPr>
              <w:rPr>
                <w:rFonts w:ascii="宋体"/>
              </w:rPr>
            </w:pPr>
          </w:p>
        </w:tc>
        <w:tc>
          <w:tcPr>
            <w:tcW w:w="5" w:type="pct"/>
            <w:shd w:val="clear" w:color="auto" w:fill="auto"/>
            <w:vAlign w:val="bottom"/>
          </w:tcPr>
          <w:p w14:paraId="07DD0AD3" w14:textId="77777777" w:rsidR="00AE727E" w:rsidRDefault="00AE727E">
            <w:pPr>
              <w:rPr>
                <w:rFonts w:ascii="宋体"/>
              </w:rPr>
            </w:pPr>
          </w:p>
        </w:tc>
        <w:tc>
          <w:tcPr>
            <w:tcW w:w="50" w:type="pct"/>
            <w:shd w:val="clear" w:color="auto" w:fill="auto"/>
            <w:vAlign w:val="bottom"/>
          </w:tcPr>
          <w:p w14:paraId="07DD0AD4" w14:textId="77777777" w:rsidR="00AE727E" w:rsidRDefault="00AE727E">
            <w:pPr>
              <w:rPr>
                <w:rFonts w:ascii="宋体"/>
              </w:rPr>
            </w:pPr>
          </w:p>
        </w:tc>
        <w:tc>
          <w:tcPr>
            <w:tcW w:w="317" w:type="pct"/>
            <w:shd w:val="clear" w:color="auto" w:fill="auto"/>
            <w:vAlign w:val="bottom"/>
          </w:tcPr>
          <w:p w14:paraId="07DD0AD5" w14:textId="77777777" w:rsidR="00AE727E" w:rsidRDefault="00AE727E">
            <w:pPr>
              <w:rPr>
                <w:rFonts w:ascii="宋体"/>
              </w:rPr>
            </w:pPr>
          </w:p>
        </w:tc>
        <w:tc>
          <w:tcPr>
            <w:tcW w:w="5" w:type="pct"/>
            <w:shd w:val="clear" w:color="auto" w:fill="auto"/>
            <w:vAlign w:val="bottom"/>
          </w:tcPr>
          <w:p w14:paraId="07DD0AD6" w14:textId="77777777" w:rsidR="00AE727E" w:rsidRDefault="00AE727E">
            <w:pPr>
              <w:rPr>
                <w:rFonts w:ascii="宋体"/>
              </w:rPr>
            </w:pPr>
          </w:p>
        </w:tc>
        <w:tc>
          <w:tcPr>
            <w:tcW w:w="5" w:type="pct"/>
            <w:shd w:val="clear" w:color="auto" w:fill="auto"/>
            <w:vAlign w:val="bottom"/>
          </w:tcPr>
          <w:p w14:paraId="07DD0AD7" w14:textId="77777777" w:rsidR="00AE727E" w:rsidRDefault="00AE727E">
            <w:pPr>
              <w:rPr>
                <w:rFonts w:ascii="宋体"/>
              </w:rPr>
            </w:pPr>
          </w:p>
        </w:tc>
        <w:tc>
          <w:tcPr>
            <w:tcW w:w="19" w:type="pct"/>
            <w:shd w:val="clear" w:color="auto" w:fill="auto"/>
            <w:vAlign w:val="bottom"/>
          </w:tcPr>
          <w:p w14:paraId="07DD0AD8" w14:textId="77777777" w:rsidR="00AE727E" w:rsidRDefault="00AE727E">
            <w:pPr>
              <w:rPr>
                <w:rFonts w:ascii="宋体"/>
              </w:rPr>
            </w:pPr>
          </w:p>
        </w:tc>
        <w:tc>
          <w:tcPr>
            <w:tcW w:w="5" w:type="pct"/>
            <w:shd w:val="clear" w:color="auto" w:fill="auto"/>
            <w:vAlign w:val="bottom"/>
          </w:tcPr>
          <w:p w14:paraId="07DD0AD9" w14:textId="77777777" w:rsidR="00AE727E" w:rsidRDefault="00AE727E">
            <w:pPr>
              <w:rPr>
                <w:rFonts w:ascii="宋体"/>
              </w:rPr>
            </w:pPr>
          </w:p>
        </w:tc>
        <w:tc>
          <w:tcPr>
            <w:tcW w:w="50" w:type="pct"/>
            <w:shd w:val="clear" w:color="auto" w:fill="auto"/>
            <w:vAlign w:val="bottom"/>
          </w:tcPr>
          <w:p w14:paraId="07DD0ADA" w14:textId="77777777" w:rsidR="00AE727E" w:rsidRDefault="00AE727E">
            <w:pPr>
              <w:rPr>
                <w:rFonts w:ascii="宋体"/>
              </w:rPr>
            </w:pPr>
          </w:p>
        </w:tc>
        <w:tc>
          <w:tcPr>
            <w:tcW w:w="288" w:type="pct"/>
            <w:shd w:val="clear" w:color="auto" w:fill="auto"/>
            <w:vAlign w:val="bottom"/>
          </w:tcPr>
          <w:p w14:paraId="07DD0ADB" w14:textId="77777777" w:rsidR="00AE727E" w:rsidRDefault="00AE727E">
            <w:pPr>
              <w:rPr>
                <w:rFonts w:ascii="宋体"/>
              </w:rPr>
            </w:pPr>
          </w:p>
        </w:tc>
        <w:tc>
          <w:tcPr>
            <w:tcW w:w="5" w:type="pct"/>
            <w:shd w:val="clear" w:color="auto" w:fill="auto"/>
            <w:vAlign w:val="bottom"/>
          </w:tcPr>
          <w:p w14:paraId="07DD0ADC" w14:textId="77777777" w:rsidR="00AE727E" w:rsidRDefault="00AE727E">
            <w:pPr>
              <w:rPr>
                <w:rFonts w:ascii="宋体"/>
              </w:rPr>
            </w:pPr>
          </w:p>
        </w:tc>
        <w:tc>
          <w:tcPr>
            <w:tcW w:w="5" w:type="pct"/>
            <w:shd w:val="clear" w:color="auto" w:fill="auto"/>
            <w:vAlign w:val="bottom"/>
          </w:tcPr>
          <w:p w14:paraId="07DD0ADD" w14:textId="77777777" w:rsidR="00AE727E" w:rsidRDefault="00AE727E">
            <w:pPr>
              <w:rPr>
                <w:rFonts w:ascii="宋体"/>
              </w:rPr>
            </w:pPr>
          </w:p>
        </w:tc>
        <w:tc>
          <w:tcPr>
            <w:tcW w:w="19" w:type="pct"/>
            <w:shd w:val="clear" w:color="auto" w:fill="auto"/>
            <w:vAlign w:val="bottom"/>
          </w:tcPr>
          <w:p w14:paraId="07DD0ADE" w14:textId="77777777" w:rsidR="00AE727E" w:rsidRDefault="00AE727E">
            <w:pPr>
              <w:rPr>
                <w:rFonts w:ascii="宋体"/>
              </w:rPr>
            </w:pPr>
          </w:p>
        </w:tc>
        <w:tc>
          <w:tcPr>
            <w:tcW w:w="5" w:type="pct"/>
            <w:shd w:val="clear" w:color="auto" w:fill="auto"/>
            <w:vAlign w:val="bottom"/>
          </w:tcPr>
          <w:p w14:paraId="07DD0ADF" w14:textId="77777777" w:rsidR="00AE727E" w:rsidRDefault="00AE727E">
            <w:pPr>
              <w:rPr>
                <w:rFonts w:ascii="宋体"/>
              </w:rPr>
            </w:pPr>
          </w:p>
        </w:tc>
        <w:tc>
          <w:tcPr>
            <w:tcW w:w="50" w:type="pct"/>
            <w:shd w:val="clear" w:color="auto" w:fill="auto"/>
            <w:vAlign w:val="bottom"/>
          </w:tcPr>
          <w:p w14:paraId="07DD0AE0" w14:textId="77777777" w:rsidR="00AE727E" w:rsidRDefault="00AE727E">
            <w:pPr>
              <w:rPr>
                <w:rFonts w:ascii="宋体"/>
              </w:rPr>
            </w:pPr>
          </w:p>
        </w:tc>
        <w:tc>
          <w:tcPr>
            <w:tcW w:w="317" w:type="pct"/>
            <w:shd w:val="clear" w:color="auto" w:fill="auto"/>
            <w:vAlign w:val="bottom"/>
          </w:tcPr>
          <w:p w14:paraId="07DD0AE1" w14:textId="77777777" w:rsidR="00AE727E" w:rsidRDefault="00AE727E">
            <w:pPr>
              <w:rPr>
                <w:rFonts w:ascii="宋体"/>
              </w:rPr>
            </w:pPr>
          </w:p>
        </w:tc>
        <w:tc>
          <w:tcPr>
            <w:tcW w:w="5" w:type="pct"/>
            <w:shd w:val="clear" w:color="auto" w:fill="auto"/>
            <w:vAlign w:val="bottom"/>
          </w:tcPr>
          <w:p w14:paraId="07DD0AE2" w14:textId="77777777" w:rsidR="00AE727E" w:rsidRDefault="00AE727E">
            <w:pPr>
              <w:rPr>
                <w:rFonts w:ascii="宋体"/>
              </w:rPr>
            </w:pPr>
          </w:p>
        </w:tc>
        <w:tc>
          <w:tcPr>
            <w:tcW w:w="5" w:type="pct"/>
            <w:shd w:val="clear" w:color="auto" w:fill="auto"/>
            <w:vAlign w:val="bottom"/>
          </w:tcPr>
          <w:p w14:paraId="07DD0AE3" w14:textId="77777777" w:rsidR="00AE727E" w:rsidRDefault="00AE727E">
            <w:pPr>
              <w:rPr>
                <w:rFonts w:ascii="宋体"/>
              </w:rPr>
            </w:pPr>
          </w:p>
        </w:tc>
        <w:tc>
          <w:tcPr>
            <w:tcW w:w="19" w:type="pct"/>
            <w:shd w:val="clear" w:color="auto" w:fill="auto"/>
            <w:vAlign w:val="bottom"/>
          </w:tcPr>
          <w:p w14:paraId="07DD0AE4" w14:textId="77777777" w:rsidR="00AE727E" w:rsidRDefault="00AE727E">
            <w:pPr>
              <w:rPr>
                <w:rFonts w:ascii="宋体"/>
              </w:rPr>
            </w:pPr>
          </w:p>
        </w:tc>
        <w:tc>
          <w:tcPr>
            <w:tcW w:w="5" w:type="pct"/>
            <w:shd w:val="clear" w:color="auto" w:fill="auto"/>
            <w:vAlign w:val="bottom"/>
          </w:tcPr>
          <w:p w14:paraId="07DD0AE5" w14:textId="77777777" w:rsidR="00AE727E" w:rsidRDefault="00AE727E">
            <w:pPr>
              <w:rPr>
                <w:rFonts w:ascii="宋体"/>
              </w:rPr>
            </w:pPr>
          </w:p>
        </w:tc>
        <w:tc>
          <w:tcPr>
            <w:tcW w:w="50" w:type="pct"/>
            <w:shd w:val="clear" w:color="auto" w:fill="auto"/>
            <w:vAlign w:val="bottom"/>
          </w:tcPr>
          <w:p w14:paraId="07DD0AE6" w14:textId="77777777" w:rsidR="00AE727E" w:rsidRDefault="00AE727E">
            <w:pPr>
              <w:rPr>
                <w:rFonts w:ascii="宋体"/>
              </w:rPr>
            </w:pPr>
          </w:p>
        </w:tc>
        <w:tc>
          <w:tcPr>
            <w:tcW w:w="317" w:type="pct"/>
            <w:shd w:val="clear" w:color="auto" w:fill="auto"/>
            <w:vAlign w:val="bottom"/>
          </w:tcPr>
          <w:p w14:paraId="07DD0AE7" w14:textId="77777777" w:rsidR="00AE727E" w:rsidRDefault="00AE727E">
            <w:pPr>
              <w:rPr>
                <w:rFonts w:ascii="宋体"/>
              </w:rPr>
            </w:pPr>
          </w:p>
        </w:tc>
        <w:tc>
          <w:tcPr>
            <w:tcW w:w="5" w:type="pct"/>
            <w:shd w:val="clear" w:color="auto" w:fill="auto"/>
            <w:vAlign w:val="bottom"/>
          </w:tcPr>
          <w:p w14:paraId="07DD0AE8" w14:textId="77777777" w:rsidR="00AE727E" w:rsidRDefault="00AE727E">
            <w:pPr>
              <w:rPr>
                <w:rFonts w:ascii="宋体"/>
              </w:rPr>
            </w:pPr>
          </w:p>
        </w:tc>
        <w:tc>
          <w:tcPr>
            <w:tcW w:w="5" w:type="pct"/>
            <w:shd w:val="clear" w:color="auto" w:fill="auto"/>
            <w:vAlign w:val="bottom"/>
          </w:tcPr>
          <w:p w14:paraId="07DD0AE9" w14:textId="77777777" w:rsidR="00AE727E" w:rsidRDefault="00AE727E">
            <w:pPr>
              <w:rPr>
                <w:rFonts w:ascii="宋体"/>
              </w:rPr>
            </w:pPr>
          </w:p>
        </w:tc>
        <w:tc>
          <w:tcPr>
            <w:tcW w:w="19" w:type="pct"/>
            <w:shd w:val="clear" w:color="auto" w:fill="auto"/>
            <w:vAlign w:val="bottom"/>
          </w:tcPr>
          <w:p w14:paraId="07DD0AEA" w14:textId="77777777" w:rsidR="00AE727E" w:rsidRDefault="00AE727E">
            <w:pPr>
              <w:rPr>
                <w:rFonts w:ascii="宋体"/>
              </w:rPr>
            </w:pPr>
          </w:p>
        </w:tc>
        <w:tc>
          <w:tcPr>
            <w:tcW w:w="5" w:type="pct"/>
            <w:shd w:val="clear" w:color="auto" w:fill="auto"/>
            <w:vAlign w:val="bottom"/>
          </w:tcPr>
          <w:p w14:paraId="07DD0AEB" w14:textId="77777777" w:rsidR="00AE727E" w:rsidRDefault="00AE727E">
            <w:pPr>
              <w:rPr>
                <w:rFonts w:ascii="宋体"/>
              </w:rPr>
            </w:pPr>
          </w:p>
        </w:tc>
        <w:tc>
          <w:tcPr>
            <w:tcW w:w="50" w:type="pct"/>
            <w:shd w:val="clear" w:color="auto" w:fill="auto"/>
            <w:vAlign w:val="bottom"/>
          </w:tcPr>
          <w:p w14:paraId="07DD0AEC" w14:textId="77777777" w:rsidR="00AE727E" w:rsidRDefault="00AE727E">
            <w:pPr>
              <w:rPr>
                <w:rFonts w:ascii="宋体"/>
              </w:rPr>
            </w:pPr>
          </w:p>
        </w:tc>
        <w:tc>
          <w:tcPr>
            <w:tcW w:w="317" w:type="pct"/>
            <w:shd w:val="clear" w:color="auto" w:fill="auto"/>
            <w:vAlign w:val="bottom"/>
          </w:tcPr>
          <w:p w14:paraId="07DD0AED" w14:textId="77777777" w:rsidR="00AE727E" w:rsidRDefault="00AE727E">
            <w:pPr>
              <w:rPr>
                <w:rFonts w:ascii="宋体"/>
              </w:rPr>
            </w:pPr>
          </w:p>
        </w:tc>
        <w:tc>
          <w:tcPr>
            <w:tcW w:w="5" w:type="pct"/>
            <w:shd w:val="clear" w:color="auto" w:fill="auto"/>
            <w:vAlign w:val="bottom"/>
          </w:tcPr>
          <w:p w14:paraId="07DD0AEE" w14:textId="77777777" w:rsidR="00AE727E" w:rsidRDefault="00AE727E">
            <w:pPr>
              <w:rPr>
                <w:rFonts w:ascii="宋体"/>
              </w:rPr>
            </w:pPr>
          </w:p>
        </w:tc>
        <w:tc>
          <w:tcPr>
            <w:tcW w:w="5" w:type="pct"/>
            <w:shd w:val="clear" w:color="auto" w:fill="auto"/>
            <w:vAlign w:val="bottom"/>
          </w:tcPr>
          <w:p w14:paraId="07DD0AEF" w14:textId="77777777" w:rsidR="00AE727E" w:rsidRDefault="00AE727E">
            <w:pPr>
              <w:rPr>
                <w:rFonts w:ascii="宋体"/>
              </w:rPr>
            </w:pPr>
          </w:p>
        </w:tc>
        <w:tc>
          <w:tcPr>
            <w:tcW w:w="19" w:type="pct"/>
            <w:shd w:val="clear" w:color="auto" w:fill="auto"/>
            <w:vAlign w:val="bottom"/>
          </w:tcPr>
          <w:p w14:paraId="07DD0AF0" w14:textId="77777777" w:rsidR="00AE727E" w:rsidRDefault="00AE727E">
            <w:pPr>
              <w:rPr>
                <w:rFonts w:ascii="宋体"/>
              </w:rPr>
            </w:pPr>
          </w:p>
        </w:tc>
        <w:tc>
          <w:tcPr>
            <w:tcW w:w="5" w:type="pct"/>
            <w:shd w:val="clear" w:color="auto" w:fill="auto"/>
            <w:vAlign w:val="bottom"/>
          </w:tcPr>
          <w:p w14:paraId="07DD0AF1" w14:textId="77777777" w:rsidR="00AE727E" w:rsidRDefault="00AE727E">
            <w:pPr>
              <w:rPr>
                <w:rFonts w:ascii="宋体"/>
              </w:rPr>
            </w:pPr>
          </w:p>
        </w:tc>
        <w:tc>
          <w:tcPr>
            <w:tcW w:w="50" w:type="pct"/>
            <w:shd w:val="clear" w:color="auto" w:fill="auto"/>
            <w:vAlign w:val="bottom"/>
          </w:tcPr>
          <w:p w14:paraId="07DD0AF2" w14:textId="77777777" w:rsidR="00AE727E" w:rsidRDefault="00AE727E">
            <w:pPr>
              <w:rPr>
                <w:rFonts w:ascii="宋体"/>
              </w:rPr>
            </w:pPr>
          </w:p>
        </w:tc>
        <w:tc>
          <w:tcPr>
            <w:tcW w:w="317" w:type="pct"/>
            <w:shd w:val="clear" w:color="auto" w:fill="auto"/>
            <w:vAlign w:val="bottom"/>
          </w:tcPr>
          <w:p w14:paraId="07DD0AF3" w14:textId="77777777" w:rsidR="00AE727E" w:rsidRDefault="00AE727E">
            <w:pPr>
              <w:rPr>
                <w:rFonts w:ascii="宋体"/>
              </w:rPr>
            </w:pPr>
          </w:p>
        </w:tc>
        <w:tc>
          <w:tcPr>
            <w:tcW w:w="5" w:type="pct"/>
            <w:shd w:val="clear" w:color="auto" w:fill="auto"/>
            <w:vAlign w:val="bottom"/>
          </w:tcPr>
          <w:p w14:paraId="07DD0AF4" w14:textId="77777777" w:rsidR="00AE727E" w:rsidRDefault="00AE727E">
            <w:pPr>
              <w:rPr>
                <w:rFonts w:ascii="宋体"/>
              </w:rPr>
            </w:pPr>
          </w:p>
        </w:tc>
        <w:tc>
          <w:tcPr>
            <w:tcW w:w="5" w:type="pct"/>
            <w:shd w:val="clear" w:color="auto" w:fill="auto"/>
            <w:vAlign w:val="bottom"/>
          </w:tcPr>
          <w:p w14:paraId="07DD0AF5" w14:textId="77777777" w:rsidR="00AE727E" w:rsidRDefault="00AE727E">
            <w:pPr>
              <w:rPr>
                <w:rFonts w:ascii="宋体"/>
              </w:rPr>
            </w:pPr>
          </w:p>
        </w:tc>
        <w:tc>
          <w:tcPr>
            <w:tcW w:w="19" w:type="pct"/>
            <w:shd w:val="clear" w:color="auto" w:fill="auto"/>
            <w:vAlign w:val="bottom"/>
          </w:tcPr>
          <w:p w14:paraId="07DD0AF6" w14:textId="77777777" w:rsidR="00AE727E" w:rsidRDefault="00AE727E">
            <w:pPr>
              <w:rPr>
                <w:rFonts w:ascii="宋体"/>
              </w:rPr>
            </w:pPr>
          </w:p>
        </w:tc>
        <w:tc>
          <w:tcPr>
            <w:tcW w:w="5" w:type="pct"/>
            <w:shd w:val="clear" w:color="auto" w:fill="auto"/>
            <w:vAlign w:val="bottom"/>
          </w:tcPr>
          <w:p w14:paraId="07DD0AF7" w14:textId="77777777" w:rsidR="00AE727E" w:rsidRDefault="00AE727E">
            <w:pPr>
              <w:rPr>
                <w:rFonts w:ascii="宋体"/>
              </w:rPr>
            </w:pPr>
          </w:p>
        </w:tc>
        <w:tc>
          <w:tcPr>
            <w:tcW w:w="50" w:type="pct"/>
            <w:shd w:val="clear" w:color="auto" w:fill="auto"/>
            <w:vAlign w:val="bottom"/>
          </w:tcPr>
          <w:p w14:paraId="07DD0AF8" w14:textId="77777777" w:rsidR="00AE727E" w:rsidRDefault="00AE727E">
            <w:pPr>
              <w:rPr>
                <w:rFonts w:ascii="宋体"/>
              </w:rPr>
            </w:pPr>
          </w:p>
        </w:tc>
        <w:tc>
          <w:tcPr>
            <w:tcW w:w="288" w:type="pct"/>
            <w:shd w:val="clear" w:color="auto" w:fill="auto"/>
            <w:vAlign w:val="bottom"/>
          </w:tcPr>
          <w:p w14:paraId="07DD0AF9" w14:textId="77777777" w:rsidR="00AE727E" w:rsidRDefault="00AE727E">
            <w:pPr>
              <w:rPr>
                <w:rFonts w:ascii="宋体"/>
              </w:rPr>
            </w:pPr>
          </w:p>
        </w:tc>
        <w:tc>
          <w:tcPr>
            <w:tcW w:w="5" w:type="pct"/>
            <w:shd w:val="clear" w:color="auto" w:fill="auto"/>
            <w:vAlign w:val="bottom"/>
          </w:tcPr>
          <w:p w14:paraId="07DD0AFA" w14:textId="77777777" w:rsidR="00AE727E" w:rsidRDefault="00AE727E">
            <w:pPr>
              <w:rPr>
                <w:rFonts w:ascii="宋体"/>
              </w:rPr>
            </w:pPr>
          </w:p>
        </w:tc>
        <w:tc>
          <w:tcPr>
            <w:tcW w:w="5" w:type="pct"/>
            <w:shd w:val="clear" w:color="auto" w:fill="auto"/>
            <w:vAlign w:val="bottom"/>
          </w:tcPr>
          <w:p w14:paraId="07DD0AFB" w14:textId="77777777" w:rsidR="00AE727E" w:rsidRDefault="00AE727E">
            <w:pPr>
              <w:rPr>
                <w:rFonts w:ascii="宋体"/>
              </w:rPr>
            </w:pPr>
          </w:p>
        </w:tc>
        <w:tc>
          <w:tcPr>
            <w:tcW w:w="19" w:type="pct"/>
            <w:shd w:val="clear" w:color="auto" w:fill="auto"/>
            <w:vAlign w:val="bottom"/>
          </w:tcPr>
          <w:p w14:paraId="07DD0AFC" w14:textId="77777777" w:rsidR="00AE727E" w:rsidRDefault="00AE727E">
            <w:pPr>
              <w:rPr>
                <w:rFonts w:ascii="宋体"/>
              </w:rPr>
            </w:pPr>
          </w:p>
        </w:tc>
        <w:tc>
          <w:tcPr>
            <w:tcW w:w="5" w:type="pct"/>
            <w:shd w:val="clear" w:color="auto" w:fill="auto"/>
            <w:vAlign w:val="bottom"/>
          </w:tcPr>
          <w:p w14:paraId="07DD0AFD" w14:textId="77777777" w:rsidR="00AE727E" w:rsidRDefault="00AE727E">
            <w:pPr>
              <w:rPr>
                <w:rFonts w:ascii="宋体"/>
              </w:rPr>
            </w:pPr>
          </w:p>
        </w:tc>
        <w:tc>
          <w:tcPr>
            <w:tcW w:w="50" w:type="pct"/>
            <w:shd w:val="clear" w:color="auto" w:fill="auto"/>
            <w:vAlign w:val="bottom"/>
          </w:tcPr>
          <w:p w14:paraId="07DD0AFE" w14:textId="77777777" w:rsidR="00AE727E" w:rsidRDefault="00AE727E">
            <w:pPr>
              <w:rPr>
                <w:rFonts w:ascii="宋体"/>
              </w:rPr>
            </w:pPr>
          </w:p>
        </w:tc>
        <w:tc>
          <w:tcPr>
            <w:tcW w:w="317" w:type="pct"/>
            <w:shd w:val="clear" w:color="auto" w:fill="auto"/>
            <w:vAlign w:val="bottom"/>
          </w:tcPr>
          <w:p w14:paraId="07DD0AFF" w14:textId="77777777" w:rsidR="00AE727E" w:rsidRDefault="00AE727E">
            <w:pPr>
              <w:rPr>
                <w:rFonts w:ascii="宋体"/>
              </w:rPr>
            </w:pPr>
          </w:p>
        </w:tc>
        <w:tc>
          <w:tcPr>
            <w:tcW w:w="5" w:type="pct"/>
            <w:shd w:val="clear" w:color="auto" w:fill="auto"/>
            <w:vAlign w:val="bottom"/>
          </w:tcPr>
          <w:p w14:paraId="07DD0B00" w14:textId="77777777" w:rsidR="00AE727E" w:rsidRDefault="00AE727E">
            <w:pPr>
              <w:rPr>
                <w:rFonts w:ascii="宋体"/>
              </w:rPr>
            </w:pPr>
          </w:p>
        </w:tc>
        <w:tc>
          <w:tcPr>
            <w:tcW w:w="5" w:type="pct"/>
            <w:shd w:val="clear" w:color="auto" w:fill="auto"/>
            <w:vAlign w:val="bottom"/>
          </w:tcPr>
          <w:p w14:paraId="07DD0B01" w14:textId="77777777" w:rsidR="00AE727E" w:rsidRDefault="00AE727E">
            <w:pPr>
              <w:rPr>
                <w:rFonts w:ascii="宋体"/>
              </w:rPr>
            </w:pPr>
          </w:p>
        </w:tc>
        <w:tc>
          <w:tcPr>
            <w:tcW w:w="19" w:type="pct"/>
            <w:shd w:val="clear" w:color="auto" w:fill="auto"/>
            <w:vAlign w:val="bottom"/>
          </w:tcPr>
          <w:p w14:paraId="07DD0B02" w14:textId="77777777" w:rsidR="00AE727E" w:rsidRDefault="00AE727E">
            <w:pPr>
              <w:rPr>
                <w:rFonts w:ascii="宋体"/>
              </w:rPr>
            </w:pPr>
          </w:p>
        </w:tc>
        <w:tc>
          <w:tcPr>
            <w:tcW w:w="5" w:type="pct"/>
            <w:shd w:val="clear" w:color="auto" w:fill="auto"/>
            <w:vAlign w:val="bottom"/>
          </w:tcPr>
          <w:p w14:paraId="07DD0B03" w14:textId="77777777" w:rsidR="00AE727E" w:rsidRDefault="00AE727E">
            <w:pPr>
              <w:rPr>
                <w:rFonts w:ascii="宋体"/>
              </w:rPr>
            </w:pPr>
          </w:p>
        </w:tc>
        <w:tc>
          <w:tcPr>
            <w:tcW w:w="50" w:type="pct"/>
            <w:shd w:val="clear" w:color="auto" w:fill="auto"/>
            <w:vAlign w:val="bottom"/>
          </w:tcPr>
          <w:p w14:paraId="07DD0B04" w14:textId="77777777" w:rsidR="00AE727E" w:rsidRDefault="00AE727E">
            <w:pPr>
              <w:rPr>
                <w:rFonts w:ascii="宋体"/>
              </w:rPr>
            </w:pPr>
          </w:p>
        </w:tc>
        <w:tc>
          <w:tcPr>
            <w:tcW w:w="318" w:type="pct"/>
            <w:shd w:val="clear" w:color="auto" w:fill="auto"/>
            <w:vAlign w:val="bottom"/>
          </w:tcPr>
          <w:p w14:paraId="07DD0B05" w14:textId="77777777" w:rsidR="00AE727E" w:rsidRDefault="00AE727E">
            <w:pPr>
              <w:rPr>
                <w:rFonts w:ascii="宋体"/>
              </w:rPr>
            </w:pPr>
          </w:p>
        </w:tc>
        <w:tc>
          <w:tcPr>
            <w:tcW w:w="5" w:type="pct"/>
            <w:shd w:val="clear" w:color="auto" w:fill="auto"/>
            <w:vAlign w:val="bottom"/>
          </w:tcPr>
          <w:p w14:paraId="07DD0B06" w14:textId="77777777" w:rsidR="00AE727E" w:rsidRDefault="00AE727E">
            <w:pPr>
              <w:rPr>
                <w:rFonts w:ascii="宋体"/>
              </w:rPr>
            </w:pPr>
          </w:p>
        </w:tc>
      </w:tr>
      <w:tr w:rsidR="00AE727E" w14:paraId="07DD0B0C" w14:textId="77777777">
        <w:tc>
          <w:tcPr>
            <w:tcW w:w="0" w:type="auto"/>
            <w:gridSpan w:val="3"/>
            <w:shd w:val="clear" w:color="auto" w:fill="auto"/>
            <w:tcMar>
              <w:top w:w="0" w:type="dxa"/>
              <w:left w:w="20" w:type="dxa"/>
              <w:bottom w:w="0" w:type="dxa"/>
              <w:right w:w="20" w:type="dxa"/>
            </w:tcMar>
            <w:vAlign w:val="bottom"/>
          </w:tcPr>
          <w:p w14:paraId="07DD0B08"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0B09"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B0A"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0B0B"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B19" w14:textId="77777777">
        <w:tc>
          <w:tcPr>
            <w:tcW w:w="0" w:type="auto"/>
            <w:gridSpan w:val="3"/>
            <w:shd w:val="clear" w:color="auto" w:fill="auto"/>
            <w:tcMar>
              <w:top w:w="40" w:type="dxa"/>
              <w:left w:w="20" w:type="dxa"/>
              <w:bottom w:w="40" w:type="dxa"/>
              <w:right w:w="20" w:type="dxa"/>
            </w:tcMar>
            <w:vAlign w:val="bottom"/>
          </w:tcPr>
          <w:p w14:paraId="07DD0B0D" w14:textId="77777777" w:rsidR="00AE727E" w:rsidRDefault="008433E0">
            <w:pPr>
              <w:textAlignment w:val="bottom"/>
            </w:pPr>
            <w:r>
              <w:rPr>
                <w:rFonts w:ascii="Times New Roman" w:eastAsia="宋体" w:hAnsi="Times New Roman"/>
                <w:i/>
                <w:iCs/>
                <w:color w:val="000000"/>
                <w:sz w:val="17"/>
                <w:szCs w:val="17"/>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B0E"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0F"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0"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1"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B12"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B13"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B14" w14:textId="77777777" w:rsidR="00AE727E" w:rsidRDefault="008433E0">
            <w:pPr>
              <w:jc w:val="center"/>
              <w:textAlignment w:val="bottom"/>
            </w:pPr>
            <w:r>
              <w:rPr>
                <w:rFonts w:ascii="Times New Roman" w:eastAsia="宋体" w:hAnsi="Times New Roman"/>
                <w:b/>
                <w:bCs/>
                <w:color w:val="000000"/>
                <w:sz w:val="20"/>
                <w:szCs w:val="20"/>
              </w:rPr>
              <w:t xml:space="preserve">October 29, </w:t>
            </w: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5"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6"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7"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B18"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0B2E" w14:textId="77777777">
        <w:tc>
          <w:tcPr>
            <w:tcW w:w="0" w:type="auto"/>
            <w:gridSpan w:val="3"/>
            <w:shd w:val="clear" w:color="auto" w:fill="auto"/>
            <w:tcMar>
              <w:top w:w="40" w:type="dxa"/>
              <w:left w:w="20" w:type="dxa"/>
              <w:bottom w:w="40" w:type="dxa"/>
              <w:right w:w="20" w:type="dxa"/>
            </w:tcMar>
            <w:vAlign w:val="bottom"/>
          </w:tcPr>
          <w:p w14:paraId="07DD0B1A" w14:textId="77777777" w:rsidR="00AE727E" w:rsidRDefault="008433E0">
            <w:pPr>
              <w:jc w:val="cente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B1B"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1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1D"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B1E"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0B1F"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0B2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1"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2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3"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B2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5"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2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7"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B28"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0B29"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0B2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B"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B2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B2D"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AE727E" w14:paraId="07DD0B31" w14:textId="77777777">
        <w:tc>
          <w:tcPr>
            <w:tcW w:w="0" w:type="auto"/>
            <w:gridSpan w:val="3"/>
            <w:shd w:val="clear" w:color="auto" w:fill="auto"/>
            <w:tcMar>
              <w:top w:w="0" w:type="dxa"/>
              <w:left w:w="20" w:type="dxa"/>
              <w:bottom w:w="0" w:type="dxa"/>
              <w:right w:w="20" w:type="dxa"/>
            </w:tcMar>
            <w:vAlign w:val="bottom"/>
          </w:tcPr>
          <w:p w14:paraId="07DD0B2F" w14:textId="77777777" w:rsidR="00AE727E" w:rsidRDefault="00AE727E">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07DD0B30" w14:textId="77777777" w:rsidR="00AE727E" w:rsidRDefault="008433E0">
            <w:pPr>
              <w:jc w:val="center"/>
              <w:textAlignment w:val="bottom"/>
            </w:pPr>
            <w:r>
              <w:rPr>
                <w:rFonts w:ascii="Times New Roman" w:eastAsia="宋体" w:hAnsi="Times New Roman"/>
                <w:color w:val="000000"/>
                <w:sz w:val="19"/>
                <w:szCs w:val="19"/>
              </w:rPr>
              <w:t>(in millions, except percentages)</w:t>
            </w:r>
          </w:p>
        </w:tc>
      </w:tr>
      <w:tr w:rsidR="00AE727E" w14:paraId="07DD0B46" w14:textId="77777777">
        <w:tc>
          <w:tcPr>
            <w:tcW w:w="0" w:type="auto"/>
            <w:gridSpan w:val="3"/>
            <w:shd w:val="clear" w:color="auto" w:fill="CCEEFF"/>
            <w:tcMar>
              <w:top w:w="40" w:type="dxa"/>
              <w:left w:w="20" w:type="dxa"/>
              <w:bottom w:w="40" w:type="dxa"/>
              <w:right w:w="20" w:type="dxa"/>
            </w:tcMar>
            <w:vAlign w:val="bottom"/>
          </w:tcPr>
          <w:p w14:paraId="07DD0B32" w14:textId="77777777" w:rsidR="00AE727E" w:rsidRDefault="008433E0">
            <w:pPr>
              <w:textAlignment w:val="bottom"/>
            </w:pPr>
            <w:r>
              <w:rPr>
                <w:rFonts w:ascii="Times New Roman" w:eastAsia="宋体" w:hAnsi="Times New Roman"/>
                <w:i/>
                <w:iCs/>
                <w:color w:val="000000"/>
                <w:sz w:val="19"/>
                <w:szCs w:val="19"/>
              </w:rPr>
              <w:t xml:space="preserve">Net </w:t>
            </w:r>
            <w:r>
              <w:rPr>
                <w:rFonts w:ascii="Times New Roman" w:eastAsia="宋体" w:hAnsi="Times New Roman"/>
                <w:i/>
                <w:iCs/>
                <w:color w:val="000000"/>
                <w:sz w:val="19"/>
                <w:szCs w:val="19"/>
              </w:rPr>
              <w:t>revenue:</w:t>
            </w:r>
          </w:p>
        </w:tc>
        <w:tc>
          <w:tcPr>
            <w:tcW w:w="0" w:type="auto"/>
            <w:gridSpan w:val="3"/>
            <w:shd w:val="clear" w:color="auto" w:fill="CCEEFF"/>
            <w:tcMar>
              <w:top w:w="0" w:type="dxa"/>
              <w:left w:w="20" w:type="dxa"/>
              <w:bottom w:w="0" w:type="dxa"/>
              <w:right w:w="20" w:type="dxa"/>
            </w:tcMar>
            <w:vAlign w:val="bottom"/>
          </w:tcPr>
          <w:p w14:paraId="07DD0B3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3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45" w14:textId="77777777" w:rsidR="00AE727E" w:rsidRDefault="00AE727E">
            <w:pPr>
              <w:rPr>
                <w:rFonts w:ascii="宋体"/>
              </w:rPr>
            </w:pPr>
          </w:p>
        </w:tc>
      </w:tr>
      <w:tr w:rsidR="008433E0" w14:paraId="07DD0B69" w14:textId="77777777">
        <w:tc>
          <w:tcPr>
            <w:tcW w:w="0" w:type="auto"/>
            <w:gridSpan w:val="3"/>
            <w:shd w:val="clear" w:color="auto" w:fill="FFFFFF"/>
            <w:tcMar>
              <w:top w:w="40" w:type="dxa"/>
              <w:left w:w="20" w:type="dxa"/>
              <w:bottom w:w="40" w:type="dxa"/>
              <w:right w:w="20" w:type="dxa"/>
            </w:tcMar>
            <w:vAlign w:val="bottom"/>
          </w:tcPr>
          <w:p w14:paraId="07DD0B47" w14:textId="77777777" w:rsidR="00AE727E" w:rsidRDefault="008433E0">
            <w:pPr>
              <w:textAlignment w:val="bottom"/>
            </w:pPr>
            <w:r>
              <w:rPr>
                <w:rFonts w:ascii="Times New Roman" w:eastAsia="宋体" w:hAnsi="Times New Roman"/>
                <w:color w:val="000000"/>
                <w:sz w:val="19"/>
                <w:szCs w:val="19"/>
              </w:rPr>
              <w:t>Products</w:t>
            </w:r>
          </w:p>
        </w:tc>
        <w:tc>
          <w:tcPr>
            <w:tcW w:w="0" w:type="auto"/>
            <w:shd w:val="clear" w:color="auto" w:fill="FFFFFF"/>
            <w:tcMar>
              <w:top w:w="40" w:type="dxa"/>
              <w:left w:w="20" w:type="dxa"/>
              <w:bottom w:w="40" w:type="dxa"/>
              <w:right w:w="0" w:type="dxa"/>
            </w:tcMar>
            <w:vAlign w:val="bottom"/>
          </w:tcPr>
          <w:p w14:paraId="07DD0B48"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49" w14:textId="77777777" w:rsidR="00AE727E" w:rsidRDefault="008433E0">
            <w:pPr>
              <w:jc w:val="right"/>
              <w:textAlignment w:val="bottom"/>
            </w:pPr>
            <w:r>
              <w:rPr>
                <w:rFonts w:ascii="Times New Roman" w:eastAsia="宋体" w:hAnsi="Times New Roman"/>
                <w:color w:val="000000"/>
                <w:sz w:val="19"/>
                <w:szCs w:val="19"/>
              </w:rPr>
              <w:t>21,540 </w:t>
            </w:r>
          </w:p>
        </w:tc>
        <w:tc>
          <w:tcPr>
            <w:tcW w:w="0" w:type="auto"/>
            <w:shd w:val="clear" w:color="auto" w:fill="FFFFFF"/>
            <w:tcMar>
              <w:top w:w="40" w:type="dxa"/>
              <w:left w:w="0" w:type="dxa"/>
              <w:bottom w:w="40" w:type="dxa"/>
              <w:right w:w="20" w:type="dxa"/>
            </w:tcMar>
            <w:vAlign w:val="bottom"/>
          </w:tcPr>
          <w:p w14:paraId="07DD0B4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4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4C" w14:textId="77777777" w:rsidR="00AE727E" w:rsidRDefault="008433E0">
            <w:pPr>
              <w:jc w:val="right"/>
              <w:textAlignment w:val="bottom"/>
            </w:pPr>
            <w:r>
              <w:rPr>
                <w:rFonts w:ascii="Times New Roman" w:eastAsia="宋体" w:hAnsi="Times New Roman"/>
                <w:color w:val="000000"/>
                <w:sz w:val="19"/>
                <w:szCs w:val="19"/>
              </w:rPr>
              <w:t>75.9 </w:t>
            </w:r>
          </w:p>
        </w:tc>
        <w:tc>
          <w:tcPr>
            <w:tcW w:w="0" w:type="auto"/>
            <w:shd w:val="clear" w:color="auto" w:fill="FFFFFF"/>
            <w:tcMar>
              <w:top w:w="40" w:type="dxa"/>
              <w:left w:w="0" w:type="dxa"/>
              <w:bottom w:w="40" w:type="dxa"/>
              <w:right w:w="20" w:type="dxa"/>
            </w:tcMar>
            <w:vAlign w:val="bottom"/>
          </w:tcPr>
          <w:p w14:paraId="07DD0B4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4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4F" w14:textId="77777777" w:rsidR="00AE727E" w:rsidRDefault="008433E0">
            <w:pPr>
              <w:jc w:val="right"/>
              <w:textAlignment w:val="bottom"/>
            </w:pPr>
            <w:r>
              <w:rPr>
                <w:rFonts w:ascii="Times New Roman" w:eastAsia="宋体" w:hAnsi="Times New Roman"/>
                <w:color w:val="000000"/>
                <w:sz w:val="19"/>
                <w:szCs w:val="19"/>
              </w:rPr>
              <w:t>24 </w:t>
            </w:r>
          </w:p>
        </w:tc>
        <w:tc>
          <w:tcPr>
            <w:tcW w:w="0" w:type="auto"/>
            <w:shd w:val="clear" w:color="auto" w:fill="FFFFFF"/>
            <w:tcMar>
              <w:top w:w="40" w:type="dxa"/>
              <w:left w:w="0" w:type="dxa"/>
              <w:bottom w:w="40" w:type="dxa"/>
              <w:right w:w="20" w:type="dxa"/>
            </w:tcMar>
            <w:vAlign w:val="bottom"/>
          </w:tcPr>
          <w:p w14:paraId="07DD0B5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5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52"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53" w14:textId="77777777" w:rsidR="00AE727E" w:rsidRDefault="008433E0">
            <w:pPr>
              <w:jc w:val="right"/>
              <w:textAlignment w:val="bottom"/>
            </w:pPr>
            <w:r>
              <w:rPr>
                <w:rFonts w:ascii="Times New Roman" w:eastAsia="宋体" w:hAnsi="Times New Roman"/>
                <w:color w:val="000000"/>
                <w:sz w:val="19"/>
                <w:szCs w:val="19"/>
              </w:rPr>
              <w:t>17,352 </w:t>
            </w:r>
          </w:p>
        </w:tc>
        <w:tc>
          <w:tcPr>
            <w:tcW w:w="0" w:type="auto"/>
            <w:shd w:val="clear" w:color="auto" w:fill="FFFFFF"/>
            <w:tcMar>
              <w:top w:w="40" w:type="dxa"/>
              <w:left w:w="0" w:type="dxa"/>
              <w:bottom w:w="40" w:type="dxa"/>
              <w:right w:w="20" w:type="dxa"/>
            </w:tcMar>
            <w:vAlign w:val="bottom"/>
          </w:tcPr>
          <w:p w14:paraId="07DD0B5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5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56" w14:textId="77777777" w:rsidR="00AE727E" w:rsidRDefault="008433E0">
            <w:pPr>
              <w:jc w:val="right"/>
              <w:textAlignment w:val="bottom"/>
            </w:pPr>
            <w:r>
              <w:rPr>
                <w:rFonts w:ascii="Times New Roman" w:eastAsia="宋体" w:hAnsi="Times New Roman"/>
                <w:color w:val="000000"/>
                <w:sz w:val="19"/>
                <w:szCs w:val="19"/>
              </w:rPr>
              <w:t>73.9 </w:t>
            </w:r>
          </w:p>
        </w:tc>
        <w:tc>
          <w:tcPr>
            <w:tcW w:w="0" w:type="auto"/>
            <w:shd w:val="clear" w:color="auto" w:fill="FFFFFF"/>
            <w:tcMar>
              <w:top w:w="40" w:type="dxa"/>
              <w:left w:w="0" w:type="dxa"/>
              <w:bottom w:w="40" w:type="dxa"/>
              <w:right w:w="20" w:type="dxa"/>
            </w:tcMar>
            <w:vAlign w:val="bottom"/>
          </w:tcPr>
          <w:p w14:paraId="07DD0B57"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5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59"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5A" w14:textId="77777777" w:rsidR="00AE727E" w:rsidRDefault="008433E0">
            <w:pPr>
              <w:jc w:val="right"/>
              <w:textAlignment w:val="bottom"/>
            </w:pPr>
            <w:r>
              <w:rPr>
                <w:rFonts w:ascii="Times New Roman" w:eastAsia="宋体" w:hAnsi="Times New Roman"/>
                <w:color w:val="000000"/>
                <w:sz w:val="19"/>
                <w:szCs w:val="19"/>
              </w:rPr>
              <w:t>58,968 </w:t>
            </w:r>
          </w:p>
        </w:tc>
        <w:tc>
          <w:tcPr>
            <w:tcW w:w="0" w:type="auto"/>
            <w:shd w:val="clear" w:color="auto" w:fill="FFFFFF"/>
            <w:tcMar>
              <w:top w:w="40" w:type="dxa"/>
              <w:left w:w="0" w:type="dxa"/>
              <w:bottom w:w="40" w:type="dxa"/>
              <w:right w:w="20" w:type="dxa"/>
            </w:tcMar>
            <w:vAlign w:val="bottom"/>
          </w:tcPr>
          <w:p w14:paraId="07DD0B5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5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5D" w14:textId="77777777" w:rsidR="00AE727E" w:rsidRDefault="008433E0">
            <w:pPr>
              <w:jc w:val="right"/>
              <w:textAlignment w:val="bottom"/>
            </w:pPr>
            <w:r>
              <w:rPr>
                <w:rFonts w:ascii="Times New Roman" w:eastAsia="宋体" w:hAnsi="Times New Roman"/>
                <w:color w:val="000000"/>
                <w:sz w:val="19"/>
                <w:szCs w:val="19"/>
              </w:rPr>
              <w:t>74.6 </w:t>
            </w:r>
          </w:p>
        </w:tc>
        <w:tc>
          <w:tcPr>
            <w:tcW w:w="0" w:type="auto"/>
            <w:shd w:val="clear" w:color="auto" w:fill="FFFFFF"/>
            <w:tcMar>
              <w:top w:w="40" w:type="dxa"/>
              <w:left w:w="0" w:type="dxa"/>
              <w:bottom w:w="40" w:type="dxa"/>
              <w:right w:w="20" w:type="dxa"/>
            </w:tcMar>
            <w:vAlign w:val="bottom"/>
          </w:tcPr>
          <w:p w14:paraId="07DD0B5E"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5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60" w14:textId="77777777" w:rsidR="00AE727E" w:rsidRDefault="008433E0">
            <w:pPr>
              <w:jc w:val="right"/>
              <w:textAlignment w:val="bottom"/>
            </w:pPr>
            <w:r>
              <w:rPr>
                <w:rFonts w:ascii="Times New Roman" w:eastAsia="宋体" w:hAnsi="Times New Roman"/>
                <w:color w:val="000000"/>
                <w:sz w:val="19"/>
                <w:szCs w:val="19"/>
              </w:rPr>
              <w:t>18 </w:t>
            </w:r>
          </w:p>
        </w:tc>
        <w:tc>
          <w:tcPr>
            <w:tcW w:w="0" w:type="auto"/>
            <w:shd w:val="clear" w:color="auto" w:fill="FFFFFF"/>
            <w:tcMar>
              <w:top w:w="40" w:type="dxa"/>
              <w:left w:w="0" w:type="dxa"/>
              <w:bottom w:w="40" w:type="dxa"/>
              <w:right w:w="20" w:type="dxa"/>
            </w:tcMar>
            <w:vAlign w:val="bottom"/>
          </w:tcPr>
          <w:p w14:paraId="07DD0B61"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6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63"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64" w14:textId="77777777" w:rsidR="00AE727E" w:rsidRDefault="008433E0">
            <w:pPr>
              <w:jc w:val="right"/>
              <w:textAlignment w:val="bottom"/>
            </w:pPr>
            <w:r>
              <w:rPr>
                <w:rFonts w:ascii="Times New Roman" w:eastAsia="宋体" w:hAnsi="Times New Roman"/>
                <w:color w:val="000000"/>
                <w:sz w:val="19"/>
                <w:szCs w:val="19"/>
              </w:rPr>
              <w:t>50,127 </w:t>
            </w:r>
          </w:p>
        </w:tc>
        <w:tc>
          <w:tcPr>
            <w:tcW w:w="0" w:type="auto"/>
            <w:shd w:val="clear" w:color="auto" w:fill="FFFFFF"/>
            <w:tcMar>
              <w:top w:w="40" w:type="dxa"/>
              <w:left w:w="0" w:type="dxa"/>
              <w:bottom w:w="40" w:type="dxa"/>
              <w:right w:w="20" w:type="dxa"/>
            </w:tcMar>
            <w:vAlign w:val="bottom"/>
          </w:tcPr>
          <w:p w14:paraId="07DD0B6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6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67" w14:textId="77777777" w:rsidR="00AE727E" w:rsidRDefault="008433E0">
            <w:pPr>
              <w:jc w:val="right"/>
              <w:textAlignment w:val="bottom"/>
            </w:pPr>
            <w:r>
              <w:rPr>
                <w:rFonts w:ascii="Times New Roman" w:eastAsia="宋体" w:hAnsi="Times New Roman"/>
                <w:color w:val="000000"/>
                <w:sz w:val="19"/>
                <w:szCs w:val="19"/>
              </w:rPr>
              <w:t>73.6 </w:t>
            </w:r>
          </w:p>
        </w:tc>
        <w:tc>
          <w:tcPr>
            <w:tcW w:w="0" w:type="auto"/>
            <w:shd w:val="clear" w:color="auto" w:fill="FFFFFF"/>
            <w:tcMar>
              <w:top w:w="40" w:type="dxa"/>
              <w:left w:w="0" w:type="dxa"/>
              <w:bottom w:w="40" w:type="dxa"/>
              <w:right w:w="20" w:type="dxa"/>
            </w:tcMar>
            <w:vAlign w:val="bottom"/>
          </w:tcPr>
          <w:p w14:paraId="07DD0B68"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B88" w14:textId="77777777">
        <w:tc>
          <w:tcPr>
            <w:tcW w:w="0" w:type="auto"/>
            <w:gridSpan w:val="3"/>
            <w:shd w:val="clear" w:color="auto" w:fill="CCEEFF"/>
            <w:tcMar>
              <w:top w:w="40" w:type="dxa"/>
              <w:left w:w="20" w:type="dxa"/>
              <w:bottom w:w="40" w:type="dxa"/>
              <w:right w:w="20" w:type="dxa"/>
            </w:tcMar>
            <w:vAlign w:val="bottom"/>
          </w:tcPr>
          <w:p w14:paraId="07DD0B6A" w14:textId="77777777" w:rsidR="00AE727E" w:rsidRDefault="008433E0">
            <w:pPr>
              <w:textAlignment w:val="bottom"/>
            </w:pPr>
            <w:r>
              <w:rPr>
                <w:rFonts w:ascii="Times New Roman" w:eastAsia="宋体" w:hAnsi="Times New Roman"/>
                <w:color w:val="000000"/>
                <w:sz w:val="19"/>
                <w:szCs w:val="19"/>
              </w:rPr>
              <w:t>Services</w:t>
            </w:r>
          </w:p>
        </w:tc>
        <w:tc>
          <w:tcPr>
            <w:tcW w:w="0" w:type="auto"/>
            <w:gridSpan w:val="2"/>
            <w:shd w:val="clear" w:color="auto" w:fill="CCEEFF"/>
            <w:tcMar>
              <w:top w:w="40" w:type="dxa"/>
              <w:left w:w="20" w:type="dxa"/>
              <w:bottom w:w="40" w:type="dxa"/>
              <w:right w:w="0" w:type="dxa"/>
            </w:tcMar>
            <w:vAlign w:val="bottom"/>
          </w:tcPr>
          <w:p w14:paraId="07DD0B6B" w14:textId="77777777" w:rsidR="00AE727E" w:rsidRDefault="008433E0">
            <w:pPr>
              <w:jc w:val="right"/>
              <w:textAlignment w:val="bottom"/>
            </w:pPr>
            <w:r>
              <w:rPr>
                <w:rFonts w:ascii="Times New Roman" w:eastAsia="宋体" w:hAnsi="Times New Roman"/>
                <w:color w:val="000000"/>
                <w:sz w:val="19"/>
                <w:szCs w:val="19"/>
              </w:rPr>
              <w:t>6,854 </w:t>
            </w:r>
          </w:p>
        </w:tc>
        <w:tc>
          <w:tcPr>
            <w:tcW w:w="0" w:type="auto"/>
            <w:shd w:val="clear" w:color="auto" w:fill="CCEEFF"/>
            <w:tcMar>
              <w:top w:w="40" w:type="dxa"/>
              <w:left w:w="0" w:type="dxa"/>
              <w:bottom w:w="40" w:type="dxa"/>
              <w:right w:w="20" w:type="dxa"/>
            </w:tcMar>
            <w:vAlign w:val="bottom"/>
          </w:tcPr>
          <w:p w14:paraId="07DD0B6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6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6E" w14:textId="77777777" w:rsidR="00AE727E" w:rsidRDefault="008433E0">
            <w:pPr>
              <w:jc w:val="right"/>
              <w:textAlignment w:val="bottom"/>
            </w:pPr>
            <w:r>
              <w:rPr>
                <w:rFonts w:ascii="Times New Roman" w:eastAsia="宋体" w:hAnsi="Times New Roman"/>
                <w:color w:val="000000"/>
                <w:sz w:val="19"/>
                <w:szCs w:val="19"/>
              </w:rPr>
              <w:t>24.1 </w:t>
            </w:r>
          </w:p>
        </w:tc>
        <w:tc>
          <w:tcPr>
            <w:tcW w:w="0" w:type="auto"/>
            <w:shd w:val="clear" w:color="auto" w:fill="CCEEFF"/>
            <w:tcMar>
              <w:top w:w="40" w:type="dxa"/>
              <w:left w:w="0" w:type="dxa"/>
              <w:bottom w:w="40" w:type="dxa"/>
              <w:right w:w="20" w:type="dxa"/>
            </w:tcMar>
            <w:vAlign w:val="bottom"/>
          </w:tcPr>
          <w:p w14:paraId="07DD0B6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7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71"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CCEEFF"/>
            <w:tcMar>
              <w:top w:w="40" w:type="dxa"/>
              <w:left w:w="0" w:type="dxa"/>
              <w:bottom w:w="40" w:type="dxa"/>
              <w:right w:w="20" w:type="dxa"/>
            </w:tcMar>
            <w:vAlign w:val="bottom"/>
          </w:tcPr>
          <w:p w14:paraId="07DD0B7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7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74" w14:textId="77777777" w:rsidR="00AE727E" w:rsidRDefault="008433E0">
            <w:pPr>
              <w:jc w:val="right"/>
              <w:textAlignment w:val="bottom"/>
            </w:pPr>
            <w:r>
              <w:rPr>
                <w:rFonts w:ascii="Times New Roman" w:eastAsia="宋体" w:hAnsi="Times New Roman"/>
                <w:color w:val="000000"/>
                <w:sz w:val="19"/>
                <w:szCs w:val="19"/>
              </w:rPr>
              <w:t>6,130 </w:t>
            </w:r>
          </w:p>
        </w:tc>
        <w:tc>
          <w:tcPr>
            <w:tcW w:w="0" w:type="auto"/>
            <w:shd w:val="clear" w:color="auto" w:fill="CCEEFF"/>
            <w:tcMar>
              <w:top w:w="40" w:type="dxa"/>
              <w:left w:w="0" w:type="dxa"/>
              <w:bottom w:w="40" w:type="dxa"/>
              <w:right w:w="20" w:type="dxa"/>
            </w:tcMar>
            <w:vAlign w:val="bottom"/>
          </w:tcPr>
          <w:p w14:paraId="07DD0B7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7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77" w14:textId="77777777" w:rsidR="00AE727E" w:rsidRDefault="008433E0">
            <w:pPr>
              <w:jc w:val="right"/>
              <w:textAlignment w:val="bottom"/>
            </w:pPr>
            <w:r>
              <w:rPr>
                <w:rFonts w:ascii="Times New Roman" w:eastAsia="宋体" w:hAnsi="Times New Roman"/>
                <w:color w:val="000000"/>
                <w:sz w:val="19"/>
                <w:szCs w:val="19"/>
              </w:rPr>
              <w:t>26.1 </w:t>
            </w:r>
          </w:p>
        </w:tc>
        <w:tc>
          <w:tcPr>
            <w:tcW w:w="0" w:type="auto"/>
            <w:shd w:val="clear" w:color="auto" w:fill="CCEEFF"/>
            <w:tcMar>
              <w:top w:w="40" w:type="dxa"/>
              <w:left w:w="0" w:type="dxa"/>
              <w:bottom w:w="40" w:type="dxa"/>
              <w:right w:w="20" w:type="dxa"/>
            </w:tcMar>
            <w:vAlign w:val="bottom"/>
          </w:tcPr>
          <w:p w14:paraId="07DD0B7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7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7A" w14:textId="77777777" w:rsidR="00AE727E" w:rsidRDefault="008433E0">
            <w:pPr>
              <w:jc w:val="right"/>
              <w:textAlignment w:val="bottom"/>
            </w:pPr>
            <w:r>
              <w:rPr>
                <w:rFonts w:ascii="Times New Roman" w:eastAsia="宋体" w:hAnsi="Times New Roman"/>
                <w:color w:val="000000"/>
                <w:sz w:val="19"/>
                <w:szCs w:val="19"/>
              </w:rPr>
              <w:t>20,035 </w:t>
            </w:r>
          </w:p>
        </w:tc>
        <w:tc>
          <w:tcPr>
            <w:tcW w:w="0" w:type="auto"/>
            <w:shd w:val="clear" w:color="auto" w:fill="CCEEFF"/>
            <w:tcMar>
              <w:top w:w="40" w:type="dxa"/>
              <w:left w:w="0" w:type="dxa"/>
              <w:bottom w:w="40" w:type="dxa"/>
              <w:right w:w="20" w:type="dxa"/>
            </w:tcMar>
            <w:vAlign w:val="bottom"/>
          </w:tcPr>
          <w:p w14:paraId="07DD0B7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7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7D" w14:textId="77777777" w:rsidR="00AE727E" w:rsidRDefault="008433E0">
            <w:pPr>
              <w:jc w:val="right"/>
              <w:textAlignment w:val="bottom"/>
            </w:pPr>
            <w:r>
              <w:rPr>
                <w:rFonts w:ascii="Times New Roman" w:eastAsia="宋体" w:hAnsi="Times New Roman"/>
                <w:color w:val="000000"/>
                <w:sz w:val="19"/>
                <w:szCs w:val="19"/>
              </w:rPr>
              <w:t>25.4 </w:t>
            </w:r>
          </w:p>
        </w:tc>
        <w:tc>
          <w:tcPr>
            <w:tcW w:w="0" w:type="auto"/>
            <w:shd w:val="clear" w:color="auto" w:fill="CCEEFF"/>
            <w:tcMar>
              <w:top w:w="40" w:type="dxa"/>
              <w:left w:w="0" w:type="dxa"/>
              <w:bottom w:w="40" w:type="dxa"/>
              <w:right w:w="20" w:type="dxa"/>
            </w:tcMar>
            <w:vAlign w:val="bottom"/>
          </w:tcPr>
          <w:p w14:paraId="07DD0B7E"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7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80" w14:textId="77777777" w:rsidR="00AE727E" w:rsidRDefault="008433E0">
            <w:pPr>
              <w:jc w:val="right"/>
              <w:textAlignment w:val="bottom"/>
            </w:pPr>
            <w:r>
              <w:rPr>
                <w:rFonts w:ascii="Times New Roman" w:eastAsia="宋体" w:hAnsi="Times New Roman"/>
                <w:color w:val="000000"/>
                <w:sz w:val="19"/>
                <w:szCs w:val="19"/>
              </w:rPr>
              <w:t>11 </w:t>
            </w:r>
          </w:p>
        </w:tc>
        <w:tc>
          <w:tcPr>
            <w:tcW w:w="0" w:type="auto"/>
            <w:shd w:val="clear" w:color="auto" w:fill="CCEEFF"/>
            <w:tcMar>
              <w:top w:w="40" w:type="dxa"/>
              <w:left w:w="0" w:type="dxa"/>
              <w:bottom w:w="40" w:type="dxa"/>
              <w:right w:w="20" w:type="dxa"/>
            </w:tcMar>
            <w:vAlign w:val="bottom"/>
          </w:tcPr>
          <w:p w14:paraId="07DD0B81"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8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83" w14:textId="77777777" w:rsidR="00AE727E" w:rsidRDefault="008433E0">
            <w:pPr>
              <w:jc w:val="right"/>
              <w:textAlignment w:val="bottom"/>
            </w:pPr>
            <w:r>
              <w:rPr>
                <w:rFonts w:ascii="Times New Roman" w:eastAsia="宋体" w:hAnsi="Times New Roman"/>
                <w:color w:val="000000"/>
                <w:sz w:val="19"/>
                <w:szCs w:val="19"/>
              </w:rPr>
              <w:t>17,985 </w:t>
            </w:r>
          </w:p>
        </w:tc>
        <w:tc>
          <w:tcPr>
            <w:tcW w:w="0" w:type="auto"/>
            <w:shd w:val="clear" w:color="auto" w:fill="CCEEFF"/>
            <w:tcMar>
              <w:top w:w="40" w:type="dxa"/>
              <w:left w:w="0" w:type="dxa"/>
              <w:bottom w:w="40" w:type="dxa"/>
              <w:right w:w="20" w:type="dxa"/>
            </w:tcMar>
            <w:vAlign w:val="bottom"/>
          </w:tcPr>
          <w:p w14:paraId="07DD0B8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8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86" w14:textId="77777777" w:rsidR="00AE727E" w:rsidRDefault="008433E0">
            <w:pPr>
              <w:jc w:val="right"/>
              <w:textAlignment w:val="bottom"/>
            </w:pPr>
            <w:r>
              <w:rPr>
                <w:rFonts w:ascii="Times New Roman" w:eastAsia="宋体" w:hAnsi="Times New Roman"/>
                <w:color w:val="000000"/>
                <w:sz w:val="19"/>
                <w:szCs w:val="19"/>
              </w:rPr>
              <w:t>26.4 </w:t>
            </w:r>
          </w:p>
        </w:tc>
        <w:tc>
          <w:tcPr>
            <w:tcW w:w="0" w:type="auto"/>
            <w:shd w:val="clear" w:color="auto" w:fill="CCEEFF"/>
            <w:tcMar>
              <w:top w:w="40" w:type="dxa"/>
              <w:left w:w="0" w:type="dxa"/>
              <w:bottom w:w="40" w:type="dxa"/>
              <w:right w:w="20" w:type="dxa"/>
            </w:tcMar>
            <w:vAlign w:val="bottom"/>
          </w:tcPr>
          <w:p w14:paraId="07DD0B87"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BAB" w14:textId="77777777">
        <w:tc>
          <w:tcPr>
            <w:tcW w:w="0" w:type="auto"/>
            <w:gridSpan w:val="3"/>
            <w:shd w:val="clear" w:color="auto" w:fill="FFFFFF"/>
            <w:tcMar>
              <w:top w:w="40" w:type="dxa"/>
              <w:left w:w="155" w:type="dxa"/>
              <w:bottom w:w="40" w:type="dxa"/>
              <w:right w:w="20" w:type="dxa"/>
            </w:tcMar>
            <w:vAlign w:val="bottom"/>
          </w:tcPr>
          <w:p w14:paraId="07DD0B89" w14:textId="77777777" w:rsidR="00AE727E" w:rsidRDefault="008433E0">
            <w:pPr>
              <w:textAlignment w:val="bottom"/>
            </w:pPr>
            <w:r>
              <w:rPr>
                <w:rFonts w:ascii="Times New Roman" w:eastAsia="宋体" w:hAnsi="Times New Roman"/>
                <w:color w:val="000000"/>
                <w:sz w:val="19"/>
                <w:szCs w:val="19"/>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0B8A"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B8B" w14:textId="77777777" w:rsidR="00AE727E" w:rsidRDefault="008433E0">
            <w:pPr>
              <w:jc w:val="right"/>
              <w:textAlignment w:val="bottom"/>
            </w:pPr>
            <w:r>
              <w:rPr>
                <w:rFonts w:ascii="Times New Roman" w:eastAsia="宋体" w:hAnsi="Times New Roman"/>
                <w:color w:val="000000"/>
                <w:sz w:val="19"/>
                <w:szCs w:val="19"/>
              </w:rPr>
              <w:t>28,394 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8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8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B8E"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8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9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91" w14:textId="77777777" w:rsidR="00AE727E" w:rsidRDefault="008433E0">
            <w:pPr>
              <w:jc w:val="right"/>
              <w:textAlignment w:val="bottom"/>
            </w:pPr>
            <w:r>
              <w:rPr>
                <w:rFonts w:ascii="Times New Roman" w:eastAsia="宋体" w:hAnsi="Times New Roman"/>
                <w:color w:val="000000"/>
                <w:sz w:val="19"/>
                <w:szCs w:val="19"/>
              </w:rPr>
              <w:t>21 </w:t>
            </w:r>
          </w:p>
        </w:tc>
        <w:tc>
          <w:tcPr>
            <w:tcW w:w="0" w:type="auto"/>
            <w:shd w:val="clear" w:color="auto" w:fill="FFFFFF"/>
            <w:tcMar>
              <w:top w:w="40" w:type="dxa"/>
              <w:left w:w="0" w:type="dxa"/>
              <w:bottom w:w="40" w:type="dxa"/>
              <w:right w:w="20" w:type="dxa"/>
            </w:tcMar>
            <w:vAlign w:val="bottom"/>
          </w:tcPr>
          <w:p w14:paraId="07DD0B9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93"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B94"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B95" w14:textId="77777777" w:rsidR="00AE727E" w:rsidRDefault="008433E0">
            <w:pPr>
              <w:jc w:val="right"/>
              <w:textAlignment w:val="bottom"/>
            </w:pPr>
            <w:r>
              <w:rPr>
                <w:rFonts w:ascii="Times New Roman" w:eastAsia="宋体" w:hAnsi="Times New Roman"/>
                <w:color w:val="000000"/>
                <w:sz w:val="19"/>
                <w:szCs w:val="19"/>
              </w:rPr>
              <w:t>23,482 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9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97"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B98"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9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9A"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B9B"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B9C" w14:textId="77777777" w:rsidR="00AE727E" w:rsidRDefault="008433E0">
            <w:pPr>
              <w:jc w:val="right"/>
              <w:textAlignment w:val="bottom"/>
            </w:pPr>
            <w:r>
              <w:rPr>
                <w:rFonts w:ascii="Times New Roman" w:eastAsia="宋体" w:hAnsi="Times New Roman"/>
                <w:color w:val="000000"/>
                <w:sz w:val="19"/>
                <w:szCs w:val="19"/>
              </w:rPr>
              <w:t>79,003 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9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9E"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B9F"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A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A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A2" w14:textId="77777777" w:rsidR="00AE727E" w:rsidRDefault="008433E0">
            <w:pPr>
              <w:jc w:val="right"/>
              <w:textAlignment w:val="bottom"/>
            </w:pPr>
            <w:r>
              <w:rPr>
                <w:rFonts w:ascii="Times New Roman" w:eastAsia="宋体" w:hAnsi="Times New Roman"/>
                <w:color w:val="000000"/>
                <w:sz w:val="19"/>
                <w:szCs w:val="19"/>
              </w:rPr>
              <w:t>16 </w:t>
            </w:r>
          </w:p>
        </w:tc>
        <w:tc>
          <w:tcPr>
            <w:tcW w:w="0" w:type="auto"/>
            <w:shd w:val="clear" w:color="auto" w:fill="FFFFFF"/>
            <w:tcMar>
              <w:top w:w="40" w:type="dxa"/>
              <w:left w:w="0" w:type="dxa"/>
              <w:bottom w:w="40" w:type="dxa"/>
              <w:right w:w="20" w:type="dxa"/>
            </w:tcMar>
            <w:vAlign w:val="bottom"/>
          </w:tcPr>
          <w:p w14:paraId="07DD0BA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A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BA5"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BA6" w14:textId="77777777" w:rsidR="00AE727E" w:rsidRDefault="008433E0">
            <w:pPr>
              <w:jc w:val="right"/>
              <w:textAlignment w:val="bottom"/>
            </w:pPr>
            <w:r>
              <w:rPr>
                <w:rFonts w:ascii="Times New Roman" w:eastAsia="宋体" w:hAnsi="Times New Roman"/>
                <w:color w:val="000000"/>
                <w:sz w:val="19"/>
                <w:szCs w:val="19"/>
              </w:rPr>
              <w:t>68,112 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A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A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BA9"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BAA" w14:textId="77777777" w:rsidR="00AE727E" w:rsidRDefault="008433E0">
            <w:pPr>
              <w:jc w:val="right"/>
              <w:textAlignment w:val="bottom"/>
            </w:pPr>
            <w:r>
              <w:rPr>
                <w:rFonts w:ascii="Times New Roman" w:eastAsia="宋体" w:hAnsi="Times New Roman"/>
                <w:color w:val="000000"/>
                <w:sz w:val="19"/>
                <w:szCs w:val="19"/>
              </w:rPr>
              <w:t>%</w:t>
            </w:r>
          </w:p>
        </w:tc>
      </w:tr>
      <w:tr w:rsidR="00AE727E" w14:paraId="07DD0BC0" w14:textId="77777777">
        <w:tc>
          <w:tcPr>
            <w:tcW w:w="0" w:type="auto"/>
            <w:gridSpan w:val="3"/>
            <w:shd w:val="clear" w:color="auto" w:fill="CCEEFF"/>
            <w:tcMar>
              <w:top w:w="40" w:type="dxa"/>
              <w:left w:w="20" w:type="dxa"/>
              <w:bottom w:w="40" w:type="dxa"/>
              <w:right w:w="20" w:type="dxa"/>
            </w:tcMar>
            <w:vAlign w:val="bottom"/>
          </w:tcPr>
          <w:p w14:paraId="07DD0BAC" w14:textId="77777777" w:rsidR="00AE727E" w:rsidRDefault="008433E0">
            <w:pPr>
              <w:textAlignment w:val="bottom"/>
            </w:pPr>
            <w:r>
              <w:rPr>
                <w:rFonts w:ascii="Times New Roman" w:eastAsia="宋体" w:hAnsi="Times New Roman"/>
                <w:i/>
                <w:iCs/>
                <w:color w:val="000000"/>
                <w:sz w:val="19"/>
                <w:szCs w:val="19"/>
              </w:rPr>
              <w:t>G</w:t>
            </w:r>
            <w:r>
              <w:rPr>
                <w:rFonts w:ascii="Times New Roman" w:eastAsia="宋体" w:hAnsi="Times New Roman"/>
                <w:i/>
                <w:iCs/>
                <w:color w:val="000000"/>
                <w:sz w:val="19"/>
                <w:szCs w:val="19"/>
              </w:rPr>
              <w:t>ross margin:</w:t>
            </w:r>
          </w:p>
        </w:tc>
        <w:tc>
          <w:tcPr>
            <w:tcW w:w="0" w:type="auto"/>
            <w:gridSpan w:val="3"/>
            <w:shd w:val="clear" w:color="auto" w:fill="CCEEFF"/>
            <w:tcMar>
              <w:top w:w="0" w:type="dxa"/>
              <w:left w:w="20" w:type="dxa"/>
              <w:bottom w:w="0" w:type="dxa"/>
              <w:right w:w="20" w:type="dxa"/>
            </w:tcMar>
            <w:vAlign w:val="bottom"/>
          </w:tcPr>
          <w:p w14:paraId="07DD0BA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A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A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BBF" w14:textId="77777777" w:rsidR="00AE727E" w:rsidRDefault="00AE727E">
            <w:pPr>
              <w:rPr>
                <w:rFonts w:ascii="宋体"/>
              </w:rPr>
            </w:pPr>
          </w:p>
        </w:tc>
      </w:tr>
      <w:tr w:rsidR="008433E0" w14:paraId="07DD0BE3" w14:textId="77777777">
        <w:tc>
          <w:tcPr>
            <w:tcW w:w="0" w:type="auto"/>
            <w:gridSpan w:val="3"/>
            <w:shd w:val="clear" w:color="auto" w:fill="FFFFFF"/>
            <w:tcMar>
              <w:top w:w="40" w:type="dxa"/>
              <w:left w:w="20" w:type="dxa"/>
              <w:bottom w:w="40" w:type="dxa"/>
              <w:right w:w="20" w:type="dxa"/>
            </w:tcMar>
            <w:vAlign w:val="bottom"/>
          </w:tcPr>
          <w:p w14:paraId="07DD0BC1" w14:textId="77777777" w:rsidR="00AE727E" w:rsidRDefault="008433E0">
            <w:pPr>
              <w:textAlignment w:val="bottom"/>
            </w:pPr>
            <w:r>
              <w:rPr>
                <w:rFonts w:ascii="Times New Roman" w:eastAsia="宋体" w:hAnsi="Times New Roman"/>
                <w:color w:val="000000"/>
                <w:sz w:val="19"/>
                <w:szCs w:val="19"/>
              </w:rPr>
              <w:t>Products (a)</w:t>
            </w:r>
          </w:p>
        </w:tc>
        <w:tc>
          <w:tcPr>
            <w:tcW w:w="0" w:type="auto"/>
            <w:shd w:val="clear" w:color="auto" w:fill="FFFFFF"/>
            <w:tcMar>
              <w:top w:w="40" w:type="dxa"/>
              <w:left w:w="20" w:type="dxa"/>
              <w:bottom w:w="40" w:type="dxa"/>
              <w:right w:w="0" w:type="dxa"/>
            </w:tcMar>
            <w:vAlign w:val="bottom"/>
          </w:tcPr>
          <w:p w14:paraId="07DD0BC2"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C3" w14:textId="77777777" w:rsidR="00AE727E" w:rsidRDefault="008433E0">
            <w:pPr>
              <w:jc w:val="right"/>
              <w:textAlignment w:val="bottom"/>
            </w:pPr>
            <w:r>
              <w:rPr>
                <w:rFonts w:ascii="Times New Roman" w:eastAsia="宋体" w:hAnsi="Times New Roman"/>
                <w:color w:val="000000"/>
                <w:sz w:val="19"/>
                <w:szCs w:val="19"/>
              </w:rPr>
              <w:t>3,988 </w:t>
            </w:r>
          </w:p>
        </w:tc>
        <w:tc>
          <w:tcPr>
            <w:tcW w:w="0" w:type="auto"/>
            <w:shd w:val="clear" w:color="auto" w:fill="FFFFFF"/>
            <w:tcMar>
              <w:top w:w="40" w:type="dxa"/>
              <w:left w:w="0" w:type="dxa"/>
              <w:bottom w:w="40" w:type="dxa"/>
              <w:right w:w="20" w:type="dxa"/>
            </w:tcMar>
            <w:vAlign w:val="bottom"/>
          </w:tcPr>
          <w:p w14:paraId="07DD0BC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C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C6" w14:textId="77777777" w:rsidR="00AE727E" w:rsidRDefault="008433E0">
            <w:pPr>
              <w:jc w:val="right"/>
              <w:textAlignment w:val="bottom"/>
            </w:pPr>
            <w:r>
              <w:rPr>
                <w:rFonts w:ascii="Times New Roman" w:eastAsia="宋体" w:hAnsi="Times New Roman"/>
                <w:color w:val="000000"/>
                <w:sz w:val="19"/>
                <w:szCs w:val="19"/>
              </w:rPr>
              <w:t>18.5 </w:t>
            </w:r>
          </w:p>
        </w:tc>
        <w:tc>
          <w:tcPr>
            <w:tcW w:w="0" w:type="auto"/>
            <w:shd w:val="clear" w:color="auto" w:fill="FFFFFF"/>
            <w:tcMar>
              <w:top w:w="40" w:type="dxa"/>
              <w:left w:w="0" w:type="dxa"/>
              <w:bottom w:w="40" w:type="dxa"/>
              <w:right w:w="20" w:type="dxa"/>
            </w:tcMar>
            <w:vAlign w:val="bottom"/>
          </w:tcPr>
          <w:p w14:paraId="07DD0BC7"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C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C9"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07DD0BCA"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C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CC"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CD" w14:textId="77777777" w:rsidR="00AE727E" w:rsidRDefault="008433E0">
            <w:pPr>
              <w:jc w:val="right"/>
              <w:textAlignment w:val="bottom"/>
            </w:pPr>
            <w:r>
              <w:rPr>
                <w:rFonts w:ascii="Times New Roman" w:eastAsia="宋体" w:hAnsi="Times New Roman"/>
                <w:color w:val="000000"/>
                <w:sz w:val="19"/>
                <w:szCs w:val="19"/>
              </w:rPr>
              <w:t>3,563 </w:t>
            </w:r>
          </w:p>
        </w:tc>
        <w:tc>
          <w:tcPr>
            <w:tcW w:w="0" w:type="auto"/>
            <w:shd w:val="clear" w:color="auto" w:fill="FFFFFF"/>
            <w:tcMar>
              <w:top w:w="40" w:type="dxa"/>
              <w:left w:w="0" w:type="dxa"/>
              <w:bottom w:w="40" w:type="dxa"/>
              <w:right w:w="20" w:type="dxa"/>
            </w:tcMar>
            <w:vAlign w:val="bottom"/>
          </w:tcPr>
          <w:p w14:paraId="07DD0BC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C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D0" w14:textId="77777777" w:rsidR="00AE727E" w:rsidRDefault="008433E0">
            <w:pPr>
              <w:jc w:val="right"/>
              <w:textAlignment w:val="bottom"/>
            </w:pPr>
            <w:r>
              <w:rPr>
                <w:rFonts w:ascii="Times New Roman" w:eastAsia="宋体" w:hAnsi="Times New Roman"/>
                <w:color w:val="000000"/>
                <w:sz w:val="19"/>
                <w:szCs w:val="19"/>
              </w:rPr>
              <w:t>20.5 </w:t>
            </w:r>
          </w:p>
        </w:tc>
        <w:tc>
          <w:tcPr>
            <w:tcW w:w="0" w:type="auto"/>
            <w:shd w:val="clear" w:color="auto" w:fill="FFFFFF"/>
            <w:tcMar>
              <w:top w:w="40" w:type="dxa"/>
              <w:left w:w="0" w:type="dxa"/>
              <w:bottom w:w="40" w:type="dxa"/>
              <w:right w:w="20" w:type="dxa"/>
            </w:tcMar>
            <w:vAlign w:val="bottom"/>
          </w:tcPr>
          <w:p w14:paraId="07DD0BD1"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D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D3"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D4" w14:textId="77777777" w:rsidR="00AE727E" w:rsidRDefault="008433E0">
            <w:pPr>
              <w:jc w:val="right"/>
              <w:textAlignment w:val="bottom"/>
            </w:pPr>
            <w:r>
              <w:rPr>
                <w:rFonts w:ascii="Times New Roman" w:eastAsia="宋体" w:hAnsi="Times New Roman"/>
                <w:color w:val="000000"/>
                <w:sz w:val="19"/>
                <w:szCs w:val="19"/>
              </w:rPr>
              <w:t>11,831 </w:t>
            </w:r>
          </w:p>
        </w:tc>
        <w:tc>
          <w:tcPr>
            <w:tcW w:w="0" w:type="auto"/>
            <w:shd w:val="clear" w:color="auto" w:fill="FFFFFF"/>
            <w:tcMar>
              <w:top w:w="40" w:type="dxa"/>
              <w:left w:w="0" w:type="dxa"/>
              <w:bottom w:w="40" w:type="dxa"/>
              <w:right w:w="20" w:type="dxa"/>
            </w:tcMar>
            <w:vAlign w:val="bottom"/>
          </w:tcPr>
          <w:p w14:paraId="07DD0BD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D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D7" w14:textId="77777777" w:rsidR="00AE727E" w:rsidRDefault="008433E0">
            <w:pPr>
              <w:jc w:val="right"/>
              <w:textAlignment w:val="bottom"/>
            </w:pPr>
            <w:r>
              <w:rPr>
                <w:rFonts w:ascii="Times New Roman" w:eastAsia="宋体" w:hAnsi="Times New Roman"/>
                <w:color w:val="000000"/>
                <w:sz w:val="19"/>
                <w:szCs w:val="19"/>
              </w:rPr>
              <w:t>20.1 </w:t>
            </w:r>
          </w:p>
        </w:tc>
        <w:tc>
          <w:tcPr>
            <w:tcW w:w="0" w:type="auto"/>
            <w:shd w:val="clear" w:color="auto" w:fill="FFFFFF"/>
            <w:tcMar>
              <w:top w:w="40" w:type="dxa"/>
              <w:left w:w="0" w:type="dxa"/>
              <w:bottom w:w="40" w:type="dxa"/>
              <w:right w:w="20" w:type="dxa"/>
            </w:tcMar>
            <w:vAlign w:val="bottom"/>
          </w:tcPr>
          <w:p w14:paraId="07DD0BD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D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DA" w14:textId="77777777" w:rsidR="00AE727E" w:rsidRDefault="008433E0">
            <w:pPr>
              <w:jc w:val="right"/>
              <w:textAlignment w:val="bottom"/>
            </w:pPr>
            <w:r>
              <w:rPr>
                <w:rFonts w:ascii="Times New Roman" w:eastAsia="宋体" w:hAnsi="Times New Roman"/>
                <w:color w:val="000000"/>
                <w:sz w:val="19"/>
                <w:szCs w:val="19"/>
              </w:rPr>
              <w:t>16 </w:t>
            </w:r>
          </w:p>
        </w:tc>
        <w:tc>
          <w:tcPr>
            <w:tcW w:w="0" w:type="auto"/>
            <w:shd w:val="clear" w:color="auto" w:fill="FFFFFF"/>
            <w:tcMar>
              <w:top w:w="40" w:type="dxa"/>
              <w:left w:w="0" w:type="dxa"/>
              <w:bottom w:w="40" w:type="dxa"/>
              <w:right w:w="20" w:type="dxa"/>
            </w:tcMar>
            <w:vAlign w:val="bottom"/>
          </w:tcPr>
          <w:p w14:paraId="07DD0BDB"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BD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BDD"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BDE" w14:textId="77777777" w:rsidR="00AE727E" w:rsidRDefault="008433E0">
            <w:pPr>
              <w:jc w:val="right"/>
              <w:textAlignment w:val="bottom"/>
            </w:pPr>
            <w:r>
              <w:rPr>
                <w:rFonts w:ascii="Times New Roman" w:eastAsia="宋体" w:hAnsi="Times New Roman"/>
                <w:color w:val="000000"/>
                <w:sz w:val="19"/>
                <w:szCs w:val="19"/>
              </w:rPr>
              <w:t>10,204 </w:t>
            </w:r>
          </w:p>
        </w:tc>
        <w:tc>
          <w:tcPr>
            <w:tcW w:w="0" w:type="auto"/>
            <w:shd w:val="clear" w:color="auto" w:fill="FFFFFF"/>
            <w:tcMar>
              <w:top w:w="40" w:type="dxa"/>
              <w:left w:w="0" w:type="dxa"/>
              <w:bottom w:w="40" w:type="dxa"/>
              <w:right w:w="20" w:type="dxa"/>
            </w:tcMar>
            <w:vAlign w:val="bottom"/>
          </w:tcPr>
          <w:p w14:paraId="07DD0B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BE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BE1" w14:textId="77777777" w:rsidR="00AE727E" w:rsidRDefault="008433E0">
            <w:pPr>
              <w:jc w:val="right"/>
              <w:textAlignment w:val="bottom"/>
            </w:pPr>
            <w:r>
              <w:rPr>
                <w:rFonts w:ascii="Times New Roman" w:eastAsia="宋体" w:hAnsi="Times New Roman"/>
                <w:color w:val="000000"/>
                <w:sz w:val="19"/>
                <w:szCs w:val="19"/>
              </w:rPr>
              <w:t>20.4 </w:t>
            </w:r>
          </w:p>
        </w:tc>
        <w:tc>
          <w:tcPr>
            <w:tcW w:w="0" w:type="auto"/>
            <w:shd w:val="clear" w:color="auto" w:fill="FFFFFF"/>
            <w:tcMar>
              <w:top w:w="40" w:type="dxa"/>
              <w:left w:w="0" w:type="dxa"/>
              <w:bottom w:w="40" w:type="dxa"/>
              <w:right w:w="20" w:type="dxa"/>
            </w:tcMar>
            <w:vAlign w:val="bottom"/>
          </w:tcPr>
          <w:p w14:paraId="07DD0BE2"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02" w14:textId="77777777">
        <w:tc>
          <w:tcPr>
            <w:tcW w:w="0" w:type="auto"/>
            <w:gridSpan w:val="3"/>
            <w:shd w:val="clear" w:color="auto" w:fill="CCEEFF"/>
            <w:tcMar>
              <w:top w:w="40" w:type="dxa"/>
              <w:left w:w="20" w:type="dxa"/>
              <w:bottom w:w="40" w:type="dxa"/>
              <w:right w:w="20" w:type="dxa"/>
            </w:tcMar>
            <w:vAlign w:val="bottom"/>
          </w:tcPr>
          <w:p w14:paraId="07DD0BE4" w14:textId="77777777" w:rsidR="00AE727E" w:rsidRDefault="008433E0">
            <w:pPr>
              <w:textAlignment w:val="bottom"/>
            </w:pPr>
            <w:r>
              <w:rPr>
                <w:rFonts w:ascii="Times New Roman" w:eastAsia="宋体" w:hAnsi="Times New Roman"/>
                <w:color w:val="000000"/>
                <w:sz w:val="19"/>
                <w:szCs w:val="19"/>
              </w:rPr>
              <w:t>Services (b)</w:t>
            </w:r>
          </w:p>
        </w:tc>
        <w:tc>
          <w:tcPr>
            <w:tcW w:w="0" w:type="auto"/>
            <w:gridSpan w:val="2"/>
            <w:shd w:val="clear" w:color="auto" w:fill="CCEEFF"/>
            <w:tcMar>
              <w:top w:w="40" w:type="dxa"/>
              <w:left w:w="20" w:type="dxa"/>
              <w:bottom w:w="40" w:type="dxa"/>
              <w:right w:w="0" w:type="dxa"/>
            </w:tcMar>
            <w:vAlign w:val="bottom"/>
          </w:tcPr>
          <w:p w14:paraId="07DD0BE5" w14:textId="77777777" w:rsidR="00AE727E" w:rsidRDefault="008433E0">
            <w:pPr>
              <w:jc w:val="right"/>
              <w:textAlignment w:val="bottom"/>
            </w:pPr>
            <w:r>
              <w:rPr>
                <w:rFonts w:ascii="Times New Roman" w:eastAsia="宋体" w:hAnsi="Times New Roman"/>
                <w:color w:val="000000"/>
                <w:sz w:val="19"/>
                <w:szCs w:val="19"/>
              </w:rPr>
              <w:t>4,071 </w:t>
            </w:r>
          </w:p>
        </w:tc>
        <w:tc>
          <w:tcPr>
            <w:tcW w:w="0" w:type="auto"/>
            <w:shd w:val="clear" w:color="auto" w:fill="CCEEFF"/>
            <w:tcMar>
              <w:top w:w="40" w:type="dxa"/>
              <w:left w:w="0" w:type="dxa"/>
              <w:bottom w:w="40" w:type="dxa"/>
              <w:right w:w="20" w:type="dxa"/>
            </w:tcMar>
            <w:vAlign w:val="bottom"/>
          </w:tcPr>
          <w:p w14:paraId="07DD0BE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E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E8" w14:textId="77777777" w:rsidR="00AE727E" w:rsidRDefault="008433E0">
            <w:pPr>
              <w:jc w:val="right"/>
              <w:textAlignment w:val="bottom"/>
            </w:pPr>
            <w:r>
              <w:rPr>
                <w:rFonts w:ascii="Times New Roman" w:eastAsia="宋体" w:hAnsi="Times New Roman"/>
                <w:color w:val="000000"/>
                <w:sz w:val="19"/>
                <w:szCs w:val="19"/>
              </w:rPr>
              <w:t>59.4 </w:t>
            </w:r>
          </w:p>
        </w:tc>
        <w:tc>
          <w:tcPr>
            <w:tcW w:w="0" w:type="auto"/>
            <w:shd w:val="clear" w:color="auto" w:fill="CCEEFF"/>
            <w:tcMar>
              <w:top w:w="40" w:type="dxa"/>
              <w:left w:w="0" w:type="dxa"/>
              <w:bottom w:w="40" w:type="dxa"/>
              <w:right w:w="20" w:type="dxa"/>
            </w:tcMar>
            <w:vAlign w:val="bottom"/>
          </w:tcPr>
          <w:p w14:paraId="07DD0BE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E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EB" w14:textId="77777777" w:rsidR="00AE727E" w:rsidRDefault="008433E0">
            <w:pPr>
              <w:jc w:val="right"/>
              <w:textAlignment w:val="bottom"/>
            </w:pPr>
            <w:r>
              <w:rPr>
                <w:rFonts w:ascii="Times New Roman" w:eastAsia="宋体" w:hAnsi="Times New Roman"/>
                <w:color w:val="000000"/>
                <w:sz w:val="19"/>
                <w:szCs w:val="19"/>
              </w:rPr>
              <w:t>10 </w:t>
            </w:r>
          </w:p>
        </w:tc>
        <w:tc>
          <w:tcPr>
            <w:tcW w:w="0" w:type="auto"/>
            <w:shd w:val="clear" w:color="auto" w:fill="CCEEFF"/>
            <w:tcMar>
              <w:top w:w="40" w:type="dxa"/>
              <w:left w:w="0" w:type="dxa"/>
              <w:bottom w:w="40" w:type="dxa"/>
              <w:right w:w="20" w:type="dxa"/>
            </w:tcMar>
            <w:vAlign w:val="bottom"/>
          </w:tcPr>
          <w:p w14:paraId="07DD0BE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E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EE" w14:textId="77777777" w:rsidR="00AE727E" w:rsidRDefault="008433E0">
            <w:pPr>
              <w:jc w:val="right"/>
              <w:textAlignment w:val="bottom"/>
            </w:pPr>
            <w:r>
              <w:rPr>
                <w:rFonts w:ascii="Times New Roman" w:eastAsia="宋体" w:hAnsi="Times New Roman"/>
                <w:color w:val="000000"/>
                <w:sz w:val="19"/>
                <w:szCs w:val="19"/>
              </w:rPr>
              <w:t>3,698 </w:t>
            </w:r>
          </w:p>
        </w:tc>
        <w:tc>
          <w:tcPr>
            <w:tcW w:w="0" w:type="auto"/>
            <w:shd w:val="clear" w:color="auto" w:fill="CCEEFF"/>
            <w:tcMar>
              <w:top w:w="40" w:type="dxa"/>
              <w:left w:w="0" w:type="dxa"/>
              <w:bottom w:w="40" w:type="dxa"/>
              <w:right w:w="20" w:type="dxa"/>
            </w:tcMar>
            <w:vAlign w:val="bottom"/>
          </w:tcPr>
          <w:p w14:paraId="07DD0BE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F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F1" w14:textId="77777777" w:rsidR="00AE727E" w:rsidRDefault="008433E0">
            <w:pPr>
              <w:jc w:val="right"/>
              <w:textAlignment w:val="bottom"/>
            </w:pPr>
            <w:r>
              <w:rPr>
                <w:rFonts w:ascii="Times New Roman" w:eastAsia="宋体" w:hAnsi="Times New Roman"/>
                <w:color w:val="000000"/>
                <w:sz w:val="19"/>
                <w:szCs w:val="19"/>
              </w:rPr>
              <w:t>60.3 </w:t>
            </w:r>
          </w:p>
        </w:tc>
        <w:tc>
          <w:tcPr>
            <w:tcW w:w="0" w:type="auto"/>
            <w:shd w:val="clear" w:color="auto" w:fill="CCEEFF"/>
            <w:tcMar>
              <w:top w:w="40" w:type="dxa"/>
              <w:left w:w="0" w:type="dxa"/>
              <w:bottom w:w="40" w:type="dxa"/>
              <w:right w:w="20" w:type="dxa"/>
            </w:tcMar>
            <w:vAlign w:val="bottom"/>
          </w:tcPr>
          <w:p w14:paraId="07DD0BF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F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F4" w14:textId="77777777" w:rsidR="00AE727E" w:rsidRDefault="008433E0">
            <w:pPr>
              <w:jc w:val="right"/>
              <w:textAlignment w:val="bottom"/>
            </w:pPr>
            <w:r>
              <w:rPr>
                <w:rFonts w:ascii="Times New Roman" w:eastAsia="宋体" w:hAnsi="Times New Roman"/>
                <w:color w:val="000000"/>
                <w:sz w:val="19"/>
                <w:szCs w:val="19"/>
              </w:rPr>
              <w:t>11,871 </w:t>
            </w:r>
          </w:p>
        </w:tc>
        <w:tc>
          <w:tcPr>
            <w:tcW w:w="0" w:type="auto"/>
            <w:shd w:val="clear" w:color="auto" w:fill="CCEEFF"/>
            <w:tcMar>
              <w:top w:w="40" w:type="dxa"/>
              <w:left w:w="0" w:type="dxa"/>
              <w:bottom w:w="40" w:type="dxa"/>
              <w:right w:w="20" w:type="dxa"/>
            </w:tcMar>
            <w:vAlign w:val="bottom"/>
          </w:tcPr>
          <w:p w14:paraId="07DD0BF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F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F7" w14:textId="77777777" w:rsidR="00AE727E" w:rsidRDefault="008433E0">
            <w:pPr>
              <w:jc w:val="right"/>
              <w:textAlignment w:val="bottom"/>
            </w:pPr>
            <w:r>
              <w:rPr>
                <w:rFonts w:ascii="Times New Roman" w:eastAsia="宋体" w:hAnsi="Times New Roman"/>
                <w:color w:val="000000"/>
                <w:sz w:val="19"/>
                <w:szCs w:val="19"/>
              </w:rPr>
              <w:t>59.3 </w:t>
            </w:r>
          </w:p>
        </w:tc>
        <w:tc>
          <w:tcPr>
            <w:tcW w:w="0" w:type="auto"/>
            <w:shd w:val="clear" w:color="auto" w:fill="CCEEFF"/>
            <w:tcMar>
              <w:top w:w="40" w:type="dxa"/>
              <w:left w:w="0" w:type="dxa"/>
              <w:bottom w:w="40" w:type="dxa"/>
              <w:right w:w="20" w:type="dxa"/>
            </w:tcMar>
            <w:vAlign w:val="bottom"/>
          </w:tcPr>
          <w:p w14:paraId="07DD0BF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F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FA" w14:textId="77777777" w:rsidR="00AE727E" w:rsidRDefault="008433E0">
            <w:pPr>
              <w:jc w:val="right"/>
              <w:textAlignment w:val="bottom"/>
            </w:pPr>
            <w:r>
              <w:rPr>
                <w:rFonts w:ascii="Times New Roman" w:eastAsia="宋体" w:hAnsi="Times New Roman"/>
                <w:color w:val="000000"/>
                <w:sz w:val="19"/>
                <w:szCs w:val="19"/>
              </w:rPr>
              <w:t>7 </w:t>
            </w:r>
          </w:p>
        </w:tc>
        <w:tc>
          <w:tcPr>
            <w:tcW w:w="0" w:type="auto"/>
            <w:shd w:val="clear" w:color="auto" w:fill="CCEEFF"/>
            <w:tcMar>
              <w:top w:w="40" w:type="dxa"/>
              <w:left w:w="0" w:type="dxa"/>
              <w:bottom w:w="40" w:type="dxa"/>
              <w:right w:w="20" w:type="dxa"/>
            </w:tcMar>
            <w:vAlign w:val="bottom"/>
          </w:tcPr>
          <w:p w14:paraId="07DD0BFB"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BF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BFD" w14:textId="77777777" w:rsidR="00AE727E" w:rsidRDefault="008433E0">
            <w:pPr>
              <w:jc w:val="right"/>
              <w:textAlignment w:val="bottom"/>
            </w:pPr>
            <w:r>
              <w:rPr>
                <w:rFonts w:ascii="Times New Roman" w:eastAsia="宋体" w:hAnsi="Times New Roman"/>
                <w:color w:val="000000"/>
                <w:sz w:val="19"/>
                <w:szCs w:val="19"/>
              </w:rPr>
              <w:t>11,066 </w:t>
            </w:r>
          </w:p>
        </w:tc>
        <w:tc>
          <w:tcPr>
            <w:tcW w:w="0" w:type="auto"/>
            <w:shd w:val="clear" w:color="auto" w:fill="CCEEFF"/>
            <w:tcMar>
              <w:top w:w="40" w:type="dxa"/>
              <w:left w:w="0" w:type="dxa"/>
              <w:bottom w:w="40" w:type="dxa"/>
              <w:right w:w="20" w:type="dxa"/>
            </w:tcMar>
            <w:vAlign w:val="bottom"/>
          </w:tcPr>
          <w:p w14:paraId="07DD0BF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BF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00" w14:textId="77777777" w:rsidR="00AE727E" w:rsidRDefault="008433E0">
            <w:pPr>
              <w:jc w:val="right"/>
              <w:textAlignment w:val="bottom"/>
            </w:pPr>
            <w:r>
              <w:rPr>
                <w:rFonts w:ascii="Times New Roman" w:eastAsia="宋体" w:hAnsi="Times New Roman"/>
                <w:color w:val="000000"/>
                <w:sz w:val="19"/>
                <w:szCs w:val="19"/>
              </w:rPr>
              <w:t>61.5 </w:t>
            </w:r>
          </w:p>
        </w:tc>
        <w:tc>
          <w:tcPr>
            <w:tcW w:w="0" w:type="auto"/>
            <w:shd w:val="clear" w:color="auto" w:fill="CCEEFF"/>
            <w:tcMar>
              <w:top w:w="40" w:type="dxa"/>
              <w:left w:w="0" w:type="dxa"/>
              <w:bottom w:w="40" w:type="dxa"/>
              <w:right w:w="20" w:type="dxa"/>
            </w:tcMar>
            <w:vAlign w:val="bottom"/>
          </w:tcPr>
          <w:p w14:paraId="07DD0C01"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25" w14:textId="77777777">
        <w:tc>
          <w:tcPr>
            <w:tcW w:w="0" w:type="auto"/>
            <w:gridSpan w:val="3"/>
            <w:shd w:val="clear" w:color="auto" w:fill="FFFFFF"/>
            <w:tcMar>
              <w:top w:w="40" w:type="dxa"/>
              <w:left w:w="155" w:type="dxa"/>
              <w:bottom w:w="40" w:type="dxa"/>
              <w:right w:w="20" w:type="dxa"/>
            </w:tcMar>
            <w:vAlign w:val="bottom"/>
          </w:tcPr>
          <w:p w14:paraId="07DD0C03" w14:textId="77777777" w:rsidR="00AE727E" w:rsidRDefault="008433E0">
            <w:pPr>
              <w:textAlignment w:val="bottom"/>
            </w:pPr>
            <w:r>
              <w:rPr>
                <w:rFonts w:ascii="Times New Roman" w:eastAsia="宋体" w:hAnsi="Times New Roman"/>
                <w:color w:val="000000"/>
                <w:sz w:val="19"/>
                <w:szCs w:val="19"/>
              </w:rPr>
              <w:t>Total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0C04"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C05" w14:textId="77777777" w:rsidR="00AE727E" w:rsidRDefault="008433E0">
            <w:pPr>
              <w:jc w:val="right"/>
              <w:textAlignment w:val="bottom"/>
            </w:pPr>
            <w:r>
              <w:rPr>
                <w:rFonts w:ascii="Times New Roman" w:eastAsia="宋体" w:hAnsi="Times New Roman"/>
                <w:color w:val="000000"/>
                <w:sz w:val="19"/>
                <w:szCs w:val="19"/>
              </w:rPr>
              <w:t>8,059 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C0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0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08" w14:textId="77777777" w:rsidR="00AE727E" w:rsidRDefault="008433E0">
            <w:pPr>
              <w:jc w:val="right"/>
              <w:textAlignment w:val="bottom"/>
            </w:pPr>
            <w:r>
              <w:rPr>
                <w:rFonts w:ascii="Times New Roman" w:eastAsia="宋体" w:hAnsi="Times New Roman"/>
                <w:color w:val="000000"/>
                <w:sz w:val="19"/>
                <w:szCs w:val="19"/>
              </w:rPr>
              <w:t>28.4 </w:t>
            </w:r>
          </w:p>
        </w:tc>
        <w:tc>
          <w:tcPr>
            <w:tcW w:w="0" w:type="auto"/>
            <w:shd w:val="clear" w:color="auto" w:fill="FFFFFF"/>
            <w:tcMar>
              <w:top w:w="40" w:type="dxa"/>
              <w:left w:w="0" w:type="dxa"/>
              <w:bottom w:w="40" w:type="dxa"/>
              <w:right w:w="20" w:type="dxa"/>
            </w:tcMar>
            <w:vAlign w:val="bottom"/>
          </w:tcPr>
          <w:p w14:paraId="07DD0C0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0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0B" w14:textId="77777777" w:rsidR="00AE727E" w:rsidRDefault="008433E0">
            <w:pPr>
              <w:jc w:val="right"/>
              <w:textAlignment w:val="bottom"/>
            </w:pPr>
            <w:r>
              <w:rPr>
                <w:rFonts w:ascii="Times New Roman" w:eastAsia="宋体" w:hAnsi="Times New Roman"/>
                <w:color w:val="000000"/>
                <w:sz w:val="19"/>
                <w:szCs w:val="19"/>
              </w:rPr>
              <w:t>11 </w:t>
            </w:r>
          </w:p>
        </w:tc>
        <w:tc>
          <w:tcPr>
            <w:tcW w:w="0" w:type="auto"/>
            <w:shd w:val="clear" w:color="auto" w:fill="FFFFFF"/>
            <w:tcMar>
              <w:top w:w="40" w:type="dxa"/>
              <w:left w:w="0" w:type="dxa"/>
              <w:bottom w:w="40" w:type="dxa"/>
              <w:right w:w="20" w:type="dxa"/>
            </w:tcMar>
            <w:vAlign w:val="bottom"/>
          </w:tcPr>
          <w:p w14:paraId="07DD0C0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0D"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C0E"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C0F" w14:textId="77777777" w:rsidR="00AE727E" w:rsidRDefault="008433E0">
            <w:pPr>
              <w:jc w:val="right"/>
              <w:textAlignment w:val="bottom"/>
            </w:pPr>
            <w:r>
              <w:rPr>
                <w:rFonts w:ascii="Times New Roman" w:eastAsia="宋体" w:hAnsi="Times New Roman"/>
                <w:color w:val="000000"/>
                <w:sz w:val="19"/>
                <w:szCs w:val="19"/>
              </w:rPr>
              <w:t>7,261 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C1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1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12" w14:textId="77777777" w:rsidR="00AE727E" w:rsidRDefault="008433E0">
            <w:pPr>
              <w:jc w:val="right"/>
              <w:textAlignment w:val="bottom"/>
            </w:pPr>
            <w:r>
              <w:rPr>
                <w:rFonts w:ascii="Times New Roman" w:eastAsia="宋体" w:hAnsi="Times New Roman"/>
                <w:color w:val="000000"/>
                <w:sz w:val="19"/>
                <w:szCs w:val="19"/>
              </w:rPr>
              <w:t>30.9 </w:t>
            </w:r>
          </w:p>
        </w:tc>
        <w:tc>
          <w:tcPr>
            <w:tcW w:w="0" w:type="auto"/>
            <w:shd w:val="clear" w:color="auto" w:fill="FFFFFF"/>
            <w:tcMar>
              <w:top w:w="40" w:type="dxa"/>
              <w:left w:w="0" w:type="dxa"/>
              <w:bottom w:w="40" w:type="dxa"/>
              <w:right w:w="20" w:type="dxa"/>
            </w:tcMar>
            <w:vAlign w:val="bottom"/>
          </w:tcPr>
          <w:p w14:paraId="07DD0C1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1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C15"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C16" w14:textId="77777777" w:rsidR="00AE727E" w:rsidRDefault="008433E0">
            <w:pPr>
              <w:jc w:val="right"/>
              <w:textAlignment w:val="bottom"/>
            </w:pPr>
            <w:r>
              <w:rPr>
                <w:rFonts w:ascii="Times New Roman" w:eastAsia="宋体" w:hAnsi="Times New Roman"/>
                <w:color w:val="000000"/>
                <w:sz w:val="19"/>
                <w:szCs w:val="19"/>
              </w:rPr>
              <w:t>23,702 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C1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1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19" w14:textId="77777777" w:rsidR="00AE727E" w:rsidRDefault="008433E0">
            <w:pPr>
              <w:jc w:val="right"/>
              <w:textAlignment w:val="bottom"/>
            </w:pPr>
            <w:r>
              <w:rPr>
                <w:rFonts w:ascii="Times New Roman" w:eastAsia="宋体" w:hAnsi="Times New Roman"/>
                <w:color w:val="000000"/>
                <w:sz w:val="19"/>
                <w:szCs w:val="19"/>
              </w:rPr>
              <w:t>30.0 </w:t>
            </w:r>
          </w:p>
        </w:tc>
        <w:tc>
          <w:tcPr>
            <w:tcW w:w="0" w:type="auto"/>
            <w:shd w:val="clear" w:color="auto" w:fill="FFFFFF"/>
            <w:tcMar>
              <w:top w:w="40" w:type="dxa"/>
              <w:left w:w="0" w:type="dxa"/>
              <w:bottom w:w="40" w:type="dxa"/>
              <w:right w:w="20" w:type="dxa"/>
            </w:tcMar>
            <w:vAlign w:val="bottom"/>
          </w:tcPr>
          <w:p w14:paraId="07DD0C1A"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1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1C" w14:textId="77777777" w:rsidR="00AE727E" w:rsidRDefault="008433E0">
            <w:pPr>
              <w:jc w:val="right"/>
              <w:textAlignment w:val="bottom"/>
            </w:pPr>
            <w:r>
              <w:rPr>
                <w:rFonts w:ascii="Times New Roman" w:eastAsia="宋体" w:hAnsi="Times New Roman"/>
                <w:color w:val="000000"/>
                <w:sz w:val="19"/>
                <w:szCs w:val="19"/>
              </w:rPr>
              <w:t>11 </w:t>
            </w:r>
          </w:p>
        </w:tc>
        <w:tc>
          <w:tcPr>
            <w:tcW w:w="0" w:type="auto"/>
            <w:shd w:val="clear" w:color="auto" w:fill="FFFFFF"/>
            <w:tcMar>
              <w:top w:w="40" w:type="dxa"/>
              <w:left w:w="0" w:type="dxa"/>
              <w:bottom w:w="40" w:type="dxa"/>
              <w:right w:w="20" w:type="dxa"/>
            </w:tcMar>
            <w:vAlign w:val="bottom"/>
          </w:tcPr>
          <w:p w14:paraId="07DD0C1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1E"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C1F"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C20" w14:textId="77777777" w:rsidR="00AE727E" w:rsidRDefault="008433E0">
            <w:pPr>
              <w:jc w:val="right"/>
              <w:textAlignment w:val="bottom"/>
            </w:pPr>
            <w:r>
              <w:rPr>
                <w:rFonts w:ascii="Times New Roman" w:eastAsia="宋体" w:hAnsi="Times New Roman"/>
                <w:color w:val="000000"/>
                <w:sz w:val="19"/>
                <w:szCs w:val="19"/>
              </w:rPr>
              <w:t>21,270 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C2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2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23" w14:textId="77777777" w:rsidR="00AE727E" w:rsidRDefault="008433E0">
            <w:pPr>
              <w:jc w:val="right"/>
              <w:textAlignment w:val="bottom"/>
            </w:pPr>
            <w:r>
              <w:rPr>
                <w:rFonts w:ascii="Times New Roman" w:eastAsia="宋体" w:hAnsi="Times New Roman"/>
                <w:color w:val="000000"/>
                <w:sz w:val="19"/>
                <w:szCs w:val="19"/>
              </w:rPr>
              <w:t>31.2 </w:t>
            </w:r>
          </w:p>
        </w:tc>
        <w:tc>
          <w:tcPr>
            <w:tcW w:w="0" w:type="auto"/>
            <w:shd w:val="clear" w:color="auto" w:fill="FFFFFF"/>
            <w:tcMar>
              <w:top w:w="40" w:type="dxa"/>
              <w:left w:w="0" w:type="dxa"/>
              <w:bottom w:w="40" w:type="dxa"/>
              <w:right w:w="20" w:type="dxa"/>
            </w:tcMar>
            <w:vAlign w:val="bottom"/>
          </w:tcPr>
          <w:p w14:paraId="07DD0C24"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48" w14:textId="77777777">
        <w:tc>
          <w:tcPr>
            <w:tcW w:w="0" w:type="auto"/>
            <w:gridSpan w:val="3"/>
            <w:shd w:val="clear" w:color="auto" w:fill="CCEEFF"/>
            <w:tcMar>
              <w:top w:w="40" w:type="dxa"/>
              <w:left w:w="20" w:type="dxa"/>
              <w:bottom w:w="40" w:type="dxa"/>
              <w:right w:w="20" w:type="dxa"/>
            </w:tcMar>
            <w:vAlign w:val="bottom"/>
          </w:tcPr>
          <w:p w14:paraId="07DD0C26" w14:textId="77777777" w:rsidR="00AE727E" w:rsidRDefault="008433E0">
            <w:pPr>
              <w:textAlignment w:val="bottom"/>
            </w:pPr>
            <w:r>
              <w:rPr>
                <w:rFonts w:ascii="Times New Roman" w:eastAsia="宋体" w:hAnsi="Times New Roman"/>
                <w:color w:val="000000"/>
                <w:sz w:val="19"/>
                <w:szCs w:val="19"/>
              </w:rPr>
              <w:t>Operating expenses</w:t>
            </w:r>
          </w:p>
        </w:tc>
        <w:tc>
          <w:tcPr>
            <w:tcW w:w="0" w:type="auto"/>
            <w:shd w:val="clear" w:color="auto" w:fill="CCEEFF"/>
            <w:tcMar>
              <w:top w:w="40" w:type="dxa"/>
              <w:left w:w="20" w:type="dxa"/>
              <w:bottom w:w="40" w:type="dxa"/>
              <w:right w:w="0" w:type="dxa"/>
            </w:tcMar>
            <w:vAlign w:val="bottom"/>
          </w:tcPr>
          <w:p w14:paraId="07DD0C27"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28" w14:textId="77777777" w:rsidR="00AE727E" w:rsidRDefault="008433E0">
            <w:pPr>
              <w:jc w:val="right"/>
              <w:textAlignment w:val="bottom"/>
            </w:pPr>
            <w:r>
              <w:rPr>
                <w:rFonts w:ascii="Times New Roman" w:eastAsia="宋体" w:hAnsi="Times New Roman"/>
                <w:color w:val="000000"/>
                <w:sz w:val="19"/>
                <w:szCs w:val="19"/>
              </w:rPr>
              <w:t>6,710 </w:t>
            </w:r>
          </w:p>
        </w:tc>
        <w:tc>
          <w:tcPr>
            <w:tcW w:w="0" w:type="auto"/>
            <w:shd w:val="clear" w:color="auto" w:fill="CCEEFF"/>
            <w:tcMar>
              <w:top w:w="40" w:type="dxa"/>
              <w:left w:w="0" w:type="dxa"/>
              <w:bottom w:w="40" w:type="dxa"/>
              <w:right w:w="20" w:type="dxa"/>
            </w:tcMar>
            <w:vAlign w:val="bottom"/>
          </w:tcPr>
          <w:p w14:paraId="07DD0C2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2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2B" w14:textId="77777777" w:rsidR="00AE727E" w:rsidRDefault="008433E0">
            <w:pPr>
              <w:jc w:val="right"/>
              <w:textAlignment w:val="bottom"/>
            </w:pPr>
            <w:r>
              <w:rPr>
                <w:rFonts w:ascii="Times New Roman" w:eastAsia="宋体" w:hAnsi="Times New Roman"/>
                <w:color w:val="000000"/>
                <w:sz w:val="19"/>
                <w:szCs w:val="19"/>
              </w:rPr>
              <w:t>23.6 </w:t>
            </w:r>
          </w:p>
        </w:tc>
        <w:tc>
          <w:tcPr>
            <w:tcW w:w="0" w:type="auto"/>
            <w:shd w:val="clear" w:color="auto" w:fill="CCEEFF"/>
            <w:tcMar>
              <w:top w:w="40" w:type="dxa"/>
              <w:left w:w="0" w:type="dxa"/>
              <w:bottom w:w="40" w:type="dxa"/>
              <w:right w:w="20" w:type="dxa"/>
            </w:tcMar>
            <w:vAlign w:val="bottom"/>
          </w:tcPr>
          <w:p w14:paraId="07DD0C2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2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2E" w14:textId="77777777" w:rsidR="00AE727E" w:rsidRDefault="008433E0">
            <w:pPr>
              <w:jc w:val="right"/>
              <w:textAlignment w:val="bottom"/>
            </w:pPr>
            <w:r>
              <w:rPr>
                <w:rFonts w:ascii="Times New Roman" w:eastAsia="宋体" w:hAnsi="Times New Roman"/>
                <w:color w:val="000000"/>
                <w:sz w:val="19"/>
                <w:szCs w:val="19"/>
              </w:rPr>
              <w:t>9 </w:t>
            </w:r>
          </w:p>
        </w:tc>
        <w:tc>
          <w:tcPr>
            <w:tcW w:w="0" w:type="auto"/>
            <w:shd w:val="clear" w:color="auto" w:fill="CCEEFF"/>
            <w:tcMar>
              <w:top w:w="40" w:type="dxa"/>
              <w:left w:w="0" w:type="dxa"/>
              <w:bottom w:w="40" w:type="dxa"/>
              <w:right w:w="20" w:type="dxa"/>
            </w:tcMar>
            <w:vAlign w:val="bottom"/>
          </w:tcPr>
          <w:p w14:paraId="07DD0C2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30"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31"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32" w14:textId="77777777" w:rsidR="00AE727E" w:rsidRDefault="008433E0">
            <w:pPr>
              <w:jc w:val="right"/>
              <w:textAlignment w:val="bottom"/>
            </w:pPr>
            <w:r>
              <w:rPr>
                <w:rFonts w:ascii="Times New Roman" w:eastAsia="宋体" w:hAnsi="Times New Roman"/>
                <w:color w:val="000000"/>
                <w:sz w:val="19"/>
                <w:szCs w:val="19"/>
              </w:rPr>
              <w:t>6,132 </w:t>
            </w:r>
          </w:p>
        </w:tc>
        <w:tc>
          <w:tcPr>
            <w:tcW w:w="0" w:type="auto"/>
            <w:shd w:val="clear" w:color="auto" w:fill="CCEEFF"/>
            <w:tcMar>
              <w:top w:w="40" w:type="dxa"/>
              <w:left w:w="0" w:type="dxa"/>
              <w:bottom w:w="40" w:type="dxa"/>
              <w:right w:w="20" w:type="dxa"/>
            </w:tcMar>
            <w:vAlign w:val="bottom"/>
          </w:tcPr>
          <w:p w14:paraId="07DD0C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35" w14:textId="77777777" w:rsidR="00AE727E" w:rsidRDefault="008433E0">
            <w:pPr>
              <w:jc w:val="right"/>
              <w:textAlignment w:val="bottom"/>
            </w:pPr>
            <w:r>
              <w:rPr>
                <w:rFonts w:ascii="Times New Roman" w:eastAsia="宋体" w:hAnsi="Times New Roman"/>
                <w:color w:val="000000"/>
                <w:sz w:val="19"/>
                <w:szCs w:val="19"/>
              </w:rPr>
              <w:t>26.1 </w:t>
            </w:r>
          </w:p>
        </w:tc>
        <w:tc>
          <w:tcPr>
            <w:tcW w:w="0" w:type="auto"/>
            <w:shd w:val="clear" w:color="auto" w:fill="CCEEFF"/>
            <w:tcMar>
              <w:top w:w="40" w:type="dxa"/>
              <w:left w:w="0" w:type="dxa"/>
              <w:bottom w:w="40" w:type="dxa"/>
              <w:right w:w="20" w:type="dxa"/>
            </w:tcMar>
            <w:vAlign w:val="bottom"/>
          </w:tcPr>
          <w:p w14:paraId="07DD0C3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37"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38"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39" w14:textId="77777777" w:rsidR="00AE727E" w:rsidRDefault="008433E0">
            <w:pPr>
              <w:jc w:val="right"/>
              <w:textAlignment w:val="bottom"/>
            </w:pPr>
            <w:r>
              <w:rPr>
                <w:rFonts w:ascii="Times New Roman" w:eastAsia="宋体" w:hAnsi="Times New Roman"/>
                <w:color w:val="000000"/>
                <w:sz w:val="19"/>
                <w:szCs w:val="19"/>
              </w:rPr>
              <w:t>19,606 </w:t>
            </w:r>
          </w:p>
        </w:tc>
        <w:tc>
          <w:tcPr>
            <w:tcW w:w="0" w:type="auto"/>
            <w:shd w:val="clear" w:color="auto" w:fill="CCEEFF"/>
            <w:tcMar>
              <w:top w:w="40" w:type="dxa"/>
              <w:left w:w="0" w:type="dxa"/>
              <w:bottom w:w="40" w:type="dxa"/>
              <w:right w:w="20" w:type="dxa"/>
            </w:tcMar>
            <w:vAlign w:val="bottom"/>
          </w:tcPr>
          <w:p w14:paraId="07DD0C3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3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3C" w14:textId="77777777" w:rsidR="00AE727E" w:rsidRDefault="008433E0">
            <w:pPr>
              <w:jc w:val="right"/>
              <w:textAlignment w:val="bottom"/>
            </w:pPr>
            <w:r>
              <w:rPr>
                <w:rFonts w:ascii="Times New Roman" w:eastAsia="宋体" w:hAnsi="Times New Roman"/>
                <w:color w:val="000000"/>
                <w:sz w:val="19"/>
                <w:szCs w:val="19"/>
              </w:rPr>
              <w:t>24.8 </w:t>
            </w:r>
          </w:p>
        </w:tc>
        <w:tc>
          <w:tcPr>
            <w:tcW w:w="0" w:type="auto"/>
            <w:shd w:val="clear" w:color="auto" w:fill="CCEEFF"/>
            <w:tcMar>
              <w:top w:w="40" w:type="dxa"/>
              <w:left w:w="0" w:type="dxa"/>
              <w:bottom w:w="40" w:type="dxa"/>
              <w:right w:w="20" w:type="dxa"/>
            </w:tcMar>
            <w:vAlign w:val="bottom"/>
          </w:tcPr>
          <w:p w14:paraId="07DD0C3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3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3F" w14:textId="77777777" w:rsidR="00AE727E" w:rsidRDefault="008433E0">
            <w:pPr>
              <w:jc w:val="right"/>
              <w:textAlignment w:val="bottom"/>
            </w:pPr>
            <w:r>
              <w:rPr>
                <w:rFonts w:ascii="Times New Roman" w:eastAsia="宋体" w:hAnsi="Times New Roman"/>
                <w:color w:val="000000"/>
                <w:sz w:val="19"/>
                <w:szCs w:val="19"/>
              </w:rPr>
              <w:t>7 </w:t>
            </w:r>
          </w:p>
        </w:tc>
        <w:tc>
          <w:tcPr>
            <w:tcW w:w="0" w:type="auto"/>
            <w:shd w:val="clear" w:color="auto" w:fill="CCEEFF"/>
            <w:tcMar>
              <w:top w:w="40" w:type="dxa"/>
              <w:left w:w="0" w:type="dxa"/>
              <w:bottom w:w="40" w:type="dxa"/>
              <w:right w:w="20" w:type="dxa"/>
            </w:tcMar>
            <w:vAlign w:val="bottom"/>
          </w:tcPr>
          <w:p w14:paraId="07DD0C4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41"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42"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43" w14:textId="77777777" w:rsidR="00AE727E" w:rsidRDefault="008433E0">
            <w:pPr>
              <w:jc w:val="right"/>
              <w:textAlignment w:val="bottom"/>
            </w:pPr>
            <w:r>
              <w:rPr>
                <w:rFonts w:ascii="Times New Roman" w:eastAsia="宋体" w:hAnsi="Times New Roman"/>
                <w:color w:val="000000"/>
                <w:sz w:val="19"/>
                <w:szCs w:val="19"/>
              </w:rPr>
              <w:t>18,303 </w:t>
            </w:r>
          </w:p>
        </w:tc>
        <w:tc>
          <w:tcPr>
            <w:tcW w:w="0" w:type="auto"/>
            <w:shd w:val="clear" w:color="auto" w:fill="CCEEFF"/>
            <w:tcMar>
              <w:top w:w="40" w:type="dxa"/>
              <w:left w:w="0" w:type="dxa"/>
              <w:bottom w:w="40" w:type="dxa"/>
              <w:right w:w="20" w:type="dxa"/>
            </w:tcMar>
            <w:vAlign w:val="bottom"/>
          </w:tcPr>
          <w:p w14:paraId="07DD0C4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4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46" w14:textId="77777777" w:rsidR="00AE727E" w:rsidRDefault="008433E0">
            <w:pPr>
              <w:jc w:val="right"/>
              <w:textAlignment w:val="bottom"/>
            </w:pPr>
            <w:r>
              <w:rPr>
                <w:rFonts w:ascii="Times New Roman" w:eastAsia="宋体" w:hAnsi="Times New Roman"/>
                <w:color w:val="000000"/>
                <w:sz w:val="19"/>
                <w:szCs w:val="19"/>
              </w:rPr>
              <w:t>26.9 </w:t>
            </w:r>
          </w:p>
        </w:tc>
        <w:tc>
          <w:tcPr>
            <w:tcW w:w="0" w:type="auto"/>
            <w:shd w:val="clear" w:color="auto" w:fill="CCEEFF"/>
            <w:tcMar>
              <w:top w:w="40" w:type="dxa"/>
              <w:left w:w="0" w:type="dxa"/>
              <w:bottom w:w="40" w:type="dxa"/>
              <w:right w:w="20" w:type="dxa"/>
            </w:tcMar>
            <w:vAlign w:val="bottom"/>
          </w:tcPr>
          <w:p w14:paraId="07DD0C47"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6B" w14:textId="77777777">
        <w:tc>
          <w:tcPr>
            <w:tcW w:w="0" w:type="auto"/>
            <w:gridSpan w:val="3"/>
            <w:shd w:val="clear" w:color="auto" w:fill="FFFFFF"/>
            <w:tcMar>
              <w:top w:w="40" w:type="dxa"/>
              <w:left w:w="20" w:type="dxa"/>
              <w:bottom w:w="40" w:type="dxa"/>
              <w:right w:w="20" w:type="dxa"/>
            </w:tcMar>
            <w:vAlign w:val="bottom"/>
          </w:tcPr>
          <w:p w14:paraId="07DD0C49" w14:textId="77777777" w:rsidR="00AE727E" w:rsidRDefault="008433E0">
            <w:pPr>
              <w:textAlignment w:val="bottom"/>
            </w:pPr>
            <w:r>
              <w:rPr>
                <w:rFonts w:ascii="Times New Roman" w:eastAsia="宋体" w:hAnsi="Times New Roman"/>
                <w:color w:val="000000"/>
                <w:sz w:val="19"/>
                <w:szCs w:val="19"/>
              </w:rPr>
              <w:t>Operating income</w:t>
            </w:r>
          </w:p>
        </w:tc>
        <w:tc>
          <w:tcPr>
            <w:tcW w:w="0" w:type="auto"/>
            <w:shd w:val="clear" w:color="auto" w:fill="FFFFFF"/>
            <w:tcMar>
              <w:top w:w="40" w:type="dxa"/>
              <w:left w:w="20" w:type="dxa"/>
              <w:bottom w:w="40" w:type="dxa"/>
              <w:right w:w="0" w:type="dxa"/>
            </w:tcMar>
            <w:vAlign w:val="bottom"/>
          </w:tcPr>
          <w:p w14:paraId="07DD0C4A"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4B" w14:textId="77777777" w:rsidR="00AE727E" w:rsidRDefault="008433E0">
            <w:pPr>
              <w:jc w:val="right"/>
              <w:textAlignment w:val="bottom"/>
            </w:pPr>
            <w:r>
              <w:rPr>
                <w:rFonts w:ascii="Times New Roman" w:eastAsia="宋体" w:hAnsi="Times New Roman"/>
                <w:color w:val="000000"/>
                <w:sz w:val="19"/>
                <w:szCs w:val="19"/>
              </w:rPr>
              <w:t>1,349 </w:t>
            </w:r>
          </w:p>
        </w:tc>
        <w:tc>
          <w:tcPr>
            <w:tcW w:w="0" w:type="auto"/>
            <w:shd w:val="clear" w:color="auto" w:fill="FFFFFF"/>
            <w:tcMar>
              <w:top w:w="40" w:type="dxa"/>
              <w:left w:w="0" w:type="dxa"/>
              <w:bottom w:w="40" w:type="dxa"/>
              <w:right w:w="20" w:type="dxa"/>
            </w:tcMar>
            <w:vAlign w:val="bottom"/>
          </w:tcPr>
          <w:p w14:paraId="07DD0C4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4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4E" w14:textId="77777777" w:rsidR="00AE727E" w:rsidRDefault="008433E0">
            <w:pPr>
              <w:jc w:val="right"/>
              <w:textAlignment w:val="bottom"/>
            </w:pPr>
            <w:r>
              <w:rPr>
                <w:rFonts w:ascii="Times New Roman" w:eastAsia="宋体" w:hAnsi="Times New Roman"/>
                <w:color w:val="000000"/>
                <w:sz w:val="19"/>
                <w:szCs w:val="19"/>
              </w:rPr>
              <w:t>4.8 </w:t>
            </w:r>
          </w:p>
        </w:tc>
        <w:tc>
          <w:tcPr>
            <w:tcW w:w="0" w:type="auto"/>
            <w:shd w:val="clear" w:color="auto" w:fill="FFFFFF"/>
            <w:tcMar>
              <w:top w:w="40" w:type="dxa"/>
              <w:left w:w="0" w:type="dxa"/>
              <w:bottom w:w="40" w:type="dxa"/>
              <w:right w:w="20" w:type="dxa"/>
            </w:tcMar>
            <w:vAlign w:val="bottom"/>
          </w:tcPr>
          <w:p w14:paraId="07DD0C4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5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51" w14:textId="77777777" w:rsidR="00AE727E" w:rsidRDefault="008433E0">
            <w:pPr>
              <w:jc w:val="right"/>
              <w:textAlignment w:val="bottom"/>
            </w:pPr>
            <w:r>
              <w:rPr>
                <w:rFonts w:ascii="Times New Roman" w:eastAsia="宋体" w:hAnsi="Times New Roman"/>
                <w:color w:val="000000"/>
                <w:sz w:val="19"/>
                <w:szCs w:val="19"/>
              </w:rPr>
              <w:t>19 </w:t>
            </w:r>
          </w:p>
        </w:tc>
        <w:tc>
          <w:tcPr>
            <w:tcW w:w="0" w:type="auto"/>
            <w:shd w:val="clear" w:color="auto" w:fill="FFFFFF"/>
            <w:tcMar>
              <w:top w:w="40" w:type="dxa"/>
              <w:left w:w="0" w:type="dxa"/>
              <w:bottom w:w="40" w:type="dxa"/>
              <w:right w:w="20" w:type="dxa"/>
            </w:tcMar>
            <w:vAlign w:val="bottom"/>
          </w:tcPr>
          <w:p w14:paraId="07DD0C5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53"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54"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55" w14:textId="77777777" w:rsidR="00AE727E" w:rsidRDefault="008433E0">
            <w:pPr>
              <w:jc w:val="right"/>
              <w:textAlignment w:val="bottom"/>
            </w:pPr>
            <w:r>
              <w:rPr>
                <w:rFonts w:ascii="Times New Roman" w:eastAsia="宋体" w:hAnsi="Times New Roman"/>
                <w:color w:val="000000"/>
                <w:sz w:val="19"/>
                <w:szCs w:val="19"/>
              </w:rPr>
              <w:t>1,129 </w:t>
            </w:r>
          </w:p>
        </w:tc>
        <w:tc>
          <w:tcPr>
            <w:tcW w:w="0" w:type="auto"/>
            <w:shd w:val="clear" w:color="auto" w:fill="FFFFFF"/>
            <w:tcMar>
              <w:top w:w="40" w:type="dxa"/>
              <w:left w:w="0" w:type="dxa"/>
              <w:bottom w:w="40" w:type="dxa"/>
              <w:right w:w="20" w:type="dxa"/>
            </w:tcMar>
            <w:vAlign w:val="bottom"/>
          </w:tcPr>
          <w:p w14:paraId="07DD0C5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5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58" w14:textId="77777777" w:rsidR="00AE727E" w:rsidRDefault="008433E0">
            <w:pPr>
              <w:jc w:val="right"/>
              <w:textAlignment w:val="bottom"/>
            </w:pPr>
            <w:r>
              <w:rPr>
                <w:rFonts w:ascii="Times New Roman" w:eastAsia="宋体" w:hAnsi="Times New Roman"/>
                <w:color w:val="000000"/>
                <w:sz w:val="19"/>
                <w:szCs w:val="19"/>
              </w:rPr>
              <w:t>4.8 </w:t>
            </w:r>
          </w:p>
        </w:tc>
        <w:tc>
          <w:tcPr>
            <w:tcW w:w="0" w:type="auto"/>
            <w:shd w:val="clear" w:color="auto" w:fill="FFFFFF"/>
            <w:tcMar>
              <w:top w:w="40" w:type="dxa"/>
              <w:left w:w="0" w:type="dxa"/>
              <w:bottom w:w="40" w:type="dxa"/>
              <w:right w:w="20" w:type="dxa"/>
            </w:tcMar>
            <w:vAlign w:val="bottom"/>
          </w:tcPr>
          <w:p w14:paraId="07DD0C5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5A"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5B"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5C" w14:textId="77777777" w:rsidR="00AE727E" w:rsidRDefault="008433E0">
            <w:pPr>
              <w:jc w:val="right"/>
              <w:textAlignment w:val="bottom"/>
            </w:pPr>
            <w:r>
              <w:rPr>
                <w:rFonts w:ascii="Times New Roman" w:eastAsia="宋体" w:hAnsi="Times New Roman"/>
                <w:color w:val="000000"/>
                <w:sz w:val="19"/>
                <w:szCs w:val="19"/>
              </w:rPr>
              <w:t>4,096 </w:t>
            </w:r>
          </w:p>
        </w:tc>
        <w:tc>
          <w:tcPr>
            <w:tcW w:w="0" w:type="auto"/>
            <w:shd w:val="clear" w:color="auto" w:fill="FFFFFF"/>
            <w:tcMar>
              <w:top w:w="40" w:type="dxa"/>
              <w:left w:w="0" w:type="dxa"/>
              <w:bottom w:w="40" w:type="dxa"/>
              <w:right w:w="20" w:type="dxa"/>
            </w:tcMar>
            <w:vAlign w:val="bottom"/>
          </w:tcPr>
          <w:p w14:paraId="07DD0C5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5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5F" w14:textId="77777777" w:rsidR="00AE727E" w:rsidRDefault="008433E0">
            <w:pPr>
              <w:jc w:val="right"/>
              <w:textAlignment w:val="bottom"/>
            </w:pPr>
            <w:r>
              <w:rPr>
                <w:rFonts w:ascii="Times New Roman" w:eastAsia="宋体" w:hAnsi="Times New Roman"/>
                <w:color w:val="000000"/>
                <w:sz w:val="19"/>
                <w:szCs w:val="19"/>
              </w:rPr>
              <w:t>5.2 </w:t>
            </w:r>
          </w:p>
        </w:tc>
        <w:tc>
          <w:tcPr>
            <w:tcW w:w="0" w:type="auto"/>
            <w:shd w:val="clear" w:color="auto" w:fill="FFFFFF"/>
            <w:tcMar>
              <w:top w:w="40" w:type="dxa"/>
              <w:left w:w="0" w:type="dxa"/>
              <w:bottom w:w="40" w:type="dxa"/>
              <w:right w:w="20" w:type="dxa"/>
            </w:tcMar>
            <w:vAlign w:val="bottom"/>
          </w:tcPr>
          <w:p w14:paraId="07DD0C6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6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62" w14:textId="77777777" w:rsidR="00AE727E" w:rsidRDefault="008433E0">
            <w:pPr>
              <w:jc w:val="right"/>
              <w:textAlignment w:val="bottom"/>
            </w:pPr>
            <w:r>
              <w:rPr>
                <w:rFonts w:ascii="Times New Roman" w:eastAsia="宋体" w:hAnsi="Times New Roman"/>
                <w:color w:val="000000"/>
                <w:sz w:val="19"/>
                <w:szCs w:val="19"/>
              </w:rPr>
              <w:t>38 </w:t>
            </w:r>
          </w:p>
        </w:tc>
        <w:tc>
          <w:tcPr>
            <w:tcW w:w="0" w:type="auto"/>
            <w:shd w:val="clear" w:color="auto" w:fill="FFFFFF"/>
            <w:tcMar>
              <w:top w:w="40" w:type="dxa"/>
              <w:left w:w="0" w:type="dxa"/>
              <w:bottom w:w="40" w:type="dxa"/>
              <w:right w:w="20" w:type="dxa"/>
            </w:tcMar>
            <w:vAlign w:val="bottom"/>
          </w:tcPr>
          <w:p w14:paraId="07DD0C6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6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65"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66" w14:textId="77777777" w:rsidR="00AE727E" w:rsidRDefault="008433E0">
            <w:pPr>
              <w:jc w:val="right"/>
              <w:textAlignment w:val="bottom"/>
            </w:pPr>
            <w:r>
              <w:rPr>
                <w:rFonts w:ascii="Times New Roman" w:eastAsia="宋体" w:hAnsi="Times New Roman"/>
                <w:color w:val="000000"/>
                <w:sz w:val="19"/>
                <w:szCs w:val="19"/>
              </w:rPr>
              <w:t>2,967 </w:t>
            </w:r>
          </w:p>
        </w:tc>
        <w:tc>
          <w:tcPr>
            <w:tcW w:w="0" w:type="auto"/>
            <w:shd w:val="clear" w:color="auto" w:fill="FFFFFF"/>
            <w:tcMar>
              <w:top w:w="40" w:type="dxa"/>
              <w:left w:w="0" w:type="dxa"/>
              <w:bottom w:w="40" w:type="dxa"/>
              <w:right w:w="20" w:type="dxa"/>
            </w:tcMar>
            <w:vAlign w:val="bottom"/>
          </w:tcPr>
          <w:p w14:paraId="07DD0C6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6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69" w14:textId="77777777" w:rsidR="00AE727E" w:rsidRDefault="008433E0">
            <w:pPr>
              <w:jc w:val="right"/>
              <w:textAlignment w:val="bottom"/>
            </w:pPr>
            <w:r>
              <w:rPr>
                <w:rFonts w:ascii="Times New Roman" w:eastAsia="宋体" w:hAnsi="Times New Roman"/>
                <w:color w:val="000000"/>
                <w:sz w:val="19"/>
                <w:szCs w:val="19"/>
              </w:rPr>
              <w:t>4.4 </w:t>
            </w:r>
          </w:p>
        </w:tc>
        <w:tc>
          <w:tcPr>
            <w:tcW w:w="0" w:type="auto"/>
            <w:shd w:val="clear" w:color="auto" w:fill="FFFFFF"/>
            <w:tcMar>
              <w:top w:w="40" w:type="dxa"/>
              <w:left w:w="0" w:type="dxa"/>
              <w:bottom w:w="40" w:type="dxa"/>
              <w:right w:w="20" w:type="dxa"/>
            </w:tcMar>
            <w:vAlign w:val="bottom"/>
          </w:tcPr>
          <w:p w14:paraId="07DD0C6A"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8E" w14:textId="77777777">
        <w:tc>
          <w:tcPr>
            <w:tcW w:w="0" w:type="auto"/>
            <w:gridSpan w:val="3"/>
            <w:shd w:val="clear" w:color="auto" w:fill="CCEEFF"/>
            <w:tcMar>
              <w:top w:w="40" w:type="dxa"/>
              <w:left w:w="20" w:type="dxa"/>
              <w:bottom w:w="40" w:type="dxa"/>
              <w:right w:w="20" w:type="dxa"/>
            </w:tcMar>
            <w:vAlign w:val="bottom"/>
          </w:tcPr>
          <w:p w14:paraId="07DD0C6C" w14:textId="77777777" w:rsidR="00AE727E" w:rsidRDefault="008433E0">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07DD0C6D"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6E" w14:textId="77777777" w:rsidR="00AE727E" w:rsidRDefault="008433E0">
            <w:pPr>
              <w:jc w:val="right"/>
              <w:textAlignment w:val="bottom"/>
            </w:pPr>
            <w:r>
              <w:rPr>
                <w:rFonts w:ascii="Times New Roman" w:eastAsia="宋体" w:hAnsi="Times New Roman"/>
                <w:color w:val="000000"/>
                <w:sz w:val="19"/>
                <w:szCs w:val="19"/>
              </w:rPr>
              <w:t>3,888 </w:t>
            </w:r>
          </w:p>
        </w:tc>
        <w:tc>
          <w:tcPr>
            <w:tcW w:w="0" w:type="auto"/>
            <w:shd w:val="clear" w:color="auto" w:fill="CCEEFF"/>
            <w:tcMar>
              <w:top w:w="40" w:type="dxa"/>
              <w:left w:w="0" w:type="dxa"/>
              <w:bottom w:w="40" w:type="dxa"/>
              <w:right w:w="20" w:type="dxa"/>
            </w:tcMar>
            <w:vAlign w:val="bottom"/>
          </w:tcPr>
          <w:p w14:paraId="07DD0C6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7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71" w14:textId="77777777" w:rsidR="00AE727E" w:rsidRDefault="008433E0">
            <w:pPr>
              <w:jc w:val="right"/>
              <w:textAlignment w:val="bottom"/>
            </w:pPr>
            <w:r>
              <w:rPr>
                <w:rFonts w:ascii="Times New Roman" w:eastAsia="宋体" w:hAnsi="Times New Roman"/>
                <w:color w:val="000000"/>
                <w:sz w:val="19"/>
                <w:szCs w:val="19"/>
              </w:rPr>
              <w:t>13.7 </w:t>
            </w:r>
          </w:p>
        </w:tc>
        <w:tc>
          <w:tcPr>
            <w:tcW w:w="0" w:type="auto"/>
            <w:shd w:val="clear" w:color="auto" w:fill="CCEEFF"/>
            <w:tcMar>
              <w:top w:w="40" w:type="dxa"/>
              <w:left w:w="0" w:type="dxa"/>
              <w:bottom w:w="40" w:type="dxa"/>
              <w:right w:w="20" w:type="dxa"/>
            </w:tcMar>
            <w:vAlign w:val="bottom"/>
          </w:tcPr>
          <w:p w14:paraId="07DD0C7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7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74" w14:textId="77777777" w:rsidR="00AE727E" w:rsidRDefault="008433E0">
            <w:pPr>
              <w:jc w:val="right"/>
              <w:textAlignment w:val="bottom"/>
            </w:pPr>
            <w:r>
              <w:rPr>
                <w:rFonts w:ascii="Times New Roman" w:eastAsia="宋体" w:hAnsi="Times New Roman"/>
                <w:color w:val="000000"/>
                <w:sz w:val="19"/>
                <w:szCs w:val="19"/>
              </w:rPr>
              <w:t>341 </w:t>
            </w:r>
          </w:p>
        </w:tc>
        <w:tc>
          <w:tcPr>
            <w:tcW w:w="0" w:type="auto"/>
            <w:shd w:val="clear" w:color="auto" w:fill="CCEEFF"/>
            <w:tcMar>
              <w:top w:w="40" w:type="dxa"/>
              <w:left w:w="0" w:type="dxa"/>
              <w:bottom w:w="40" w:type="dxa"/>
              <w:right w:w="20" w:type="dxa"/>
            </w:tcMar>
            <w:vAlign w:val="bottom"/>
          </w:tcPr>
          <w:p w14:paraId="07DD0C7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76"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77"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78" w14:textId="77777777" w:rsidR="00AE727E" w:rsidRDefault="008433E0">
            <w:pPr>
              <w:jc w:val="right"/>
              <w:textAlignment w:val="bottom"/>
            </w:pPr>
            <w:r>
              <w:rPr>
                <w:rFonts w:ascii="Times New Roman" w:eastAsia="宋体" w:hAnsi="Times New Roman"/>
                <w:color w:val="000000"/>
                <w:sz w:val="19"/>
                <w:szCs w:val="19"/>
              </w:rPr>
              <w:t>881 </w:t>
            </w:r>
          </w:p>
        </w:tc>
        <w:tc>
          <w:tcPr>
            <w:tcW w:w="0" w:type="auto"/>
            <w:shd w:val="clear" w:color="auto" w:fill="CCEEFF"/>
            <w:tcMar>
              <w:top w:w="40" w:type="dxa"/>
              <w:left w:w="0" w:type="dxa"/>
              <w:bottom w:w="40" w:type="dxa"/>
              <w:right w:w="20" w:type="dxa"/>
            </w:tcMar>
            <w:vAlign w:val="bottom"/>
          </w:tcPr>
          <w:p w14:paraId="07DD0C7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7B" w14:textId="77777777" w:rsidR="00AE727E" w:rsidRDefault="008433E0">
            <w:pPr>
              <w:jc w:val="right"/>
              <w:textAlignment w:val="bottom"/>
            </w:pPr>
            <w:r>
              <w:rPr>
                <w:rFonts w:ascii="Times New Roman" w:eastAsia="宋体" w:hAnsi="Times New Roman"/>
                <w:color w:val="000000"/>
                <w:sz w:val="19"/>
                <w:szCs w:val="19"/>
              </w:rPr>
              <w:t>3.8 </w:t>
            </w:r>
          </w:p>
        </w:tc>
        <w:tc>
          <w:tcPr>
            <w:tcW w:w="0" w:type="auto"/>
            <w:shd w:val="clear" w:color="auto" w:fill="CCEEFF"/>
            <w:tcMar>
              <w:top w:w="40" w:type="dxa"/>
              <w:left w:w="0" w:type="dxa"/>
              <w:bottom w:w="40" w:type="dxa"/>
              <w:right w:w="20" w:type="dxa"/>
            </w:tcMar>
            <w:vAlign w:val="bottom"/>
          </w:tcPr>
          <w:p w14:paraId="07DD0C7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7D"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7E"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7F" w14:textId="77777777" w:rsidR="00AE727E" w:rsidRDefault="008433E0">
            <w:pPr>
              <w:jc w:val="right"/>
              <w:textAlignment w:val="bottom"/>
            </w:pPr>
            <w:r>
              <w:rPr>
                <w:rFonts w:ascii="Times New Roman" w:eastAsia="宋体" w:hAnsi="Times New Roman"/>
                <w:color w:val="000000"/>
                <w:sz w:val="19"/>
                <w:szCs w:val="19"/>
              </w:rPr>
              <w:t>5,706 </w:t>
            </w:r>
          </w:p>
        </w:tc>
        <w:tc>
          <w:tcPr>
            <w:tcW w:w="0" w:type="auto"/>
            <w:shd w:val="clear" w:color="auto" w:fill="CCEEFF"/>
            <w:tcMar>
              <w:top w:w="40" w:type="dxa"/>
              <w:left w:w="0" w:type="dxa"/>
              <w:bottom w:w="40" w:type="dxa"/>
              <w:right w:w="20" w:type="dxa"/>
            </w:tcMar>
            <w:vAlign w:val="bottom"/>
          </w:tcPr>
          <w:p w14:paraId="07DD0C8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8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82" w14:textId="77777777" w:rsidR="00AE727E" w:rsidRDefault="008433E0">
            <w:pPr>
              <w:jc w:val="right"/>
              <w:textAlignment w:val="bottom"/>
            </w:pPr>
            <w:r>
              <w:rPr>
                <w:rFonts w:ascii="Times New Roman" w:eastAsia="宋体" w:hAnsi="Times New Roman"/>
                <w:color w:val="000000"/>
                <w:sz w:val="19"/>
                <w:szCs w:val="19"/>
              </w:rPr>
              <w:t>7.2 </w:t>
            </w:r>
          </w:p>
        </w:tc>
        <w:tc>
          <w:tcPr>
            <w:tcW w:w="0" w:type="auto"/>
            <w:shd w:val="clear" w:color="auto" w:fill="CCEEFF"/>
            <w:tcMar>
              <w:top w:w="40" w:type="dxa"/>
              <w:left w:w="0" w:type="dxa"/>
              <w:bottom w:w="40" w:type="dxa"/>
              <w:right w:w="20" w:type="dxa"/>
            </w:tcMar>
            <w:vAlign w:val="bottom"/>
          </w:tcPr>
          <w:p w14:paraId="07DD0C8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8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85" w14:textId="77777777" w:rsidR="00AE727E" w:rsidRDefault="008433E0">
            <w:pPr>
              <w:jc w:val="right"/>
              <w:textAlignment w:val="bottom"/>
            </w:pPr>
            <w:r>
              <w:rPr>
                <w:rFonts w:ascii="Times New Roman" w:eastAsia="宋体" w:hAnsi="Times New Roman"/>
                <w:color w:val="000000"/>
                <w:sz w:val="19"/>
                <w:szCs w:val="19"/>
              </w:rPr>
              <w:t>164 </w:t>
            </w:r>
          </w:p>
        </w:tc>
        <w:tc>
          <w:tcPr>
            <w:tcW w:w="0" w:type="auto"/>
            <w:shd w:val="clear" w:color="auto" w:fill="CCEEFF"/>
            <w:tcMar>
              <w:top w:w="40" w:type="dxa"/>
              <w:left w:w="0" w:type="dxa"/>
              <w:bottom w:w="40" w:type="dxa"/>
              <w:right w:w="20" w:type="dxa"/>
            </w:tcMar>
            <w:vAlign w:val="bottom"/>
          </w:tcPr>
          <w:p w14:paraId="07DD0C8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C87"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C88"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C89" w14:textId="77777777" w:rsidR="00AE727E" w:rsidRDefault="008433E0">
            <w:pPr>
              <w:jc w:val="right"/>
              <w:textAlignment w:val="bottom"/>
            </w:pPr>
            <w:r>
              <w:rPr>
                <w:rFonts w:ascii="Times New Roman" w:eastAsia="宋体" w:hAnsi="Times New Roman"/>
                <w:color w:val="000000"/>
                <w:sz w:val="19"/>
                <w:szCs w:val="19"/>
              </w:rPr>
              <w:t>2,162 </w:t>
            </w:r>
          </w:p>
        </w:tc>
        <w:tc>
          <w:tcPr>
            <w:tcW w:w="0" w:type="auto"/>
            <w:shd w:val="clear" w:color="auto" w:fill="CCEEFF"/>
            <w:tcMar>
              <w:top w:w="40" w:type="dxa"/>
              <w:left w:w="0" w:type="dxa"/>
              <w:bottom w:w="40" w:type="dxa"/>
              <w:right w:w="20" w:type="dxa"/>
            </w:tcMar>
            <w:vAlign w:val="bottom"/>
          </w:tcPr>
          <w:p w14:paraId="07DD0C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C8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C8C" w14:textId="77777777" w:rsidR="00AE727E" w:rsidRDefault="008433E0">
            <w:pPr>
              <w:jc w:val="right"/>
              <w:textAlignment w:val="bottom"/>
            </w:pPr>
            <w:r>
              <w:rPr>
                <w:rFonts w:ascii="Times New Roman" w:eastAsia="宋体" w:hAnsi="Times New Roman"/>
                <w:color w:val="000000"/>
                <w:sz w:val="19"/>
                <w:szCs w:val="19"/>
              </w:rPr>
              <w:t>3.2 </w:t>
            </w:r>
          </w:p>
        </w:tc>
        <w:tc>
          <w:tcPr>
            <w:tcW w:w="0" w:type="auto"/>
            <w:shd w:val="clear" w:color="auto" w:fill="CCEEFF"/>
            <w:tcMar>
              <w:top w:w="40" w:type="dxa"/>
              <w:left w:w="0" w:type="dxa"/>
              <w:bottom w:w="40" w:type="dxa"/>
              <w:right w:w="20" w:type="dxa"/>
            </w:tcMar>
            <w:vAlign w:val="bottom"/>
          </w:tcPr>
          <w:p w14:paraId="07DD0C8D"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CB1" w14:textId="77777777">
        <w:tc>
          <w:tcPr>
            <w:tcW w:w="0" w:type="auto"/>
            <w:gridSpan w:val="3"/>
            <w:shd w:val="clear" w:color="auto" w:fill="FFFFFF"/>
            <w:tcMar>
              <w:top w:w="40" w:type="dxa"/>
              <w:left w:w="20" w:type="dxa"/>
              <w:bottom w:w="40" w:type="dxa"/>
              <w:right w:w="20" w:type="dxa"/>
            </w:tcMar>
            <w:vAlign w:val="bottom"/>
          </w:tcPr>
          <w:p w14:paraId="07DD0C8F" w14:textId="77777777" w:rsidR="00AE727E" w:rsidRDefault="008433E0">
            <w:pPr>
              <w:textAlignment w:val="bottom"/>
            </w:pPr>
            <w:r>
              <w:rPr>
                <w:rFonts w:ascii="Times New Roman" w:eastAsia="宋体" w:hAnsi="Times New Roman"/>
                <w:color w:val="000000"/>
                <w:sz w:val="19"/>
                <w:szCs w:val="19"/>
              </w:rPr>
              <w:t>Net income attributable to Dell Technologies Inc.</w:t>
            </w:r>
          </w:p>
        </w:tc>
        <w:tc>
          <w:tcPr>
            <w:tcW w:w="0" w:type="auto"/>
            <w:shd w:val="clear" w:color="auto" w:fill="FFFFFF"/>
            <w:tcMar>
              <w:top w:w="40" w:type="dxa"/>
              <w:left w:w="20" w:type="dxa"/>
              <w:bottom w:w="40" w:type="dxa"/>
              <w:right w:w="0" w:type="dxa"/>
            </w:tcMar>
            <w:vAlign w:val="bottom"/>
          </w:tcPr>
          <w:p w14:paraId="07DD0C90"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91" w14:textId="77777777" w:rsidR="00AE727E" w:rsidRDefault="008433E0">
            <w:pPr>
              <w:jc w:val="right"/>
              <w:textAlignment w:val="bottom"/>
            </w:pPr>
            <w:r>
              <w:rPr>
                <w:rFonts w:ascii="Times New Roman" w:eastAsia="宋体" w:hAnsi="Times New Roman"/>
                <w:color w:val="000000"/>
                <w:sz w:val="19"/>
                <w:szCs w:val="19"/>
              </w:rPr>
              <w:t>3,843 </w:t>
            </w:r>
          </w:p>
        </w:tc>
        <w:tc>
          <w:tcPr>
            <w:tcW w:w="0" w:type="auto"/>
            <w:shd w:val="clear" w:color="auto" w:fill="FFFFFF"/>
            <w:tcMar>
              <w:top w:w="40" w:type="dxa"/>
              <w:left w:w="0" w:type="dxa"/>
              <w:bottom w:w="40" w:type="dxa"/>
              <w:right w:w="20" w:type="dxa"/>
            </w:tcMar>
            <w:vAlign w:val="bottom"/>
          </w:tcPr>
          <w:p w14:paraId="07DD0C9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9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94" w14:textId="77777777" w:rsidR="00AE727E" w:rsidRDefault="008433E0">
            <w:pPr>
              <w:jc w:val="right"/>
              <w:textAlignment w:val="bottom"/>
            </w:pPr>
            <w:r>
              <w:rPr>
                <w:rFonts w:ascii="Times New Roman" w:eastAsia="宋体" w:hAnsi="Times New Roman"/>
                <w:color w:val="000000"/>
                <w:sz w:val="19"/>
                <w:szCs w:val="19"/>
              </w:rPr>
              <w:t>13.5 </w:t>
            </w:r>
          </w:p>
        </w:tc>
        <w:tc>
          <w:tcPr>
            <w:tcW w:w="0" w:type="auto"/>
            <w:shd w:val="clear" w:color="auto" w:fill="FFFFFF"/>
            <w:tcMar>
              <w:top w:w="40" w:type="dxa"/>
              <w:left w:w="0" w:type="dxa"/>
              <w:bottom w:w="40" w:type="dxa"/>
              <w:right w:w="20" w:type="dxa"/>
            </w:tcMar>
            <w:vAlign w:val="bottom"/>
          </w:tcPr>
          <w:p w14:paraId="07DD0C9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9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97" w14:textId="77777777" w:rsidR="00AE727E" w:rsidRDefault="008433E0">
            <w:pPr>
              <w:jc w:val="right"/>
              <w:textAlignment w:val="bottom"/>
            </w:pPr>
            <w:r>
              <w:rPr>
                <w:rFonts w:ascii="Times New Roman" w:eastAsia="宋体" w:hAnsi="Times New Roman"/>
                <w:color w:val="000000"/>
                <w:sz w:val="19"/>
                <w:szCs w:val="19"/>
              </w:rPr>
              <w:t>362 </w:t>
            </w:r>
          </w:p>
        </w:tc>
        <w:tc>
          <w:tcPr>
            <w:tcW w:w="0" w:type="auto"/>
            <w:shd w:val="clear" w:color="auto" w:fill="FFFFFF"/>
            <w:tcMar>
              <w:top w:w="40" w:type="dxa"/>
              <w:left w:w="0" w:type="dxa"/>
              <w:bottom w:w="40" w:type="dxa"/>
              <w:right w:w="20" w:type="dxa"/>
            </w:tcMar>
            <w:vAlign w:val="bottom"/>
          </w:tcPr>
          <w:p w14:paraId="07DD0C9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9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9A"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9B" w14:textId="77777777" w:rsidR="00AE727E" w:rsidRDefault="008433E0">
            <w:pPr>
              <w:jc w:val="right"/>
              <w:textAlignment w:val="bottom"/>
            </w:pPr>
            <w:r>
              <w:rPr>
                <w:rFonts w:ascii="Times New Roman" w:eastAsia="宋体" w:hAnsi="Times New Roman"/>
                <w:color w:val="000000"/>
                <w:sz w:val="19"/>
                <w:szCs w:val="19"/>
              </w:rPr>
              <w:t>832 </w:t>
            </w:r>
          </w:p>
        </w:tc>
        <w:tc>
          <w:tcPr>
            <w:tcW w:w="0" w:type="auto"/>
            <w:shd w:val="clear" w:color="auto" w:fill="FFFFFF"/>
            <w:tcMar>
              <w:top w:w="40" w:type="dxa"/>
              <w:left w:w="0" w:type="dxa"/>
              <w:bottom w:w="40" w:type="dxa"/>
              <w:right w:w="20" w:type="dxa"/>
            </w:tcMar>
            <w:vAlign w:val="bottom"/>
          </w:tcPr>
          <w:p w14:paraId="07DD0C9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9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9E" w14:textId="77777777" w:rsidR="00AE727E" w:rsidRDefault="008433E0">
            <w:pPr>
              <w:jc w:val="right"/>
              <w:textAlignment w:val="bottom"/>
            </w:pPr>
            <w:r>
              <w:rPr>
                <w:rFonts w:ascii="Times New Roman" w:eastAsia="宋体" w:hAnsi="Times New Roman"/>
                <w:color w:val="000000"/>
                <w:sz w:val="19"/>
                <w:szCs w:val="19"/>
              </w:rPr>
              <w:t>3.5 </w:t>
            </w:r>
          </w:p>
        </w:tc>
        <w:tc>
          <w:tcPr>
            <w:tcW w:w="0" w:type="auto"/>
            <w:shd w:val="clear" w:color="auto" w:fill="FFFFFF"/>
            <w:tcMar>
              <w:top w:w="40" w:type="dxa"/>
              <w:left w:w="0" w:type="dxa"/>
              <w:bottom w:w="40" w:type="dxa"/>
              <w:right w:w="20" w:type="dxa"/>
            </w:tcMar>
            <w:vAlign w:val="bottom"/>
          </w:tcPr>
          <w:p w14:paraId="07DD0C9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A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A1"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A2" w14:textId="77777777" w:rsidR="00AE727E" w:rsidRDefault="008433E0">
            <w:pPr>
              <w:jc w:val="right"/>
              <w:textAlignment w:val="bottom"/>
            </w:pPr>
            <w:r>
              <w:rPr>
                <w:rFonts w:ascii="Times New Roman" w:eastAsia="宋体" w:hAnsi="Times New Roman"/>
                <w:color w:val="000000"/>
                <w:sz w:val="19"/>
                <w:szCs w:val="19"/>
              </w:rPr>
              <w:t>5,561 </w:t>
            </w:r>
          </w:p>
        </w:tc>
        <w:tc>
          <w:tcPr>
            <w:tcW w:w="0" w:type="auto"/>
            <w:shd w:val="clear" w:color="auto" w:fill="FFFFFF"/>
            <w:tcMar>
              <w:top w:w="40" w:type="dxa"/>
              <w:left w:w="0" w:type="dxa"/>
              <w:bottom w:w="40" w:type="dxa"/>
              <w:right w:w="20" w:type="dxa"/>
            </w:tcMar>
            <w:vAlign w:val="bottom"/>
          </w:tcPr>
          <w:p w14:paraId="07DD0C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A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A5" w14:textId="77777777" w:rsidR="00AE727E" w:rsidRDefault="008433E0">
            <w:pPr>
              <w:jc w:val="right"/>
              <w:textAlignment w:val="bottom"/>
            </w:pPr>
            <w:r>
              <w:rPr>
                <w:rFonts w:ascii="Times New Roman" w:eastAsia="宋体" w:hAnsi="Times New Roman"/>
                <w:color w:val="000000"/>
                <w:sz w:val="19"/>
                <w:szCs w:val="19"/>
              </w:rPr>
              <w:t>7.0 </w:t>
            </w:r>
          </w:p>
        </w:tc>
        <w:tc>
          <w:tcPr>
            <w:tcW w:w="0" w:type="auto"/>
            <w:shd w:val="clear" w:color="auto" w:fill="FFFFFF"/>
            <w:tcMar>
              <w:top w:w="40" w:type="dxa"/>
              <w:left w:w="0" w:type="dxa"/>
              <w:bottom w:w="40" w:type="dxa"/>
              <w:right w:w="20" w:type="dxa"/>
            </w:tcMar>
            <w:vAlign w:val="bottom"/>
          </w:tcPr>
          <w:p w14:paraId="07DD0CA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A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A8" w14:textId="77777777" w:rsidR="00AE727E" w:rsidRDefault="008433E0">
            <w:pPr>
              <w:jc w:val="right"/>
              <w:textAlignment w:val="bottom"/>
            </w:pPr>
            <w:r>
              <w:rPr>
                <w:rFonts w:ascii="Times New Roman" w:eastAsia="宋体" w:hAnsi="Times New Roman"/>
                <w:color w:val="000000"/>
                <w:sz w:val="19"/>
                <w:szCs w:val="19"/>
              </w:rPr>
              <w:t>175 </w:t>
            </w:r>
          </w:p>
        </w:tc>
        <w:tc>
          <w:tcPr>
            <w:tcW w:w="0" w:type="auto"/>
            <w:shd w:val="clear" w:color="auto" w:fill="FFFFFF"/>
            <w:tcMar>
              <w:top w:w="40" w:type="dxa"/>
              <w:left w:w="0" w:type="dxa"/>
              <w:bottom w:w="40" w:type="dxa"/>
              <w:right w:w="20" w:type="dxa"/>
            </w:tcMar>
            <w:vAlign w:val="bottom"/>
          </w:tcPr>
          <w:p w14:paraId="07DD0CA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CAA"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CAB"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CAC" w14:textId="77777777" w:rsidR="00AE727E" w:rsidRDefault="008433E0">
            <w:pPr>
              <w:jc w:val="right"/>
              <w:textAlignment w:val="bottom"/>
            </w:pPr>
            <w:r>
              <w:rPr>
                <w:rFonts w:ascii="Times New Roman" w:eastAsia="宋体" w:hAnsi="Times New Roman"/>
                <w:color w:val="000000"/>
                <w:sz w:val="19"/>
                <w:szCs w:val="19"/>
              </w:rPr>
              <w:t>2,023 </w:t>
            </w:r>
          </w:p>
        </w:tc>
        <w:tc>
          <w:tcPr>
            <w:tcW w:w="0" w:type="auto"/>
            <w:shd w:val="clear" w:color="auto" w:fill="FFFFFF"/>
            <w:tcMar>
              <w:top w:w="40" w:type="dxa"/>
              <w:left w:w="0" w:type="dxa"/>
              <w:bottom w:w="40" w:type="dxa"/>
              <w:right w:w="20" w:type="dxa"/>
            </w:tcMar>
            <w:vAlign w:val="bottom"/>
          </w:tcPr>
          <w:p w14:paraId="07DD0CA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CA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CAF" w14:textId="77777777" w:rsidR="00AE727E" w:rsidRDefault="008433E0">
            <w:pPr>
              <w:jc w:val="right"/>
              <w:textAlignment w:val="bottom"/>
            </w:pPr>
            <w:r>
              <w:rPr>
                <w:rFonts w:ascii="Times New Roman" w:eastAsia="宋体" w:hAnsi="Times New Roman"/>
                <w:color w:val="000000"/>
                <w:sz w:val="19"/>
                <w:szCs w:val="19"/>
              </w:rPr>
              <w:t>3.0 </w:t>
            </w:r>
          </w:p>
        </w:tc>
        <w:tc>
          <w:tcPr>
            <w:tcW w:w="0" w:type="auto"/>
            <w:shd w:val="clear" w:color="auto" w:fill="FFFFFF"/>
            <w:tcMar>
              <w:top w:w="40" w:type="dxa"/>
              <w:left w:w="0" w:type="dxa"/>
              <w:bottom w:w="40" w:type="dxa"/>
              <w:right w:w="20" w:type="dxa"/>
            </w:tcMar>
            <w:vAlign w:val="bottom"/>
          </w:tcPr>
          <w:p w14:paraId="07DD0CB0" w14:textId="77777777" w:rsidR="00AE727E" w:rsidRDefault="008433E0">
            <w:pPr>
              <w:jc w:val="right"/>
              <w:textAlignment w:val="bottom"/>
            </w:pPr>
            <w:r>
              <w:rPr>
                <w:rFonts w:ascii="Times New Roman" w:eastAsia="宋体" w:hAnsi="Times New Roman"/>
                <w:color w:val="000000"/>
                <w:sz w:val="19"/>
                <w:szCs w:val="19"/>
              </w:rPr>
              <w:t>%</w:t>
            </w:r>
          </w:p>
        </w:tc>
      </w:tr>
      <w:tr w:rsidR="00AE727E" w14:paraId="07DD0CC6" w14:textId="77777777">
        <w:trPr>
          <w:trHeight w:val="220"/>
        </w:trPr>
        <w:tc>
          <w:tcPr>
            <w:tcW w:w="0" w:type="auto"/>
            <w:gridSpan w:val="3"/>
            <w:shd w:val="clear" w:color="auto" w:fill="CCEEFF"/>
            <w:tcMar>
              <w:top w:w="0" w:type="dxa"/>
              <w:left w:w="20" w:type="dxa"/>
              <w:bottom w:w="0" w:type="dxa"/>
              <w:right w:w="20" w:type="dxa"/>
            </w:tcMar>
            <w:vAlign w:val="bottom"/>
          </w:tcPr>
          <w:p w14:paraId="07DD0CB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B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CC5" w14:textId="77777777" w:rsidR="00AE727E" w:rsidRDefault="00AE727E">
            <w:pPr>
              <w:rPr>
                <w:rFonts w:ascii="宋体"/>
              </w:rPr>
            </w:pPr>
          </w:p>
        </w:tc>
      </w:tr>
      <w:tr w:rsidR="00AE727E" w14:paraId="07DD0CD6" w14:textId="77777777">
        <w:tc>
          <w:tcPr>
            <w:tcW w:w="0" w:type="auto"/>
            <w:gridSpan w:val="18"/>
            <w:shd w:val="clear" w:color="auto" w:fill="auto"/>
            <w:tcMar>
              <w:top w:w="40" w:type="dxa"/>
              <w:left w:w="20" w:type="dxa"/>
              <w:bottom w:w="40" w:type="dxa"/>
              <w:right w:w="20" w:type="dxa"/>
            </w:tcMar>
            <w:vAlign w:val="bottom"/>
          </w:tcPr>
          <w:p w14:paraId="07DD0CC7" w14:textId="77777777" w:rsidR="00AE727E" w:rsidRDefault="008433E0">
            <w:pPr>
              <w:textAlignment w:val="bottom"/>
            </w:pPr>
            <w:r>
              <w:rPr>
                <w:rFonts w:ascii="Times New Roman" w:eastAsia="宋体" w:hAnsi="Times New Roman"/>
                <w:b/>
                <w:bCs/>
                <w:i/>
                <w:iCs/>
                <w:color w:val="000000"/>
                <w:sz w:val="20"/>
                <w:szCs w:val="20"/>
              </w:rPr>
              <w:t xml:space="preserve">Non-GAAP Financial </w:t>
            </w:r>
            <w:r>
              <w:rPr>
                <w:rFonts w:ascii="Times New Roman" w:eastAsia="宋体" w:hAnsi="Times New Roman"/>
                <w:b/>
                <w:bCs/>
                <w:i/>
                <w:iCs/>
                <w:color w:val="000000"/>
                <w:sz w:val="20"/>
                <w:szCs w:val="20"/>
              </w:rPr>
              <w:t>Information</w:t>
            </w:r>
          </w:p>
        </w:tc>
        <w:tc>
          <w:tcPr>
            <w:tcW w:w="0" w:type="auto"/>
            <w:gridSpan w:val="3"/>
            <w:shd w:val="clear" w:color="auto" w:fill="auto"/>
            <w:tcMar>
              <w:top w:w="0" w:type="dxa"/>
              <w:left w:w="20" w:type="dxa"/>
              <w:bottom w:w="0" w:type="dxa"/>
              <w:right w:w="20" w:type="dxa"/>
            </w:tcMar>
            <w:vAlign w:val="bottom"/>
          </w:tcPr>
          <w:p w14:paraId="07DD0CC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9"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B"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C"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E"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C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0"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1"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2"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0CD5" w14:textId="77777777" w:rsidR="00AE727E" w:rsidRDefault="00AE727E">
            <w:pPr>
              <w:rPr>
                <w:rFonts w:ascii="宋体"/>
              </w:rPr>
            </w:pPr>
          </w:p>
        </w:tc>
      </w:tr>
      <w:tr w:rsidR="00AE727E" w14:paraId="07DD0D0B" w14:textId="77777777">
        <w:trPr>
          <w:hidden/>
        </w:trPr>
        <w:tc>
          <w:tcPr>
            <w:tcW w:w="0" w:type="auto"/>
            <w:gridSpan w:val="3"/>
            <w:shd w:val="clear" w:color="auto" w:fill="auto"/>
            <w:vAlign w:val="bottom"/>
          </w:tcPr>
          <w:p w14:paraId="07DD0CD7" w14:textId="77777777" w:rsidR="00AE727E" w:rsidRDefault="00AE727E">
            <w:pPr>
              <w:rPr>
                <w:rFonts w:ascii="宋体"/>
                <w:vanish/>
              </w:rPr>
            </w:pPr>
          </w:p>
        </w:tc>
        <w:tc>
          <w:tcPr>
            <w:tcW w:w="0" w:type="auto"/>
            <w:gridSpan w:val="3"/>
            <w:shd w:val="clear" w:color="auto" w:fill="auto"/>
            <w:vAlign w:val="bottom"/>
          </w:tcPr>
          <w:p w14:paraId="07DD0CD8" w14:textId="77777777" w:rsidR="00AE727E" w:rsidRDefault="00AE727E">
            <w:pPr>
              <w:rPr>
                <w:rFonts w:ascii="宋体"/>
                <w:vanish/>
              </w:rPr>
            </w:pPr>
          </w:p>
        </w:tc>
        <w:tc>
          <w:tcPr>
            <w:tcW w:w="0" w:type="auto"/>
            <w:gridSpan w:val="3"/>
            <w:shd w:val="clear" w:color="auto" w:fill="auto"/>
            <w:vAlign w:val="bottom"/>
          </w:tcPr>
          <w:p w14:paraId="07DD0CD9" w14:textId="77777777" w:rsidR="00AE727E" w:rsidRDefault="00AE727E">
            <w:pPr>
              <w:rPr>
                <w:rFonts w:ascii="宋体"/>
                <w:vanish/>
              </w:rPr>
            </w:pPr>
          </w:p>
        </w:tc>
        <w:tc>
          <w:tcPr>
            <w:tcW w:w="0" w:type="auto"/>
            <w:gridSpan w:val="3"/>
            <w:shd w:val="clear" w:color="auto" w:fill="auto"/>
            <w:vAlign w:val="bottom"/>
          </w:tcPr>
          <w:p w14:paraId="07DD0CDA" w14:textId="77777777" w:rsidR="00AE727E" w:rsidRDefault="00AE727E">
            <w:pPr>
              <w:rPr>
                <w:rFonts w:ascii="宋体"/>
                <w:vanish/>
              </w:rPr>
            </w:pPr>
          </w:p>
        </w:tc>
        <w:tc>
          <w:tcPr>
            <w:tcW w:w="0" w:type="auto"/>
            <w:shd w:val="clear" w:color="auto" w:fill="auto"/>
            <w:vAlign w:val="bottom"/>
          </w:tcPr>
          <w:p w14:paraId="07DD0CDB" w14:textId="77777777" w:rsidR="00AE727E" w:rsidRDefault="00AE727E">
            <w:pPr>
              <w:rPr>
                <w:rFonts w:ascii="宋体"/>
              </w:rPr>
            </w:pPr>
          </w:p>
        </w:tc>
        <w:tc>
          <w:tcPr>
            <w:tcW w:w="0" w:type="auto"/>
            <w:shd w:val="clear" w:color="auto" w:fill="auto"/>
            <w:vAlign w:val="bottom"/>
          </w:tcPr>
          <w:p w14:paraId="07DD0CDC" w14:textId="77777777" w:rsidR="00AE727E" w:rsidRDefault="00AE727E">
            <w:pPr>
              <w:rPr>
                <w:rFonts w:ascii="宋体"/>
              </w:rPr>
            </w:pPr>
          </w:p>
        </w:tc>
        <w:tc>
          <w:tcPr>
            <w:tcW w:w="0" w:type="auto"/>
            <w:shd w:val="clear" w:color="auto" w:fill="auto"/>
            <w:vAlign w:val="bottom"/>
          </w:tcPr>
          <w:p w14:paraId="07DD0CDD" w14:textId="77777777" w:rsidR="00AE727E" w:rsidRDefault="00AE727E">
            <w:pPr>
              <w:rPr>
                <w:rFonts w:ascii="宋体"/>
              </w:rPr>
            </w:pPr>
          </w:p>
        </w:tc>
        <w:tc>
          <w:tcPr>
            <w:tcW w:w="0" w:type="auto"/>
            <w:shd w:val="clear" w:color="auto" w:fill="auto"/>
            <w:vAlign w:val="bottom"/>
          </w:tcPr>
          <w:p w14:paraId="07DD0CDE" w14:textId="77777777" w:rsidR="00AE727E" w:rsidRDefault="00AE727E">
            <w:pPr>
              <w:rPr>
                <w:rFonts w:ascii="宋体"/>
              </w:rPr>
            </w:pPr>
          </w:p>
        </w:tc>
        <w:tc>
          <w:tcPr>
            <w:tcW w:w="0" w:type="auto"/>
            <w:shd w:val="clear" w:color="auto" w:fill="auto"/>
            <w:vAlign w:val="bottom"/>
          </w:tcPr>
          <w:p w14:paraId="07DD0CDF" w14:textId="77777777" w:rsidR="00AE727E" w:rsidRDefault="00AE727E">
            <w:pPr>
              <w:rPr>
                <w:rFonts w:ascii="宋体"/>
              </w:rPr>
            </w:pPr>
          </w:p>
        </w:tc>
        <w:tc>
          <w:tcPr>
            <w:tcW w:w="0" w:type="auto"/>
            <w:shd w:val="clear" w:color="auto" w:fill="auto"/>
            <w:vAlign w:val="bottom"/>
          </w:tcPr>
          <w:p w14:paraId="07DD0CE0" w14:textId="77777777" w:rsidR="00AE727E" w:rsidRDefault="00AE727E">
            <w:pPr>
              <w:rPr>
                <w:rFonts w:ascii="宋体"/>
              </w:rPr>
            </w:pPr>
          </w:p>
        </w:tc>
        <w:tc>
          <w:tcPr>
            <w:tcW w:w="0" w:type="auto"/>
            <w:shd w:val="clear" w:color="auto" w:fill="auto"/>
            <w:vAlign w:val="bottom"/>
          </w:tcPr>
          <w:p w14:paraId="07DD0CE1" w14:textId="77777777" w:rsidR="00AE727E" w:rsidRDefault="00AE727E">
            <w:pPr>
              <w:rPr>
                <w:rFonts w:ascii="宋体"/>
              </w:rPr>
            </w:pPr>
          </w:p>
        </w:tc>
        <w:tc>
          <w:tcPr>
            <w:tcW w:w="0" w:type="auto"/>
            <w:shd w:val="clear" w:color="auto" w:fill="auto"/>
            <w:vAlign w:val="bottom"/>
          </w:tcPr>
          <w:p w14:paraId="07DD0CE2" w14:textId="77777777" w:rsidR="00AE727E" w:rsidRDefault="00AE727E">
            <w:pPr>
              <w:rPr>
                <w:rFonts w:ascii="宋体"/>
              </w:rPr>
            </w:pPr>
          </w:p>
        </w:tc>
        <w:tc>
          <w:tcPr>
            <w:tcW w:w="0" w:type="auto"/>
            <w:shd w:val="clear" w:color="auto" w:fill="auto"/>
            <w:vAlign w:val="bottom"/>
          </w:tcPr>
          <w:p w14:paraId="07DD0CE3" w14:textId="77777777" w:rsidR="00AE727E" w:rsidRDefault="00AE727E">
            <w:pPr>
              <w:rPr>
                <w:rFonts w:ascii="宋体"/>
              </w:rPr>
            </w:pPr>
          </w:p>
        </w:tc>
        <w:tc>
          <w:tcPr>
            <w:tcW w:w="0" w:type="auto"/>
            <w:shd w:val="clear" w:color="auto" w:fill="auto"/>
            <w:vAlign w:val="bottom"/>
          </w:tcPr>
          <w:p w14:paraId="07DD0CE4" w14:textId="77777777" w:rsidR="00AE727E" w:rsidRDefault="00AE727E">
            <w:pPr>
              <w:rPr>
                <w:rFonts w:ascii="宋体"/>
              </w:rPr>
            </w:pPr>
          </w:p>
        </w:tc>
        <w:tc>
          <w:tcPr>
            <w:tcW w:w="0" w:type="auto"/>
            <w:shd w:val="clear" w:color="auto" w:fill="auto"/>
            <w:vAlign w:val="bottom"/>
          </w:tcPr>
          <w:p w14:paraId="07DD0CE5" w14:textId="77777777" w:rsidR="00AE727E" w:rsidRDefault="00AE727E">
            <w:pPr>
              <w:rPr>
                <w:rFonts w:ascii="宋体"/>
              </w:rPr>
            </w:pPr>
          </w:p>
        </w:tc>
        <w:tc>
          <w:tcPr>
            <w:tcW w:w="0" w:type="auto"/>
            <w:shd w:val="clear" w:color="auto" w:fill="auto"/>
            <w:vAlign w:val="bottom"/>
          </w:tcPr>
          <w:p w14:paraId="07DD0CE6" w14:textId="77777777" w:rsidR="00AE727E" w:rsidRDefault="00AE727E">
            <w:pPr>
              <w:rPr>
                <w:rFonts w:ascii="宋体"/>
              </w:rPr>
            </w:pPr>
          </w:p>
        </w:tc>
        <w:tc>
          <w:tcPr>
            <w:tcW w:w="0" w:type="auto"/>
            <w:shd w:val="clear" w:color="auto" w:fill="auto"/>
            <w:vAlign w:val="bottom"/>
          </w:tcPr>
          <w:p w14:paraId="07DD0CE7" w14:textId="77777777" w:rsidR="00AE727E" w:rsidRDefault="00AE727E">
            <w:pPr>
              <w:rPr>
                <w:rFonts w:ascii="宋体"/>
              </w:rPr>
            </w:pPr>
          </w:p>
        </w:tc>
        <w:tc>
          <w:tcPr>
            <w:tcW w:w="0" w:type="auto"/>
            <w:shd w:val="clear" w:color="auto" w:fill="auto"/>
            <w:vAlign w:val="bottom"/>
          </w:tcPr>
          <w:p w14:paraId="07DD0CE8" w14:textId="77777777" w:rsidR="00AE727E" w:rsidRDefault="00AE727E">
            <w:pPr>
              <w:rPr>
                <w:rFonts w:ascii="宋体"/>
              </w:rPr>
            </w:pPr>
          </w:p>
        </w:tc>
        <w:tc>
          <w:tcPr>
            <w:tcW w:w="0" w:type="auto"/>
            <w:shd w:val="clear" w:color="auto" w:fill="auto"/>
            <w:vAlign w:val="bottom"/>
          </w:tcPr>
          <w:p w14:paraId="07DD0CE9" w14:textId="77777777" w:rsidR="00AE727E" w:rsidRDefault="00AE727E">
            <w:pPr>
              <w:rPr>
                <w:rFonts w:ascii="宋体"/>
              </w:rPr>
            </w:pPr>
          </w:p>
        </w:tc>
        <w:tc>
          <w:tcPr>
            <w:tcW w:w="0" w:type="auto"/>
            <w:shd w:val="clear" w:color="auto" w:fill="auto"/>
            <w:vAlign w:val="bottom"/>
          </w:tcPr>
          <w:p w14:paraId="07DD0CEA" w14:textId="77777777" w:rsidR="00AE727E" w:rsidRDefault="00AE727E">
            <w:pPr>
              <w:rPr>
                <w:rFonts w:ascii="宋体"/>
              </w:rPr>
            </w:pPr>
          </w:p>
        </w:tc>
        <w:tc>
          <w:tcPr>
            <w:tcW w:w="0" w:type="auto"/>
            <w:shd w:val="clear" w:color="auto" w:fill="auto"/>
            <w:vAlign w:val="bottom"/>
          </w:tcPr>
          <w:p w14:paraId="07DD0CEB" w14:textId="77777777" w:rsidR="00AE727E" w:rsidRDefault="00AE727E">
            <w:pPr>
              <w:rPr>
                <w:rFonts w:ascii="宋体"/>
              </w:rPr>
            </w:pPr>
          </w:p>
        </w:tc>
        <w:tc>
          <w:tcPr>
            <w:tcW w:w="0" w:type="auto"/>
            <w:shd w:val="clear" w:color="auto" w:fill="auto"/>
            <w:vAlign w:val="bottom"/>
          </w:tcPr>
          <w:p w14:paraId="07DD0CEC" w14:textId="77777777" w:rsidR="00AE727E" w:rsidRDefault="00AE727E">
            <w:pPr>
              <w:rPr>
                <w:rFonts w:ascii="宋体"/>
              </w:rPr>
            </w:pPr>
          </w:p>
        </w:tc>
        <w:tc>
          <w:tcPr>
            <w:tcW w:w="0" w:type="auto"/>
            <w:shd w:val="clear" w:color="auto" w:fill="auto"/>
            <w:vAlign w:val="bottom"/>
          </w:tcPr>
          <w:p w14:paraId="07DD0CED" w14:textId="77777777" w:rsidR="00AE727E" w:rsidRDefault="00AE727E">
            <w:pPr>
              <w:rPr>
                <w:rFonts w:ascii="宋体"/>
              </w:rPr>
            </w:pPr>
          </w:p>
        </w:tc>
        <w:tc>
          <w:tcPr>
            <w:tcW w:w="0" w:type="auto"/>
            <w:shd w:val="clear" w:color="auto" w:fill="auto"/>
            <w:vAlign w:val="bottom"/>
          </w:tcPr>
          <w:p w14:paraId="07DD0CEE" w14:textId="77777777" w:rsidR="00AE727E" w:rsidRDefault="00AE727E">
            <w:pPr>
              <w:rPr>
                <w:rFonts w:ascii="宋体"/>
              </w:rPr>
            </w:pPr>
          </w:p>
        </w:tc>
        <w:tc>
          <w:tcPr>
            <w:tcW w:w="0" w:type="auto"/>
            <w:shd w:val="clear" w:color="auto" w:fill="auto"/>
            <w:vAlign w:val="bottom"/>
          </w:tcPr>
          <w:p w14:paraId="07DD0CEF" w14:textId="77777777" w:rsidR="00AE727E" w:rsidRDefault="00AE727E">
            <w:pPr>
              <w:rPr>
                <w:rFonts w:ascii="宋体"/>
              </w:rPr>
            </w:pPr>
          </w:p>
        </w:tc>
        <w:tc>
          <w:tcPr>
            <w:tcW w:w="0" w:type="auto"/>
            <w:shd w:val="clear" w:color="auto" w:fill="auto"/>
            <w:vAlign w:val="bottom"/>
          </w:tcPr>
          <w:p w14:paraId="07DD0CF0" w14:textId="77777777" w:rsidR="00AE727E" w:rsidRDefault="00AE727E">
            <w:pPr>
              <w:rPr>
                <w:rFonts w:ascii="宋体"/>
              </w:rPr>
            </w:pPr>
          </w:p>
        </w:tc>
        <w:tc>
          <w:tcPr>
            <w:tcW w:w="0" w:type="auto"/>
            <w:shd w:val="clear" w:color="auto" w:fill="auto"/>
            <w:vAlign w:val="bottom"/>
          </w:tcPr>
          <w:p w14:paraId="07DD0CF1" w14:textId="77777777" w:rsidR="00AE727E" w:rsidRDefault="00AE727E">
            <w:pPr>
              <w:rPr>
                <w:rFonts w:ascii="宋体"/>
              </w:rPr>
            </w:pPr>
          </w:p>
        </w:tc>
        <w:tc>
          <w:tcPr>
            <w:tcW w:w="0" w:type="auto"/>
            <w:shd w:val="clear" w:color="auto" w:fill="auto"/>
            <w:vAlign w:val="bottom"/>
          </w:tcPr>
          <w:p w14:paraId="07DD0CF2" w14:textId="77777777" w:rsidR="00AE727E" w:rsidRDefault="00AE727E">
            <w:pPr>
              <w:rPr>
                <w:rFonts w:ascii="宋体"/>
              </w:rPr>
            </w:pPr>
          </w:p>
        </w:tc>
        <w:tc>
          <w:tcPr>
            <w:tcW w:w="0" w:type="auto"/>
            <w:shd w:val="clear" w:color="auto" w:fill="auto"/>
            <w:vAlign w:val="bottom"/>
          </w:tcPr>
          <w:p w14:paraId="07DD0CF3" w14:textId="77777777" w:rsidR="00AE727E" w:rsidRDefault="00AE727E">
            <w:pPr>
              <w:rPr>
                <w:rFonts w:ascii="宋体"/>
              </w:rPr>
            </w:pPr>
          </w:p>
        </w:tc>
        <w:tc>
          <w:tcPr>
            <w:tcW w:w="0" w:type="auto"/>
            <w:shd w:val="clear" w:color="auto" w:fill="auto"/>
            <w:vAlign w:val="bottom"/>
          </w:tcPr>
          <w:p w14:paraId="07DD0CF4" w14:textId="77777777" w:rsidR="00AE727E" w:rsidRDefault="00AE727E">
            <w:pPr>
              <w:rPr>
                <w:rFonts w:ascii="宋体"/>
              </w:rPr>
            </w:pPr>
          </w:p>
        </w:tc>
        <w:tc>
          <w:tcPr>
            <w:tcW w:w="0" w:type="auto"/>
            <w:shd w:val="clear" w:color="auto" w:fill="auto"/>
            <w:vAlign w:val="bottom"/>
          </w:tcPr>
          <w:p w14:paraId="07DD0CF5" w14:textId="77777777" w:rsidR="00AE727E" w:rsidRDefault="00AE727E">
            <w:pPr>
              <w:rPr>
                <w:rFonts w:ascii="宋体"/>
              </w:rPr>
            </w:pPr>
          </w:p>
        </w:tc>
        <w:tc>
          <w:tcPr>
            <w:tcW w:w="0" w:type="auto"/>
            <w:shd w:val="clear" w:color="auto" w:fill="auto"/>
            <w:vAlign w:val="bottom"/>
          </w:tcPr>
          <w:p w14:paraId="07DD0CF6" w14:textId="77777777" w:rsidR="00AE727E" w:rsidRDefault="00AE727E">
            <w:pPr>
              <w:rPr>
                <w:rFonts w:ascii="宋体"/>
              </w:rPr>
            </w:pPr>
          </w:p>
        </w:tc>
        <w:tc>
          <w:tcPr>
            <w:tcW w:w="0" w:type="auto"/>
            <w:shd w:val="clear" w:color="auto" w:fill="auto"/>
            <w:vAlign w:val="bottom"/>
          </w:tcPr>
          <w:p w14:paraId="07DD0CF7" w14:textId="77777777" w:rsidR="00AE727E" w:rsidRDefault="00AE727E">
            <w:pPr>
              <w:rPr>
                <w:rFonts w:ascii="宋体"/>
              </w:rPr>
            </w:pPr>
          </w:p>
        </w:tc>
        <w:tc>
          <w:tcPr>
            <w:tcW w:w="0" w:type="auto"/>
            <w:shd w:val="clear" w:color="auto" w:fill="auto"/>
            <w:vAlign w:val="bottom"/>
          </w:tcPr>
          <w:p w14:paraId="07DD0CF8" w14:textId="77777777" w:rsidR="00AE727E" w:rsidRDefault="00AE727E">
            <w:pPr>
              <w:rPr>
                <w:rFonts w:ascii="宋体"/>
              </w:rPr>
            </w:pPr>
          </w:p>
        </w:tc>
        <w:tc>
          <w:tcPr>
            <w:tcW w:w="0" w:type="auto"/>
            <w:shd w:val="clear" w:color="auto" w:fill="auto"/>
            <w:vAlign w:val="bottom"/>
          </w:tcPr>
          <w:p w14:paraId="07DD0CF9" w14:textId="77777777" w:rsidR="00AE727E" w:rsidRDefault="00AE727E">
            <w:pPr>
              <w:rPr>
                <w:rFonts w:ascii="宋体"/>
              </w:rPr>
            </w:pPr>
          </w:p>
        </w:tc>
        <w:tc>
          <w:tcPr>
            <w:tcW w:w="0" w:type="auto"/>
            <w:shd w:val="clear" w:color="auto" w:fill="auto"/>
            <w:vAlign w:val="bottom"/>
          </w:tcPr>
          <w:p w14:paraId="07DD0CFA" w14:textId="77777777" w:rsidR="00AE727E" w:rsidRDefault="00AE727E">
            <w:pPr>
              <w:rPr>
                <w:rFonts w:ascii="宋体"/>
              </w:rPr>
            </w:pPr>
          </w:p>
        </w:tc>
        <w:tc>
          <w:tcPr>
            <w:tcW w:w="0" w:type="auto"/>
            <w:shd w:val="clear" w:color="auto" w:fill="auto"/>
            <w:vAlign w:val="bottom"/>
          </w:tcPr>
          <w:p w14:paraId="07DD0CFB" w14:textId="77777777" w:rsidR="00AE727E" w:rsidRDefault="00AE727E">
            <w:pPr>
              <w:rPr>
                <w:rFonts w:ascii="宋体"/>
              </w:rPr>
            </w:pPr>
          </w:p>
        </w:tc>
        <w:tc>
          <w:tcPr>
            <w:tcW w:w="0" w:type="auto"/>
            <w:shd w:val="clear" w:color="auto" w:fill="auto"/>
            <w:vAlign w:val="bottom"/>
          </w:tcPr>
          <w:p w14:paraId="07DD0CFC" w14:textId="77777777" w:rsidR="00AE727E" w:rsidRDefault="00AE727E">
            <w:pPr>
              <w:rPr>
                <w:rFonts w:ascii="宋体"/>
              </w:rPr>
            </w:pPr>
          </w:p>
        </w:tc>
        <w:tc>
          <w:tcPr>
            <w:tcW w:w="0" w:type="auto"/>
            <w:shd w:val="clear" w:color="auto" w:fill="auto"/>
            <w:vAlign w:val="bottom"/>
          </w:tcPr>
          <w:p w14:paraId="07DD0CFD" w14:textId="77777777" w:rsidR="00AE727E" w:rsidRDefault="00AE727E">
            <w:pPr>
              <w:rPr>
                <w:rFonts w:ascii="宋体"/>
              </w:rPr>
            </w:pPr>
          </w:p>
        </w:tc>
        <w:tc>
          <w:tcPr>
            <w:tcW w:w="0" w:type="auto"/>
            <w:shd w:val="clear" w:color="auto" w:fill="auto"/>
            <w:vAlign w:val="bottom"/>
          </w:tcPr>
          <w:p w14:paraId="07DD0CFE" w14:textId="77777777" w:rsidR="00AE727E" w:rsidRDefault="00AE727E">
            <w:pPr>
              <w:rPr>
                <w:rFonts w:ascii="宋体"/>
              </w:rPr>
            </w:pPr>
          </w:p>
        </w:tc>
        <w:tc>
          <w:tcPr>
            <w:tcW w:w="0" w:type="auto"/>
            <w:shd w:val="clear" w:color="auto" w:fill="auto"/>
            <w:vAlign w:val="bottom"/>
          </w:tcPr>
          <w:p w14:paraId="07DD0CFF" w14:textId="77777777" w:rsidR="00AE727E" w:rsidRDefault="00AE727E">
            <w:pPr>
              <w:rPr>
                <w:rFonts w:ascii="宋体"/>
              </w:rPr>
            </w:pPr>
          </w:p>
        </w:tc>
        <w:tc>
          <w:tcPr>
            <w:tcW w:w="0" w:type="auto"/>
            <w:shd w:val="clear" w:color="auto" w:fill="auto"/>
            <w:vAlign w:val="bottom"/>
          </w:tcPr>
          <w:p w14:paraId="07DD0D00" w14:textId="77777777" w:rsidR="00AE727E" w:rsidRDefault="00AE727E">
            <w:pPr>
              <w:rPr>
                <w:rFonts w:ascii="宋体"/>
              </w:rPr>
            </w:pPr>
          </w:p>
        </w:tc>
        <w:tc>
          <w:tcPr>
            <w:tcW w:w="0" w:type="auto"/>
            <w:shd w:val="clear" w:color="auto" w:fill="auto"/>
            <w:vAlign w:val="bottom"/>
          </w:tcPr>
          <w:p w14:paraId="07DD0D01" w14:textId="77777777" w:rsidR="00AE727E" w:rsidRDefault="00AE727E">
            <w:pPr>
              <w:rPr>
                <w:rFonts w:ascii="宋体"/>
              </w:rPr>
            </w:pPr>
          </w:p>
        </w:tc>
        <w:tc>
          <w:tcPr>
            <w:tcW w:w="0" w:type="auto"/>
            <w:shd w:val="clear" w:color="auto" w:fill="auto"/>
            <w:vAlign w:val="bottom"/>
          </w:tcPr>
          <w:p w14:paraId="07DD0D02" w14:textId="77777777" w:rsidR="00AE727E" w:rsidRDefault="00AE727E">
            <w:pPr>
              <w:rPr>
                <w:rFonts w:ascii="宋体"/>
              </w:rPr>
            </w:pPr>
          </w:p>
        </w:tc>
        <w:tc>
          <w:tcPr>
            <w:tcW w:w="0" w:type="auto"/>
            <w:shd w:val="clear" w:color="auto" w:fill="auto"/>
            <w:vAlign w:val="bottom"/>
          </w:tcPr>
          <w:p w14:paraId="07DD0D03" w14:textId="77777777" w:rsidR="00AE727E" w:rsidRDefault="00AE727E">
            <w:pPr>
              <w:rPr>
                <w:rFonts w:ascii="宋体"/>
              </w:rPr>
            </w:pPr>
          </w:p>
        </w:tc>
        <w:tc>
          <w:tcPr>
            <w:tcW w:w="0" w:type="auto"/>
            <w:shd w:val="clear" w:color="auto" w:fill="auto"/>
            <w:vAlign w:val="bottom"/>
          </w:tcPr>
          <w:p w14:paraId="07DD0D04" w14:textId="77777777" w:rsidR="00AE727E" w:rsidRDefault="00AE727E">
            <w:pPr>
              <w:rPr>
                <w:rFonts w:ascii="宋体"/>
              </w:rPr>
            </w:pPr>
          </w:p>
        </w:tc>
        <w:tc>
          <w:tcPr>
            <w:tcW w:w="0" w:type="auto"/>
            <w:shd w:val="clear" w:color="auto" w:fill="auto"/>
            <w:vAlign w:val="bottom"/>
          </w:tcPr>
          <w:p w14:paraId="07DD0D05" w14:textId="77777777" w:rsidR="00AE727E" w:rsidRDefault="00AE727E">
            <w:pPr>
              <w:rPr>
                <w:rFonts w:ascii="宋体"/>
              </w:rPr>
            </w:pPr>
          </w:p>
        </w:tc>
        <w:tc>
          <w:tcPr>
            <w:tcW w:w="0" w:type="auto"/>
            <w:shd w:val="clear" w:color="auto" w:fill="auto"/>
            <w:vAlign w:val="bottom"/>
          </w:tcPr>
          <w:p w14:paraId="07DD0D06" w14:textId="77777777" w:rsidR="00AE727E" w:rsidRDefault="00AE727E">
            <w:pPr>
              <w:rPr>
                <w:rFonts w:ascii="宋体"/>
              </w:rPr>
            </w:pPr>
          </w:p>
        </w:tc>
        <w:tc>
          <w:tcPr>
            <w:tcW w:w="0" w:type="auto"/>
            <w:shd w:val="clear" w:color="auto" w:fill="auto"/>
            <w:vAlign w:val="bottom"/>
          </w:tcPr>
          <w:p w14:paraId="07DD0D07" w14:textId="77777777" w:rsidR="00AE727E" w:rsidRDefault="00AE727E">
            <w:pPr>
              <w:rPr>
                <w:rFonts w:ascii="宋体"/>
              </w:rPr>
            </w:pPr>
          </w:p>
        </w:tc>
        <w:tc>
          <w:tcPr>
            <w:tcW w:w="0" w:type="auto"/>
            <w:shd w:val="clear" w:color="auto" w:fill="auto"/>
            <w:vAlign w:val="bottom"/>
          </w:tcPr>
          <w:p w14:paraId="07DD0D08" w14:textId="77777777" w:rsidR="00AE727E" w:rsidRDefault="00AE727E">
            <w:pPr>
              <w:rPr>
                <w:rFonts w:ascii="宋体"/>
              </w:rPr>
            </w:pPr>
          </w:p>
        </w:tc>
        <w:tc>
          <w:tcPr>
            <w:tcW w:w="0" w:type="auto"/>
            <w:shd w:val="clear" w:color="auto" w:fill="auto"/>
            <w:vAlign w:val="bottom"/>
          </w:tcPr>
          <w:p w14:paraId="07DD0D09" w14:textId="77777777" w:rsidR="00AE727E" w:rsidRDefault="00AE727E">
            <w:pPr>
              <w:rPr>
                <w:rFonts w:ascii="宋体"/>
              </w:rPr>
            </w:pPr>
          </w:p>
        </w:tc>
        <w:tc>
          <w:tcPr>
            <w:tcW w:w="0" w:type="auto"/>
            <w:shd w:val="clear" w:color="auto" w:fill="auto"/>
            <w:vAlign w:val="bottom"/>
          </w:tcPr>
          <w:p w14:paraId="07DD0D0A" w14:textId="77777777" w:rsidR="00AE727E" w:rsidRDefault="00AE727E">
            <w:pPr>
              <w:rPr>
                <w:rFonts w:ascii="宋体"/>
              </w:rPr>
            </w:pPr>
          </w:p>
        </w:tc>
      </w:tr>
      <w:tr w:rsidR="00AE727E" w14:paraId="07DD0D30" w14:textId="77777777">
        <w:trPr>
          <w:hidden/>
        </w:trPr>
        <w:tc>
          <w:tcPr>
            <w:tcW w:w="0" w:type="auto"/>
            <w:gridSpan w:val="3"/>
            <w:shd w:val="clear" w:color="auto" w:fill="auto"/>
            <w:vAlign w:val="bottom"/>
          </w:tcPr>
          <w:p w14:paraId="07DD0D0C" w14:textId="77777777" w:rsidR="00AE727E" w:rsidRDefault="00AE727E">
            <w:pPr>
              <w:rPr>
                <w:rFonts w:ascii="宋体"/>
                <w:vanish/>
              </w:rPr>
            </w:pPr>
          </w:p>
        </w:tc>
        <w:tc>
          <w:tcPr>
            <w:tcW w:w="0" w:type="auto"/>
            <w:gridSpan w:val="3"/>
            <w:shd w:val="clear" w:color="auto" w:fill="auto"/>
            <w:vAlign w:val="bottom"/>
          </w:tcPr>
          <w:p w14:paraId="07DD0D0D" w14:textId="77777777" w:rsidR="00AE727E" w:rsidRDefault="00AE727E">
            <w:pPr>
              <w:rPr>
                <w:rFonts w:ascii="宋体"/>
                <w:vanish/>
              </w:rPr>
            </w:pPr>
          </w:p>
        </w:tc>
        <w:tc>
          <w:tcPr>
            <w:tcW w:w="0" w:type="auto"/>
            <w:gridSpan w:val="3"/>
            <w:shd w:val="clear" w:color="auto" w:fill="auto"/>
            <w:vAlign w:val="bottom"/>
          </w:tcPr>
          <w:p w14:paraId="07DD0D0E" w14:textId="77777777" w:rsidR="00AE727E" w:rsidRDefault="00AE727E">
            <w:pPr>
              <w:rPr>
                <w:rFonts w:ascii="宋体"/>
                <w:vanish/>
              </w:rPr>
            </w:pPr>
          </w:p>
        </w:tc>
        <w:tc>
          <w:tcPr>
            <w:tcW w:w="0" w:type="auto"/>
            <w:gridSpan w:val="3"/>
            <w:shd w:val="clear" w:color="auto" w:fill="auto"/>
            <w:vAlign w:val="bottom"/>
          </w:tcPr>
          <w:p w14:paraId="07DD0D0F" w14:textId="77777777" w:rsidR="00AE727E" w:rsidRDefault="00AE727E">
            <w:pPr>
              <w:rPr>
                <w:rFonts w:ascii="宋体"/>
                <w:vanish/>
              </w:rPr>
            </w:pPr>
          </w:p>
        </w:tc>
        <w:tc>
          <w:tcPr>
            <w:tcW w:w="0" w:type="auto"/>
            <w:gridSpan w:val="3"/>
            <w:shd w:val="clear" w:color="auto" w:fill="auto"/>
            <w:vAlign w:val="bottom"/>
          </w:tcPr>
          <w:p w14:paraId="07DD0D10" w14:textId="77777777" w:rsidR="00AE727E" w:rsidRDefault="00AE727E">
            <w:pPr>
              <w:rPr>
                <w:rFonts w:ascii="宋体"/>
                <w:vanish/>
              </w:rPr>
            </w:pPr>
          </w:p>
        </w:tc>
        <w:tc>
          <w:tcPr>
            <w:tcW w:w="0" w:type="auto"/>
            <w:gridSpan w:val="3"/>
            <w:shd w:val="clear" w:color="auto" w:fill="auto"/>
            <w:vAlign w:val="bottom"/>
          </w:tcPr>
          <w:p w14:paraId="07DD0D11" w14:textId="77777777" w:rsidR="00AE727E" w:rsidRDefault="00AE727E">
            <w:pPr>
              <w:rPr>
                <w:rFonts w:ascii="宋体"/>
                <w:vanish/>
              </w:rPr>
            </w:pPr>
          </w:p>
        </w:tc>
        <w:tc>
          <w:tcPr>
            <w:tcW w:w="0" w:type="auto"/>
            <w:gridSpan w:val="3"/>
            <w:shd w:val="clear" w:color="auto" w:fill="auto"/>
            <w:vAlign w:val="bottom"/>
          </w:tcPr>
          <w:p w14:paraId="07DD0D12" w14:textId="77777777" w:rsidR="00AE727E" w:rsidRDefault="00AE727E">
            <w:pPr>
              <w:rPr>
                <w:rFonts w:ascii="宋体"/>
                <w:vanish/>
              </w:rPr>
            </w:pPr>
          </w:p>
        </w:tc>
        <w:tc>
          <w:tcPr>
            <w:tcW w:w="0" w:type="auto"/>
            <w:gridSpan w:val="3"/>
            <w:shd w:val="clear" w:color="auto" w:fill="auto"/>
            <w:vAlign w:val="bottom"/>
          </w:tcPr>
          <w:p w14:paraId="07DD0D13" w14:textId="77777777" w:rsidR="00AE727E" w:rsidRDefault="00AE727E">
            <w:pPr>
              <w:rPr>
                <w:rFonts w:ascii="宋体"/>
                <w:vanish/>
              </w:rPr>
            </w:pPr>
          </w:p>
        </w:tc>
        <w:tc>
          <w:tcPr>
            <w:tcW w:w="0" w:type="auto"/>
            <w:gridSpan w:val="3"/>
            <w:shd w:val="clear" w:color="auto" w:fill="auto"/>
            <w:vAlign w:val="bottom"/>
          </w:tcPr>
          <w:p w14:paraId="07DD0D14" w14:textId="77777777" w:rsidR="00AE727E" w:rsidRDefault="00AE727E">
            <w:pPr>
              <w:rPr>
                <w:rFonts w:ascii="宋体"/>
                <w:vanish/>
              </w:rPr>
            </w:pPr>
          </w:p>
        </w:tc>
        <w:tc>
          <w:tcPr>
            <w:tcW w:w="0" w:type="auto"/>
            <w:gridSpan w:val="3"/>
            <w:shd w:val="clear" w:color="auto" w:fill="auto"/>
            <w:vAlign w:val="bottom"/>
          </w:tcPr>
          <w:p w14:paraId="07DD0D15" w14:textId="77777777" w:rsidR="00AE727E" w:rsidRDefault="00AE727E">
            <w:pPr>
              <w:rPr>
                <w:rFonts w:ascii="宋体"/>
                <w:vanish/>
              </w:rPr>
            </w:pPr>
          </w:p>
        </w:tc>
        <w:tc>
          <w:tcPr>
            <w:tcW w:w="0" w:type="auto"/>
            <w:gridSpan w:val="3"/>
            <w:shd w:val="clear" w:color="auto" w:fill="auto"/>
            <w:vAlign w:val="bottom"/>
          </w:tcPr>
          <w:p w14:paraId="07DD0D16" w14:textId="77777777" w:rsidR="00AE727E" w:rsidRDefault="00AE727E">
            <w:pPr>
              <w:rPr>
                <w:rFonts w:ascii="宋体"/>
                <w:vanish/>
              </w:rPr>
            </w:pPr>
          </w:p>
        </w:tc>
        <w:tc>
          <w:tcPr>
            <w:tcW w:w="0" w:type="auto"/>
            <w:gridSpan w:val="3"/>
            <w:shd w:val="clear" w:color="auto" w:fill="auto"/>
            <w:vAlign w:val="bottom"/>
          </w:tcPr>
          <w:p w14:paraId="07DD0D17" w14:textId="77777777" w:rsidR="00AE727E" w:rsidRDefault="00AE727E">
            <w:pPr>
              <w:rPr>
                <w:rFonts w:ascii="宋体"/>
                <w:vanish/>
              </w:rPr>
            </w:pPr>
          </w:p>
        </w:tc>
        <w:tc>
          <w:tcPr>
            <w:tcW w:w="0" w:type="auto"/>
            <w:shd w:val="clear" w:color="auto" w:fill="auto"/>
            <w:vAlign w:val="bottom"/>
          </w:tcPr>
          <w:p w14:paraId="07DD0D18" w14:textId="77777777" w:rsidR="00AE727E" w:rsidRDefault="00AE727E">
            <w:pPr>
              <w:rPr>
                <w:rFonts w:ascii="宋体"/>
              </w:rPr>
            </w:pPr>
          </w:p>
        </w:tc>
        <w:tc>
          <w:tcPr>
            <w:tcW w:w="0" w:type="auto"/>
            <w:shd w:val="clear" w:color="auto" w:fill="auto"/>
            <w:vAlign w:val="bottom"/>
          </w:tcPr>
          <w:p w14:paraId="07DD0D19" w14:textId="77777777" w:rsidR="00AE727E" w:rsidRDefault="00AE727E">
            <w:pPr>
              <w:rPr>
                <w:rFonts w:ascii="宋体"/>
              </w:rPr>
            </w:pPr>
          </w:p>
        </w:tc>
        <w:tc>
          <w:tcPr>
            <w:tcW w:w="0" w:type="auto"/>
            <w:shd w:val="clear" w:color="auto" w:fill="auto"/>
            <w:vAlign w:val="bottom"/>
          </w:tcPr>
          <w:p w14:paraId="07DD0D1A" w14:textId="77777777" w:rsidR="00AE727E" w:rsidRDefault="00AE727E">
            <w:pPr>
              <w:rPr>
                <w:rFonts w:ascii="宋体"/>
              </w:rPr>
            </w:pPr>
          </w:p>
        </w:tc>
        <w:tc>
          <w:tcPr>
            <w:tcW w:w="0" w:type="auto"/>
            <w:shd w:val="clear" w:color="auto" w:fill="auto"/>
            <w:vAlign w:val="bottom"/>
          </w:tcPr>
          <w:p w14:paraId="07DD0D1B" w14:textId="77777777" w:rsidR="00AE727E" w:rsidRDefault="00AE727E">
            <w:pPr>
              <w:rPr>
                <w:rFonts w:ascii="宋体"/>
              </w:rPr>
            </w:pPr>
          </w:p>
        </w:tc>
        <w:tc>
          <w:tcPr>
            <w:tcW w:w="0" w:type="auto"/>
            <w:shd w:val="clear" w:color="auto" w:fill="auto"/>
            <w:vAlign w:val="bottom"/>
          </w:tcPr>
          <w:p w14:paraId="07DD0D1C" w14:textId="77777777" w:rsidR="00AE727E" w:rsidRDefault="00AE727E">
            <w:pPr>
              <w:rPr>
                <w:rFonts w:ascii="宋体"/>
              </w:rPr>
            </w:pPr>
          </w:p>
        </w:tc>
        <w:tc>
          <w:tcPr>
            <w:tcW w:w="0" w:type="auto"/>
            <w:shd w:val="clear" w:color="auto" w:fill="auto"/>
            <w:vAlign w:val="bottom"/>
          </w:tcPr>
          <w:p w14:paraId="07DD0D1D" w14:textId="77777777" w:rsidR="00AE727E" w:rsidRDefault="00AE727E">
            <w:pPr>
              <w:rPr>
                <w:rFonts w:ascii="宋体"/>
              </w:rPr>
            </w:pPr>
          </w:p>
        </w:tc>
        <w:tc>
          <w:tcPr>
            <w:tcW w:w="0" w:type="auto"/>
            <w:shd w:val="clear" w:color="auto" w:fill="auto"/>
            <w:vAlign w:val="bottom"/>
          </w:tcPr>
          <w:p w14:paraId="07DD0D1E" w14:textId="77777777" w:rsidR="00AE727E" w:rsidRDefault="00AE727E">
            <w:pPr>
              <w:rPr>
                <w:rFonts w:ascii="宋体"/>
              </w:rPr>
            </w:pPr>
          </w:p>
        </w:tc>
        <w:tc>
          <w:tcPr>
            <w:tcW w:w="0" w:type="auto"/>
            <w:shd w:val="clear" w:color="auto" w:fill="auto"/>
            <w:vAlign w:val="bottom"/>
          </w:tcPr>
          <w:p w14:paraId="07DD0D1F" w14:textId="77777777" w:rsidR="00AE727E" w:rsidRDefault="00AE727E">
            <w:pPr>
              <w:rPr>
                <w:rFonts w:ascii="宋体"/>
              </w:rPr>
            </w:pPr>
          </w:p>
        </w:tc>
        <w:tc>
          <w:tcPr>
            <w:tcW w:w="0" w:type="auto"/>
            <w:shd w:val="clear" w:color="auto" w:fill="auto"/>
            <w:vAlign w:val="bottom"/>
          </w:tcPr>
          <w:p w14:paraId="07DD0D20" w14:textId="77777777" w:rsidR="00AE727E" w:rsidRDefault="00AE727E">
            <w:pPr>
              <w:rPr>
                <w:rFonts w:ascii="宋体"/>
              </w:rPr>
            </w:pPr>
          </w:p>
        </w:tc>
        <w:tc>
          <w:tcPr>
            <w:tcW w:w="0" w:type="auto"/>
            <w:shd w:val="clear" w:color="auto" w:fill="auto"/>
            <w:vAlign w:val="bottom"/>
          </w:tcPr>
          <w:p w14:paraId="07DD0D21" w14:textId="77777777" w:rsidR="00AE727E" w:rsidRDefault="00AE727E">
            <w:pPr>
              <w:rPr>
                <w:rFonts w:ascii="宋体"/>
              </w:rPr>
            </w:pPr>
          </w:p>
        </w:tc>
        <w:tc>
          <w:tcPr>
            <w:tcW w:w="0" w:type="auto"/>
            <w:shd w:val="clear" w:color="auto" w:fill="auto"/>
            <w:vAlign w:val="bottom"/>
          </w:tcPr>
          <w:p w14:paraId="07DD0D22" w14:textId="77777777" w:rsidR="00AE727E" w:rsidRDefault="00AE727E">
            <w:pPr>
              <w:rPr>
                <w:rFonts w:ascii="宋体"/>
              </w:rPr>
            </w:pPr>
          </w:p>
        </w:tc>
        <w:tc>
          <w:tcPr>
            <w:tcW w:w="0" w:type="auto"/>
            <w:shd w:val="clear" w:color="auto" w:fill="auto"/>
            <w:vAlign w:val="bottom"/>
          </w:tcPr>
          <w:p w14:paraId="07DD0D23" w14:textId="77777777" w:rsidR="00AE727E" w:rsidRDefault="00AE727E">
            <w:pPr>
              <w:rPr>
                <w:rFonts w:ascii="宋体"/>
              </w:rPr>
            </w:pPr>
          </w:p>
        </w:tc>
        <w:tc>
          <w:tcPr>
            <w:tcW w:w="0" w:type="auto"/>
            <w:shd w:val="clear" w:color="auto" w:fill="auto"/>
            <w:vAlign w:val="bottom"/>
          </w:tcPr>
          <w:p w14:paraId="07DD0D24" w14:textId="77777777" w:rsidR="00AE727E" w:rsidRDefault="00AE727E">
            <w:pPr>
              <w:rPr>
                <w:rFonts w:ascii="宋体"/>
              </w:rPr>
            </w:pPr>
          </w:p>
        </w:tc>
        <w:tc>
          <w:tcPr>
            <w:tcW w:w="0" w:type="auto"/>
            <w:shd w:val="clear" w:color="auto" w:fill="auto"/>
            <w:vAlign w:val="bottom"/>
          </w:tcPr>
          <w:p w14:paraId="07DD0D25" w14:textId="77777777" w:rsidR="00AE727E" w:rsidRDefault="00AE727E">
            <w:pPr>
              <w:rPr>
                <w:rFonts w:ascii="宋体"/>
              </w:rPr>
            </w:pPr>
          </w:p>
        </w:tc>
        <w:tc>
          <w:tcPr>
            <w:tcW w:w="0" w:type="auto"/>
            <w:shd w:val="clear" w:color="auto" w:fill="auto"/>
            <w:vAlign w:val="bottom"/>
          </w:tcPr>
          <w:p w14:paraId="07DD0D26" w14:textId="77777777" w:rsidR="00AE727E" w:rsidRDefault="00AE727E">
            <w:pPr>
              <w:rPr>
                <w:rFonts w:ascii="宋体"/>
              </w:rPr>
            </w:pPr>
          </w:p>
        </w:tc>
        <w:tc>
          <w:tcPr>
            <w:tcW w:w="0" w:type="auto"/>
            <w:shd w:val="clear" w:color="auto" w:fill="auto"/>
            <w:vAlign w:val="bottom"/>
          </w:tcPr>
          <w:p w14:paraId="07DD0D27" w14:textId="77777777" w:rsidR="00AE727E" w:rsidRDefault="00AE727E">
            <w:pPr>
              <w:rPr>
                <w:rFonts w:ascii="宋体"/>
              </w:rPr>
            </w:pPr>
          </w:p>
        </w:tc>
        <w:tc>
          <w:tcPr>
            <w:tcW w:w="0" w:type="auto"/>
            <w:shd w:val="clear" w:color="auto" w:fill="auto"/>
            <w:vAlign w:val="bottom"/>
          </w:tcPr>
          <w:p w14:paraId="07DD0D28" w14:textId="77777777" w:rsidR="00AE727E" w:rsidRDefault="00AE727E">
            <w:pPr>
              <w:rPr>
                <w:rFonts w:ascii="宋体"/>
              </w:rPr>
            </w:pPr>
          </w:p>
        </w:tc>
        <w:tc>
          <w:tcPr>
            <w:tcW w:w="0" w:type="auto"/>
            <w:shd w:val="clear" w:color="auto" w:fill="auto"/>
            <w:vAlign w:val="bottom"/>
          </w:tcPr>
          <w:p w14:paraId="07DD0D29" w14:textId="77777777" w:rsidR="00AE727E" w:rsidRDefault="00AE727E">
            <w:pPr>
              <w:rPr>
                <w:rFonts w:ascii="宋体"/>
              </w:rPr>
            </w:pPr>
          </w:p>
        </w:tc>
        <w:tc>
          <w:tcPr>
            <w:tcW w:w="0" w:type="auto"/>
            <w:shd w:val="clear" w:color="auto" w:fill="auto"/>
            <w:vAlign w:val="bottom"/>
          </w:tcPr>
          <w:p w14:paraId="07DD0D2A" w14:textId="77777777" w:rsidR="00AE727E" w:rsidRDefault="00AE727E">
            <w:pPr>
              <w:rPr>
                <w:rFonts w:ascii="宋体"/>
              </w:rPr>
            </w:pPr>
          </w:p>
        </w:tc>
        <w:tc>
          <w:tcPr>
            <w:tcW w:w="0" w:type="auto"/>
            <w:shd w:val="clear" w:color="auto" w:fill="auto"/>
            <w:vAlign w:val="bottom"/>
          </w:tcPr>
          <w:p w14:paraId="07DD0D2B" w14:textId="77777777" w:rsidR="00AE727E" w:rsidRDefault="00AE727E">
            <w:pPr>
              <w:rPr>
                <w:rFonts w:ascii="宋体"/>
              </w:rPr>
            </w:pPr>
          </w:p>
        </w:tc>
        <w:tc>
          <w:tcPr>
            <w:tcW w:w="0" w:type="auto"/>
            <w:shd w:val="clear" w:color="auto" w:fill="auto"/>
            <w:vAlign w:val="bottom"/>
          </w:tcPr>
          <w:p w14:paraId="07DD0D2C" w14:textId="77777777" w:rsidR="00AE727E" w:rsidRDefault="00AE727E">
            <w:pPr>
              <w:rPr>
                <w:rFonts w:ascii="宋体"/>
              </w:rPr>
            </w:pPr>
          </w:p>
        </w:tc>
        <w:tc>
          <w:tcPr>
            <w:tcW w:w="0" w:type="auto"/>
            <w:shd w:val="clear" w:color="auto" w:fill="auto"/>
            <w:vAlign w:val="bottom"/>
          </w:tcPr>
          <w:p w14:paraId="07DD0D2D" w14:textId="77777777" w:rsidR="00AE727E" w:rsidRDefault="00AE727E">
            <w:pPr>
              <w:rPr>
                <w:rFonts w:ascii="宋体"/>
              </w:rPr>
            </w:pPr>
          </w:p>
        </w:tc>
        <w:tc>
          <w:tcPr>
            <w:tcW w:w="0" w:type="auto"/>
            <w:shd w:val="clear" w:color="auto" w:fill="auto"/>
            <w:vAlign w:val="bottom"/>
          </w:tcPr>
          <w:p w14:paraId="07DD0D2E" w14:textId="77777777" w:rsidR="00AE727E" w:rsidRDefault="00AE727E">
            <w:pPr>
              <w:rPr>
                <w:rFonts w:ascii="宋体"/>
              </w:rPr>
            </w:pPr>
          </w:p>
        </w:tc>
        <w:tc>
          <w:tcPr>
            <w:tcW w:w="0" w:type="auto"/>
            <w:shd w:val="clear" w:color="auto" w:fill="auto"/>
            <w:vAlign w:val="bottom"/>
          </w:tcPr>
          <w:p w14:paraId="07DD0D2F" w14:textId="77777777" w:rsidR="00AE727E" w:rsidRDefault="00AE727E">
            <w:pPr>
              <w:rPr>
                <w:rFonts w:ascii="宋体"/>
              </w:rPr>
            </w:pPr>
          </w:p>
        </w:tc>
      </w:tr>
      <w:tr w:rsidR="00AE727E" w14:paraId="07DD0D45" w14:textId="77777777">
        <w:trPr>
          <w:hidden/>
        </w:trPr>
        <w:tc>
          <w:tcPr>
            <w:tcW w:w="0" w:type="auto"/>
            <w:gridSpan w:val="3"/>
            <w:shd w:val="clear" w:color="auto" w:fill="auto"/>
            <w:vAlign w:val="bottom"/>
          </w:tcPr>
          <w:p w14:paraId="07DD0D31" w14:textId="77777777" w:rsidR="00AE727E" w:rsidRDefault="00AE727E">
            <w:pPr>
              <w:rPr>
                <w:rFonts w:ascii="宋体"/>
                <w:vanish/>
              </w:rPr>
            </w:pPr>
          </w:p>
        </w:tc>
        <w:tc>
          <w:tcPr>
            <w:tcW w:w="0" w:type="auto"/>
            <w:gridSpan w:val="3"/>
            <w:shd w:val="clear" w:color="auto" w:fill="auto"/>
            <w:vAlign w:val="bottom"/>
          </w:tcPr>
          <w:p w14:paraId="07DD0D32" w14:textId="77777777" w:rsidR="00AE727E" w:rsidRDefault="00AE727E">
            <w:pPr>
              <w:rPr>
                <w:rFonts w:ascii="宋体"/>
                <w:vanish/>
              </w:rPr>
            </w:pPr>
          </w:p>
        </w:tc>
        <w:tc>
          <w:tcPr>
            <w:tcW w:w="0" w:type="auto"/>
            <w:gridSpan w:val="3"/>
            <w:shd w:val="clear" w:color="auto" w:fill="auto"/>
            <w:vAlign w:val="bottom"/>
          </w:tcPr>
          <w:p w14:paraId="07DD0D33" w14:textId="77777777" w:rsidR="00AE727E" w:rsidRDefault="00AE727E">
            <w:pPr>
              <w:rPr>
                <w:rFonts w:ascii="宋体"/>
                <w:vanish/>
              </w:rPr>
            </w:pPr>
          </w:p>
        </w:tc>
        <w:tc>
          <w:tcPr>
            <w:tcW w:w="0" w:type="auto"/>
            <w:gridSpan w:val="3"/>
            <w:shd w:val="clear" w:color="auto" w:fill="auto"/>
            <w:vAlign w:val="bottom"/>
          </w:tcPr>
          <w:p w14:paraId="07DD0D34" w14:textId="77777777" w:rsidR="00AE727E" w:rsidRDefault="00AE727E">
            <w:pPr>
              <w:rPr>
                <w:rFonts w:ascii="宋体"/>
                <w:vanish/>
              </w:rPr>
            </w:pPr>
          </w:p>
        </w:tc>
        <w:tc>
          <w:tcPr>
            <w:tcW w:w="0" w:type="auto"/>
            <w:gridSpan w:val="3"/>
            <w:shd w:val="clear" w:color="auto" w:fill="auto"/>
            <w:vAlign w:val="bottom"/>
          </w:tcPr>
          <w:p w14:paraId="07DD0D35" w14:textId="77777777" w:rsidR="00AE727E" w:rsidRDefault="00AE727E">
            <w:pPr>
              <w:rPr>
                <w:rFonts w:ascii="宋体"/>
                <w:vanish/>
              </w:rPr>
            </w:pPr>
          </w:p>
        </w:tc>
        <w:tc>
          <w:tcPr>
            <w:tcW w:w="0" w:type="auto"/>
            <w:gridSpan w:val="3"/>
            <w:shd w:val="clear" w:color="auto" w:fill="auto"/>
            <w:vAlign w:val="bottom"/>
          </w:tcPr>
          <w:p w14:paraId="07DD0D36" w14:textId="77777777" w:rsidR="00AE727E" w:rsidRDefault="00AE727E">
            <w:pPr>
              <w:rPr>
                <w:rFonts w:ascii="宋体"/>
                <w:vanish/>
              </w:rPr>
            </w:pPr>
          </w:p>
        </w:tc>
        <w:tc>
          <w:tcPr>
            <w:tcW w:w="0" w:type="auto"/>
            <w:gridSpan w:val="3"/>
            <w:shd w:val="clear" w:color="auto" w:fill="auto"/>
            <w:vAlign w:val="bottom"/>
          </w:tcPr>
          <w:p w14:paraId="07DD0D37" w14:textId="77777777" w:rsidR="00AE727E" w:rsidRDefault="00AE727E">
            <w:pPr>
              <w:rPr>
                <w:rFonts w:ascii="宋体"/>
                <w:vanish/>
              </w:rPr>
            </w:pPr>
          </w:p>
        </w:tc>
        <w:tc>
          <w:tcPr>
            <w:tcW w:w="0" w:type="auto"/>
            <w:gridSpan w:val="3"/>
            <w:shd w:val="clear" w:color="auto" w:fill="auto"/>
            <w:vAlign w:val="bottom"/>
          </w:tcPr>
          <w:p w14:paraId="07DD0D38" w14:textId="77777777" w:rsidR="00AE727E" w:rsidRDefault="00AE727E">
            <w:pPr>
              <w:rPr>
                <w:rFonts w:ascii="宋体"/>
                <w:vanish/>
              </w:rPr>
            </w:pPr>
          </w:p>
        </w:tc>
        <w:tc>
          <w:tcPr>
            <w:tcW w:w="0" w:type="auto"/>
            <w:gridSpan w:val="3"/>
            <w:shd w:val="clear" w:color="auto" w:fill="auto"/>
            <w:vAlign w:val="bottom"/>
          </w:tcPr>
          <w:p w14:paraId="07DD0D39" w14:textId="77777777" w:rsidR="00AE727E" w:rsidRDefault="00AE727E">
            <w:pPr>
              <w:rPr>
                <w:rFonts w:ascii="宋体"/>
                <w:vanish/>
              </w:rPr>
            </w:pPr>
          </w:p>
        </w:tc>
        <w:tc>
          <w:tcPr>
            <w:tcW w:w="0" w:type="auto"/>
            <w:gridSpan w:val="3"/>
            <w:shd w:val="clear" w:color="auto" w:fill="auto"/>
            <w:vAlign w:val="bottom"/>
          </w:tcPr>
          <w:p w14:paraId="07DD0D3A" w14:textId="77777777" w:rsidR="00AE727E" w:rsidRDefault="00AE727E">
            <w:pPr>
              <w:rPr>
                <w:rFonts w:ascii="宋体"/>
                <w:vanish/>
              </w:rPr>
            </w:pPr>
          </w:p>
        </w:tc>
        <w:tc>
          <w:tcPr>
            <w:tcW w:w="0" w:type="auto"/>
            <w:gridSpan w:val="3"/>
            <w:shd w:val="clear" w:color="auto" w:fill="auto"/>
            <w:vAlign w:val="bottom"/>
          </w:tcPr>
          <w:p w14:paraId="07DD0D3B" w14:textId="77777777" w:rsidR="00AE727E" w:rsidRDefault="00AE727E">
            <w:pPr>
              <w:rPr>
                <w:rFonts w:ascii="宋体"/>
                <w:vanish/>
              </w:rPr>
            </w:pPr>
          </w:p>
        </w:tc>
        <w:tc>
          <w:tcPr>
            <w:tcW w:w="0" w:type="auto"/>
            <w:gridSpan w:val="3"/>
            <w:shd w:val="clear" w:color="auto" w:fill="auto"/>
            <w:vAlign w:val="bottom"/>
          </w:tcPr>
          <w:p w14:paraId="07DD0D3C" w14:textId="77777777" w:rsidR="00AE727E" w:rsidRDefault="00AE727E">
            <w:pPr>
              <w:rPr>
                <w:rFonts w:ascii="宋体"/>
                <w:vanish/>
              </w:rPr>
            </w:pPr>
          </w:p>
        </w:tc>
        <w:tc>
          <w:tcPr>
            <w:tcW w:w="0" w:type="auto"/>
            <w:gridSpan w:val="3"/>
            <w:shd w:val="clear" w:color="auto" w:fill="auto"/>
            <w:vAlign w:val="bottom"/>
          </w:tcPr>
          <w:p w14:paraId="07DD0D3D" w14:textId="77777777" w:rsidR="00AE727E" w:rsidRDefault="00AE727E">
            <w:pPr>
              <w:rPr>
                <w:rFonts w:ascii="宋体"/>
                <w:vanish/>
              </w:rPr>
            </w:pPr>
          </w:p>
        </w:tc>
        <w:tc>
          <w:tcPr>
            <w:tcW w:w="0" w:type="auto"/>
            <w:gridSpan w:val="3"/>
            <w:shd w:val="clear" w:color="auto" w:fill="auto"/>
            <w:vAlign w:val="bottom"/>
          </w:tcPr>
          <w:p w14:paraId="07DD0D3E" w14:textId="77777777" w:rsidR="00AE727E" w:rsidRDefault="00AE727E">
            <w:pPr>
              <w:rPr>
                <w:rFonts w:ascii="宋体"/>
                <w:vanish/>
              </w:rPr>
            </w:pPr>
          </w:p>
        </w:tc>
        <w:tc>
          <w:tcPr>
            <w:tcW w:w="0" w:type="auto"/>
            <w:gridSpan w:val="3"/>
            <w:shd w:val="clear" w:color="auto" w:fill="auto"/>
            <w:vAlign w:val="bottom"/>
          </w:tcPr>
          <w:p w14:paraId="07DD0D3F" w14:textId="77777777" w:rsidR="00AE727E" w:rsidRDefault="00AE727E">
            <w:pPr>
              <w:rPr>
                <w:rFonts w:ascii="宋体"/>
                <w:vanish/>
              </w:rPr>
            </w:pPr>
          </w:p>
        </w:tc>
        <w:tc>
          <w:tcPr>
            <w:tcW w:w="0" w:type="auto"/>
            <w:gridSpan w:val="3"/>
            <w:shd w:val="clear" w:color="auto" w:fill="auto"/>
            <w:vAlign w:val="bottom"/>
          </w:tcPr>
          <w:p w14:paraId="07DD0D40" w14:textId="77777777" w:rsidR="00AE727E" w:rsidRDefault="00AE727E">
            <w:pPr>
              <w:rPr>
                <w:rFonts w:ascii="宋体"/>
                <w:vanish/>
              </w:rPr>
            </w:pPr>
          </w:p>
        </w:tc>
        <w:tc>
          <w:tcPr>
            <w:tcW w:w="0" w:type="auto"/>
            <w:gridSpan w:val="3"/>
            <w:shd w:val="clear" w:color="auto" w:fill="auto"/>
            <w:vAlign w:val="bottom"/>
          </w:tcPr>
          <w:p w14:paraId="07DD0D41" w14:textId="77777777" w:rsidR="00AE727E" w:rsidRDefault="00AE727E">
            <w:pPr>
              <w:rPr>
                <w:rFonts w:ascii="宋体"/>
                <w:vanish/>
              </w:rPr>
            </w:pPr>
          </w:p>
        </w:tc>
        <w:tc>
          <w:tcPr>
            <w:tcW w:w="0" w:type="auto"/>
            <w:gridSpan w:val="3"/>
            <w:shd w:val="clear" w:color="auto" w:fill="auto"/>
            <w:vAlign w:val="bottom"/>
          </w:tcPr>
          <w:p w14:paraId="07DD0D42" w14:textId="77777777" w:rsidR="00AE727E" w:rsidRDefault="00AE727E">
            <w:pPr>
              <w:rPr>
                <w:rFonts w:ascii="宋体"/>
                <w:vanish/>
              </w:rPr>
            </w:pPr>
          </w:p>
        </w:tc>
        <w:tc>
          <w:tcPr>
            <w:tcW w:w="0" w:type="auto"/>
            <w:gridSpan w:val="3"/>
            <w:shd w:val="clear" w:color="auto" w:fill="auto"/>
            <w:vAlign w:val="bottom"/>
          </w:tcPr>
          <w:p w14:paraId="07DD0D43" w14:textId="77777777" w:rsidR="00AE727E" w:rsidRDefault="00AE727E">
            <w:pPr>
              <w:rPr>
                <w:rFonts w:ascii="宋体"/>
                <w:vanish/>
              </w:rPr>
            </w:pPr>
          </w:p>
        </w:tc>
        <w:tc>
          <w:tcPr>
            <w:tcW w:w="0" w:type="auto"/>
            <w:gridSpan w:val="3"/>
            <w:shd w:val="clear" w:color="auto" w:fill="auto"/>
            <w:vAlign w:val="bottom"/>
          </w:tcPr>
          <w:p w14:paraId="07DD0D44" w14:textId="77777777" w:rsidR="00AE727E" w:rsidRDefault="00AE727E">
            <w:pPr>
              <w:rPr>
                <w:rFonts w:ascii="宋体"/>
                <w:vanish/>
              </w:rPr>
            </w:pPr>
          </w:p>
        </w:tc>
      </w:tr>
      <w:tr w:rsidR="00AE727E" w14:paraId="07DD0D7E" w14:textId="77777777">
        <w:trPr>
          <w:hidden/>
        </w:trPr>
        <w:tc>
          <w:tcPr>
            <w:tcW w:w="0" w:type="auto"/>
            <w:gridSpan w:val="3"/>
            <w:shd w:val="clear" w:color="auto" w:fill="auto"/>
            <w:vAlign w:val="bottom"/>
          </w:tcPr>
          <w:p w14:paraId="07DD0D46" w14:textId="77777777" w:rsidR="00AE727E" w:rsidRDefault="00AE727E">
            <w:pPr>
              <w:rPr>
                <w:rFonts w:ascii="宋体"/>
                <w:vanish/>
              </w:rPr>
            </w:pPr>
          </w:p>
        </w:tc>
        <w:tc>
          <w:tcPr>
            <w:tcW w:w="0" w:type="auto"/>
            <w:gridSpan w:val="3"/>
            <w:shd w:val="clear" w:color="auto" w:fill="auto"/>
            <w:vAlign w:val="bottom"/>
          </w:tcPr>
          <w:p w14:paraId="07DD0D47" w14:textId="77777777" w:rsidR="00AE727E" w:rsidRDefault="00AE727E">
            <w:pPr>
              <w:rPr>
                <w:rFonts w:ascii="宋体"/>
                <w:vanish/>
              </w:rPr>
            </w:pPr>
          </w:p>
        </w:tc>
        <w:tc>
          <w:tcPr>
            <w:tcW w:w="0" w:type="auto"/>
            <w:shd w:val="clear" w:color="auto" w:fill="auto"/>
            <w:vAlign w:val="bottom"/>
          </w:tcPr>
          <w:p w14:paraId="07DD0D48" w14:textId="77777777" w:rsidR="00AE727E" w:rsidRDefault="00AE727E">
            <w:pPr>
              <w:rPr>
                <w:rFonts w:ascii="宋体"/>
              </w:rPr>
            </w:pPr>
          </w:p>
        </w:tc>
        <w:tc>
          <w:tcPr>
            <w:tcW w:w="0" w:type="auto"/>
            <w:shd w:val="clear" w:color="auto" w:fill="auto"/>
            <w:vAlign w:val="bottom"/>
          </w:tcPr>
          <w:p w14:paraId="07DD0D49" w14:textId="77777777" w:rsidR="00AE727E" w:rsidRDefault="00AE727E">
            <w:pPr>
              <w:rPr>
                <w:rFonts w:ascii="宋体"/>
              </w:rPr>
            </w:pPr>
          </w:p>
        </w:tc>
        <w:tc>
          <w:tcPr>
            <w:tcW w:w="0" w:type="auto"/>
            <w:shd w:val="clear" w:color="auto" w:fill="auto"/>
            <w:vAlign w:val="bottom"/>
          </w:tcPr>
          <w:p w14:paraId="07DD0D4A" w14:textId="77777777" w:rsidR="00AE727E" w:rsidRDefault="00AE727E">
            <w:pPr>
              <w:rPr>
                <w:rFonts w:ascii="宋体"/>
              </w:rPr>
            </w:pPr>
          </w:p>
        </w:tc>
        <w:tc>
          <w:tcPr>
            <w:tcW w:w="0" w:type="auto"/>
            <w:shd w:val="clear" w:color="auto" w:fill="auto"/>
            <w:vAlign w:val="bottom"/>
          </w:tcPr>
          <w:p w14:paraId="07DD0D4B" w14:textId="77777777" w:rsidR="00AE727E" w:rsidRDefault="00AE727E">
            <w:pPr>
              <w:rPr>
                <w:rFonts w:ascii="宋体"/>
              </w:rPr>
            </w:pPr>
          </w:p>
        </w:tc>
        <w:tc>
          <w:tcPr>
            <w:tcW w:w="0" w:type="auto"/>
            <w:shd w:val="clear" w:color="auto" w:fill="auto"/>
            <w:vAlign w:val="bottom"/>
          </w:tcPr>
          <w:p w14:paraId="07DD0D4C" w14:textId="77777777" w:rsidR="00AE727E" w:rsidRDefault="00AE727E">
            <w:pPr>
              <w:rPr>
                <w:rFonts w:ascii="宋体"/>
              </w:rPr>
            </w:pPr>
          </w:p>
        </w:tc>
        <w:tc>
          <w:tcPr>
            <w:tcW w:w="0" w:type="auto"/>
            <w:shd w:val="clear" w:color="auto" w:fill="auto"/>
            <w:vAlign w:val="bottom"/>
          </w:tcPr>
          <w:p w14:paraId="07DD0D4D" w14:textId="77777777" w:rsidR="00AE727E" w:rsidRDefault="00AE727E">
            <w:pPr>
              <w:rPr>
                <w:rFonts w:ascii="宋体"/>
              </w:rPr>
            </w:pPr>
          </w:p>
        </w:tc>
        <w:tc>
          <w:tcPr>
            <w:tcW w:w="0" w:type="auto"/>
            <w:shd w:val="clear" w:color="auto" w:fill="auto"/>
            <w:vAlign w:val="bottom"/>
          </w:tcPr>
          <w:p w14:paraId="07DD0D4E" w14:textId="77777777" w:rsidR="00AE727E" w:rsidRDefault="00AE727E">
            <w:pPr>
              <w:rPr>
                <w:rFonts w:ascii="宋体"/>
              </w:rPr>
            </w:pPr>
          </w:p>
        </w:tc>
        <w:tc>
          <w:tcPr>
            <w:tcW w:w="0" w:type="auto"/>
            <w:shd w:val="clear" w:color="auto" w:fill="auto"/>
            <w:vAlign w:val="bottom"/>
          </w:tcPr>
          <w:p w14:paraId="07DD0D4F" w14:textId="77777777" w:rsidR="00AE727E" w:rsidRDefault="00AE727E">
            <w:pPr>
              <w:rPr>
                <w:rFonts w:ascii="宋体"/>
              </w:rPr>
            </w:pPr>
          </w:p>
        </w:tc>
        <w:tc>
          <w:tcPr>
            <w:tcW w:w="0" w:type="auto"/>
            <w:shd w:val="clear" w:color="auto" w:fill="auto"/>
            <w:vAlign w:val="bottom"/>
          </w:tcPr>
          <w:p w14:paraId="07DD0D50" w14:textId="77777777" w:rsidR="00AE727E" w:rsidRDefault="00AE727E">
            <w:pPr>
              <w:rPr>
                <w:rFonts w:ascii="宋体"/>
              </w:rPr>
            </w:pPr>
          </w:p>
        </w:tc>
        <w:tc>
          <w:tcPr>
            <w:tcW w:w="0" w:type="auto"/>
            <w:shd w:val="clear" w:color="auto" w:fill="auto"/>
            <w:vAlign w:val="bottom"/>
          </w:tcPr>
          <w:p w14:paraId="07DD0D51" w14:textId="77777777" w:rsidR="00AE727E" w:rsidRDefault="00AE727E">
            <w:pPr>
              <w:rPr>
                <w:rFonts w:ascii="宋体"/>
              </w:rPr>
            </w:pPr>
          </w:p>
        </w:tc>
        <w:tc>
          <w:tcPr>
            <w:tcW w:w="0" w:type="auto"/>
            <w:shd w:val="clear" w:color="auto" w:fill="auto"/>
            <w:vAlign w:val="bottom"/>
          </w:tcPr>
          <w:p w14:paraId="07DD0D52" w14:textId="77777777" w:rsidR="00AE727E" w:rsidRDefault="00AE727E">
            <w:pPr>
              <w:rPr>
                <w:rFonts w:ascii="宋体"/>
              </w:rPr>
            </w:pPr>
          </w:p>
        </w:tc>
        <w:tc>
          <w:tcPr>
            <w:tcW w:w="0" w:type="auto"/>
            <w:shd w:val="clear" w:color="auto" w:fill="auto"/>
            <w:vAlign w:val="bottom"/>
          </w:tcPr>
          <w:p w14:paraId="07DD0D53" w14:textId="77777777" w:rsidR="00AE727E" w:rsidRDefault="00AE727E">
            <w:pPr>
              <w:rPr>
                <w:rFonts w:ascii="宋体"/>
              </w:rPr>
            </w:pPr>
          </w:p>
        </w:tc>
        <w:tc>
          <w:tcPr>
            <w:tcW w:w="0" w:type="auto"/>
            <w:shd w:val="clear" w:color="auto" w:fill="auto"/>
            <w:vAlign w:val="bottom"/>
          </w:tcPr>
          <w:p w14:paraId="07DD0D54" w14:textId="77777777" w:rsidR="00AE727E" w:rsidRDefault="00AE727E">
            <w:pPr>
              <w:rPr>
                <w:rFonts w:ascii="宋体"/>
              </w:rPr>
            </w:pPr>
          </w:p>
        </w:tc>
        <w:tc>
          <w:tcPr>
            <w:tcW w:w="0" w:type="auto"/>
            <w:shd w:val="clear" w:color="auto" w:fill="auto"/>
            <w:vAlign w:val="bottom"/>
          </w:tcPr>
          <w:p w14:paraId="07DD0D55" w14:textId="77777777" w:rsidR="00AE727E" w:rsidRDefault="00AE727E">
            <w:pPr>
              <w:rPr>
                <w:rFonts w:ascii="宋体"/>
              </w:rPr>
            </w:pPr>
          </w:p>
        </w:tc>
        <w:tc>
          <w:tcPr>
            <w:tcW w:w="0" w:type="auto"/>
            <w:shd w:val="clear" w:color="auto" w:fill="auto"/>
            <w:vAlign w:val="bottom"/>
          </w:tcPr>
          <w:p w14:paraId="07DD0D56" w14:textId="77777777" w:rsidR="00AE727E" w:rsidRDefault="00AE727E">
            <w:pPr>
              <w:rPr>
                <w:rFonts w:ascii="宋体"/>
              </w:rPr>
            </w:pPr>
          </w:p>
        </w:tc>
        <w:tc>
          <w:tcPr>
            <w:tcW w:w="0" w:type="auto"/>
            <w:shd w:val="clear" w:color="auto" w:fill="auto"/>
            <w:vAlign w:val="bottom"/>
          </w:tcPr>
          <w:p w14:paraId="07DD0D57" w14:textId="77777777" w:rsidR="00AE727E" w:rsidRDefault="00AE727E">
            <w:pPr>
              <w:rPr>
                <w:rFonts w:ascii="宋体"/>
              </w:rPr>
            </w:pPr>
          </w:p>
        </w:tc>
        <w:tc>
          <w:tcPr>
            <w:tcW w:w="0" w:type="auto"/>
            <w:shd w:val="clear" w:color="auto" w:fill="auto"/>
            <w:vAlign w:val="bottom"/>
          </w:tcPr>
          <w:p w14:paraId="07DD0D58" w14:textId="77777777" w:rsidR="00AE727E" w:rsidRDefault="00AE727E">
            <w:pPr>
              <w:rPr>
                <w:rFonts w:ascii="宋体"/>
              </w:rPr>
            </w:pPr>
          </w:p>
        </w:tc>
        <w:tc>
          <w:tcPr>
            <w:tcW w:w="0" w:type="auto"/>
            <w:shd w:val="clear" w:color="auto" w:fill="auto"/>
            <w:vAlign w:val="bottom"/>
          </w:tcPr>
          <w:p w14:paraId="07DD0D59" w14:textId="77777777" w:rsidR="00AE727E" w:rsidRDefault="00AE727E">
            <w:pPr>
              <w:rPr>
                <w:rFonts w:ascii="宋体"/>
              </w:rPr>
            </w:pPr>
          </w:p>
        </w:tc>
        <w:tc>
          <w:tcPr>
            <w:tcW w:w="0" w:type="auto"/>
            <w:shd w:val="clear" w:color="auto" w:fill="auto"/>
            <w:vAlign w:val="bottom"/>
          </w:tcPr>
          <w:p w14:paraId="07DD0D5A" w14:textId="77777777" w:rsidR="00AE727E" w:rsidRDefault="00AE727E">
            <w:pPr>
              <w:rPr>
                <w:rFonts w:ascii="宋体"/>
              </w:rPr>
            </w:pPr>
          </w:p>
        </w:tc>
        <w:tc>
          <w:tcPr>
            <w:tcW w:w="0" w:type="auto"/>
            <w:shd w:val="clear" w:color="auto" w:fill="auto"/>
            <w:vAlign w:val="bottom"/>
          </w:tcPr>
          <w:p w14:paraId="07DD0D5B" w14:textId="77777777" w:rsidR="00AE727E" w:rsidRDefault="00AE727E">
            <w:pPr>
              <w:rPr>
                <w:rFonts w:ascii="宋体"/>
              </w:rPr>
            </w:pPr>
          </w:p>
        </w:tc>
        <w:tc>
          <w:tcPr>
            <w:tcW w:w="0" w:type="auto"/>
            <w:shd w:val="clear" w:color="auto" w:fill="auto"/>
            <w:vAlign w:val="bottom"/>
          </w:tcPr>
          <w:p w14:paraId="07DD0D5C" w14:textId="77777777" w:rsidR="00AE727E" w:rsidRDefault="00AE727E">
            <w:pPr>
              <w:rPr>
                <w:rFonts w:ascii="宋体"/>
              </w:rPr>
            </w:pPr>
          </w:p>
        </w:tc>
        <w:tc>
          <w:tcPr>
            <w:tcW w:w="0" w:type="auto"/>
            <w:shd w:val="clear" w:color="auto" w:fill="auto"/>
            <w:vAlign w:val="bottom"/>
          </w:tcPr>
          <w:p w14:paraId="07DD0D5D" w14:textId="77777777" w:rsidR="00AE727E" w:rsidRDefault="00AE727E">
            <w:pPr>
              <w:rPr>
                <w:rFonts w:ascii="宋体"/>
              </w:rPr>
            </w:pPr>
          </w:p>
        </w:tc>
        <w:tc>
          <w:tcPr>
            <w:tcW w:w="0" w:type="auto"/>
            <w:shd w:val="clear" w:color="auto" w:fill="auto"/>
            <w:vAlign w:val="bottom"/>
          </w:tcPr>
          <w:p w14:paraId="07DD0D5E" w14:textId="77777777" w:rsidR="00AE727E" w:rsidRDefault="00AE727E">
            <w:pPr>
              <w:rPr>
                <w:rFonts w:ascii="宋体"/>
              </w:rPr>
            </w:pPr>
          </w:p>
        </w:tc>
        <w:tc>
          <w:tcPr>
            <w:tcW w:w="0" w:type="auto"/>
            <w:shd w:val="clear" w:color="auto" w:fill="auto"/>
            <w:vAlign w:val="bottom"/>
          </w:tcPr>
          <w:p w14:paraId="07DD0D5F" w14:textId="77777777" w:rsidR="00AE727E" w:rsidRDefault="00AE727E">
            <w:pPr>
              <w:rPr>
                <w:rFonts w:ascii="宋体"/>
              </w:rPr>
            </w:pPr>
          </w:p>
        </w:tc>
        <w:tc>
          <w:tcPr>
            <w:tcW w:w="0" w:type="auto"/>
            <w:shd w:val="clear" w:color="auto" w:fill="auto"/>
            <w:vAlign w:val="bottom"/>
          </w:tcPr>
          <w:p w14:paraId="07DD0D60" w14:textId="77777777" w:rsidR="00AE727E" w:rsidRDefault="00AE727E">
            <w:pPr>
              <w:rPr>
                <w:rFonts w:ascii="宋体"/>
              </w:rPr>
            </w:pPr>
          </w:p>
        </w:tc>
        <w:tc>
          <w:tcPr>
            <w:tcW w:w="0" w:type="auto"/>
            <w:shd w:val="clear" w:color="auto" w:fill="auto"/>
            <w:vAlign w:val="bottom"/>
          </w:tcPr>
          <w:p w14:paraId="07DD0D61" w14:textId="77777777" w:rsidR="00AE727E" w:rsidRDefault="00AE727E">
            <w:pPr>
              <w:rPr>
                <w:rFonts w:ascii="宋体"/>
              </w:rPr>
            </w:pPr>
          </w:p>
        </w:tc>
        <w:tc>
          <w:tcPr>
            <w:tcW w:w="0" w:type="auto"/>
            <w:shd w:val="clear" w:color="auto" w:fill="auto"/>
            <w:vAlign w:val="bottom"/>
          </w:tcPr>
          <w:p w14:paraId="07DD0D62" w14:textId="77777777" w:rsidR="00AE727E" w:rsidRDefault="00AE727E">
            <w:pPr>
              <w:rPr>
                <w:rFonts w:ascii="宋体"/>
              </w:rPr>
            </w:pPr>
          </w:p>
        </w:tc>
        <w:tc>
          <w:tcPr>
            <w:tcW w:w="0" w:type="auto"/>
            <w:shd w:val="clear" w:color="auto" w:fill="auto"/>
            <w:vAlign w:val="bottom"/>
          </w:tcPr>
          <w:p w14:paraId="07DD0D63" w14:textId="77777777" w:rsidR="00AE727E" w:rsidRDefault="00AE727E">
            <w:pPr>
              <w:rPr>
                <w:rFonts w:ascii="宋体"/>
              </w:rPr>
            </w:pPr>
          </w:p>
        </w:tc>
        <w:tc>
          <w:tcPr>
            <w:tcW w:w="0" w:type="auto"/>
            <w:shd w:val="clear" w:color="auto" w:fill="auto"/>
            <w:vAlign w:val="bottom"/>
          </w:tcPr>
          <w:p w14:paraId="07DD0D64" w14:textId="77777777" w:rsidR="00AE727E" w:rsidRDefault="00AE727E">
            <w:pPr>
              <w:rPr>
                <w:rFonts w:ascii="宋体"/>
              </w:rPr>
            </w:pPr>
          </w:p>
        </w:tc>
        <w:tc>
          <w:tcPr>
            <w:tcW w:w="0" w:type="auto"/>
            <w:shd w:val="clear" w:color="auto" w:fill="auto"/>
            <w:vAlign w:val="bottom"/>
          </w:tcPr>
          <w:p w14:paraId="07DD0D65" w14:textId="77777777" w:rsidR="00AE727E" w:rsidRDefault="00AE727E">
            <w:pPr>
              <w:rPr>
                <w:rFonts w:ascii="宋体"/>
              </w:rPr>
            </w:pPr>
          </w:p>
        </w:tc>
        <w:tc>
          <w:tcPr>
            <w:tcW w:w="0" w:type="auto"/>
            <w:shd w:val="clear" w:color="auto" w:fill="auto"/>
            <w:vAlign w:val="bottom"/>
          </w:tcPr>
          <w:p w14:paraId="07DD0D66" w14:textId="77777777" w:rsidR="00AE727E" w:rsidRDefault="00AE727E">
            <w:pPr>
              <w:rPr>
                <w:rFonts w:ascii="宋体"/>
              </w:rPr>
            </w:pPr>
          </w:p>
        </w:tc>
        <w:tc>
          <w:tcPr>
            <w:tcW w:w="0" w:type="auto"/>
            <w:shd w:val="clear" w:color="auto" w:fill="auto"/>
            <w:vAlign w:val="bottom"/>
          </w:tcPr>
          <w:p w14:paraId="07DD0D67" w14:textId="77777777" w:rsidR="00AE727E" w:rsidRDefault="00AE727E">
            <w:pPr>
              <w:rPr>
                <w:rFonts w:ascii="宋体"/>
              </w:rPr>
            </w:pPr>
          </w:p>
        </w:tc>
        <w:tc>
          <w:tcPr>
            <w:tcW w:w="0" w:type="auto"/>
            <w:shd w:val="clear" w:color="auto" w:fill="auto"/>
            <w:vAlign w:val="bottom"/>
          </w:tcPr>
          <w:p w14:paraId="07DD0D68" w14:textId="77777777" w:rsidR="00AE727E" w:rsidRDefault="00AE727E">
            <w:pPr>
              <w:rPr>
                <w:rFonts w:ascii="宋体"/>
              </w:rPr>
            </w:pPr>
          </w:p>
        </w:tc>
        <w:tc>
          <w:tcPr>
            <w:tcW w:w="0" w:type="auto"/>
            <w:shd w:val="clear" w:color="auto" w:fill="auto"/>
            <w:vAlign w:val="bottom"/>
          </w:tcPr>
          <w:p w14:paraId="07DD0D69" w14:textId="77777777" w:rsidR="00AE727E" w:rsidRDefault="00AE727E">
            <w:pPr>
              <w:rPr>
                <w:rFonts w:ascii="宋体"/>
              </w:rPr>
            </w:pPr>
          </w:p>
        </w:tc>
        <w:tc>
          <w:tcPr>
            <w:tcW w:w="0" w:type="auto"/>
            <w:shd w:val="clear" w:color="auto" w:fill="auto"/>
            <w:vAlign w:val="bottom"/>
          </w:tcPr>
          <w:p w14:paraId="07DD0D6A" w14:textId="77777777" w:rsidR="00AE727E" w:rsidRDefault="00AE727E">
            <w:pPr>
              <w:rPr>
                <w:rFonts w:ascii="宋体"/>
              </w:rPr>
            </w:pPr>
          </w:p>
        </w:tc>
        <w:tc>
          <w:tcPr>
            <w:tcW w:w="0" w:type="auto"/>
            <w:shd w:val="clear" w:color="auto" w:fill="auto"/>
            <w:vAlign w:val="bottom"/>
          </w:tcPr>
          <w:p w14:paraId="07DD0D6B" w14:textId="77777777" w:rsidR="00AE727E" w:rsidRDefault="00AE727E">
            <w:pPr>
              <w:rPr>
                <w:rFonts w:ascii="宋体"/>
              </w:rPr>
            </w:pPr>
          </w:p>
        </w:tc>
        <w:tc>
          <w:tcPr>
            <w:tcW w:w="0" w:type="auto"/>
            <w:shd w:val="clear" w:color="auto" w:fill="auto"/>
            <w:vAlign w:val="bottom"/>
          </w:tcPr>
          <w:p w14:paraId="07DD0D6C" w14:textId="77777777" w:rsidR="00AE727E" w:rsidRDefault="00AE727E">
            <w:pPr>
              <w:rPr>
                <w:rFonts w:ascii="宋体"/>
              </w:rPr>
            </w:pPr>
          </w:p>
        </w:tc>
        <w:tc>
          <w:tcPr>
            <w:tcW w:w="0" w:type="auto"/>
            <w:shd w:val="clear" w:color="auto" w:fill="auto"/>
            <w:vAlign w:val="bottom"/>
          </w:tcPr>
          <w:p w14:paraId="07DD0D6D" w14:textId="77777777" w:rsidR="00AE727E" w:rsidRDefault="00AE727E">
            <w:pPr>
              <w:rPr>
                <w:rFonts w:ascii="宋体"/>
              </w:rPr>
            </w:pPr>
          </w:p>
        </w:tc>
        <w:tc>
          <w:tcPr>
            <w:tcW w:w="0" w:type="auto"/>
            <w:shd w:val="clear" w:color="auto" w:fill="auto"/>
            <w:vAlign w:val="bottom"/>
          </w:tcPr>
          <w:p w14:paraId="07DD0D6E" w14:textId="77777777" w:rsidR="00AE727E" w:rsidRDefault="00AE727E">
            <w:pPr>
              <w:rPr>
                <w:rFonts w:ascii="宋体"/>
              </w:rPr>
            </w:pPr>
          </w:p>
        </w:tc>
        <w:tc>
          <w:tcPr>
            <w:tcW w:w="0" w:type="auto"/>
            <w:shd w:val="clear" w:color="auto" w:fill="auto"/>
            <w:vAlign w:val="bottom"/>
          </w:tcPr>
          <w:p w14:paraId="07DD0D6F" w14:textId="77777777" w:rsidR="00AE727E" w:rsidRDefault="00AE727E">
            <w:pPr>
              <w:rPr>
                <w:rFonts w:ascii="宋体"/>
              </w:rPr>
            </w:pPr>
          </w:p>
        </w:tc>
        <w:tc>
          <w:tcPr>
            <w:tcW w:w="0" w:type="auto"/>
            <w:shd w:val="clear" w:color="auto" w:fill="auto"/>
            <w:vAlign w:val="bottom"/>
          </w:tcPr>
          <w:p w14:paraId="07DD0D70" w14:textId="77777777" w:rsidR="00AE727E" w:rsidRDefault="00AE727E">
            <w:pPr>
              <w:rPr>
                <w:rFonts w:ascii="宋体"/>
              </w:rPr>
            </w:pPr>
          </w:p>
        </w:tc>
        <w:tc>
          <w:tcPr>
            <w:tcW w:w="0" w:type="auto"/>
            <w:shd w:val="clear" w:color="auto" w:fill="auto"/>
            <w:vAlign w:val="bottom"/>
          </w:tcPr>
          <w:p w14:paraId="07DD0D71" w14:textId="77777777" w:rsidR="00AE727E" w:rsidRDefault="00AE727E">
            <w:pPr>
              <w:rPr>
                <w:rFonts w:ascii="宋体"/>
              </w:rPr>
            </w:pPr>
          </w:p>
        </w:tc>
        <w:tc>
          <w:tcPr>
            <w:tcW w:w="0" w:type="auto"/>
            <w:shd w:val="clear" w:color="auto" w:fill="auto"/>
            <w:vAlign w:val="bottom"/>
          </w:tcPr>
          <w:p w14:paraId="07DD0D72" w14:textId="77777777" w:rsidR="00AE727E" w:rsidRDefault="00AE727E">
            <w:pPr>
              <w:rPr>
                <w:rFonts w:ascii="宋体"/>
              </w:rPr>
            </w:pPr>
          </w:p>
        </w:tc>
        <w:tc>
          <w:tcPr>
            <w:tcW w:w="0" w:type="auto"/>
            <w:shd w:val="clear" w:color="auto" w:fill="auto"/>
            <w:vAlign w:val="bottom"/>
          </w:tcPr>
          <w:p w14:paraId="07DD0D73" w14:textId="77777777" w:rsidR="00AE727E" w:rsidRDefault="00AE727E">
            <w:pPr>
              <w:rPr>
                <w:rFonts w:ascii="宋体"/>
              </w:rPr>
            </w:pPr>
          </w:p>
        </w:tc>
        <w:tc>
          <w:tcPr>
            <w:tcW w:w="0" w:type="auto"/>
            <w:shd w:val="clear" w:color="auto" w:fill="auto"/>
            <w:vAlign w:val="bottom"/>
          </w:tcPr>
          <w:p w14:paraId="07DD0D74" w14:textId="77777777" w:rsidR="00AE727E" w:rsidRDefault="00AE727E">
            <w:pPr>
              <w:rPr>
                <w:rFonts w:ascii="宋体"/>
              </w:rPr>
            </w:pPr>
          </w:p>
        </w:tc>
        <w:tc>
          <w:tcPr>
            <w:tcW w:w="0" w:type="auto"/>
            <w:shd w:val="clear" w:color="auto" w:fill="auto"/>
            <w:vAlign w:val="bottom"/>
          </w:tcPr>
          <w:p w14:paraId="07DD0D75" w14:textId="77777777" w:rsidR="00AE727E" w:rsidRDefault="00AE727E">
            <w:pPr>
              <w:rPr>
                <w:rFonts w:ascii="宋体"/>
              </w:rPr>
            </w:pPr>
          </w:p>
        </w:tc>
        <w:tc>
          <w:tcPr>
            <w:tcW w:w="0" w:type="auto"/>
            <w:shd w:val="clear" w:color="auto" w:fill="auto"/>
            <w:vAlign w:val="bottom"/>
          </w:tcPr>
          <w:p w14:paraId="07DD0D76" w14:textId="77777777" w:rsidR="00AE727E" w:rsidRDefault="00AE727E">
            <w:pPr>
              <w:rPr>
                <w:rFonts w:ascii="宋体"/>
              </w:rPr>
            </w:pPr>
          </w:p>
        </w:tc>
        <w:tc>
          <w:tcPr>
            <w:tcW w:w="0" w:type="auto"/>
            <w:shd w:val="clear" w:color="auto" w:fill="auto"/>
            <w:vAlign w:val="bottom"/>
          </w:tcPr>
          <w:p w14:paraId="07DD0D77" w14:textId="77777777" w:rsidR="00AE727E" w:rsidRDefault="00AE727E">
            <w:pPr>
              <w:rPr>
                <w:rFonts w:ascii="宋体"/>
              </w:rPr>
            </w:pPr>
          </w:p>
        </w:tc>
        <w:tc>
          <w:tcPr>
            <w:tcW w:w="0" w:type="auto"/>
            <w:shd w:val="clear" w:color="auto" w:fill="auto"/>
            <w:vAlign w:val="bottom"/>
          </w:tcPr>
          <w:p w14:paraId="07DD0D78" w14:textId="77777777" w:rsidR="00AE727E" w:rsidRDefault="00AE727E">
            <w:pPr>
              <w:rPr>
                <w:rFonts w:ascii="宋体"/>
              </w:rPr>
            </w:pPr>
          </w:p>
        </w:tc>
        <w:tc>
          <w:tcPr>
            <w:tcW w:w="0" w:type="auto"/>
            <w:shd w:val="clear" w:color="auto" w:fill="auto"/>
            <w:vAlign w:val="bottom"/>
          </w:tcPr>
          <w:p w14:paraId="07DD0D79" w14:textId="77777777" w:rsidR="00AE727E" w:rsidRDefault="00AE727E">
            <w:pPr>
              <w:rPr>
                <w:rFonts w:ascii="宋体"/>
              </w:rPr>
            </w:pPr>
          </w:p>
        </w:tc>
        <w:tc>
          <w:tcPr>
            <w:tcW w:w="0" w:type="auto"/>
            <w:shd w:val="clear" w:color="auto" w:fill="auto"/>
            <w:vAlign w:val="bottom"/>
          </w:tcPr>
          <w:p w14:paraId="07DD0D7A" w14:textId="77777777" w:rsidR="00AE727E" w:rsidRDefault="00AE727E">
            <w:pPr>
              <w:rPr>
                <w:rFonts w:ascii="宋体"/>
              </w:rPr>
            </w:pPr>
          </w:p>
        </w:tc>
        <w:tc>
          <w:tcPr>
            <w:tcW w:w="0" w:type="auto"/>
            <w:shd w:val="clear" w:color="auto" w:fill="auto"/>
            <w:vAlign w:val="bottom"/>
          </w:tcPr>
          <w:p w14:paraId="07DD0D7B" w14:textId="77777777" w:rsidR="00AE727E" w:rsidRDefault="00AE727E">
            <w:pPr>
              <w:rPr>
                <w:rFonts w:ascii="宋体"/>
              </w:rPr>
            </w:pPr>
          </w:p>
        </w:tc>
        <w:tc>
          <w:tcPr>
            <w:tcW w:w="0" w:type="auto"/>
            <w:shd w:val="clear" w:color="auto" w:fill="auto"/>
            <w:vAlign w:val="bottom"/>
          </w:tcPr>
          <w:p w14:paraId="07DD0D7C" w14:textId="77777777" w:rsidR="00AE727E" w:rsidRDefault="00AE727E">
            <w:pPr>
              <w:rPr>
                <w:rFonts w:ascii="宋体"/>
              </w:rPr>
            </w:pPr>
          </w:p>
        </w:tc>
        <w:tc>
          <w:tcPr>
            <w:tcW w:w="0" w:type="auto"/>
            <w:shd w:val="clear" w:color="auto" w:fill="auto"/>
            <w:vAlign w:val="bottom"/>
          </w:tcPr>
          <w:p w14:paraId="07DD0D7D" w14:textId="77777777" w:rsidR="00AE727E" w:rsidRDefault="00AE727E">
            <w:pPr>
              <w:rPr>
                <w:rFonts w:ascii="宋体"/>
              </w:rPr>
            </w:pPr>
          </w:p>
        </w:tc>
      </w:tr>
      <w:tr w:rsidR="00AE727E" w14:paraId="07DD0D93" w14:textId="77777777">
        <w:tc>
          <w:tcPr>
            <w:tcW w:w="0" w:type="auto"/>
            <w:gridSpan w:val="3"/>
            <w:shd w:val="clear" w:color="auto" w:fill="CCEEFF"/>
            <w:tcMar>
              <w:top w:w="40" w:type="dxa"/>
              <w:left w:w="20" w:type="dxa"/>
              <w:bottom w:w="40" w:type="dxa"/>
              <w:right w:w="20" w:type="dxa"/>
            </w:tcMar>
            <w:vAlign w:val="bottom"/>
          </w:tcPr>
          <w:p w14:paraId="07DD0D7F" w14:textId="77777777" w:rsidR="00AE727E" w:rsidRDefault="008433E0">
            <w:pPr>
              <w:textAlignment w:val="bottom"/>
            </w:pPr>
            <w:r>
              <w:rPr>
                <w:rFonts w:ascii="Times New Roman" w:eastAsia="宋体" w:hAnsi="Times New Roman"/>
                <w:i/>
                <w:iCs/>
                <w:color w:val="000000"/>
                <w:sz w:val="19"/>
                <w:szCs w:val="19"/>
              </w:rPr>
              <w:t>Non-GAAP net revenue:</w:t>
            </w:r>
          </w:p>
        </w:tc>
        <w:tc>
          <w:tcPr>
            <w:tcW w:w="0" w:type="auto"/>
            <w:gridSpan w:val="3"/>
            <w:shd w:val="clear" w:color="auto" w:fill="CCEEFF"/>
            <w:tcMar>
              <w:top w:w="0" w:type="dxa"/>
              <w:left w:w="20" w:type="dxa"/>
              <w:bottom w:w="0" w:type="dxa"/>
              <w:right w:w="20" w:type="dxa"/>
            </w:tcMar>
            <w:vAlign w:val="bottom"/>
          </w:tcPr>
          <w:p w14:paraId="07DD0D8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8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9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9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92" w14:textId="77777777" w:rsidR="00AE727E" w:rsidRDefault="00AE727E">
            <w:pPr>
              <w:rPr>
                <w:rFonts w:ascii="宋体"/>
              </w:rPr>
            </w:pPr>
          </w:p>
        </w:tc>
      </w:tr>
      <w:tr w:rsidR="008433E0" w14:paraId="07DD0DB6" w14:textId="77777777">
        <w:tc>
          <w:tcPr>
            <w:tcW w:w="0" w:type="auto"/>
            <w:gridSpan w:val="3"/>
            <w:shd w:val="clear" w:color="auto" w:fill="FFFFFF"/>
            <w:tcMar>
              <w:top w:w="40" w:type="dxa"/>
              <w:left w:w="35" w:type="dxa"/>
              <w:bottom w:w="40" w:type="dxa"/>
              <w:right w:w="20" w:type="dxa"/>
            </w:tcMar>
            <w:vAlign w:val="bottom"/>
          </w:tcPr>
          <w:p w14:paraId="07DD0D94" w14:textId="77777777" w:rsidR="00AE727E" w:rsidRDefault="008433E0">
            <w:pPr>
              <w:textAlignment w:val="bottom"/>
            </w:pPr>
            <w:r>
              <w:rPr>
                <w:rFonts w:ascii="Times New Roman" w:eastAsia="宋体" w:hAnsi="Times New Roman"/>
                <w:color w:val="000000"/>
                <w:sz w:val="19"/>
                <w:szCs w:val="19"/>
              </w:rPr>
              <w:t>Products</w:t>
            </w:r>
          </w:p>
        </w:tc>
        <w:tc>
          <w:tcPr>
            <w:tcW w:w="0" w:type="auto"/>
            <w:shd w:val="clear" w:color="auto" w:fill="FFFFFF"/>
            <w:tcMar>
              <w:top w:w="40" w:type="dxa"/>
              <w:left w:w="20" w:type="dxa"/>
              <w:bottom w:w="40" w:type="dxa"/>
              <w:right w:w="0" w:type="dxa"/>
            </w:tcMar>
            <w:vAlign w:val="bottom"/>
          </w:tcPr>
          <w:p w14:paraId="07DD0D95"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D96" w14:textId="77777777" w:rsidR="00AE727E" w:rsidRDefault="008433E0">
            <w:pPr>
              <w:jc w:val="right"/>
              <w:textAlignment w:val="bottom"/>
            </w:pPr>
            <w:r>
              <w:rPr>
                <w:rFonts w:ascii="Times New Roman" w:eastAsia="宋体" w:hAnsi="Times New Roman"/>
                <w:color w:val="000000"/>
                <w:sz w:val="19"/>
                <w:szCs w:val="19"/>
              </w:rPr>
              <w:t>21,540 </w:t>
            </w:r>
          </w:p>
        </w:tc>
        <w:tc>
          <w:tcPr>
            <w:tcW w:w="0" w:type="auto"/>
            <w:shd w:val="clear" w:color="auto" w:fill="FFFFFF"/>
            <w:tcMar>
              <w:top w:w="40" w:type="dxa"/>
              <w:left w:w="0" w:type="dxa"/>
              <w:bottom w:w="40" w:type="dxa"/>
              <w:right w:w="20" w:type="dxa"/>
            </w:tcMar>
            <w:vAlign w:val="bottom"/>
          </w:tcPr>
          <w:p w14:paraId="07DD0D9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9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99" w14:textId="77777777" w:rsidR="00AE727E" w:rsidRDefault="008433E0">
            <w:pPr>
              <w:jc w:val="right"/>
              <w:textAlignment w:val="bottom"/>
            </w:pPr>
            <w:r>
              <w:rPr>
                <w:rFonts w:ascii="Times New Roman" w:eastAsia="宋体" w:hAnsi="Times New Roman"/>
                <w:color w:val="000000"/>
                <w:sz w:val="19"/>
                <w:szCs w:val="19"/>
              </w:rPr>
              <w:t>75.8 </w:t>
            </w:r>
          </w:p>
        </w:tc>
        <w:tc>
          <w:tcPr>
            <w:tcW w:w="0" w:type="auto"/>
            <w:shd w:val="clear" w:color="auto" w:fill="FFFFFF"/>
            <w:tcMar>
              <w:top w:w="40" w:type="dxa"/>
              <w:left w:w="0" w:type="dxa"/>
              <w:bottom w:w="40" w:type="dxa"/>
              <w:right w:w="20" w:type="dxa"/>
            </w:tcMar>
            <w:vAlign w:val="bottom"/>
          </w:tcPr>
          <w:p w14:paraId="07DD0D9A"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9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9C" w14:textId="77777777" w:rsidR="00AE727E" w:rsidRDefault="008433E0">
            <w:pPr>
              <w:jc w:val="right"/>
              <w:textAlignment w:val="bottom"/>
            </w:pPr>
            <w:r>
              <w:rPr>
                <w:rFonts w:ascii="Times New Roman" w:eastAsia="宋体" w:hAnsi="Times New Roman"/>
                <w:color w:val="000000"/>
                <w:sz w:val="19"/>
                <w:szCs w:val="19"/>
              </w:rPr>
              <w:t>24 </w:t>
            </w:r>
          </w:p>
        </w:tc>
        <w:tc>
          <w:tcPr>
            <w:tcW w:w="0" w:type="auto"/>
            <w:shd w:val="clear" w:color="auto" w:fill="FFFFFF"/>
            <w:tcMar>
              <w:top w:w="40" w:type="dxa"/>
              <w:left w:w="0" w:type="dxa"/>
              <w:bottom w:w="40" w:type="dxa"/>
              <w:right w:w="20" w:type="dxa"/>
            </w:tcMar>
            <w:vAlign w:val="bottom"/>
          </w:tcPr>
          <w:p w14:paraId="07DD0D9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9E"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D9F"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DA0" w14:textId="77777777" w:rsidR="00AE727E" w:rsidRDefault="008433E0">
            <w:pPr>
              <w:jc w:val="right"/>
              <w:textAlignment w:val="bottom"/>
            </w:pPr>
            <w:r>
              <w:rPr>
                <w:rFonts w:ascii="Times New Roman" w:eastAsia="宋体" w:hAnsi="Times New Roman"/>
                <w:color w:val="000000"/>
                <w:sz w:val="19"/>
                <w:szCs w:val="19"/>
              </w:rPr>
              <w:t>17,354 </w:t>
            </w:r>
          </w:p>
        </w:tc>
        <w:tc>
          <w:tcPr>
            <w:tcW w:w="0" w:type="auto"/>
            <w:shd w:val="clear" w:color="auto" w:fill="FFFFFF"/>
            <w:tcMar>
              <w:top w:w="40" w:type="dxa"/>
              <w:left w:w="0" w:type="dxa"/>
              <w:bottom w:w="40" w:type="dxa"/>
              <w:right w:w="20" w:type="dxa"/>
            </w:tcMar>
            <w:vAlign w:val="bottom"/>
          </w:tcPr>
          <w:p w14:paraId="07DD0DA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A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A3" w14:textId="77777777" w:rsidR="00AE727E" w:rsidRDefault="008433E0">
            <w:pPr>
              <w:jc w:val="right"/>
              <w:textAlignment w:val="bottom"/>
            </w:pPr>
            <w:r>
              <w:rPr>
                <w:rFonts w:ascii="Times New Roman" w:eastAsia="宋体" w:hAnsi="Times New Roman"/>
                <w:color w:val="000000"/>
                <w:sz w:val="19"/>
                <w:szCs w:val="19"/>
              </w:rPr>
              <w:t>73.8 </w:t>
            </w:r>
          </w:p>
        </w:tc>
        <w:tc>
          <w:tcPr>
            <w:tcW w:w="0" w:type="auto"/>
            <w:shd w:val="clear" w:color="auto" w:fill="FFFFFF"/>
            <w:tcMar>
              <w:top w:w="40" w:type="dxa"/>
              <w:left w:w="0" w:type="dxa"/>
              <w:bottom w:w="40" w:type="dxa"/>
              <w:right w:w="20" w:type="dxa"/>
            </w:tcMar>
            <w:vAlign w:val="bottom"/>
          </w:tcPr>
          <w:p w14:paraId="07DD0DA4"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A5"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DA6"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DA7" w14:textId="77777777" w:rsidR="00AE727E" w:rsidRDefault="008433E0">
            <w:pPr>
              <w:jc w:val="right"/>
              <w:textAlignment w:val="bottom"/>
            </w:pPr>
            <w:r>
              <w:rPr>
                <w:rFonts w:ascii="Times New Roman" w:eastAsia="宋体" w:hAnsi="Times New Roman"/>
                <w:color w:val="000000"/>
                <w:sz w:val="19"/>
                <w:szCs w:val="19"/>
              </w:rPr>
              <w:t>58,968 </w:t>
            </w:r>
          </w:p>
        </w:tc>
        <w:tc>
          <w:tcPr>
            <w:tcW w:w="0" w:type="auto"/>
            <w:shd w:val="clear" w:color="auto" w:fill="FFFFFF"/>
            <w:tcMar>
              <w:top w:w="40" w:type="dxa"/>
              <w:left w:w="0" w:type="dxa"/>
              <w:bottom w:w="40" w:type="dxa"/>
              <w:right w:w="20" w:type="dxa"/>
            </w:tcMar>
            <w:vAlign w:val="bottom"/>
          </w:tcPr>
          <w:p w14:paraId="07DD0DA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A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AA" w14:textId="77777777" w:rsidR="00AE727E" w:rsidRDefault="008433E0">
            <w:pPr>
              <w:jc w:val="right"/>
              <w:textAlignment w:val="bottom"/>
            </w:pPr>
            <w:r>
              <w:rPr>
                <w:rFonts w:ascii="Times New Roman" w:eastAsia="宋体" w:hAnsi="Times New Roman"/>
                <w:color w:val="000000"/>
                <w:sz w:val="19"/>
                <w:szCs w:val="19"/>
              </w:rPr>
              <w:t>74.6 </w:t>
            </w:r>
          </w:p>
        </w:tc>
        <w:tc>
          <w:tcPr>
            <w:tcW w:w="0" w:type="auto"/>
            <w:shd w:val="clear" w:color="auto" w:fill="FFFFFF"/>
            <w:tcMar>
              <w:top w:w="40" w:type="dxa"/>
              <w:left w:w="0" w:type="dxa"/>
              <w:bottom w:w="40" w:type="dxa"/>
              <w:right w:w="20" w:type="dxa"/>
            </w:tcMar>
            <w:vAlign w:val="bottom"/>
          </w:tcPr>
          <w:p w14:paraId="07DD0DAB"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A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AD" w14:textId="77777777" w:rsidR="00AE727E" w:rsidRDefault="008433E0">
            <w:pPr>
              <w:jc w:val="right"/>
              <w:textAlignment w:val="bottom"/>
            </w:pPr>
            <w:r>
              <w:rPr>
                <w:rFonts w:ascii="Times New Roman" w:eastAsia="宋体" w:hAnsi="Times New Roman"/>
                <w:color w:val="000000"/>
                <w:sz w:val="19"/>
                <w:szCs w:val="19"/>
              </w:rPr>
              <w:t>18 </w:t>
            </w:r>
          </w:p>
        </w:tc>
        <w:tc>
          <w:tcPr>
            <w:tcW w:w="0" w:type="auto"/>
            <w:shd w:val="clear" w:color="auto" w:fill="FFFFFF"/>
            <w:tcMar>
              <w:top w:w="40" w:type="dxa"/>
              <w:left w:w="0" w:type="dxa"/>
              <w:bottom w:w="40" w:type="dxa"/>
              <w:right w:w="20" w:type="dxa"/>
            </w:tcMar>
            <w:vAlign w:val="bottom"/>
          </w:tcPr>
          <w:p w14:paraId="07DD0DAE"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AF"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DB0"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DB1" w14:textId="77777777" w:rsidR="00AE727E" w:rsidRDefault="008433E0">
            <w:pPr>
              <w:jc w:val="right"/>
              <w:textAlignment w:val="bottom"/>
            </w:pPr>
            <w:r>
              <w:rPr>
                <w:rFonts w:ascii="Times New Roman" w:eastAsia="宋体" w:hAnsi="Times New Roman"/>
                <w:color w:val="000000"/>
                <w:sz w:val="19"/>
                <w:szCs w:val="19"/>
              </w:rPr>
              <w:t>50,135 </w:t>
            </w:r>
          </w:p>
        </w:tc>
        <w:tc>
          <w:tcPr>
            <w:tcW w:w="0" w:type="auto"/>
            <w:shd w:val="clear" w:color="auto" w:fill="FFFFFF"/>
            <w:tcMar>
              <w:top w:w="40" w:type="dxa"/>
              <w:left w:w="0" w:type="dxa"/>
              <w:bottom w:w="40" w:type="dxa"/>
              <w:right w:w="20" w:type="dxa"/>
            </w:tcMar>
            <w:vAlign w:val="bottom"/>
          </w:tcPr>
          <w:p w14:paraId="07DD0DB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B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B4" w14:textId="77777777" w:rsidR="00AE727E" w:rsidRDefault="008433E0">
            <w:pPr>
              <w:jc w:val="right"/>
              <w:textAlignment w:val="bottom"/>
            </w:pPr>
            <w:r>
              <w:rPr>
                <w:rFonts w:ascii="Times New Roman" w:eastAsia="宋体" w:hAnsi="Times New Roman"/>
                <w:color w:val="000000"/>
                <w:sz w:val="19"/>
                <w:szCs w:val="19"/>
              </w:rPr>
              <w:t>73.5 </w:t>
            </w:r>
          </w:p>
        </w:tc>
        <w:tc>
          <w:tcPr>
            <w:tcW w:w="0" w:type="auto"/>
            <w:shd w:val="clear" w:color="auto" w:fill="FFFFFF"/>
            <w:tcMar>
              <w:top w:w="40" w:type="dxa"/>
              <w:left w:w="0" w:type="dxa"/>
              <w:bottom w:w="40" w:type="dxa"/>
              <w:right w:w="20" w:type="dxa"/>
            </w:tcMar>
            <w:vAlign w:val="bottom"/>
          </w:tcPr>
          <w:p w14:paraId="07DD0DB5"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DD5" w14:textId="77777777">
        <w:tc>
          <w:tcPr>
            <w:tcW w:w="0" w:type="auto"/>
            <w:gridSpan w:val="3"/>
            <w:shd w:val="clear" w:color="auto" w:fill="CCEEFF"/>
            <w:tcMar>
              <w:top w:w="40" w:type="dxa"/>
              <w:left w:w="35" w:type="dxa"/>
              <w:bottom w:w="40" w:type="dxa"/>
              <w:right w:w="20" w:type="dxa"/>
            </w:tcMar>
            <w:vAlign w:val="bottom"/>
          </w:tcPr>
          <w:p w14:paraId="07DD0DB7" w14:textId="77777777" w:rsidR="00AE727E" w:rsidRDefault="008433E0">
            <w:pPr>
              <w:textAlignment w:val="bottom"/>
            </w:pPr>
            <w:r>
              <w:rPr>
                <w:rFonts w:ascii="Times New Roman" w:eastAsia="宋体" w:hAnsi="Times New Roman"/>
                <w:color w:val="000000"/>
                <w:sz w:val="19"/>
                <w:szCs w:val="19"/>
              </w:rPr>
              <w:t>Services</w:t>
            </w:r>
          </w:p>
        </w:tc>
        <w:tc>
          <w:tcPr>
            <w:tcW w:w="0" w:type="auto"/>
            <w:gridSpan w:val="2"/>
            <w:shd w:val="clear" w:color="auto" w:fill="CCEEFF"/>
            <w:tcMar>
              <w:top w:w="40" w:type="dxa"/>
              <w:left w:w="20" w:type="dxa"/>
              <w:bottom w:w="40" w:type="dxa"/>
              <w:right w:w="0" w:type="dxa"/>
            </w:tcMar>
            <w:vAlign w:val="bottom"/>
          </w:tcPr>
          <w:p w14:paraId="07DD0DB8" w14:textId="77777777" w:rsidR="00AE727E" w:rsidRDefault="008433E0">
            <w:pPr>
              <w:jc w:val="right"/>
              <w:textAlignment w:val="bottom"/>
            </w:pPr>
            <w:r>
              <w:rPr>
                <w:rFonts w:ascii="Times New Roman" w:eastAsia="宋体" w:hAnsi="Times New Roman"/>
                <w:color w:val="000000"/>
                <w:sz w:val="19"/>
                <w:szCs w:val="19"/>
              </w:rPr>
              <w:t>6,865 </w:t>
            </w:r>
          </w:p>
        </w:tc>
        <w:tc>
          <w:tcPr>
            <w:tcW w:w="0" w:type="auto"/>
            <w:shd w:val="clear" w:color="auto" w:fill="CCEEFF"/>
            <w:tcMar>
              <w:top w:w="40" w:type="dxa"/>
              <w:left w:w="0" w:type="dxa"/>
              <w:bottom w:w="40" w:type="dxa"/>
              <w:right w:w="20" w:type="dxa"/>
            </w:tcMar>
            <w:vAlign w:val="bottom"/>
          </w:tcPr>
          <w:p w14:paraId="07DD0DB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DB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BB" w14:textId="77777777" w:rsidR="00AE727E" w:rsidRDefault="008433E0">
            <w:pPr>
              <w:jc w:val="right"/>
              <w:textAlignment w:val="bottom"/>
            </w:pPr>
            <w:r>
              <w:rPr>
                <w:rFonts w:ascii="Times New Roman" w:eastAsia="宋体" w:hAnsi="Times New Roman"/>
                <w:color w:val="000000"/>
                <w:sz w:val="19"/>
                <w:szCs w:val="19"/>
              </w:rPr>
              <w:t>24.2 </w:t>
            </w:r>
          </w:p>
        </w:tc>
        <w:tc>
          <w:tcPr>
            <w:tcW w:w="0" w:type="auto"/>
            <w:shd w:val="clear" w:color="auto" w:fill="CCEEFF"/>
            <w:tcMar>
              <w:top w:w="40" w:type="dxa"/>
              <w:left w:w="0" w:type="dxa"/>
              <w:bottom w:w="40" w:type="dxa"/>
              <w:right w:w="20" w:type="dxa"/>
            </w:tcMar>
            <w:vAlign w:val="bottom"/>
          </w:tcPr>
          <w:p w14:paraId="07DD0DB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DB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BE" w14:textId="77777777" w:rsidR="00AE727E" w:rsidRDefault="008433E0">
            <w:pPr>
              <w:jc w:val="right"/>
              <w:textAlignment w:val="bottom"/>
            </w:pPr>
            <w:r>
              <w:rPr>
                <w:rFonts w:ascii="Times New Roman" w:eastAsia="宋体" w:hAnsi="Times New Roman"/>
                <w:color w:val="000000"/>
                <w:sz w:val="19"/>
                <w:szCs w:val="19"/>
              </w:rPr>
              <w:t>11 </w:t>
            </w:r>
          </w:p>
        </w:tc>
        <w:tc>
          <w:tcPr>
            <w:tcW w:w="0" w:type="auto"/>
            <w:shd w:val="clear" w:color="auto" w:fill="CCEEFF"/>
            <w:tcMar>
              <w:top w:w="40" w:type="dxa"/>
              <w:left w:w="0" w:type="dxa"/>
              <w:bottom w:w="40" w:type="dxa"/>
              <w:right w:w="20" w:type="dxa"/>
            </w:tcMar>
            <w:vAlign w:val="bottom"/>
          </w:tcPr>
          <w:p w14:paraId="07DD0DB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D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C1" w14:textId="77777777" w:rsidR="00AE727E" w:rsidRDefault="008433E0">
            <w:pPr>
              <w:jc w:val="right"/>
              <w:textAlignment w:val="bottom"/>
            </w:pPr>
            <w:r>
              <w:rPr>
                <w:rFonts w:ascii="Times New Roman" w:eastAsia="宋体" w:hAnsi="Times New Roman"/>
                <w:color w:val="000000"/>
                <w:sz w:val="19"/>
                <w:szCs w:val="19"/>
              </w:rPr>
              <w:t>6,167 </w:t>
            </w:r>
          </w:p>
        </w:tc>
        <w:tc>
          <w:tcPr>
            <w:tcW w:w="0" w:type="auto"/>
            <w:shd w:val="clear" w:color="auto" w:fill="CCEEFF"/>
            <w:tcMar>
              <w:top w:w="40" w:type="dxa"/>
              <w:left w:w="0" w:type="dxa"/>
              <w:bottom w:w="40" w:type="dxa"/>
              <w:right w:w="20" w:type="dxa"/>
            </w:tcMar>
            <w:vAlign w:val="bottom"/>
          </w:tcPr>
          <w:p w14:paraId="07DD0DC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DC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C4" w14:textId="77777777" w:rsidR="00AE727E" w:rsidRDefault="008433E0">
            <w:pPr>
              <w:jc w:val="right"/>
              <w:textAlignment w:val="bottom"/>
            </w:pPr>
            <w:r>
              <w:rPr>
                <w:rFonts w:ascii="Times New Roman" w:eastAsia="宋体" w:hAnsi="Times New Roman"/>
                <w:color w:val="000000"/>
                <w:sz w:val="19"/>
                <w:szCs w:val="19"/>
              </w:rPr>
              <w:t>26.2 </w:t>
            </w:r>
          </w:p>
        </w:tc>
        <w:tc>
          <w:tcPr>
            <w:tcW w:w="0" w:type="auto"/>
            <w:shd w:val="clear" w:color="auto" w:fill="CCEEFF"/>
            <w:tcMar>
              <w:top w:w="40" w:type="dxa"/>
              <w:left w:w="0" w:type="dxa"/>
              <w:bottom w:w="40" w:type="dxa"/>
              <w:right w:w="20" w:type="dxa"/>
            </w:tcMar>
            <w:vAlign w:val="bottom"/>
          </w:tcPr>
          <w:p w14:paraId="07DD0DC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DC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C7" w14:textId="77777777" w:rsidR="00AE727E" w:rsidRDefault="008433E0">
            <w:pPr>
              <w:jc w:val="right"/>
              <w:textAlignment w:val="bottom"/>
            </w:pPr>
            <w:r>
              <w:rPr>
                <w:rFonts w:ascii="Times New Roman" w:eastAsia="宋体" w:hAnsi="Times New Roman"/>
                <w:color w:val="000000"/>
                <w:sz w:val="19"/>
                <w:szCs w:val="19"/>
              </w:rPr>
              <w:t>20,069 </w:t>
            </w:r>
          </w:p>
        </w:tc>
        <w:tc>
          <w:tcPr>
            <w:tcW w:w="0" w:type="auto"/>
            <w:shd w:val="clear" w:color="auto" w:fill="CCEEFF"/>
            <w:tcMar>
              <w:top w:w="40" w:type="dxa"/>
              <w:left w:w="0" w:type="dxa"/>
              <w:bottom w:w="40" w:type="dxa"/>
              <w:right w:w="20" w:type="dxa"/>
            </w:tcMar>
            <w:vAlign w:val="bottom"/>
          </w:tcPr>
          <w:p w14:paraId="07DD0DC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DC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CA" w14:textId="77777777" w:rsidR="00AE727E" w:rsidRDefault="008433E0">
            <w:pPr>
              <w:jc w:val="right"/>
              <w:textAlignment w:val="bottom"/>
            </w:pPr>
            <w:r>
              <w:rPr>
                <w:rFonts w:ascii="Times New Roman" w:eastAsia="宋体" w:hAnsi="Times New Roman"/>
                <w:color w:val="000000"/>
                <w:sz w:val="19"/>
                <w:szCs w:val="19"/>
              </w:rPr>
              <w:t>25.4 </w:t>
            </w:r>
          </w:p>
        </w:tc>
        <w:tc>
          <w:tcPr>
            <w:tcW w:w="0" w:type="auto"/>
            <w:shd w:val="clear" w:color="auto" w:fill="CCEEFF"/>
            <w:tcMar>
              <w:top w:w="40" w:type="dxa"/>
              <w:left w:w="0" w:type="dxa"/>
              <w:bottom w:w="40" w:type="dxa"/>
              <w:right w:w="20" w:type="dxa"/>
            </w:tcMar>
            <w:vAlign w:val="bottom"/>
          </w:tcPr>
          <w:p w14:paraId="07DD0DCB"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DC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CD" w14:textId="77777777" w:rsidR="00AE727E" w:rsidRDefault="008433E0">
            <w:pPr>
              <w:jc w:val="right"/>
              <w:textAlignment w:val="bottom"/>
            </w:pPr>
            <w:r>
              <w:rPr>
                <w:rFonts w:ascii="Times New Roman" w:eastAsia="宋体" w:hAnsi="Times New Roman"/>
                <w:color w:val="000000"/>
                <w:sz w:val="19"/>
                <w:szCs w:val="19"/>
              </w:rPr>
              <w:t>11 </w:t>
            </w:r>
          </w:p>
        </w:tc>
        <w:tc>
          <w:tcPr>
            <w:tcW w:w="0" w:type="auto"/>
            <w:shd w:val="clear" w:color="auto" w:fill="CCEEFF"/>
            <w:tcMar>
              <w:top w:w="40" w:type="dxa"/>
              <w:left w:w="0" w:type="dxa"/>
              <w:bottom w:w="40" w:type="dxa"/>
              <w:right w:w="20" w:type="dxa"/>
            </w:tcMar>
            <w:vAlign w:val="bottom"/>
          </w:tcPr>
          <w:p w14:paraId="07DD0DCE"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DC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D0" w14:textId="77777777" w:rsidR="00AE727E" w:rsidRDefault="008433E0">
            <w:pPr>
              <w:jc w:val="right"/>
              <w:textAlignment w:val="bottom"/>
            </w:pPr>
            <w:r>
              <w:rPr>
                <w:rFonts w:ascii="Times New Roman" w:eastAsia="宋体" w:hAnsi="Times New Roman"/>
                <w:color w:val="000000"/>
                <w:sz w:val="19"/>
                <w:szCs w:val="19"/>
              </w:rPr>
              <w:t>18,106 </w:t>
            </w:r>
          </w:p>
        </w:tc>
        <w:tc>
          <w:tcPr>
            <w:tcW w:w="0" w:type="auto"/>
            <w:shd w:val="clear" w:color="auto" w:fill="CCEEFF"/>
            <w:tcMar>
              <w:top w:w="40" w:type="dxa"/>
              <w:left w:w="0" w:type="dxa"/>
              <w:bottom w:w="40" w:type="dxa"/>
              <w:right w:w="20" w:type="dxa"/>
            </w:tcMar>
            <w:vAlign w:val="bottom"/>
          </w:tcPr>
          <w:p w14:paraId="07DD0DD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DD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DD3" w14:textId="77777777" w:rsidR="00AE727E" w:rsidRDefault="008433E0">
            <w:pPr>
              <w:jc w:val="right"/>
              <w:textAlignment w:val="bottom"/>
            </w:pPr>
            <w:r>
              <w:rPr>
                <w:rFonts w:ascii="Times New Roman" w:eastAsia="宋体" w:hAnsi="Times New Roman"/>
                <w:color w:val="000000"/>
                <w:sz w:val="19"/>
                <w:szCs w:val="19"/>
              </w:rPr>
              <w:t>26.5 </w:t>
            </w:r>
          </w:p>
        </w:tc>
        <w:tc>
          <w:tcPr>
            <w:tcW w:w="0" w:type="auto"/>
            <w:shd w:val="clear" w:color="auto" w:fill="CCEEFF"/>
            <w:tcMar>
              <w:top w:w="40" w:type="dxa"/>
              <w:left w:w="0" w:type="dxa"/>
              <w:bottom w:w="40" w:type="dxa"/>
              <w:right w:w="20" w:type="dxa"/>
            </w:tcMar>
            <w:vAlign w:val="bottom"/>
          </w:tcPr>
          <w:p w14:paraId="07DD0DD4"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DF8" w14:textId="77777777">
        <w:tc>
          <w:tcPr>
            <w:tcW w:w="0" w:type="auto"/>
            <w:gridSpan w:val="3"/>
            <w:shd w:val="clear" w:color="auto" w:fill="FFFFFF"/>
            <w:tcMar>
              <w:top w:w="40" w:type="dxa"/>
              <w:left w:w="155" w:type="dxa"/>
              <w:bottom w:w="40" w:type="dxa"/>
              <w:right w:w="20" w:type="dxa"/>
            </w:tcMar>
            <w:vAlign w:val="bottom"/>
          </w:tcPr>
          <w:p w14:paraId="07DD0DD6" w14:textId="77777777" w:rsidR="00AE727E" w:rsidRDefault="008433E0">
            <w:pPr>
              <w:textAlignment w:val="bottom"/>
            </w:pPr>
            <w:r>
              <w:rPr>
                <w:rFonts w:ascii="Times New Roman" w:eastAsia="宋体" w:hAnsi="Times New Roman"/>
                <w:color w:val="000000"/>
                <w:sz w:val="19"/>
                <w:szCs w:val="19"/>
              </w:rPr>
              <w:t>Total non-GAAP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0DD7"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DD8" w14:textId="77777777" w:rsidR="00AE727E" w:rsidRDefault="008433E0">
            <w:pPr>
              <w:jc w:val="right"/>
              <w:textAlignment w:val="bottom"/>
            </w:pPr>
            <w:r>
              <w:rPr>
                <w:rFonts w:ascii="Times New Roman" w:eastAsia="宋体" w:hAnsi="Times New Roman"/>
                <w:color w:val="000000"/>
                <w:sz w:val="19"/>
                <w:szCs w:val="19"/>
              </w:rPr>
              <w:t>28,405 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D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DA"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DDB"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D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D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DE" w14:textId="77777777" w:rsidR="00AE727E" w:rsidRDefault="008433E0">
            <w:pPr>
              <w:jc w:val="right"/>
              <w:textAlignment w:val="bottom"/>
            </w:pPr>
            <w:r>
              <w:rPr>
                <w:rFonts w:ascii="Times New Roman" w:eastAsia="宋体" w:hAnsi="Times New Roman"/>
                <w:color w:val="000000"/>
                <w:sz w:val="19"/>
                <w:szCs w:val="19"/>
              </w:rPr>
              <w:t>21 </w:t>
            </w:r>
          </w:p>
        </w:tc>
        <w:tc>
          <w:tcPr>
            <w:tcW w:w="0" w:type="auto"/>
            <w:shd w:val="clear" w:color="auto" w:fill="FFFFFF"/>
            <w:tcMar>
              <w:top w:w="40" w:type="dxa"/>
              <w:left w:w="0" w:type="dxa"/>
              <w:bottom w:w="40" w:type="dxa"/>
              <w:right w:w="20" w:type="dxa"/>
            </w:tcMar>
            <w:vAlign w:val="bottom"/>
          </w:tcPr>
          <w:p w14:paraId="07DD0DD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E0"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DE1"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DE2" w14:textId="77777777" w:rsidR="00AE727E" w:rsidRDefault="008433E0">
            <w:pPr>
              <w:jc w:val="right"/>
              <w:textAlignment w:val="bottom"/>
            </w:pPr>
            <w:r>
              <w:rPr>
                <w:rFonts w:ascii="Times New Roman" w:eastAsia="宋体" w:hAnsi="Times New Roman"/>
                <w:color w:val="000000"/>
                <w:sz w:val="19"/>
                <w:szCs w:val="19"/>
              </w:rPr>
              <w:t>23,521 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E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E4"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DE5"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E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E7"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DE8"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DE9" w14:textId="77777777" w:rsidR="00AE727E" w:rsidRDefault="008433E0">
            <w:pPr>
              <w:jc w:val="right"/>
              <w:textAlignment w:val="bottom"/>
            </w:pPr>
            <w:r>
              <w:rPr>
                <w:rFonts w:ascii="Times New Roman" w:eastAsia="宋体" w:hAnsi="Times New Roman"/>
                <w:color w:val="000000"/>
                <w:sz w:val="19"/>
                <w:szCs w:val="19"/>
              </w:rPr>
              <w:t>79,037 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E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EB"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DEC"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E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DEF" w14:textId="77777777" w:rsidR="00AE727E" w:rsidRDefault="008433E0">
            <w:pPr>
              <w:jc w:val="right"/>
              <w:textAlignment w:val="bottom"/>
            </w:pPr>
            <w:r>
              <w:rPr>
                <w:rFonts w:ascii="Times New Roman" w:eastAsia="宋体" w:hAnsi="Times New Roman"/>
                <w:color w:val="000000"/>
                <w:sz w:val="19"/>
                <w:szCs w:val="19"/>
              </w:rPr>
              <w:t>16 </w:t>
            </w:r>
          </w:p>
        </w:tc>
        <w:tc>
          <w:tcPr>
            <w:tcW w:w="0" w:type="auto"/>
            <w:shd w:val="clear" w:color="auto" w:fill="FFFFFF"/>
            <w:tcMar>
              <w:top w:w="40" w:type="dxa"/>
              <w:left w:w="0" w:type="dxa"/>
              <w:bottom w:w="40" w:type="dxa"/>
              <w:right w:w="20" w:type="dxa"/>
            </w:tcMar>
            <w:vAlign w:val="bottom"/>
          </w:tcPr>
          <w:p w14:paraId="07DD0DF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DF1"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DF2"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DF3" w14:textId="77777777" w:rsidR="00AE727E" w:rsidRDefault="008433E0">
            <w:pPr>
              <w:jc w:val="right"/>
              <w:textAlignment w:val="bottom"/>
            </w:pPr>
            <w:r>
              <w:rPr>
                <w:rFonts w:ascii="Times New Roman" w:eastAsia="宋体" w:hAnsi="Times New Roman"/>
                <w:color w:val="000000"/>
                <w:sz w:val="19"/>
                <w:szCs w:val="19"/>
              </w:rPr>
              <w:t>68,241 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DF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0DF6" w14:textId="77777777" w:rsidR="00AE727E" w:rsidRDefault="008433E0">
            <w:pPr>
              <w:jc w:val="right"/>
              <w:textAlignment w:val="bottom"/>
            </w:pPr>
            <w:r>
              <w:rPr>
                <w:rFonts w:ascii="Times New Roman" w:eastAsia="宋体" w:hAnsi="Times New Roman"/>
                <w:color w:val="000000"/>
                <w:sz w:val="19"/>
                <w:szCs w:val="19"/>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DF7" w14:textId="77777777" w:rsidR="00AE727E" w:rsidRDefault="008433E0">
            <w:pPr>
              <w:jc w:val="right"/>
              <w:textAlignment w:val="bottom"/>
            </w:pPr>
            <w:r>
              <w:rPr>
                <w:rFonts w:ascii="Times New Roman" w:eastAsia="宋体" w:hAnsi="Times New Roman"/>
                <w:color w:val="000000"/>
                <w:sz w:val="19"/>
                <w:szCs w:val="19"/>
              </w:rPr>
              <w:t>%</w:t>
            </w:r>
          </w:p>
        </w:tc>
      </w:tr>
      <w:tr w:rsidR="00AE727E" w14:paraId="07DD0E0D" w14:textId="77777777">
        <w:tc>
          <w:tcPr>
            <w:tcW w:w="0" w:type="auto"/>
            <w:gridSpan w:val="3"/>
            <w:shd w:val="clear" w:color="auto" w:fill="CCEEFF"/>
            <w:tcMar>
              <w:top w:w="40" w:type="dxa"/>
              <w:left w:w="20" w:type="dxa"/>
              <w:bottom w:w="40" w:type="dxa"/>
              <w:right w:w="20" w:type="dxa"/>
            </w:tcMar>
            <w:vAlign w:val="bottom"/>
          </w:tcPr>
          <w:p w14:paraId="07DD0DF9" w14:textId="77777777" w:rsidR="00AE727E" w:rsidRDefault="008433E0">
            <w:pPr>
              <w:textAlignment w:val="bottom"/>
            </w:pPr>
            <w:r>
              <w:rPr>
                <w:rFonts w:ascii="Times New Roman" w:eastAsia="宋体" w:hAnsi="Times New Roman"/>
                <w:i/>
                <w:iCs/>
                <w:color w:val="000000"/>
                <w:sz w:val="19"/>
                <w:szCs w:val="19"/>
              </w:rPr>
              <w:t>N</w:t>
            </w:r>
            <w:r>
              <w:rPr>
                <w:rFonts w:ascii="Times New Roman" w:eastAsia="宋体" w:hAnsi="Times New Roman"/>
                <w:i/>
                <w:iCs/>
                <w:color w:val="000000"/>
                <w:sz w:val="19"/>
                <w:szCs w:val="19"/>
              </w:rPr>
              <w:t>on-GAAP gross margin:</w:t>
            </w:r>
          </w:p>
        </w:tc>
        <w:tc>
          <w:tcPr>
            <w:tcW w:w="0" w:type="auto"/>
            <w:gridSpan w:val="3"/>
            <w:shd w:val="clear" w:color="auto" w:fill="CCEEFF"/>
            <w:tcMar>
              <w:top w:w="0" w:type="dxa"/>
              <w:left w:w="20" w:type="dxa"/>
              <w:bottom w:w="0" w:type="dxa"/>
              <w:right w:w="20" w:type="dxa"/>
            </w:tcMar>
            <w:vAlign w:val="bottom"/>
          </w:tcPr>
          <w:p w14:paraId="07DD0DF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F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F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F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F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DF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E0C" w14:textId="77777777" w:rsidR="00AE727E" w:rsidRDefault="00AE727E">
            <w:pPr>
              <w:rPr>
                <w:rFonts w:ascii="宋体"/>
              </w:rPr>
            </w:pPr>
          </w:p>
        </w:tc>
      </w:tr>
      <w:tr w:rsidR="008433E0" w14:paraId="07DD0E30" w14:textId="77777777">
        <w:tc>
          <w:tcPr>
            <w:tcW w:w="0" w:type="auto"/>
            <w:gridSpan w:val="3"/>
            <w:shd w:val="clear" w:color="auto" w:fill="FFFFFF"/>
            <w:tcMar>
              <w:top w:w="40" w:type="dxa"/>
              <w:left w:w="35" w:type="dxa"/>
              <w:bottom w:w="40" w:type="dxa"/>
              <w:right w:w="20" w:type="dxa"/>
            </w:tcMar>
            <w:vAlign w:val="bottom"/>
          </w:tcPr>
          <w:p w14:paraId="07DD0E0E" w14:textId="77777777" w:rsidR="00AE727E" w:rsidRDefault="008433E0">
            <w:pPr>
              <w:textAlignment w:val="bottom"/>
            </w:pPr>
            <w:r>
              <w:rPr>
                <w:rFonts w:ascii="Times New Roman" w:eastAsia="宋体" w:hAnsi="Times New Roman"/>
                <w:color w:val="000000"/>
                <w:sz w:val="19"/>
                <w:szCs w:val="19"/>
              </w:rPr>
              <w:t>Products (a)</w:t>
            </w:r>
          </w:p>
        </w:tc>
        <w:tc>
          <w:tcPr>
            <w:tcW w:w="0" w:type="auto"/>
            <w:shd w:val="clear" w:color="auto" w:fill="FFFFFF"/>
            <w:tcMar>
              <w:top w:w="40" w:type="dxa"/>
              <w:left w:w="20" w:type="dxa"/>
              <w:bottom w:w="40" w:type="dxa"/>
              <w:right w:w="0" w:type="dxa"/>
            </w:tcMar>
            <w:vAlign w:val="bottom"/>
          </w:tcPr>
          <w:p w14:paraId="07DD0E0F"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10" w14:textId="77777777" w:rsidR="00AE727E" w:rsidRDefault="008433E0">
            <w:pPr>
              <w:jc w:val="right"/>
              <w:textAlignment w:val="bottom"/>
            </w:pPr>
            <w:r>
              <w:rPr>
                <w:rFonts w:ascii="Times New Roman" w:eastAsia="宋体" w:hAnsi="Times New Roman"/>
                <w:color w:val="000000"/>
                <w:sz w:val="19"/>
                <w:szCs w:val="19"/>
              </w:rPr>
              <w:t>4,281 </w:t>
            </w:r>
          </w:p>
        </w:tc>
        <w:tc>
          <w:tcPr>
            <w:tcW w:w="0" w:type="auto"/>
            <w:shd w:val="clear" w:color="auto" w:fill="FFFFFF"/>
            <w:tcMar>
              <w:top w:w="40" w:type="dxa"/>
              <w:left w:w="0" w:type="dxa"/>
              <w:bottom w:w="40" w:type="dxa"/>
              <w:right w:w="20" w:type="dxa"/>
            </w:tcMar>
            <w:vAlign w:val="bottom"/>
          </w:tcPr>
          <w:p w14:paraId="07DD0E1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1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13" w14:textId="77777777" w:rsidR="00AE727E" w:rsidRDefault="008433E0">
            <w:pPr>
              <w:jc w:val="right"/>
              <w:textAlignment w:val="bottom"/>
            </w:pPr>
            <w:r>
              <w:rPr>
                <w:rFonts w:ascii="Times New Roman" w:eastAsia="宋体" w:hAnsi="Times New Roman"/>
                <w:color w:val="000000"/>
                <w:sz w:val="19"/>
                <w:szCs w:val="19"/>
              </w:rPr>
              <w:t>19.9 </w:t>
            </w:r>
          </w:p>
        </w:tc>
        <w:tc>
          <w:tcPr>
            <w:tcW w:w="0" w:type="auto"/>
            <w:shd w:val="clear" w:color="auto" w:fill="FFFFFF"/>
            <w:tcMar>
              <w:top w:w="40" w:type="dxa"/>
              <w:left w:w="0" w:type="dxa"/>
              <w:bottom w:w="40" w:type="dxa"/>
              <w:right w:w="20" w:type="dxa"/>
            </w:tcMar>
            <w:vAlign w:val="bottom"/>
          </w:tcPr>
          <w:p w14:paraId="07DD0E14"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1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16" w14:textId="77777777" w:rsidR="00AE727E" w:rsidRDefault="008433E0">
            <w:pPr>
              <w:jc w:val="right"/>
              <w:textAlignment w:val="bottom"/>
            </w:pPr>
            <w:r>
              <w:rPr>
                <w:rFonts w:ascii="Times New Roman" w:eastAsia="宋体" w:hAnsi="Times New Roman"/>
                <w:color w:val="000000"/>
                <w:sz w:val="19"/>
                <w:szCs w:val="19"/>
              </w:rPr>
              <w:t>8 </w:t>
            </w:r>
          </w:p>
        </w:tc>
        <w:tc>
          <w:tcPr>
            <w:tcW w:w="0" w:type="auto"/>
            <w:shd w:val="clear" w:color="auto" w:fill="FFFFFF"/>
            <w:tcMar>
              <w:top w:w="40" w:type="dxa"/>
              <w:left w:w="0" w:type="dxa"/>
              <w:bottom w:w="40" w:type="dxa"/>
              <w:right w:w="20" w:type="dxa"/>
            </w:tcMar>
            <w:vAlign w:val="bottom"/>
          </w:tcPr>
          <w:p w14:paraId="07DD0E17"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1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19"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1A" w14:textId="77777777" w:rsidR="00AE727E" w:rsidRDefault="008433E0">
            <w:pPr>
              <w:jc w:val="right"/>
              <w:textAlignment w:val="bottom"/>
            </w:pPr>
            <w:r>
              <w:rPr>
                <w:rFonts w:ascii="Times New Roman" w:eastAsia="宋体" w:hAnsi="Times New Roman"/>
                <w:color w:val="000000"/>
                <w:sz w:val="19"/>
                <w:szCs w:val="19"/>
              </w:rPr>
              <w:t>3,961 </w:t>
            </w:r>
          </w:p>
        </w:tc>
        <w:tc>
          <w:tcPr>
            <w:tcW w:w="0" w:type="auto"/>
            <w:shd w:val="clear" w:color="auto" w:fill="FFFFFF"/>
            <w:tcMar>
              <w:top w:w="40" w:type="dxa"/>
              <w:left w:w="0" w:type="dxa"/>
              <w:bottom w:w="40" w:type="dxa"/>
              <w:right w:w="20" w:type="dxa"/>
            </w:tcMar>
            <w:vAlign w:val="bottom"/>
          </w:tcPr>
          <w:p w14:paraId="07DD0E1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1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1D" w14:textId="77777777" w:rsidR="00AE727E" w:rsidRDefault="008433E0">
            <w:pPr>
              <w:jc w:val="right"/>
              <w:textAlignment w:val="bottom"/>
            </w:pPr>
            <w:r>
              <w:rPr>
                <w:rFonts w:ascii="Times New Roman" w:eastAsia="宋体" w:hAnsi="Times New Roman"/>
                <w:color w:val="000000"/>
                <w:sz w:val="19"/>
                <w:szCs w:val="19"/>
              </w:rPr>
              <w:t>22.8 </w:t>
            </w:r>
          </w:p>
        </w:tc>
        <w:tc>
          <w:tcPr>
            <w:tcW w:w="0" w:type="auto"/>
            <w:shd w:val="clear" w:color="auto" w:fill="FFFFFF"/>
            <w:tcMar>
              <w:top w:w="40" w:type="dxa"/>
              <w:left w:w="0" w:type="dxa"/>
              <w:bottom w:w="40" w:type="dxa"/>
              <w:right w:w="20" w:type="dxa"/>
            </w:tcMar>
            <w:vAlign w:val="bottom"/>
          </w:tcPr>
          <w:p w14:paraId="07DD0E1E"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1F"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20"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21" w14:textId="77777777" w:rsidR="00AE727E" w:rsidRDefault="008433E0">
            <w:pPr>
              <w:jc w:val="right"/>
              <w:textAlignment w:val="bottom"/>
            </w:pPr>
            <w:r>
              <w:rPr>
                <w:rFonts w:ascii="Times New Roman" w:eastAsia="宋体" w:hAnsi="Times New Roman"/>
                <w:color w:val="000000"/>
                <w:sz w:val="19"/>
                <w:szCs w:val="19"/>
              </w:rPr>
              <w:t>12,702 </w:t>
            </w:r>
          </w:p>
        </w:tc>
        <w:tc>
          <w:tcPr>
            <w:tcW w:w="0" w:type="auto"/>
            <w:shd w:val="clear" w:color="auto" w:fill="FFFFFF"/>
            <w:tcMar>
              <w:top w:w="40" w:type="dxa"/>
              <w:left w:w="0" w:type="dxa"/>
              <w:bottom w:w="40" w:type="dxa"/>
              <w:right w:w="20" w:type="dxa"/>
            </w:tcMar>
            <w:vAlign w:val="bottom"/>
          </w:tcPr>
          <w:p w14:paraId="07DD0E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2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24" w14:textId="77777777" w:rsidR="00AE727E" w:rsidRDefault="008433E0">
            <w:pPr>
              <w:jc w:val="right"/>
              <w:textAlignment w:val="bottom"/>
            </w:pPr>
            <w:r>
              <w:rPr>
                <w:rFonts w:ascii="Times New Roman" w:eastAsia="宋体" w:hAnsi="Times New Roman"/>
                <w:color w:val="000000"/>
                <w:sz w:val="19"/>
                <w:szCs w:val="19"/>
              </w:rPr>
              <w:t>21.5 </w:t>
            </w:r>
          </w:p>
        </w:tc>
        <w:tc>
          <w:tcPr>
            <w:tcW w:w="0" w:type="auto"/>
            <w:shd w:val="clear" w:color="auto" w:fill="FFFFFF"/>
            <w:tcMar>
              <w:top w:w="40" w:type="dxa"/>
              <w:left w:w="0" w:type="dxa"/>
              <w:bottom w:w="40" w:type="dxa"/>
              <w:right w:w="20" w:type="dxa"/>
            </w:tcMar>
            <w:vAlign w:val="bottom"/>
          </w:tcPr>
          <w:p w14:paraId="07DD0E2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2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27"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07DD0E2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2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2A"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2B" w14:textId="77777777" w:rsidR="00AE727E" w:rsidRDefault="008433E0">
            <w:pPr>
              <w:jc w:val="right"/>
              <w:textAlignment w:val="bottom"/>
            </w:pPr>
            <w:r>
              <w:rPr>
                <w:rFonts w:ascii="Times New Roman" w:eastAsia="宋体" w:hAnsi="Times New Roman"/>
                <w:color w:val="000000"/>
                <w:sz w:val="19"/>
                <w:szCs w:val="19"/>
              </w:rPr>
              <w:t>11,371 </w:t>
            </w:r>
          </w:p>
        </w:tc>
        <w:tc>
          <w:tcPr>
            <w:tcW w:w="0" w:type="auto"/>
            <w:shd w:val="clear" w:color="auto" w:fill="FFFFFF"/>
            <w:tcMar>
              <w:top w:w="40" w:type="dxa"/>
              <w:left w:w="0" w:type="dxa"/>
              <w:bottom w:w="40" w:type="dxa"/>
              <w:right w:w="20" w:type="dxa"/>
            </w:tcMar>
            <w:vAlign w:val="bottom"/>
          </w:tcPr>
          <w:p w14:paraId="07DD0E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2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2E" w14:textId="77777777" w:rsidR="00AE727E" w:rsidRDefault="008433E0">
            <w:pPr>
              <w:jc w:val="right"/>
              <w:textAlignment w:val="bottom"/>
            </w:pPr>
            <w:r>
              <w:rPr>
                <w:rFonts w:ascii="Times New Roman" w:eastAsia="宋体" w:hAnsi="Times New Roman"/>
                <w:color w:val="000000"/>
                <w:sz w:val="19"/>
                <w:szCs w:val="19"/>
              </w:rPr>
              <w:t>22.7 </w:t>
            </w:r>
          </w:p>
        </w:tc>
        <w:tc>
          <w:tcPr>
            <w:tcW w:w="0" w:type="auto"/>
            <w:shd w:val="clear" w:color="auto" w:fill="FFFFFF"/>
            <w:tcMar>
              <w:top w:w="40" w:type="dxa"/>
              <w:left w:w="0" w:type="dxa"/>
              <w:bottom w:w="40" w:type="dxa"/>
              <w:right w:w="20" w:type="dxa"/>
            </w:tcMar>
            <w:vAlign w:val="bottom"/>
          </w:tcPr>
          <w:p w14:paraId="07DD0E2F"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4F" w14:textId="77777777">
        <w:tc>
          <w:tcPr>
            <w:tcW w:w="0" w:type="auto"/>
            <w:gridSpan w:val="3"/>
            <w:shd w:val="clear" w:color="auto" w:fill="CCEEFF"/>
            <w:tcMar>
              <w:top w:w="40" w:type="dxa"/>
              <w:left w:w="35" w:type="dxa"/>
              <w:bottom w:w="40" w:type="dxa"/>
              <w:right w:w="20" w:type="dxa"/>
            </w:tcMar>
            <w:vAlign w:val="bottom"/>
          </w:tcPr>
          <w:p w14:paraId="07DD0E31" w14:textId="77777777" w:rsidR="00AE727E" w:rsidRDefault="008433E0">
            <w:pPr>
              <w:textAlignment w:val="bottom"/>
            </w:pPr>
            <w:r>
              <w:rPr>
                <w:rFonts w:ascii="Times New Roman" w:eastAsia="宋体" w:hAnsi="Times New Roman"/>
                <w:color w:val="000000"/>
                <w:sz w:val="19"/>
                <w:szCs w:val="19"/>
              </w:rPr>
              <w:t>Services (b)</w:t>
            </w:r>
          </w:p>
        </w:tc>
        <w:tc>
          <w:tcPr>
            <w:tcW w:w="0" w:type="auto"/>
            <w:gridSpan w:val="2"/>
            <w:shd w:val="clear" w:color="auto" w:fill="CCEEFF"/>
            <w:tcMar>
              <w:top w:w="40" w:type="dxa"/>
              <w:left w:w="20" w:type="dxa"/>
              <w:bottom w:w="40" w:type="dxa"/>
              <w:right w:w="0" w:type="dxa"/>
            </w:tcMar>
            <w:vAlign w:val="bottom"/>
          </w:tcPr>
          <w:p w14:paraId="07DD0E32" w14:textId="77777777" w:rsidR="00AE727E" w:rsidRDefault="008433E0">
            <w:pPr>
              <w:jc w:val="right"/>
              <w:textAlignment w:val="bottom"/>
            </w:pPr>
            <w:r>
              <w:rPr>
                <w:rFonts w:ascii="Times New Roman" w:eastAsia="宋体" w:hAnsi="Times New Roman"/>
                <w:color w:val="000000"/>
                <w:sz w:val="19"/>
                <w:szCs w:val="19"/>
              </w:rPr>
              <w:t>4,129 </w:t>
            </w:r>
          </w:p>
        </w:tc>
        <w:tc>
          <w:tcPr>
            <w:tcW w:w="0" w:type="auto"/>
            <w:shd w:val="clear" w:color="auto" w:fill="CCEEFF"/>
            <w:tcMar>
              <w:top w:w="40" w:type="dxa"/>
              <w:left w:w="0" w:type="dxa"/>
              <w:bottom w:w="40" w:type="dxa"/>
              <w:right w:w="20" w:type="dxa"/>
            </w:tcMar>
            <w:vAlign w:val="bottom"/>
          </w:tcPr>
          <w:p w14:paraId="07DD0E3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3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35" w14:textId="77777777" w:rsidR="00AE727E" w:rsidRDefault="008433E0">
            <w:pPr>
              <w:jc w:val="right"/>
              <w:textAlignment w:val="bottom"/>
            </w:pPr>
            <w:r>
              <w:rPr>
                <w:rFonts w:ascii="Times New Roman" w:eastAsia="宋体" w:hAnsi="Times New Roman"/>
                <w:color w:val="000000"/>
                <w:sz w:val="19"/>
                <w:szCs w:val="19"/>
              </w:rPr>
              <w:t>60.1 </w:t>
            </w:r>
          </w:p>
        </w:tc>
        <w:tc>
          <w:tcPr>
            <w:tcW w:w="0" w:type="auto"/>
            <w:shd w:val="clear" w:color="auto" w:fill="CCEEFF"/>
            <w:tcMar>
              <w:top w:w="40" w:type="dxa"/>
              <w:left w:w="0" w:type="dxa"/>
              <w:bottom w:w="40" w:type="dxa"/>
              <w:right w:w="20" w:type="dxa"/>
            </w:tcMar>
            <w:vAlign w:val="bottom"/>
          </w:tcPr>
          <w:p w14:paraId="07DD0E3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3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38" w14:textId="77777777" w:rsidR="00AE727E" w:rsidRDefault="008433E0">
            <w:pPr>
              <w:jc w:val="right"/>
              <w:textAlignment w:val="bottom"/>
            </w:pPr>
            <w:r>
              <w:rPr>
                <w:rFonts w:ascii="Times New Roman" w:eastAsia="宋体" w:hAnsi="Times New Roman"/>
                <w:color w:val="000000"/>
                <w:sz w:val="19"/>
                <w:szCs w:val="19"/>
              </w:rPr>
              <w:t>8 </w:t>
            </w:r>
          </w:p>
        </w:tc>
        <w:tc>
          <w:tcPr>
            <w:tcW w:w="0" w:type="auto"/>
            <w:shd w:val="clear" w:color="auto" w:fill="CCEEFF"/>
            <w:tcMar>
              <w:top w:w="40" w:type="dxa"/>
              <w:left w:w="0" w:type="dxa"/>
              <w:bottom w:w="40" w:type="dxa"/>
              <w:right w:w="20" w:type="dxa"/>
            </w:tcMar>
            <w:vAlign w:val="bottom"/>
          </w:tcPr>
          <w:p w14:paraId="07DD0E3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3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3B" w14:textId="77777777" w:rsidR="00AE727E" w:rsidRDefault="008433E0">
            <w:pPr>
              <w:jc w:val="right"/>
              <w:textAlignment w:val="bottom"/>
            </w:pPr>
            <w:r>
              <w:rPr>
                <w:rFonts w:ascii="Times New Roman" w:eastAsia="宋体" w:hAnsi="Times New Roman"/>
                <w:color w:val="000000"/>
                <w:sz w:val="19"/>
                <w:szCs w:val="19"/>
              </w:rPr>
              <w:t>3,810 </w:t>
            </w:r>
          </w:p>
        </w:tc>
        <w:tc>
          <w:tcPr>
            <w:tcW w:w="0" w:type="auto"/>
            <w:shd w:val="clear" w:color="auto" w:fill="CCEEFF"/>
            <w:tcMar>
              <w:top w:w="40" w:type="dxa"/>
              <w:left w:w="0" w:type="dxa"/>
              <w:bottom w:w="40" w:type="dxa"/>
              <w:right w:w="20" w:type="dxa"/>
            </w:tcMar>
            <w:vAlign w:val="bottom"/>
          </w:tcPr>
          <w:p w14:paraId="07DD0E3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3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3E" w14:textId="77777777" w:rsidR="00AE727E" w:rsidRDefault="008433E0">
            <w:pPr>
              <w:jc w:val="right"/>
              <w:textAlignment w:val="bottom"/>
            </w:pPr>
            <w:r>
              <w:rPr>
                <w:rFonts w:ascii="Times New Roman" w:eastAsia="宋体" w:hAnsi="Times New Roman"/>
                <w:color w:val="000000"/>
                <w:sz w:val="19"/>
                <w:szCs w:val="19"/>
              </w:rPr>
              <w:t>61.8 </w:t>
            </w:r>
          </w:p>
        </w:tc>
        <w:tc>
          <w:tcPr>
            <w:tcW w:w="0" w:type="auto"/>
            <w:shd w:val="clear" w:color="auto" w:fill="CCEEFF"/>
            <w:tcMar>
              <w:top w:w="40" w:type="dxa"/>
              <w:left w:w="0" w:type="dxa"/>
              <w:bottom w:w="40" w:type="dxa"/>
              <w:right w:w="20" w:type="dxa"/>
            </w:tcMar>
            <w:vAlign w:val="bottom"/>
          </w:tcPr>
          <w:p w14:paraId="07DD0E3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4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41" w14:textId="77777777" w:rsidR="00AE727E" w:rsidRDefault="008433E0">
            <w:pPr>
              <w:jc w:val="right"/>
              <w:textAlignment w:val="bottom"/>
            </w:pPr>
            <w:r>
              <w:rPr>
                <w:rFonts w:ascii="Times New Roman" w:eastAsia="宋体" w:hAnsi="Times New Roman"/>
                <w:color w:val="000000"/>
                <w:sz w:val="19"/>
                <w:szCs w:val="19"/>
              </w:rPr>
              <w:t>12,068 </w:t>
            </w:r>
          </w:p>
        </w:tc>
        <w:tc>
          <w:tcPr>
            <w:tcW w:w="0" w:type="auto"/>
            <w:shd w:val="clear" w:color="auto" w:fill="CCEEFF"/>
            <w:tcMar>
              <w:top w:w="40" w:type="dxa"/>
              <w:left w:w="0" w:type="dxa"/>
              <w:bottom w:w="40" w:type="dxa"/>
              <w:right w:w="20" w:type="dxa"/>
            </w:tcMar>
            <w:vAlign w:val="bottom"/>
          </w:tcPr>
          <w:p w14:paraId="07DD0E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4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44" w14:textId="77777777" w:rsidR="00AE727E" w:rsidRDefault="008433E0">
            <w:pPr>
              <w:jc w:val="right"/>
              <w:textAlignment w:val="bottom"/>
            </w:pPr>
            <w:r>
              <w:rPr>
                <w:rFonts w:ascii="Times New Roman" w:eastAsia="宋体" w:hAnsi="Times New Roman"/>
                <w:color w:val="000000"/>
                <w:sz w:val="19"/>
                <w:szCs w:val="19"/>
              </w:rPr>
              <w:t>60.1 </w:t>
            </w:r>
          </w:p>
        </w:tc>
        <w:tc>
          <w:tcPr>
            <w:tcW w:w="0" w:type="auto"/>
            <w:shd w:val="clear" w:color="auto" w:fill="CCEEFF"/>
            <w:tcMar>
              <w:top w:w="40" w:type="dxa"/>
              <w:left w:w="0" w:type="dxa"/>
              <w:bottom w:w="40" w:type="dxa"/>
              <w:right w:w="20" w:type="dxa"/>
            </w:tcMar>
            <w:vAlign w:val="bottom"/>
          </w:tcPr>
          <w:p w14:paraId="07DD0E4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4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47" w14:textId="77777777" w:rsidR="00AE727E" w:rsidRDefault="008433E0">
            <w:pPr>
              <w:jc w:val="right"/>
              <w:textAlignment w:val="bottom"/>
            </w:pPr>
            <w:r>
              <w:rPr>
                <w:rFonts w:ascii="Times New Roman" w:eastAsia="宋体" w:hAnsi="Times New Roman"/>
                <w:color w:val="000000"/>
                <w:sz w:val="19"/>
                <w:szCs w:val="19"/>
              </w:rPr>
              <w:t>6 </w:t>
            </w:r>
          </w:p>
        </w:tc>
        <w:tc>
          <w:tcPr>
            <w:tcW w:w="0" w:type="auto"/>
            <w:shd w:val="clear" w:color="auto" w:fill="CCEEFF"/>
            <w:tcMar>
              <w:top w:w="40" w:type="dxa"/>
              <w:left w:w="0" w:type="dxa"/>
              <w:bottom w:w="40" w:type="dxa"/>
              <w:right w:w="20" w:type="dxa"/>
            </w:tcMar>
            <w:vAlign w:val="bottom"/>
          </w:tcPr>
          <w:p w14:paraId="07DD0E4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4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4A" w14:textId="77777777" w:rsidR="00AE727E" w:rsidRDefault="008433E0">
            <w:pPr>
              <w:jc w:val="right"/>
              <w:textAlignment w:val="bottom"/>
            </w:pPr>
            <w:r>
              <w:rPr>
                <w:rFonts w:ascii="Times New Roman" w:eastAsia="宋体" w:hAnsi="Times New Roman"/>
                <w:color w:val="000000"/>
                <w:sz w:val="19"/>
                <w:szCs w:val="19"/>
              </w:rPr>
              <w:t>11,351 </w:t>
            </w:r>
          </w:p>
        </w:tc>
        <w:tc>
          <w:tcPr>
            <w:tcW w:w="0" w:type="auto"/>
            <w:shd w:val="clear" w:color="auto" w:fill="CCEEFF"/>
            <w:tcMar>
              <w:top w:w="40" w:type="dxa"/>
              <w:left w:w="0" w:type="dxa"/>
              <w:bottom w:w="40" w:type="dxa"/>
              <w:right w:w="20" w:type="dxa"/>
            </w:tcMar>
            <w:vAlign w:val="bottom"/>
          </w:tcPr>
          <w:p w14:paraId="07DD0E4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4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4D" w14:textId="77777777" w:rsidR="00AE727E" w:rsidRDefault="008433E0">
            <w:pPr>
              <w:jc w:val="right"/>
              <w:textAlignment w:val="bottom"/>
            </w:pPr>
            <w:r>
              <w:rPr>
                <w:rFonts w:ascii="Times New Roman" w:eastAsia="宋体" w:hAnsi="Times New Roman"/>
                <w:color w:val="000000"/>
                <w:sz w:val="19"/>
                <w:szCs w:val="19"/>
              </w:rPr>
              <w:t>62.7 </w:t>
            </w:r>
          </w:p>
        </w:tc>
        <w:tc>
          <w:tcPr>
            <w:tcW w:w="0" w:type="auto"/>
            <w:shd w:val="clear" w:color="auto" w:fill="CCEEFF"/>
            <w:tcMar>
              <w:top w:w="40" w:type="dxa"/>
              <w:left w:w="0" w:type="dxa"/>
              <w:bottom w:w="40" w:type="dxa"/>
              <w:right w:w="20" w:type="dxa"/>
            </w:tcMar>
            <w:vAlign w:val="bottom"/>
          </w:tcPr>
          <w:p w14:paraId="07DD0E4E"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72" w14:textId="77777777">
        <w:tc>
          <w:tcPr>
            <w:tcW w:w="0" w:type="auto"/>
            <w:gridSpan w:val="3"/>
            <w:shd w:val="clear" w:color="auto" w:fill="FFFFFF"/>
            <w:tcMar>
              <w:top w:w="40" w:type="dxa"/>
              <w:left w:w="155" w:type="dxa"/>
              <w:bottom w:w="40" w:type="dxa"/>
              <w:right w:w="20" w:type="dxa"/>
            </w:tcMar>
            <w:vAlign w:val="bottom"/>
          </w:tcPr>
          <w:p w14:paraId="07DD0E50" w14:textId="77777777" w:rsidR="00AE727E" w:rsidRDefault="008433E0">
            <w:pPr>
              <w:textAlignment w:val="bottom"/>
            </w:pPr>
            <w:r>
              <w:rPr>
                <w:rFonts w:ascii="Times New Roman" w:eastAsia="宋体" w:hAnsi="Times New Roman"/>
                <w:color w:val="000000"/>
                <w:sz w:val="19"/>
                <w:szCs w:val="19"/>
              </w:rPr>
              <w:t>Total non-GAAP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0E51"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E52" w14:textId="77777777" w:rsidR="00AE727E" w:rsidRDefault="008433E0">
            <w:pPr>
              <w:jc w:val="right"/>
              <w:textAlignment w:val="bottom"/>
            </w:pPr>
            <w:r>
              <w:rPr>
                <w:rFonts w:ascii="Times New Roman" w:eastAsia="宋体" w:hAnsi="Times New Roman"/>
                <w:color w:val="000000"/>
                <w:sz w:val="19"/>
                <w:szCs w:val="19"/>
              </w:rPr>
              <w:t>8,410 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E5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5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55" w14:textId="77777777" w:rsidR="00AE727E" w:rsidRDefault="008433E0">
            <w:pPr>
              <w:jc w:val="right"/>
              <w:textAlignment w:val="bottom"/>
            </w:pPr>
            <w:r>
              <w:rPr>
                <w:rFonts w:ascii="Times New Roman" w:eastAsia="宋体" w:hAnsi="Times New Roman"/>
                <w:color w:val="000000"/>
                <w:sz w:val="19"/>
                <w:szCs w:val="19"/>
              </w:rPr>
              <w:t>29.6 </w:t>
            </w:r>
          </w:p>
        </w:tc>
        <w:tc>
          <w:tcPr>
            <w:tcW w:w="0" w:type="auto"/>
            <w:shd w:val="clear" w:color="auto" w:fill="FFFFFF"/>
            <w:tcMar>
              <w:top w:w="40" w:type="dxa"/>
              <w:left w:w="0" w:type="dxa"/>
              <w:bottom w:w="40" w:type="dxa"/>
              <w:right w:w="20" w:type="dxa"/>
            </w:tcMar>
            <w:vAlign w:val="bottom"/>
          </w:tcPr>
          <w:p w14:paraId="07DD0E5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5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58" w14:textId="77777777" w:rsidR="00AE727E" w:rsidRDefault="008433E0">
            <w:pPr>
              <w:jc w:val="right"/>
              <w:textAlignment w:val="bottom"/>
            </w:pPr>
            <w:r>
              <w:rPr>
                <w:rFonts w:ascii="Times New Roman" w:eastAsia="宋体" w:hAnsi="Times New Roman"/>
                <w:color w:val="000000"/>
                <w:sz w:val="19"/>
                <w:szCs w:val="19"/>
              </w:rPr>
              <w:t>8 </w:t>
            </w:r>
          </w:p>
        </w:tc>
        <w:tc>
          <w:tcPr>
            <w:tcW w:w="0" w:type="auto"/>
            <w:shd w:val="clear" w:color="auto" w:fill="FFFFFF"/>
            <w:tcMar>
              <w:top w:w="40" w:type="dxa"/>
              <w:left w:w="0" w:type="dxa"/>
              <w:bottom w:w="40" w:type="dxa"/>
              <w:right w:w="20" w:type="dxa"/>
            </w:tcMar>
            <w:vAlign w:val="bottom"/>
          </w:tcPr>
          <w:p w14:paraId="07DD0E5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5A"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E5B"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E5C" w14:textId="77777777" w:rsidR="00AE727E" w:rsidRDefault="008433E0">
            <w:pPr>
              <w:jc w:val="right"/>
              <w:textAlignment w:val="bottom"/>
            </w:pPr>
            <w:r>
              <w:rPr>
                <w:rFonts w:ascii="Times New Roman" w:eastAsia="宋体" w:hAnsi="Times New Roman"/>
                <w:color w:val="000000"/>
                <w:sz w:val="19"/>
                <w:szCs w:val="19"/>
              </w:rPr>
              <w:t>7,771 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E5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5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5F" w14:textId="77777777" w:rsidR="00AE727E" w:rsidRDefault="008433E0">
            <w:pPr>
              <w:jc w:val="right"/>
              <w:textAlignment w:val="bottom"/>
            </w:pPr>
            <w:r>
              <w:rPr>
                <w:rFonts w:ascii="Times New Roman" w:eastAsia="宋体" w:hAnsi="Times New Roman"/>
                <w:color w:val="000000"/>
                <w:sz w:val="19"/>
                <w:szCs w:val="19"/>
              </w:rPr>
              <w:t>33.0 </w:t>
            </w:r>
          </w:p>
        </w:tc>
        <w:tc>
          <w:tcPr>
            <w:tcW w:w="0" w:type="auto"/>
            <w:shd w:val="clear" w:color="auto" w:fill="FFFFFF"/>
            <w:tcMar>
              <w:top w:w="40" w:type="dxa"/>
              <w:left w:w="0" w:type="dxa"/>
              <w:bottom w:w="40" w:type="dxa"/>
              <w:right w:w="20" w:type="dxa"/>
            </w:tcMar>
            <w:vAlign w:val="bottom"/>
          </w:tcPr>
          <w:p w14:paraId="07DD0E6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61"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E62"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E63" w14:textId="77777777" w:rsidR="00AE727E" w:rsidRDefault="008433E0">
            <w:pPr>
              <w:jc w:val="right"/>
              <w:textAlignment w:val="bottom"/>
            </w:pPr>
            <w:r>
              <w:rPr>
                <w:rFonts w:ascii="Times New Roman" w:eastAsia="宋体" w:hAnsi="Times New Roman"/>
                <w:color w:val="000000"/>
                <w:sz w:val="19"/>
                <w:szCs w:val="19"/>
              </w:rPr>
              <w:t>24,770 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E6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6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66" w14:textId="77777777" w:rsidR="00AE727E" w:rsidRDefault="008433E0">
            <w:pPr>
              <w:jc w:val="right"/>
              <w:textAlignment w:val="bottom"/>
            </w:pPr>
            <w:r>
              <w:rPr>
                <w:rFonts w:ascii="Times New Roman" w:eastAsia="宋体" w:hAnsi="Times New Roman"/>
                <w:color w:val="000000"/>
                <w:sz w:val="19"/>
                <w:szCs w:val="19"/>
              </w:rPr>
              <w:t>31.3 </w:t>
            </w:r>
          </w:p>
        </w:tc>
        <w:tc>
          <w:tcPr>
            <w:tcW w:w="0" w:type="auto"/>
            <w:shd w:val="clear" w:color="auto" w:fill="FFFFFF"/>
            <w:tcMar>
              <w:top w:w="40" w:type="dxa"/>
              <w:left w:w="0" w:type="dxa"/>
              <w:bottom w:w="40" w:type="dxa"/>
              <w:right w:w="20" w:type="dxa"/>
            </w:tcMar>
            <w:vAlign w:val="bottom"/>
          </w:tcPr>
          <w:p w14:paraId="07DD0E67"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6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69" w14:textId="77777777" w:rsidR="00AE727E" w:rsidRDefault="008433E0">
            <w:pPr>
              <w:jc w:val="right"/>
              <w:textAlignment w:val="bottom"/>
            </w:pPr>
            <w:r>
              <w:rPr>
                <w:rFonts w:ascii="Times New Roman" w:eastAsia="宋体" w:hAnsi="Times New Roman"/>
                <w:color w:val="000000"/>
                <w:sz w:val="19"/>
                <w:szCs w:val="19"/>
              </w:rPr>
              <w:t>9 </w:t>
            </w:r>
          </w:p>
        </w:tc>
        <w:tc>
          <w:tcPr>
            <w:tcW w:w="0" w:type="auto"/>
            <w:shd w:val="clear" w:color="auto" w:fill="FFFFFF"/>
            <w:tcMar>
              <w:top w:w="40" w:type="dxa"/>
              <w:left w:w="0" w:type="dxa"/>
              <w:bottom w:w="40" w:type="dxa"/>
              <w:right w:w="20" w:type="dxa"/>
            </w:tcMar>
            <w:vAlign w:val="bottom"/>
          </w:tcPr>
          <w:p w14:paraId="07DD0E6A"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6B"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0E6C" w14:textId="77777777" w:rsidR="00AE727E" w:rsidRDefault="008433E0">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0E6D" w14:textId="77777777" w:rsidR="00AE727E" w:rsidRDefault="008433E0">
            <w:pPr>
              <w:jc w:val="right"/>
              <w:textAlignment w:val="bottom"/>
            </w:pPr>
            <w:r>
              <w:rPr>
                <w:rFonts w:ascii="Times New Roman" w:eastAsia="宋体" w:hAnsi="Times New Roman"/>
                <w:color w:val="000000"/>
                <w:sz w:val="19"/>
                <w:szCs w:val="19"/>
              </w:rPr>
              <w:t>22,722 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0E6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6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70" w14:textId="77777777" w:rsidR="00AE727E" w:rsidRDefault="008433E0">
            <w:pPr>
              <w:jc w:val="right"/>
              <w:textAlignment w:val="bottom"/>
            </w:pPr>
            <w:r>
              <w:rPr>
                <w:rFonts w:ascii="Times New Roman" w:eastAsia="宋体" w:hAnsi="Times New Roman"/>
                <w:color w:val="000000"/>
                <w:sz w:val="19"/>
                <w:szCs w:val="19"/>
              </w:rPr>
              <w:t>33.3 </w:t>
            </w:r>
          </w:p>
        </w:tc>
        <w:tc>
          <w:tcPr>
            <w:tcW w:w="0" w:type="auto"/>
            <w:shd w:val="clear" w:color="auto" w:fill="FFFFFF"/>
            <w:tcMar>
              <w:top w:w="40" w:type="dxa"/>
              <w:left w:w="0" w:type="dxa"/>
              <w:bottom w:w="40" w:type="dxa"/>
              <w:right w:w="20" w:type="dxa"/>
            </w:tcMar>
            <w:vAlign w:val="bottom"/>
          </w:tcPr>
          <w:p w14:paraId="07DD0E71"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95" w14:textId="77777777">
        <w:tc>
          <w:tcPr>
            <w:tcW w:w="0" w:type="auto"/>
            <w:gridSpan w:val="3"/>
            <w:shd w:val="clear" w:color="auto" w:fill="CCEEFF"/>
            <w:tcMar>
              <w:top w:w="40" w:type="dxa"/>
              <w:left w:w="20" w:type="dxa"/>
              <w:bottom w:w="40" w:type="dxa"/>
              <w:right w:w="20" w:type="dxa"/>
            </w:tcMar>
            <w:vAlign w:val="bottom"/>
          </w:tcPr>
          <w:p w14:paraId="07DD0E73" w14:textId="77777777" w:rsidR="00AE727E" w:rsidRDefault="008433E0">
            <w:pPr>
              <w:textAlignment w:val="bottom"/>
            </w:pPr>
            <w:r>
              <w:rPr>
                <w:rFonts w:ascii="Times New Roman" w:eastAsia="宋体" w:hAnsi="Times New Roman"/>
                <w:color w:val="000000"/>
                <w:sz w:val="19"/>
                <w:szCs w:val="19"/>
              </w:rPr>
              <w:t>Non-GAAP operating expenses</w:t>
            </w:r>
          </w:p>
        </w:tc>
        <w:tc>
          <w:tcPr>
            <w:tcW w:w="0" w:type="auto"/>
            <w:shd w:val="clear" w:color="auto" w:fill="CCEEFF"/>
            <w:tcMar>
              <w:top w:w="40" w:type="dxa"/>
              <w:left w:w="20" w:type="dxa"/>
              <w:bottom w:w="40" w:type="dxa"/>
              <w:right w:w="0" w:type="dxa"/>
            </w:tcMar>
            <w:vAlign w:val="bottom"/>
          </w:tcPr>
          <w:p w14:paraId="07DD0E74"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75" w14:textId="77777777" w:rsidR="00AE727E" w:rsidRDefault="008433E0">
            <w:pPr>
              <w:jc w:val="right"/>
              <w:textAlignment w:val="bottom"/>
            </w:pPr>
            <w:r>
              <w:rPr>
                <w:rFonts w:ascii="Times New Roman" w:eastAsia="宋体" w:hAnsi="Times New Roman"/>
                <w:color w:val="000000"/>
                <w:sz w:val="19"/>
                <w:szCs w:val="19"/>
              </w:rPr>
              <w:t>5,542 </w:t>
            </w:r>
          </w:p>
        </w:tc>
        <w:tc>
          <w:tcPr>
            <w:tcW w:w="0" w:type="auto"/>
            <w:shd w:val="clear" w:color="auto" w:fill="CCEEFF"/>
            <w:tcMar>
              <w:top w:w="40" w:type="dxa"/>
              <w:left w:w="0" w:type="dxa"/>
              <w:bottom w:w="40" w:type="dxa"/>
              <w:right w:w="20" w:type="dxa"/>
            </w:tcMar>
            <w:vAlign w:val="bottom"/>
          </w:tcPr>
          <w:p w14:paraId="07DD0E7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7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78" w14:textId="77777777" w:rsidR="00AE727E" w:rsidRDefault="008433E0">
            <w:pPr>
              <w:jc w:val="right"/>
              <w:textAlignment w:val="bottom"/>
            </w:pPr>
            <w:r>
              <w:rPr>
                <w:rFonts w:ascii="Times New Roman" w:eastAsia="宋体" w:hAnsi="Times New Roman"/>
                <w:color w:val="000000"/>
                <w:sz w:val="19"/>
                <w:szCs w:val="19"/>
              </w:rPr>
              <w:t>19.5 </w:t>
            </w:r>
          </w:p>
        </w:tc>
        <w:tc>
          <w:tcPr>
            <w:tcW w:w="0" w:type="auto"/>
            <w:shd w:val="clear" w:color="auto" w:fill="CCEEFF"/>
            <w:tcMar>
              <w:top w:w="40" w:type="dxa"/>
              <w:left w:w="0" w:type="dxa"/>
              <w:bottom w:w="40" w:type="dxa"/>
              <w:right w:w="20" w:type="dxa"/>
            </w:tcMar>
            <w:vAlign w:val="bottom"/>
          </w:tcPr>
          <w:p w14:paraId="07DD0E7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7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7B" w14:textId="77777777" w:rsidR="00AE727E" w:rsidRDefault="008433E0">
            <w:pPr>
              <w:jc w:val="right"/>
              <w:textAlignment w:val="bottom"/>
            </w:pPr>
            <w:r>
              <w:rPr>
                <w:rFonts w:ascii="Times New Roman" w:eastAsia="宋体" w:hAnsi="Times New Roman"/>
                <w:color w:val="000000"/>
                <w:sz w:val="19"/>
                <w:szCs w:val="19"/>
              </w:rPr>
              <w:t>10 </w:t>
            </w:r>
          </w:p>
        </w:tc>
        <w:tc>
          <w:tcPr>
            <w:tcW w:w="0" w:type="auto"/>
            <w:shd w:val="clear" w:color="auto" w:fill="CCEEFF"/>
            <w:tcMar>
              <w:top w:w="40" w:type="dxa"/>
              <w:left w:w="0" w:type="dxa"/>
              <w:bottom w:w="40" w:type="dxa"/>
              <w:right w:w="20" w:type="dxa"/>
            </w:tcMar>
            <w:vAlign w:val="bottom"/>
          </w:tcPr>
          <w:p w14:paraId="07DD0E7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7D"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7E"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7F" w14:textId="77777777" w:rsidR="00AE727E" w:rsidRDefault="008433E0">
            <w:pPr>
              <w:jc w:val="right"/>
              <w:textAlignment w:val="bottom"/>
            </w:pPr>
            <w:r>
              <w:rPr>
                <w:rFonts w:ascii="Times New Roman" w:eastAsia="宋体" w:hAnsi="Times New Roman"/>
                <w:color w:val="000000"/>
                <w:sz w:val="19"/>
                <w:szCs w:val="19"/>
              </w:rPr>
              <w:t>5,046 </w:t>
            </w:r>
          </w:p>
        </w:tc>
        <w:tc>
          <w:tcPr>
            <w:tcW w:w="0" w:type="auto"/>
            <w:shd w:val="clear" w:color="auto" w:fill="CCEEFF"/>
            <w:tcMar>
              <w:top w:w="40" w:type="dxa"/>
              <w:left w:w="0" w:type="dxa"/>
              <w:bottom w:w="40" w:type="dxa"/>
              <w:right w:w="20" w:type="dxa"/>
            </w:tcMar>
            <w:vAlign w:val="bottom"/>
          </w:tcPr>
          <w:p w14:paraId="07DD0E8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8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82" w14:textId="77777777" w:rsidR="00AE727E" w:rsidRDefault="008433E0">
            <w:pPr>
              <w:jc w:val="right"/>
              <w:textAlignment w:val="bottom"/>
            </w:pPr>
            <w:r>
              <w:rPr>
                <w:rFonts w:ascii="Times New Roman" w:eastAsia="宋体" w:hAnsi="Times New Roman"/>
                <w:color w:val="000000"/>
                <w:sz w:val="19"/>
                <w:szCs w:val="19"/>
              </w:rPr>
              <w:t>21.5 </w:t>
            </w:r>
          </w:p>
        </w:tc>
        <w:tc>
          <w:tcPr>
            <w:tcW w:w="0" w:type="auto"/>
            <w:shd w:val="clear" w:color="auto" w:fill="CCEEFF"/>
            <w:tcMar>
              <w:top w:w="40" w:type="dxa"/>
              <w:left w:w="0" w:type="dxa"/>
              <w:bottom w:w="40" w:type="dxa"/>
              <w:right w:w="20" w:type="dxa"/>
            </w:tcMar>
            <w:vAlign w:val="bottom"/>
          </w:tcPr>
          <w:p w14:paraId="07DD0E8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84"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85"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86" w14:textId="77777777" w:rsidR="00AE727E" w:rsidRDefault="008433E0">
            <w:pPr>
              <w:jc w:val="right"/>
              <w:textAlignment w:val="bottom"/>
            </w:pPr>
            <w:r>
              <w:rPr>
                <w:rFonts w:ascii="Times New Roman" w:eastAsia="宋体" w:hAnsi="Times New Roman"/>
                <w:color w:val="000000"/>
                <w:sz w:val="19"/>
                <w:szCs w:val="19"/>
              </w:rPr>
              <w:t>16,377 </w:t>
            </w:r>
          </w:p>
        </w:tc>
        <w:tc>
          <w:tcPr>
            <w:tcW w:w="0" w:type="auto"/>
            <w:shd w:val="clear" w:color="auto" w:fill="CCEEFF"/>
            <w:tcMar>
              <w:top w:w="40" w:type="dxa"/>
              <w:left w:w="0" w:type="dxa"/>
              <w:bottom w:w="40" w:type="dxa"/>
              <w:right w:w="20" w:type="dxa"/>
            </w:tcMar>
            <w:vAlign w:val="bottom"/>
          </w:tcPr>
          <w:p w14:paraId="07DD0E8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8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89" w14:textId="77777777" w:rsidR="00AE727E" w:rsidRDefault="008433E0">
            <w:pPr>
              <w:jc w:val="right"/>
              <w:textAlignment w:val="bottom"/>
            </w:pPr>
            <w:r>
              <w:rPr>
                <w:rFonts w:ascii="Times New Roman" w:eastAsia="宋体" w:hAnsi="Times New Roman"/>
                <w:color w:val="000000"/>
                <w:sz w:val="19"/>
                <w:szCs w:val="19"/>
              </w:rPr>
              <w:t>20.7 </w:t>
            </w:r>
          </w:p>
        </w:tc>
        <w:tc>
          <w:tcPr>
            <w:tcW w:w="0" w:type="auto"/>
            <w:shd w:val="clear" w:color="auto" w:fill="CCEEFF"/>
            <w:tcMar>
              <w:top w:w="40" w:type="dxa"/>
              <w:left w:w="0" w:type="dxa"/>
              <w:bottom w:w="40" w:type="dxa"/>
              <w:right w:w="20" w:type="dxa"/>
            </w:tcMar>
            <w:vAlign w:val="bottom"/>
          </w:tcPr>
          <w:p w14:paraId="07DD0E8A"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8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8C" w14:textId="77777777" w:rsidR="00AE727E" w:rsidRDefault="008433E0">
            <w:pPr>
              <w:jc w:val="right"/>
              <w:textAlignment w:val="bottom"/>
            </w:pPr>
            <w:r>
              <w:rPr>
                <w:rFonts w:ascii="Times New Roman" w:eastAsia="宋体" w:hAnsi="Times New Roman"/>
                <w:color w:val="000000"/>
                <w:sz w:val="19"/>
                <w:szCs w:val="19"/>
              </w:rPr>
              <w:t>8 </w:t>
            </w:r>
          </w:p>
        </w:tc>
        <w:tc>
          <w:tcPr>
            <w:tcW w:w="0" w:type="auto"/>
            <w:shd w:val="clear" w:color="auto" w:fill="CCEEFF"/>
            <w:tcMar>
              <w:top w:w="40" w:type="dxa"/>
              <w:left w:w="0" w:type="dxa"/>
              <w:bottom w:w="40" w:type="dxa"/>
              <w:right w:w="20" w:type="dxa"/>
            </w:tcMar>
            <w:vAlign w:val="bottom"/>
          </w:tcPr>
          <w:p w14:paraId="07DD0E8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8E"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8F"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90" w14:textId="77777777" w:rsidR="00AE727E" w:rsidRDefault="008433E0">
            <w:pPr>
              <w:jc w:val="right"/>
              <w:textAlignment w:val="bottom"/>
            </w:pPr>
            <w:r>
              <w:rPr>
                <w:rFonts w:ascii="Times New Roman" w:eastAsia="宋体" w:hAnsi="Times New Roman"/>
                <w:color w:val="000000"/>
                <w:sz w:val="19"/>
                <w:szCs w:val="19"/>
              </w:rPr>
              <w:t>15,218 </w:t>
            </w:r>
          </w:p>
        </w:tc>
        <w:tc>
          <w:tcPr>
            <w:tcW w:w="0" w:type="auto"/>
            <w:shd w:val="clear" w:color="auto" w:fill="CCEEFF"/>
            <w:tcMar>
              <w:top w:w="40" w:type="dxa"/>
              <w:left w:w="0" w:type="dxa"/>
              <w:bottom w:w="40" w:type="dxa"/>
              <w:right w:w="20" w:type="dxa"/>
            </w:tcMar>
            <w:vAlign w:val="bottom"/>
          </w:tcPr>
          <w:p w14:paraId="07DD0E9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9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93" w14:textId="77777777" w:rsidR="00AE727E" w:rsidRDefault="008433E0">
            <w:pPr>
              <w:jc w:val="right"/>
              <w:textAlignment w:val="bottom"/>
            </w:pPr>
            <w:r>
              <w:rPr>
                <w:rFonts w:ascii="Times New Roman" w:eastAsia="宋体" w:hAnsi="Times New Roman"/>
                <w:color w:val="000000"/>
                <w:sz w:val="19"/>
                <w:szCs w:val="19"/>
              </w:rPr>
              <w:t>22.3 </w:t>
            </w:r>
          </w:p>
        </w:tc>
        <w:tc>
          <w:tcPr>
            <w:tcW w:w="0" w:type="auto"/>
            <w:shd w:val="clear" w:color="auto" w:fill="CCEEFF"/>
            <w:tcMar>
              <w:top w:w="40" w:type="dxa"/>
              <w:left w:w="0" w:type="dxa"/>
              <w:bottom w:w="40" w:type="dxa"/>
              <w:right w:w="20" w:type="dxa"/>
            </w:tcMar>
            <w:vAlign w:val="bottom"/>
          </w:tcPr>
          <w:p w14:paraId="07DD0E94"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B8" w14:textId="77777777">
        <w:tc>
          <w:tcPr>
            <w:tcW w:w="0" w:type="auto"/>
            <w:gridSpan w:val="3"/>
            <w:shd w:val="clear" w:color="auto" w:fill="FFFFFF"/>
            <w:tcMar>
              <w:top w:w="40" w:type="dxa"/>
              <w:left w:w="20" w:type="dxa"/>
              <w:bottom w:w="40" w:type="dxa"/>
              <w:right w:w="20" w:type="dxa"/>
            </w:tcMar>
            <w:vAlign w:val="bottom"/>
          </w:tcPr>
          <w:p w14:paraId="07DD0E96" w14:textId="77777777" w:rsidR="00AE727E" w:rsidRDefault="008433E0">
            <w:pPr>
              <w:textAlignment w:val="bottom"/>
            </w:pPr>
            <w:r>
              <w:rPr>
                <w:rFonts w:ascii="Times New Roman" w:eastAsia="宋体" w:hAnsi="Times New Roman"/>
                <w:color w:val="000000"/>
                <w:sz w:val="19"/>
                <w:szCs w:val="19"/>
              </w:rPr>
              <w:t>Non-GAAP operating income</w:t>
            </w:r>
          </w:p>
        </w:tc>
        <w:tc>
          <w:tcPr>
            <w:tcW w:w="0" w:type="auto"/>
            <w:shd w:val="clear" w:color="auto" w:fill="FFFFFF"/>
            <w:tcMar>
              <w:top w:w="40" w:type="dxa"/>
              <w:left w:w="20" w:type="dxa"/>
              <w:bottom w:w="40" w:type="dxa"/>
              <w:right w:w="0" w:type="dxa"/>
            </w:tcMar>
            <w:vAlign w:val="bottom"/>
          </w:tcPr>
          <w:p w14:paraId="07DD0E97"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98" w14:textId="77777777" w:rsidR="00AE727E" w:rsidRDefault="008433E0">
            <w:pPr>
              <w:jc w:val="right"/>
              <w:textAlignment w:val="bottom"/>
            </w:pPr>
            <w:r>
              <w:rPr>
                <w:rFonts w:ascii="Times New Roman" w:eastAsia="宋体" w:hAnsi="Times New Roman"/>
                <w:color w:val="000000"/>
                <w:sz w:val="19"/>
                <w:szCs w:val="19"/>
              </w:rPr>
              <w:t>2,868 </w:t>
            </w:r>
          </w:p>
        </w:tc>
        <w:tc>
          <w:tcPr>
            <w:tcW w:w="0" w:type="auto"/>
            <w:shd w:val="clear" w:color="auto" w:fill="FFFFFF"/>
            <w:tcMar>
              <w:top w:w="40" w:type="dxa"/>
              <w:left w:w="0" w:type="dxa"/>
              <w:bottom w:w="40" w:type="dxa"/>
              <w:right w:w="20" w:type="dxa"/>
            </w:tcMar>
            <w:vAlign w:val="bottom"/>
          </w:tcPr>
          <w:p w14:paraId="07DD0E9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9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9B" w14:textId="77777777" w:rsidR="00AE727E" w:rsidRDefault="008433E0">
            <w:pPr>
              <w:jc w:val="right"/>
              <w:textAlignment w:val="bottom"/>
            </w:pPr>
            <w:r>
              <w:rPr>
                <w:rFonts w:ascii="Times New Roman" w:eastAsia="宋体" w:hAnsi="Times New Roman"/>
                <w:color w:val="000000"/>
                <w:sz w:val="19"/>
                <w:szCs w:val="19"/>
              </w:rPr>
              <w:t>10.1 </w:t>
            </w:r>
          </w:p>
        </w:tc>
        <w:tc>
          <w:tcPr>
            <w:tcW w:w="0" w:type="auto"/>
            <w:shd w:val="clear" w:color="auto" w:fill="FFFFFF"/>
            <w:tcMar>
              <w:top w:w="40" w:type="dxa"/>
              <w:left w:w="0" w:type="dxa"/>
              <w:bottom w:w="40" w:type="dxa"/>
              <w:right w:w="20" w:type="dxa"/>
            </w:tcMar>
            <w:vAlign w:val="bottom"/>
          </w:tcPr>
          <w:p w14:paraId="07DD0E9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9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9E" w14:textId="77777777" w:rsidR="00AE727E" w:rsidRDefault="008433E0">
            <w:pPr>
              <w:jc w:val="right"/>
              <w:textAlignment w:val="bottom"/>
            </w:pPr>
            <w:r>
              <w:rPr>
                <w:rFonts w:ascii="Times New Roman" w:eastAsia="宋体" w:hAnsi="Times New Roman"/>
                <w:color w:val="000000"/>
                <w:sz w:val="19"/>
                <w:szCs w:val="19"/>
              </w:rPr>
              <w:t>5 </w:t>
            </w:r>
          </w:p>
        </w:tc>
        <w:tc>
          <w:tcPr>
            <w:tcW w:w="0" w:type="auto"/>
            <w:shd w:val="clear" w:color="auto" w:fill="FFFFFF"/>
            <w:tcMar>
              <w:top w:w="40" w:type="dxa"/>
              <w:left w:w="0" w:type="dxa"/>
              <w:bottom w:w="40" w:type="dxa"/>
              <w:right w:w="20" w:type="dxa"/>
            </w:tcMar>
            <w:vAlign w:val="bottom"/>
          </w:tcPr>
          <w:p w14:paraId="07DD0E9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A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A1"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A2" w14:textId="77777777" w:rsidR="00AE727E" w:rsidRDefault="008433E0">
            <w:pPr>
              <w:jc w:val="right"/>
              <w:textAlignment w:val="bottom"/>
            </w:pPr>
            <w:r>
              <w:rPr>
                <w:rFonts w:ascii="Times New Roman" w:eastAsia="宋体" w:hAnsi="Times New Roman"/>
                <w:color w:val="000000"/>
                <w:sz w:val="19"/>
                <w:szCs w:val="19"/>
              </w:rPr>
              <w:t>2,725 </w:t>
            </w:r>
          </w:p>
        </w:tc>
        <w:tc>
          <w:tcPr>
            <w:tcW w:w="0" w:type="auto"/>
            <w:shd w:val="clear" w:color="auto" w:fill="FFFFFF"/>
            <w:tcMar>
              <w:top w:w="40" w:type="dxa"/>
              <w:left w:w="0" w:type="dxa"/>
              <w:bottom w:w="40" w:type="dxa"/>
              <w:right w:w="20" w:type="dxa"/>
            </w:tcMar>
            <w:vAlign w:val="bottom"/>
          </w:tcPr>
          <w:p w14:paraId="07DD0EA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A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A5" w14:textId="77777777" w:rsidR="00AE727E" w:rsidRDefault="008433E0">
            <w:pPr>
              <w:jc w:val="right"/>
              <w:textAlignment w:val="bottom"/>
            </w:pPr>
            <w:r>
              <w:rPr>
                <w:rFonts w:ascii="Times New Roman" w:eastAsia="宋体" w:hAnsi="Times New Roman"/>
                <w:color w:val="000000"/>
                <w:sz w:val="19"/>
                <w:szCs w:val="19"/>
              </w:rPr>
              <w:t>11.6 </w:t>
            </w:r>
          </w:p>
        </w:tc>
        <w:tc>
          <w:tcPr>
            <w:tcW w:w="0" w:type="auto"/>
            <w:shd w:val="clear" w:color="auto" w:fill="FFFFFF"/>
            <w:tcMar>
              <w:top w:w="40" w:type="dxa"/>
              <w:left w:w="0" w:type="dxa"/>
              <w:bottom w:w="40" w:type="dxa"/>
              <w:right w:w="20" w:type="dxa"/>
            </w:tcMar>
            <w:vAlign w:val="bottom"/>
          </w:tcPr>
          <w:p w14:paraId="07DD0EA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A7"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A8"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A9" w14:textId="77777777" w:rsidR="00AE727E" w:rsidRDefault="008433E0">
            <w:pPr>
              <w:jc w:val="right"/>
              <w:textAlignment w:val="bottom"/>
            </w:pPr>
            <w:r>
              <w:rPr>
                <w:rFonts w:ascii="Times New Roman" w:eastAsia="宋体" w:hAnsi="Times New Roman"/>
                <w:color w:val="000000"/>
                <w:sz w:val="19"/>
                <w:szCs w:val="19"/>
              </w:rPr>
              <w:t>8,393 </w:t>
            </w:r>
          </w:p>
        </w:tc>
        <w:tc>
          <w:tcPr>
            <w:tcW w:w="0" w:type="auto"/>
            <w:shd w:val="clear" w:color="auto" w:fill="FFFFFF"/>
            <w:tcMar>
              <w:top w:w="40" w:type="dxa"/>
              <w:left w:w="0" w:type="dxa"/>
              <w:bottom w:w="40" w:type="dxa"/>
              <w:right w:w="20" w:type="dxa"/>
            </w:tcMar>
            <w:vAlign w:val="bottom"/>
          </w:tcPr>
          <w:p w14:paraId="07DD0EA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A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AC" w14:textId="77777777" w:rsidR="00AE727E" w:rsidRDefault="008433E0">
            <w:pPr>
              <w:jc w:val="right"/>
              <w:textAlignment w:val="bottom"/>
            </w:pPr>
            <w:r>
              <w:rPr>
                <w:rFonts w:ascii="Times New Roman" w:eastAsia="宋体" w:hAnsi="Times New Roman"/>
                <w:color w:val="000000"/>
                <w:sz w:val="19"/>
                <w:szCs w:val="19"/>
              </w:rPr>
              <w:t>10.6 </w:t>
            </w:r>
          </w:p>
        </w:tc>
        <w:tc>
          <w:tcPr>
            <w:tcW w:w="0" w:type="auto"/>
            <w:shd w:val="clear" w:color="auto" w:fill="FFFFFF"/>
            <w:tcMar>
              <w:top w:w="40" w:type="dxa"/>
              <w:left w:w="0" w:type="dxa"/>
              <w:bottom w:w="40" w:type="dxa"/>
              <w:right w:w="20" w:type="dxa"/>
            </w:tcMar>
            <w:vAlign w:val="bottom"/>
          </w:tcPr>
          <w:p w14:paraId="07DD0EAD"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A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AF"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07DD0EB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B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B2"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B3" w14:textId="77777777" w:rsidR="00AE727E" w:rsidRDefault="008433E0">
            <w:pPr>
              <w:jc w:val="right"/>
              <w:textAlignment w:val="bottom"/>
            </w:pPr>
            <w:r>
              <w:rPr>
                <w:rFonts w:ascii="Times New Roman" w:eastAsia="宋体" w:hAnsi="Times New Roman"/>
                <w:color w:val="000000"/>
                <w:sz w:val="19"/>
                <w:szCs w:val="19"/>
              </w:rPr>
              <w:t>7,504 </w:t>
            </w:r>
          </w:p>
        </w:tc>
        <w:tc>
          <w:tcPr>
            <w:tcW w:w="0" w:type="auto"/>
            <w:shd w:val="clear" w:color="auto" w:fill="FFFFFF"/>
            <w:tcMar>
              <w:top w:w="40" w:type="dxa"/>
              <w:left w:w="0" w:type="dxa"/>
              <w:bottom w:w="40" w:type="dxa"/>
              <w:right w:w="20" w:type="dxa"/>
            </w:tcMar>
            <w:vAlign w:val="bottom"/>
          </w:tcPr>
          <w:p w14:paraId="07DD0EB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B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B6" w14:textId="77777777" w:rsidR="00AE727E" w:rsidRDefault="008433E0">
            <w:pPr>
              <w:jc w:val="right"/>
              <w:textAlignment w:val="bottom"/>
            </w:pPr>
            <w:r>
              <w:rPr>
                <w:rFonts w:ascii="Times New Roman" w:eastAsia="宋体" w:hAnsi="Times New Roman"/>
                <w:color w:val="000000"/>
                <w:sz w:val="19"/>
                <w:szCs w:val="19"/>
              </w:rPr>
              <w:t>11.0 </w:t>
            </w:r>
          </w:p>
        </w:tc>
        <w:tc>
          <w:tcPr>
            <w:tcW w:w="0" w:type="auto"/>
            <w:shd w:val="clear" w:color="auto" w:fill="FFFFFF"/>
            <w:tcMar>
              <w:top w:w="40" w:type="dxa"/>
              <w:left w:w="0" w:type="dxa"/>
              <w:bottom w:w="40" w:type="dxa"/>
              <w:right w:w="20" w:type="dxa"/>
            </w:tcMar>
            <w:vAlign w:val="bottom"/>
          </w:tcPr>
          <w:p w14:paraId="07DD0EB7"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DB" w14:textId="77777777">
        <w:tc>
          <w:tcPr>
            <w:tcW w:w="0" w:type="auto"/>
            <w:gridSpan w:val="3"/>
            <w:shd w:val="clear" w:color="auto" w:fill="CCEEFF"/>
            <w:tcMar>
              <w:top w:w="40" w:type="dxa"/>
              <w:left w:w="20" w:type="dxa"/>
              <w:bottom w:w="40" w:type="dxa"/>
              <w:right w:w="20" w:type="dxa"/>
            </w:tcMar>
            <w:vAlign w:val="bottom"/>
          </w:tcPr>
          <w:p w14:paraId="07DD0EB9" w14:textId="77777777" w:rsidR="00AE727E" w:rsidRDefault="008433E0">
            <w:pPr>
              <w:textAlignment w:val="bottom"/>
            </w:pPr>
            <w:r>
              <w:rPr>
                <w:rFonts w:ascii="Times New Roman" w:eastAsia="宋体" w:hAnsi="Times New Roman"/>
                <w:color w:val="000000"/>
                <w:sz w:val="19"/>
                <w:szCs w:val="19"/>
              </w:rPr>
              <w:t>Non-GAAP net income</w:t>
            </w:r>
          </w:p>
        </w:tc>
        <w:tc>
          <w:tcPr>
            <w:tcW w:w="0" w:type="auto"/>
            <w:shd w:val="clear" w:color="auto" w:fill="CCEEFF"/>
            <w:tcMar>
              <w:top w:w="40" w:type="dxa"/>
              <w:left w:w="20" w:type="dxa"/>
              <w:bottom w:w="40" w:type="dxa"/>
              <w:right w:w="0" w:type="dxa"/>
            </w:tcMar>
            <w:vAlign w:val="bottom"/>
          </w:tcPr>
          <w:p w14:paraId="07DD0EBA"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BB" w14:textId="77777777" w:rsidR="00AE727E" w:rsidRDefault="008433E0">
            <w:pPr>
              <w:jc w:val="right"/>
              <w:textAlignment w:val="bottom"/>
            </w:pPr>
            <w:r>
              <w:rPr>
                <w:rFonts w:ascii="Times New Roman" w:eastAsia="宋体" w:hAnsi="Times New Roman"/>
                <w:color w:val="000000"/>
                <w:sz w:val="19"/>
                <w:szCs w:val="19"/>
              </w:rPr>
              <w:t>2,015 </w:t>
            </w:r>
          </w:p>
        </w:tc>
        <w:tc>
          <w:tcPr>
            <w:tcW w:w="0" w:type="auto"/>
            <w:shd w:val="clear" w:color="auto" w:fill="CCEEFF"/>
            <w:tcMar>
              <w:top w:w="40" w:type="dxa"/>
              <w:left w:w="0" w:type="dxa"/>
              <w:bottom w:w="40" w:type="dxa"/>
              <w:right w:w="20" w:type="dxa"/>
            </w:tcMar>
            <w:vAlign w:val="bottom"/>
          </w:tcPr>
          <w:p w14:paraId="07DD0EB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B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BE" w14:textId="77777777" w:rsidR="00AE727E" w:rsidRDefault="008433E0">
            <w:pPr>
              <w:jc w:val="right"/>
              <w:textAlignment w:val="bottom"/>
            </w:pPr>
            <w:r>
              <w:rPr>
                <w:rFonts w:ascii="Times New Roman" w:eastAsia="宋体" w:hAnsi="Times New Roman"/>
                <w:color w:val="000000"/>
                <w:sz w:val="19"/>
                <w:szCs w:val="19"/>
              </w:rPr>
              <w:t>7.1 </w:t>
            </w:r>
          </w:p>
        </w:tc>
        <w:tc>
          <w:tcPr>
            <w:tcW w:w="0" w:type="auto"/>
            <w:shd w:val="clear" w:color="auto" w:fill="CCEEFF"/>
            <w:tcMar>
              <w:top w:w="40" w:type="dxa"/>
              <w:left w:w="0" w:type="dxa"/>
              <w:bottom w:w="40" w:type="dxa"/>
              <w:right w:w="20" w:type="dxa"/>
            </w:tcMar>
            <w:vAlign w:val="bottom"/>
          </w:tcPr>
          <w:p w14:paraId="07DD0EB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C1" w14:textId="77777777" w:rsidR="00AE727E" w:rsidRDefault="008433E0">
            <w:pPr>
              <w:jc w:val="right"/>
              <w:textAlignment w:val="bottom"/>
            </w:pPr>
            <w:r>
              <w:rPr>
                <w:rFonts w:ascii="Times New Roman" w:eastAsia="宋体" w:hAnsi="Times New Roman"/>
                <w:color w:val="000000"/>
                <w:sz w:val="19"/>
                <w:szCs w:val="19"/>
              </w:rPr>
              <w:t>18 </w:t>
            </w:r>
          </w:p>
        </w:tc>
        <w:tc>
          <w:tcPr>
            <w:tcW w:w="0" w:type="auto"/>
            <w:shd w:val="clear" w:color="auto" w:fill="CCEEFF"/>
            <w:tcMar>
              <w:top w:w="40" w:type="dxa"/>
              <w:left w:w="0" w:type="dxa"/>
              <w:bottom w:w="40" w:type="dxa"/>
              <w:right w:w="20" w:type="dxa"/>
            </w:tcMar>
            <w:vAlign w:val="bottom"/>
          </w:tcPr>
          <w:p w14:paraId="07DD0EC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C3"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C4"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C5" w14:textId="77777777" w:rsidR="00AE727E" w:rsidRDefault="008433E0">
            <w:pPr>
              <w:jc w:val="right"/>
              <w:textAlignment w:val="bottom"/>
            </w:pPr>
            <w:r>
              <w:rPr>
                <w:rFonts w:ascii="Times New Roman" w:eastAsia="宋体" w:hAnsi="Times New Roman"/>
                <w:color w:val="000000"/>
                <w:sz w:val="19"/>
                <w:szCs w:val="19"/>
              </w:rPr>
              <w:t>1,711 </w:t>
            </w:r>
          </w:p>
        </w:tc>
        <w:tc>
          <w:tcPr>
            <w:tcW w:w="0" w:type="auto"/>
            <w:shd w:val="clear" w:color="auto" w:fill="CCEEFF"/>
            <w:tcMar>
              <w:top w:w="40" w:type="dxa"/>
              <w:left w:w="0" w:type="dxa"/>
              <w:bottom w:w="40" w:type="dxa"/>
              <w:right w:w="20" w:type="dxa"/>
            </w:tcMar>
            <w:vAlign w:val="bottom"/>
          </w:tcPr>
          <w:p w14:paraId="07DD0EC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C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C8" w14:textId="77777777" w:rsidR="00AE727E" w:rsidRDefault="008433E0">
            <w:pPr>
              <w:jc w:val="right"/>
              <w:textAlignment w:val="bottom"/>
            </w:pPr>
            <w:r>
              <w:rPr>
                <w:rFonts w:ascii="Times New Roman" w:eastAsia="宋体" w:hAnsi="Times New Roman"/>
                <w:color w:val="000000"/>
                <w:sz w:val="19"/>
                <w:szCs w:val="19"/>
              </w:rPr>
              <w:t>7.3 </w:t>
            </w:r>
          </w:p>
        </w:tc>
        <w:tc>
          <w:tcPr>
            <w:tcW w:w="0" w:type="auto"/>
            <w:shd w:val="clear" w:color="auto" w:fill="CCEEFF"/>
            <w:tcMar>
              <w:top w:w="40" w:type="dxa"/>
              <w:left w:w="0" w:type="dxa"/>
              <w:bottom w:w="40" w:type="dxa"/>
              <w:right w:w="20" w:type="dxa"/>
            </w:tcMar>
            <w:vAlign w:val="bottom"/>
          </w:tcPr>
          <w:p w14:paraId="07DD0EC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CA"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CB"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CC" w14:textId="77777777" w:rsidR="00AE727E" w:rsidRDefault="008433E0">
            <w:pPr>
              <w:jc w:val="right"/>
              <w:textAlignment w:val="bottom"/>
            </w:pPr>
            <w:r>
              <w:rPr>
                <w:rFonts w:ascii="Times New Roman" w:eastAsia="宋体" w:hAnsi="Times New Roman"/>
                <w:color w:val="000000"/>
                <w:sz w:val="19"/>
                <w:szCs w:val="19"/>
              </w:rPr>
              <w:t>5,745 </w:t>
            </w:r>
          </w:p>
        </w:tc>
        <w:tc>
          <w:tcPr>
            <w:tcW w:w="0" w:type="auto"/>
            <w:shd w:val="clear" w:color="auto" w:fill="CCEEFF"/>
            <w:tcMar>
              <w:top w:w="40" w:type="dxa"/>
              <w:left w:w="0" w:type="dxa"/>
              <w:bottom w:w="40" w:type="dxa"/>
              <w:right w:w="20" w:type="dxa"/>
            </w:tcMar>
            <w:vAlign w:val="bottom"/>
          </w:tcPr>
          <w:p w14:paraId="07DD0E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C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CF" w14:textId="77777777" w:rsidR="00AE727E" w:rsidRDefault="008433E0">
            <w:pPr>
              <w:jc w:val="right"/>
              <w:textAlignment w:val="bottom"/>
            </w:pPr>
            <w:r>
              <w:rPr>
                <w:rFonts w:ascii="Times New Roman" w:eastAsia="宋体" w:hAnsi="Times New Roman"/>
                <w:color w:val="000000"/>
                <w:sz w:val="19"/>
                <w:szCs w:val="19"/>
              </w:rPr>
              <w:t>7.3 </w:t>
            </w:r>
          </w:p>
        </w:tc>
        <w:tc>
          <w:tcPr>
            <w:tcW w:w="0" w:type="auto"/>
            <w:shd w:val="clear" w:color="auto" w:fill="CCEEFF"/>
            <w:tcMar>
              <w:top w:w="40" w:type="dxa"/>
              <w:left w:w="0" w:type="dxa"/>
              <w:bottom w:w="40" w:type="dxa"/>
              <w:right w:w="20" w:type="dxa"/>
            </w:tcMar>
            <w:vAlign w:val="bottom"/>
          </w:tcPr>
          <w:p w14:paraId="07DD0ED0"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D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D2" w14:textId="77777777" w:rsidR="00AE727E" w:rsidRDefault="008433E0">
            <w:pPr>
              <w:jc w:val="right"/>
              <w:textAlignment w:val="bottom"/>
            </w:pPr>
            <w:r>
              <w:rPr>
                <w:rFonts w:ascii="Times New Roman" w:eastAsia="宋体" w:hAnsi="Times New Roman"/>
                <w:color w:val="000000"/>
                <w:sz w:val="19"/>
                <w:szCs w:val="19"/>
              </w:rPr>
              <w:t>28 </w:t>
            </w:r>
          </w:p>
        </w:tc>
        <w:tc>
          <w:tcPr>
            <w:tcW w:w="0" w:type="auto"/>
            <w:shd w:val="clear" w:color="auto" w:fill="CCEEFF"/>
            <w:tcMar>
              <w:top w:w="40" w:type="dxa"/>
              <w:left w:w="0" w:type="dxa"/>
              <w:bottom w:w="40" w:type="dxa"/>
              <w:right w:w="20" w:type="dxa"/>
            </w:tcMar>
            <w:vAlign w:val="bottom"/>
          </w:tcPr>
          <w:p w14:paraId="07DD0ED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ED4"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ED5"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ED6" w14:textId="77777777" w:rsidR="00AE727E" w:rsidRDefault="008433E0">
            <w:pPr>
              <w:jc w:val="right"/>
              <w:textAlignment w:val="bottom"/>
            </w:pPr>
            <w:r>
              <w:rPr>
                <w:rFonts w:ascii="Times New Roman" w:eastAsia="宋体" w:hAnsi="Times New Roman"/>
                <w:color w:val="000000"/>
                <w:sz w:val="19"/>
                <w:szCs w:val="19"/>
              </w:rPr>
              <w:t>4,475 </w:t>
            </w:r>
          </w:p>
        </w:tc>
        <w:tc>
          <w:tcPr>
            <w:tcW w:w="0" w:type="auto"/>
            <w:shd w:val="clear" w:color="auto" w:fill="CCEEFF"/>
            <w:tcMar>
              <w:top w:w="40" w:type="dxa"/>
              <w:left w:w="0" w:type="dxa"/>
              <w:bottom w:w="40" w:type="dxa"/>
              <w:right w:w="20" w:type="dxa"/>
            </w:tcMar>
            <w:vAlign w:val="bottom"/>
          </w:tcPr>
          <w:p w14:paraId="07DD0ED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ED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ED9" w14:textId="77777777" w:rsidR="00AE727E" w:rsidRDefault="008433E0">
            <w:pPr>
              <w:jc w:val="right"/>
              <w:textAlignment w:val="bottom"/>
            </w:pPr>
            <w:r>
              <w:rPr>
                <w:rFonts w:ascii="Times New Roman" w:eastAsia="宋体" w:hAnsi="Times New Roman"/>
                <w:color w:val="000000"/>
                <w:sz w:val="19"/>
                <w:szCs w:val="19"/>
              </w:rPr>
              <w:t>6.6 </w:t>
            </w:r>
          </w:p>
        </w:tc>
        <w:tc>
          <w:tcPr>
            <w:tcW w:w="0" w:type="auto"/>
            <w:shd w:val="clear" w:color="auto" w:fill="CCEEFF"/>
            <w:tcMar>
              <w:top w:w="40" w:type="dxa"/>
              <w:left w:w="0" w:type="dxa"/>
              <w:bottom w:w="40" w:type="dxa"/>
              <w:right w:w="20" w:type="dxa"/>
            </w:tcMar>
            <w:vAlign w:val="bottom"/>
          </w:tcPr>
          <w:p w14:paraId="07DD0EDA"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EFE" w14:textId="77777777">
        <w:tc>
          <w:tcPr>
            <w:tcW w:w="0" w:type="auto"/>
            <w:gridSpan w:val="3"/>
            <w:shd w:val="clear" w:color="auto" w:fill="FFFFFF"/>
            <w:tcMar>
              <w:top w:w="40" w:type="dxa"/>
              <w:left w:w="20" w:type="dxa"/>
              <w:bottom w:w="40" w:type="dxa"/>
              <w:right w:w="20" w:type="dxa"/>
            </w:tcMar>
            <w:vAlign w:val="bottom"/>
          </w:tcPr>
          <w:p w14:paraId="07DD0EDC" w14:textId="77777777" w:rsidR="00AE727E" w:rsidRDefault="008433E0">
            <w:pPr>
              <w:textAlignment w:val="bottom"/>
            </w:pPr>
            <w:r>
              <w:rPr>
                <w:rFonts w:ascii="Times New Roman" w:eastAsia="宋体" w:hAnsi="Times New Roman"/>
                <w:color w:val="000000"/>
                <w:sz w:val="19"/>
                <w:szCs w:val="19"/>
              </w:rPr>
              <w:t>EBITDA</w:t>
            </w:r>
          </w:p>
        </w:tc>
        <w:tc>
          <w:tcPr>
            <w:tcW w:w="0" w:type="auto"/>
            <w:shd w:val="clear" w:color="auto" w:fill="FFFFFF"/>
            <w:tcMar>
              <w:top w:w="40" w:type="dxa"/>
              <w:left w:w="20" w:type="dxa"/>
              <w:bottom w:w="40" w:type="dxa"/>
              <w:right w:w="0" w:type="dxa"/>
            </w:tcMar>
            <w:vAlign w:val="bottom"/>
          </w:tcPr>
          <w:p w14:paraId="07DD0EDD"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DE" w14:textId="77777777" w:rsidR="00AE727E" w:rsidRDefault="008433E0">
            <w:pPr>
              <w:jc w:val="right"/>
              <w:textAlignment w:val="bottom"/>
            </w:pPr>
            <w:r>
              <w:rPr>
                <w:rFonts w:ascii="Times New Roman" w:eastAsia="宋体" w:hAnsi="Times New Roman"/>
                <w:color w:val="000000"/>
                <w:sz w:val="19"/>
                <w:szCs w:val="19"/>
              </w:rPr>
              <w:t>2,591 </w:t>
            </w:r>
          </w:p>
        </w:tc>
        <w:tc>
          <w:tcPr>
            <w:tcW w:w="0" w:type="auto"/>
            <w:shd w:val="clear" w:color="auto" w:fill="FFFFFF"/>
            <w:tcMar>
              <w:top w:w="40" w:type="dxa"/>
              <w:left w:w="0" w:type="dxa"/>
              <w:bottom w:w="40" w:type="dxa"/>
              <w:right w:w="20" w:type="dxa"/>
            </w:tcMar>
            <w:vAlign w:val="bottom"/>
          </w:tcPr>
          <w:p w14:paraId="07DD0ED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E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E1" w14:textId="77777777" w:rsidR="00AE727E" w:rsidRDefault="008433E0">
            <w:pPr>
              <w:jc w:val="right"/>
              <w:textAlignment w:val="bottom"/>
            </w:pPr>
            <w:r>
              <w:rPr>
                <w:rFonts w:ascii="Times New Roman" w:eastAsia="宋体" w:hAnsi="Times New Roman"/>
                <w:color w:val="000000"/>
                <w:sz w:val="19"/>
                <w:szCs w:val="19"/>
              </w:rPr>
              <w:t>9.1 </w:t>
            </w:r>
          </w:p>
        </w:tc>
        <w:tc>
          <w:tcPr>
            <w:tcW w:w="0" w:type="auto"/>
            <w:shd w:val="clear" w:color="auto" w:fill="FFFFFF"/>
            <w:tcMar>
              <w:top w:w="40" w:type="dxa"/>
              <w:left w:w="0" w:type="dxa"/>
              <w:bottom w:w="40" w:type="dxa"/>
              <w:right w:w="20" w:type="dxa"/>
            </w:tcMar>
            <w:vAlign w:val="bottom"/>
          </w:tcPr>
          <w:p w14:paraId="07DD0EE2"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E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E4" w14:textId="77777777" w:rsidR="00AE727E" w:rsidRDefault="008433E0">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07DD0EE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E6"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E7"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E8" w14:textId="77777777" w:rsidR="00AE727E" w:rsidRDefault="008433E0">
            <w:pPr>
              <w:jc w:val="right"/>
              <w:textAlignment w:val="bottom"/>
            </w:pPr>
            <w:r>
              <w:rPr>
                <w:rFonts w:ascii="Times New Roman" w:eastAsia="宋体" w:hAnsi="Times New Roman"/>
                <w:color w:val="000000"/>
                <w:sz w:val="19"/>
                <w:szCs w:val="19"/>
              </w:rPr>
              <w:t>2,490 </w:t>
            </w:r>
          </w:p>
        </w:tc>
        <w:tc>
          <w:tcPr>
            <w:tcW w:w="0" w:type="auto"/>
            <w:shd w:val="clear" w:color="auto" w:fill="FFFFFF"/>
            <w:tcMar>
              <w:top w:w="40" w:type="dxa"/>
              <w:left w:w="0" w:type="dxa"/>
              <w:bottom w:w="40" w:type="dxa"/>
              <w:right w:w="20" w:type="dxa"/>
            </w:tcMar>
            <w:vAlign w:val="bottom"/>
          </w:tcPr>
          <w:p w14:paraId="07DD0EE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E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EB" w14:textId="77777777" w:rsidR="00AE727E" w:rsidRDefault="008433E0">
            <w:pPr>
              <w:jc w:val="right"/>
              <w:textAlignment w:val="bottom"/>
            </w:pPr>
            <w:r>
              <w:rPr>
                <w:rFonts w:ascii="Times New Roman" w:eastAsia="宋体" w:hAnsi="Times New Roman"/>
                <w:color w:val="000000"/>
                <w:sz w:val="19"/>
                <w:szCs w:val="19"/>
              </w:rPr>
              <w:t>10.6 </w:t>
            </w:r>
          </w:p>
        </w:tc>
        <w:tc>
          <w:tcPr>
            <w:tcW w:w="0" w:type="auto"/>
            <w:shd w:val="clear" w:color="auto" w:fill="FFFFFF"/>
            <w:tcMar>
              <w:top w:w="40" w:type="dxa"/>
              <w:left w:w="0" w:type="dxa"/>
              <w:bottom w:w="40" w:type="dxa"/>
              <w:right w:w="20" w:type="dxa"/>
            </w:tcMar>
            <w:vAlign w:val="bottom"/>
          </w:tcPr>
          <w:p w14:paraId="07DD0EEC"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ED"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EE"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EF" w14:textId="77777777" w:rsidR="00AE727E" w:rsidRDefault="008433E0">
            <w:pPr>
              <w:jc w:val="right"/>
              <w:textAlignment w:val="bottom"/>
            </w:pPr>
            <w:r>
              <w:rPr>
                <w:rFonts w:ascii="Times New Roman" w:eastAsia="宋体" w:hAnsi="Times New Roman"/>
                <w:color w:val="000000"/>
                <w:sz w:val="19"/>
                <w:szCs w:val="19"/>
              </w:rPr>
              <w:t>7,817 </w:t>
            </w:r>
          </w:p>
        </w:tc>
        <w:tc>
          <w:tcPr>
            <w:tcW w:w="0" w:type="auto"/>
            <w:shd w:val="clear" w:color="auto" w:fill="FFFFFF"/>
            <w:tcMar>
              <w:top w:w="40" w:type="dxa"/>
              <w:left w:w="0" w:type="dxa"/>
              <w:bottom w:w="40" w:type="dxa"/>
              <w:right w:w="20" w:type="dxa"/>
            </w:tcMar>
            <w:vAlign w:val="bottom"/>
          </w:tcPr>
          <w:p w14:paraId="07DD0EF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F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F2" w14:textId="77777777" w:rsidR="00AE727E" w:rsidRDefault="008433E0">
            <w:pPr>
              <w:jc w:val="right"/>
              <w:textAlignment w:val="bottom"/>
            </w:pPr>
            <w:r>
              <w:rPr>
                <w:rFonts w:ascii="Times New Roman" w:eastAsia="宋体" w:hAnsi="Times New Roman"/>
                <w:color w:val="000000"/>
                <w:sz w:val="19"/>
                <w:szCs w:val="19"/>
              </w:rPr>
              <w:t>9.9 </w:t>
            </w:r>
          </w:p>
        </w:tc>
        <w:tc>
          <w:tcPr>
            <w:tcW w:w="0" w:type="auto"/>
            <w:shd w:val="clear" w:color="auto" w:fill="FFFFFF"/>
            <w:tcMar>
              <w:top w:w="40" w:type="dxa"/>
              <w:left w:w="0" w:type="dxa"/>
              <w:bottom w:w="40" w:type="dxa"/>
              <w:right w:w="20" w:type="dxa"/>
            </w:tcMar>
            <w:vAlign w:val="bottom"/>
          </w:tcPr>
          <w:p w14:paraId="07DD0EF3"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F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F5"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FFFFFF"/>
            <w:tcMar>
              <w:top w:w="40" w:type="dxa"/>
              <w:left w:w="0" w:type="dxa"/>
              <w:bottom w:w="40" w:type="dxa"/>
              <w:right w:w="20" w:type="dxa"/>
            </w:tcMar>
            <w:vAlign w:val="bottom"/>
          </w:tcPr>
          <w:p w14:paraId="07DD0EF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07DD0EF7"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EF8"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DD0EF9" w14:textId="77777777" w:rsidR="00AE727E" w:rsidRDefault="008433E0">
            <w:pPr>
              <w:jc w:val="right"/>
              <w:textAlignment w:val="bottom"/>
            </w:pPr>
            <w:r>
              <w:rPr>
                <w:rFonts w:ascii="Times New Roman" w:eastAsia="宋体" w:hAnsi="Times New Roman"/>
                <w:color w:val="000000"/>
                <w:sz w:val="19"/>
                <w:szCs w:val="19"/>
              </w:rPr>
              <w:t>6,984 </w:t>
            </w:r>
          </w:p>
        </w:tc>
        <w:tc>
          <w:tcPr>
            <w:tcW w:w="0" w:type="auto"/>
            <w:shd w:val="clear" w:color="auto" w:fill="FFFFFF"/>
            <w:tcMar>
              <w:top w:w="40" w:type="dxa"/>
              <w:left w:w="0" w:type="dxa"/>
              <w:bottom w:w="40" w:type="dxa"/>
              <w:right w:w="20" w:type="dxa"/>
            </w:tcMar>
            <w:vAlign w:val="bottom"/>
          </w:tcPr>
          <w:p w14:paraId="07DD0EF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EF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EFC" w14:textId="77777777" w:rsidR="00AE727E" w:rsidRDefault="008433E0">
            <w:pPr>
              <w:jc w:val="right"/>
              <w:textAlignment w:val="bottom"/>
            </w:pPr>
            <w:r>
              <w:rPr>
                <w:rFonts w:ascii="Times New Roman" w:eastAsia="宋体" w:hAnsi="Times New Roman"/>
                <w:color w:val="000000"/>
                <w:sz w:val="19"/>
                <w:szCs w:val="19"/>
              </w:rPr>
              <w:t>10.2 </w:t>
            </w:r>
          </w:p>
        </w:tc>
        <w:tc>
          <w:tcPr>
            <w:tcW w:w="0" w:type="auto"/>
            <w:shd w:val="clear" w:color="auto" w:fill="FFFFFF"/>
            <w:tcMar>
              <w:top w:w="40" w:type="dxa"/>
              <w:left w:w="0" w:type="dxa"/>
              <w:bottom w:w="40" w:type="dxa"/>
              <w:right w:w="20" w:type="dxa"/>
            </w:tcMar>
            <w:vAlign w:val="bottom"/>
          </w:tcPr>
          <w:p w14:paraId="07DD0EFD" w14:textId="77777777" w:rsidR="00AE727E" w:rsidRDefault="008433E0">
            <w:pPr>
              <w:jc w:val="right"/>
              <w:textAlignment w:val="bottom"/>
            </w:pPr>
            <w:r>
              <w:rPr>
                <w:rFonts w:ascii="Times New Roman" w:eastAsia="宋体" w:hAnsi="Times New Roman"/>
                <w:color w:val="000000"/>
                <w:sz w:val="19"/>
                <w:szCs w:val="19"/>
              </w:rPr>
              <w:t>%</w:t>
            </w:r>
          </w:p>
        </w:tc>
      </w:tr>
      <w:tr w:rsidR="008433E0" w14:paraId="07DD0F21" w14:textId="77777777">
        <w:tc>
          <w:tcPr>
            <w:tcW w:w="0" w:type="auto"/>
            <w:gridSpan w:val="3"/>
            <w:shd w:val="clear" w:color="auto" w:fill="CCEEFF"/>
            <w:tcMar>
              <w:top w:w="40" w:type="dxa"/>
              <w:left w:w="20" w:type="dxa"/>
              <w:bottom w:w="40" w:type="dxa"/>
              <w:right w:w="20" w:type="dxa"/>
            </w:tcMar>
            <w:vAlign w:val="bottom"/>
          </w:tcPr>
          <w:p w14:paraId="07DD0EFF" w14:textId="77777777" w:rsidR="00AE727E" w:rsidRDefault="008433E0">
            <w:pPr>
              <w:textAlignment w:val="bottom"/>
            </w:pPr>
            <w:r>
              <w:rPr>
                <w:rFonts w:ascii="Times New Roman" w:eastAsia="宋体" w:hAnsi="Times New Roman"/>
                <w:color w:val="000000"/>
                <w:sz w:val="19"/>
                <w:szCs w:val="19"/>
              </w:rPr>
              <w:t>Adjusted EBITDA</w:t>
            </w:r>
          </w:p>
        </w:tc>
        <w:tc>
          <w:tcPr>
            <w:tcW w:w="0" w:type="auto"/>
            <w:shd w:val="clear" w:color="auto" w:fill="CCEEFF"/>
            <w:tcMar>
              <w:top w:w="40" w:type="dxa"/>
              <w:left w:w="20" w:type="dxa"/>
              <w:bottom w:w="40" w:type="dxa"/>
              <w:right w:w="0" w:type="dxa"/>
            </w:tcMar>
            <w:vAlign w:val="bottom"/>
          </w:tcPr>
          <w:p w14:paraId="07DD0F00"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F01" w14:textId="77777777" w:rsidR="00AE727E" w:rsidRDefault="008433E0">
            <w:pPr>
              <w:jc w:val="right"/>
              <w:textAlignment w:val="bottom"/>
            </w:pPr>
            <w:r>
              <w:rPr>
                <w:rFonts w:ascii="Times New Roman" w:eastAsia="宋体" w:hAnsi="Times New Roman"/>
                <w:color w:val="000000"/>
                <w:sz w:val="19"/>
                <w:szCs w:val="19"/>
              </w:rPr>
              <w:t>3,410 </w:t>
            </w:r>
          </w:p>
        </w:tc>
        <w:tc>
          <w:tcPr>
            <w:tcW w:w="0" w:type="auto"/>
            <w:shd w:val="clear" w:color="auto" w:fill="CCEEFF"/>
            <w:tcMar>
              <w:top w:w="40" w:type="dxa"/>
              <w:left w:w="0" w:type="dxa"/>
              <w:bottom w:w="40" w:type="dxa"/>
              <w:right w:w="20" w:type="dxa"/>
            </w:tcMar>
            <w:vAlign w:val="bottom"/>
          </w:tcPr>
          <w:p w14:paraId="07DD0F0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F0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04" w14:textId="77777777" w:rsidR="00AE727E" w:rsidRDefault="008433E0">
            <w:pPr>
              <w:jc w:val="right"/>
              <w:textAlignment w:val="bottom"/>
            </w:pPr>
            <w:r>
              <w:rPr>
                <w:rFonts w:ascii="Times New Roman" w:eastAsia="宋体" w:hAnsi="Times New Roman"/>
                <w:color w:val="000000"/>
                <w:sz w:val="19"/>
                <w:szCs w:val="19"/>
              </w:rPr>
              <w:t>12.0 </w:t>
            </w:r>
          </w:p>
        </w:tc>
        <w:tc>
          <w:tcPr>
            <w:tcW w:w="0" w:type="auto"/>
            <w:shd w:val="clear" w:color="auto" w:fill="CCEEFF"/>
            <w:tcMar>
              <w:top w:w="40" w:type="dxa"/>
              <w:left w:w="0" w:type="dxa"/>
              <w:bottom w:w="40" w:type="dxa"/>
              <w:right w:w="20" w:type="dxa"/>
            </w:tcMar>
            <w:vAlign w:val="bottom"/>
          </w:tcPr>
          <w:p w14:paraId="07DD0F05"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F0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07" w14:textId="77777777" w:rsidR="00AE727E" w:rsidRDefault="008433E0">
            <w:pPr>
              <w:jc w:val="right"/>
              <w:textAlignment w:val="bottom"/>
            </w:pPr>
            <w:r>
              <w:rPr>
                <w:rFonts w:ascii="Times New Roman" w:eastAsia="宋体" w:hAnsi="Times New Roman"/>
                <w:color w:val="000000"/>
                <w:sz w:val="19"/>
                <w:szCs w:val="19"/>
              </w:rPr>
              <w:t>6 </w:t>
            </w:r>
          </w:p>
        </w:tc>
        <w:tc>
          <w:tcPr>
            <w:tcW w:w="0" w:type="auto"/>
            <w:shd w:val="clear" w:color="auto" w:fill="CCEEFF"/>
            <w:tcMar>
              <w:top w:w="40" w:type="dxa"/>
              <w:left w:w="0" w:type="dxa"/>
              <w:bottom w:w="40" w:type="dxa"/>
              <w:right w:w="20" w:type="dxa"/>
            </w:tcMar>
            <w:vAlign w:val="bottom"/>
          </w:tcPr>
          <w:p w14:paraId="07DD0F08"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F09"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F0A"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F0B" w14:textId="77777777" w:rsidR="00AE727E" w:rsidRDefault="008433E0">
            <w:pPr>
              <w:jc w:val="right"/>
              <w:textAlignment w:val="bottom"/>
            </w:pPr>
            <w:r>
              <w:rPr>
                <w:rFonts w:ascii="Times New Roman" w:eastAsia="宋体" w:hAnsi="Times New Roman"/>
                <w:color w:val="000000"/>
                <w:sz w:val="19"/>
                <w:szCs w:val="19"/>
              </w:rPr>
              <w:t>3,231 </w:t>
            </w:r>
          </w:p>
        </w:tc>
        <w:tc>
          <w:tcPr>
            <w:tcW w:w="0" w:type="auto"/>
            <w:shd w:val="clear" w:color="auto" w:fill="CCEEFF"/>
            <w:tcMar>
              <w:top w:w="40" w:type="dxa"/>
              <w:left w:w="0" w:type="dxa"/>
              <w:bottom w:w="40" w:type="dxa"/>
              <w:right w:w="20" w:type="dxa"/>
            </w:tcMar>
            <w:vAlign w:val="bottom"/>
          </w:tcPr>
          <w:p w14:paraId="07DD0F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F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0E" w14:textId="77777777" w:rsidR="00AE727E" w:rsidRDefault="008433E0">
            <w:pPr>
              <w:jc w:val="right"/>
              <w:textAlignment w:val="bottom"/>
            </w:pPr>
            <w:r>
              <w:rPr>
                <w:rFonts w:ascii="Times New Roman" w:eastAsia="宋体" w:hAnsi="Times New Roman"/>
                <w:color w:val="000000"/>
                <w:sz w:val="19"/>
                <w:szCs w:val="19"/>
              </w:rPr>
              <w:t>13.7 </w:t>
            </w:r>
          </w:p>
        </w:tc>
        <w:tc>
          <w:tcPr>
            <w:tcW w:w="0" w:type="auto"/>
            <w:shd w:val="clear" w:color="auto" w:fill="CCEEFF"/>
            <w:tcMar>
              <w:top w:w="40" w:type="dxa"/>
              <w:left w:w="0" w:type="dxa"/>
              <w:bottom w:w="40" w:type="dxa"/>
              <w:right w:w="20" w:type="dxa"/>
            </w:tcMar>
            <w:vAlign w:val="bottom"/>
          </w:tcPr>
          <w:p w14:paraId="07DD0F0F"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F10"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F11"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F12" w14:textId="77777777" w:rsidR="00AE727E" w:rsidRDefault="008433E0">
            <w:pPr>
              <w:jc w:val="right"/>
              <w:textAlignment w:val="bottom"/>
            </w:pPr>
            <w:r>
              <w:rPr>
                <w:rFonts w:ascii="Times New Roman" w:eastAsia="宋体" w:hAnsi="Times New Roman"/>
                <w:color w:val="000000"/>
                <w:sz w:val="19"/>
                <w:szCs w:val="19"/>
              </w:rPr>
              <w:t>9,976 </w:t>
            </w:r>
          </w:p>
        </w:tc>
        <w:tc>
          <w:tcPr>
            <w:tcW w:w="0" w:type="auto"/>
            <w:shd w:val="clear" w:color="auto" w:fill="CCEEFF"/>
            <w:tcMar>
              <w:top w:w="40" w:type="dxa"/>
              <w:left w:w="0" w:type="dxa"/>
              <w:bottom w:w="40" w:type="dxa"/>
              <w:right w:w="20" w:type="dxa"/>
            </w:tcMar>
            <w:vAlign w:val="bottom"/>
          </w:tcPr>
          <w:p w14:paraId="07DD0F1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F1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15" w14:textId="77777777" w:rsidR="00AE727E" w:rsidRDefault="008433E0">
            <w:pPr>
              <w:jc w:val="right"/>
              <w:textAlignment w:val="bottom"/>
            </w:pPr>
            <w:r>
              <w:rPr>
                <w:rFonts w:ascii="Times New Roman" w:eastAsia="宋体" w:hAnsi="Times New Roman"/>
                <w:color w:val="000000"/>
                <w:sz w:val="19"/>
                <w:szCs w:val="19"/>
              </w:rPr>
              <w:t>12.6 </w:t>
            </w:r>
          </w:p>
        </w:tc>
        <w:tc>
          <w:tcPr>
            <w:tcW w:w="0" w:type="auto"/>
            <w:shd w:val="clear" w:color="auto" w:fill="CCEEFF"/>
            <w:tcMar>
              <w:top w:w="40" w:type="dxa"/>
              <w:left w:w="0" w:type="dxa"/>
              <w:bottom w:w="40" w:type="dxa"/>
              <w:right w:w="20" w:type="dxa"/>
            </w:tcMar>
            <w:vAlign w:val="bottom"/>
          </w:tcPr>
          <w:p w14:paraId="07DD0F16"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F1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18" w14:textId="77777777" w:rsidR="00AE727E" w:rsidRDefault="008433E0">
            <w:pPr>
              <w:jc w:val="right"/>
              <w:textAlignment w:val="bottom"/>
            </w:pPr>
            <w:r>
              <w:rPr>
                <w:rFonts w:ascii="Times New Roman" w:eastAsia="宋体" w:hAnsi="Times New Roman"/>
                <w:color w:val="000000"/>
                <w:sz w:val="19"/>
                <w:szCs w:val="19"/>
              </w:rPr>
              <w:t>12 </w:t>
            </w:r>
          </w:p>
        </w:tc>
        <w:tc>
          <w:tcPr>
            <w:tcW w:w="0" w:type="auto"/>
            <w:shd w:val="clear" w:color="auto" w:fill="CCEEFF"/>
            <w:tcMar>
              <w:top w:w="40" w:type="dxa"/>
              <w:left w:w="0" w:type="dxa"/>
              <w:bottom w:w="40" w:type="dxa"/>
              <w:right w:w="20" w:type="dxa"/>
            </w:tcMar>
            <w:vAlign w:val="bottom"/>
          </w:tcPr>
          <w:p w14:paraId="07DD0F19" w14:textId="77777777" w:rsidR="00AE727E" w:rsidRDefault="008433E0">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07DD0F1A"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0F1B" w14:textId="77777777" w:rsidR="00AE727E" w:rsidRDefault="008433E0">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DD0F1C" w14:textId="77777777" w:rsidR="00AE727E" w:rsidRDefault="008433E0">
            <w:pPr>
              <w:jc w:val="right"/>
              <w:textAlignment w:val="bottom"/>
            </w:pPr>
            <w:r>
              <w:rPr>
                <w:rFonts w:ascii="Times New Roman" w:eastAsia="宋体" w:hAnsi="Times New Roman"/>
                <w:color w:val="000000"/>
                <w:sz w:val="19"/>
                <w:szCs w:val="19"/>
              </w:rPr>
              <w:t>8,938 </w:t>
            </w:r>
          </w:p>
        </w:tc>
        <w:tc>
          <w:tcPr>
            <w:tcW w:w="0" w:type="auto"/>
            <w:shd w:val="clear" w:color="auto" w:fill="CCEEFF"/>
            <w:tcMar>
              <w:top w:w="40" w:type="dxa"/>
              <w:left w:w="0" w:type="dxa"/>
              <w:bottom w:w="40" w:type="dxa"/>
              <w:right w:w="20" w:type="dxa"/>
            </w:tcMar>
            <w:vAlign w:val="bottom"/>
          </w:tcPr>
          <w:p w14:paraId="07DD0F1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0F1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0F1F" w14:textId="77777777" w:rsidR="00AE727E" w:rsidRDefault="008433E0">
            <w:pPr>
              <w:jc w:val="right"/>
              <w:textAlignment w:val="bottom"/>
            </w:pPr>
            <w:r>
              <w:rPr>
                <w:rFonts w:ascii="Times New Roman" w:eastAsia="宋体" w:hAnsi="Times New Roman"/>
                <w:color w:val="000000"/>
                <w:sz w:val="19"/>
                <w:szCs w:val="19"/>
              </w:rPr>
              <w:t>13.1 </w:t>
            </w:r>
          </w:p>
        </w:tc>
        <w:tc>
          <w:tcPr>
            <w:tcW w:w="0" w:type="auto"/>
            <w:shd w:val="clear" w:color="auto" w:fill="CCEEFF"/>
            <w:tcMar>
              <w:top w:w="40" w:type="dxa"/>
              <w:left w:w="0" w:type="dxa"/>
              <w:bottom w:w="40" w:type="dxa"/>
              <w:right w:w="20" w:type="dxa"/>
            </w:tcMar>
            <w:vAlign w:val="bottom"/>
          </w:tcPr>
          <w:p w14:paraId="07DD0F20" w14:textId="77777777" w:rsidR="00AE727E" w:rsidRDefault="008433E0">
            <w:pPr>
              <w:jc w:val="right"/>
              <w:textAlignment w:val="bottom"/>
            </w:pPr>
            <w:r>
              <w:rPr>
                <w:rFonts w:ascii="Times New Roman" w:eastAsia="宋体" w:hAnsi="Times New Roman"/>
                <w:color w:val="000000"/>
                <w:sz w:val="19"/>
                <w:szCs w:val="19"/>
              </w:rPr>
              <w:t>%</w:t>
            </w:r>
          </w:p>
        </w:tc>
      </w:tr>
    </w:tbl>
    <w:p w14:paraId="07DD0F22" w14:textId="77777777" w:rsidR="00AE727E" w:rsidRDefault="008433E0">
      <w:r>
        <w:rPr>
          <w:rFonts w:ascii="Times New Roman" w:eastAsia="宋体" w:hAnsi="Times New Roman"/>
          <w:color w:val="000000"/>
          <w:sz w:val="20"/>
          <w:szCs w:val="20"/>
        </w:rPr>
        <w:t>____________________</w:t>
      </w:r>
    </w:p>
    <w:p w14:paraId="07DD0F23" w14:textId="77777777" w:rsidR="00AE727E" w:rsidRDefault="008433E0">
      <w:pPr>
        <w:ind w:hanging="360"/>
      </w:pPr>
      <w:r>
        <w:rPr>
          <w:rFonts w:ascii="Times New Roman" w:eastAsia="宋体" w:hAnsi="Times New Roman"/>
          <w:color w:val="000000"/>
          <w:sz w:val="20"/>
          <w:szCs w:val="20"/>
        </w:rPr>
        <w:t xml:space="preserve">(a)    Product gross margin percentages </w:t>
      </w:r>
      <w:r>
        <w:rPr>
          <w:rFonts w:ascii="Times New Roman" w:eastAsia="宋体" w:hAnsi="Times New Roman"/>
          <w:color w:val="000000"/>
          <w:sz w:val="20"/>
          <w:szCs w:val="20"/>
        </w:rPr>
        <w:t>represent product gross margin as a percentage of product net revenue, and non-GAAP product gross margin percentages represent non-GAAP product gross margin as a percentage of non-GAAP product net revenue.</w:t>
      </w:r>
    </w:p>
    <w:p w14:paraId="07DD0F24" w14:textId="77777777" w:rsidR="00AE727E" w:rsidRDefault="008433E0">
      <w:pPr>
        <w:ind w:hanging="360"/>
      </w:pPr>
      <w:r>
        <w:rPr>
          <w:rFonts w:ascii="Times New Roman" w:eastAsia="宋体" w:hAnsi="Times New Roman"/>
          <w:color w:val="000000"/>
          <w:sz w:val="20"/>
          <w:szCs w:val="20"/>
        </w:rPr>
        <w:t>(b)    Services gross margin percentages represent</w:t>
      </w:r>
      <w:r>
        <w:rPr>
          <w:rFonts w:ascii="Times New Roman" w:eastAsia="宋体" w:hAnsi="Times New Roman"/>
          <w:color w:val="000000"/>
          <w:sz w:val="20"/>
          <w:szCs w:val="20"/>
        </w:rPr>
        <w:t xml:space="preserve"> services gross margin as a percentage of services net revenue, and non-GAAP services gross margin percentages represent non-GAAP services gross margin as a percentage of non-GAAP services net revenue.</w:t>
      </w:r>
    </w:p>
    <w:p w14:paraId="07DD0F25" w14:textId="77777777" w:rsidR="00AE727E" w:rsidRDefault="00AE727E">
      <w:pPr>
        <w:ind w:hanging="360"/>
      </w:pPr>
    </w:p>
    <w:p w14:paraId="07DD0F26" w14:textId="77777777" w:rsidR="00AE727E" w:rsidRDefault="00AE727E">
      <w:pPr>
        <w:jc w:val="center"/>
      </w:pPr>
    </w:p>
    <w:p w14:paraId="07DD0F27" w14:textId="77777777" w:rsidR="00AE727E" w:rsidRDefault="008433E0">
      <w:pPr>
        <w:jc w:val="center"/>
      </w:pPr>
      <w:r>
        <w:rPr>
          <w:rFonts w:ascii="Times New Roman" w:eastAsia="宋体" w:hAnsi="Times New Roman"/>
          <w:color w:val="000000"/>
          <w:sz w:val="20"/>
          <w:szCs w:val="20"/>
        </w:rPr>
        <w:t>72</w:t>
      </w:r>
    </w:p>
    <w:p w14:paraId="07DD0F28" w14:textId="77777777" w:rsidR="00AE727E" w:rsidRDefault="00AE727E">
      <w:pPr>
        <w:jc w:val="center"/>
      </w:pPr>
    </w:p>
    <w:p w14:paraId="07DD0F29" w14:textId="77777777" w:rsidR="00AE727E" w:rsidRDefault="008433E0">
      <w:r>
        <w:pict w14:anchorId="07DD1918">
          <v:rect id="_x0000_i1096" style="width:415.3pt;height:1.5pt" o:hralign="center" o:hrstd="t" o:hr="t" fillcolor="#a0a0a0" stroked="f"/>
        </w:pict>
      </w:r>
    </w:p>
    <w:p w14:paraId="07DD0F2A" w14:textId="77777777" w:rsidR="00AE727E" w:rsidRDefault="008433E0">
      <w:hyperlink r:id="rId197" w:anchor="i1c8279be622a460ea19600488436f115_10" w:history="1">
        <w:r>
          <w:rPr>
            <w:rStyle w:val="a5"/>
            <w:rFonts w:ascii="Times New Roman" w:eastAsia="宋体" w:hAnsi="Times New Roman"/>
            <w:sz w:val="20"/>
            <w:szCs w:val="20"/>
          </w:rPr>
          <w:t>Table of Contents</w:t>
        </w:r>
      </w:hyperlink>
    </w:p>
    <w:p w14:paraId="07DD0F2B" w14:textId="77777777" w:rsidR="00AE727E" w:rsidRDefault="008433E0">
      <w:r>
        <w:rPr>
          <w:rFonts w:ascii="Times New Roman" w:eastAsia="宋体" w:hAnsi="Times New Roman"/>
          <w:color w:val="000000"/>
          <w:sz w:val="20"/>
          <w:szCs w:val="20"/>
        </w:rPr>
        <w:t>Non-GAAP product net revenue, non-GAAP services net revenue, non-GAAP net revenue, non-GAAP product gross margin, non-GAAP service</w:t>
      </w:r>
      <w:r>
        <w:rPr>
          <w:rFonts w:ascii="Times New Roman" w:eastAsia="宋体" w:hAnsi="Times New Roman"/>
          <w:color w:val="000000"/>
          <w:sz w:val="20"/>
          <w:szCs w:val="20"/>
        </w:rPr>
        <w:t>s gross margin, non-GAAP gross margin, non-GAAP operating expenses, non-GAAP operating income, non-GAAP net income, EBITDA, and adjusted EBITDA are not measurements of financial performance prepared in accordance with GAAP. Non-GAAP financial measures as a</w:t>
      </w:r>
      <w:r>
        <w:rPr>
          <w:rFonts w:ascii="Times New Roman" w:eastAsia="宋体" w:hAnsi="Times New Roman"/>
          <w:color w:val="000000"/>
          <w:sz w:val="20"/>
          <w:szCs w:val="20"/>
        </w:rPr>
        <w:t xml:space="preserve"> percentage of net revenue are calculated based on non-GAAP net revenue. See </w:t>
      </w:r>
      <w:r>
        <w:rPr>
          <w:rFonts w:ascii="Times New Roman" w:eastAsia="宋体" w:hAnsi="Times New Roman"/>
          <w:color w:val="000000"/>
          <w:sz w:val="18"/>
          <w:szCs w:val="18"/>
        </w:rPr>
        <w:t>“</w:t>
      </w:r>
      <w:r>
        <w:rPr>
          <w:rFonts w:ascii="Times New Roman" w:eastAsia="宋体" w:hAnsi="Times New Roman"/>
          <w:color w:val="000000"/>
          <w:sz w:val="20"/>
          <w:szCs w:val="20"/>
        </w:rPr>
        <w:t>Non-GAAP Financial Measures</w:t>
      </w:r>
      <w:r>
        <w:rPr>
          <w:rFonts w:ascii="Times New Roman" w:eastAsia="宋体" w:hAnsi="Times New Roman"/>
          <w:color w:val="000000"/>
          <w:sz w:val="18"/>
          <w:szCs w:val="18"/>
        </w:rPr>
        <w:t>”</w:t>
      </w:r>
      <w:r>
        <w:rPr>
          <w:rFonts w:ascii="Times New Roman" w:eastAsia="宋体" w:hAnsi="Times New Roman"/>
          <w:color w:val="000000"/>
          <w:sz w:val="20"/>
          <w:szCs w:val="20"/>
        </w:rPr>
        <w:t xml:space="preserve"> for additional information about these non-GAAP financial measures, including our reasons for including these measures, material limitations with respect to the usefulness of the measures, and a reconciliation of each non-GAAP financial measure to the mos</w:t>
      </w:r>
      <w:r>
        <w:rPr>
          <w:rFonts w:ascii="Times New Roman" w:eastAsia="宋体" w:hAnsi="Times New Roman"/>
          <w:color w:val="000000"/>
          <w:sz w:val="20"/>
          <w:szCs w:val="20"/>
        </w:rPr>
        <w:t>t directly comparable GAAP financial measure.</w:t>
      </w:r>
    </w:p>
    <w:p w14:paraId="07DD0F2C" w14:textId="77777777" w:rsidR="00AE727E" w:rsidRDefault="00AE727E"/>
    <w:p w14:paraId="07DD0F2D" w14:textId="77777777" w:rsidR="00AE727E" w:rsidRDefault="008433E0">
      <w:r>
        <w:rPr>
          <w:rFonts w:ascii="Times New Roman" w:eastAsia="宋体" w:hAnsi="Times New Roman"/>
          <w:b/>
          <w:bCs/>
          <w:color w:val="000000"/>
          <w:sz w:val="20"/>
          <w:szCs w:val="20"/>
        </w:rPr>
        <w:t>Overview</w:t>
      </w:r>
    </w:p>
    <w:p w14:paraId="07DD0F2E" w14:textId="77777777" w:rsidR="00AE727E" w:rsidRDefault="00AE727E"/>
    <w:p w14:paraId="07DD0F2F" w14:textId="77777777" w:rsidR="00AE727E" w:rsidRDefault="008433E0">
      <w:r>
        <w:rPr>
          <w:rFonts w:ascii="Times New Roman" w:eastAsia="宋体" w:hAnsi="Times New Roman"/>
          <w:color w:val="000000"/>
          <w:sz w:val="20"/>
          <w:szCs w:val="20"/>
        </w:rPr>
        <w:t>During the third quarter and first nine months of Fiscal 2022, both net revenue and non-GAAP net revenue increased 21% and 16%, respectively. These increases were due primarily to growth in net reven</w:t>
      </w:r>
      <w:r>
        <w:rPr>
          <w:rFonts w:ascii="Times New Roman" w:eastAsia="宋体" w:hAnsi="Times New Roman"/>
          <w:color w:val="000000"/>
          <w:sz w:val="20"/>
          <w:szCs w:val="20"/>
        </w:rPr>
        <w:t>ue for CSG and, to a lesser extent, increases in net revenue for ISG and VMware. CSG net revenue benefited primarily from increased sales of commercial and consumer offerings, driven by strong demand as a result of the global economic recovery coupled with</w:t>
      </w:r>
      <w:r>
        <w:rPr>
          <w:rFonts w:ascii="Times New Roman" w:eastAsia="宋体" w:hAnsi="Times New Roman"/>
          <w:color w:val="000000"/>
          <w:sz w:val="20"/>
          <w:szCs w:val="20"/>
        </w:rPr>
        <w:t xml:space="preserve"> customers seeking improved connectivity and productivity. ISG net revenue continued to benefit from overall improvements in the macroeconomic environment and a shift towards investment in IT infrastructure. VMware net revenue increased primarily due to co</w:t>
      </w:r>
      <w:r>
        <w:rPr>
          <w:rFonts w:ascii="Times New Roman" w:eastAsia="宋体" w:hAnsi="Times New Roman"/>
          <w:color w:val="000000"/>
          <w:sz w:val="20"/>
          <w:szCs w:val="20"/>
        </w:rPr>
        <w:t xml:space="preserve">ntinued growth in sales of subscriptions and software-as-a-service (“SaaS”) offerings. </w:t>
      </w:r>
    </w:p>
    <w:p w14:paraId="07DD0F30" w14:textId="77777777" w:rsidR="00AE727E" w:rsidRDefault="00AE727E"/>
    <w:p w14:paraId="07DD0F31" w14:textId="77777777" w:rsidR="00AE727E" w:rsidRDefault="008433E0">
      <w:r>
        <w:rPr>
          <w:rFonts w:ascii="Times New Roman" w:eastAsia="宋体" w:hAnsi="Times New Roman"/>
          <w:color w:val="000000"/>
          <w:sz w:val="20"/>
          <w:szCs w:val="20"/>
        </w:rPr>
        <w:t>During the third quarter and first nine months of Fiscal 2022, our operating income increased 19% and 38%, respectively, and our non-GAAP operating income increased 5% and 12%, respectively. The increases were primarily due to increases in operating income</w:t>
      </w:r>
      <w:r>
        <w:rPr>
          <w:rFonts w:ascii="Times New Roman" w:eastAsia="宋体" w:hAnsi="Times New Roman"/>
          <w:color w:val="000000"/>
          <w:sz w:val="20"/>
          <w:szCs w:val="20"/>
        </w:rPr>
        <w:t xml:space="preserve"> for CSG, driven primarily by our commercial offerings and, to a lesser extent, our consumer offerings. Operating income also benefited from decreases in amortization of intangible assets during both Fiscal 2022 periods presented. </w:t>
      </w:r>
    </w:p>
    <w:p w14:paraId="07DD0F32" w14:textId="77777777" w:rsidR="00AE727E" w:rsidRDefault="00AE727E"/>
    <w:p w14:paraId="07DD0F33" w14:textId="77777777" w:rsidR="00AE727E" w:rsidRDefault="008433E0">
      <w:r>
        <w:rPr>
          <w:rFonts w:ascii="Times New Roman" w:eastAsia="宋体" w:hAnsi="Times New Roman"/>
          <w:color w:val="000000"/>
          <w:sz w:val="20"/>
          <w:szCs w:val="20"/>
        </w:rPr>
        <w:t>Our operating income as</w:t>
      </w:r>
      <w:r>
        <w:rPr>
          <w:rFonts w:ascii="Times New Roman" w:eastAsia="宋体" w:hAnsi="Times New Roman"/>
          <w:color w:val="000000"/>
          <w:sz w:val="20"/>
          <w:szCs w:val="20"/>
        </w:rPr>
        <w:t xml:space="preserve"> a percentage of net revenue remained flat at 4.8% and increased 80 basis points to 5.2% for the third quarter and first nine months of Fiscal 2022, respectively. The increase in our operating income as a percentage of net revenue for the first nine months</w:t>
      </w:r>
      <w:r>
        <w:rPr>
          <w:rFonts w:ascii="Times New Roman" w:eastAsia="宋体" w:hAnsi="Times New Roman"/>
          <w:color w:val="000000"/>
          <w:sz w:val="20"/>
          <w:szCs w:val="20"/>
        </w:rPr>
        <w:t xml:space="preserve"> of Fiscal 2022 was driven primarily by a decrease in amortization of intangible assets. Our non-GAAP operating income as a percentage of net revenue decreased 150 basis points to 10.1% and 40 basis points to 10.6% during the third quarter and first nine m</w:t>
      </w:r>
      <w:r>
        <w:rPr>
          <w:rFonts w:ascii="Times New Roman" w:eastAsia="宋体" w:hAnsi="Times New Roman"/>
          <w:color w:val="000000"/>
          <w:sz w:val="20"/>
          <w:szCs w:val="20"/>
        </w:rPr>
        <w:t>onths of Fiscal 2022, respectively. The decreases in our non-GAAP operating income as a percentage of net revenue were driven primarily by declines in gross margin as a percentage of net revenue, principally due to supply chain challenges and the inflation</w:t>
      </w:r>
      <w:r>
        <w:rPr>
          <w:rFonts w:ascii="Times New Roman" w:eastAsia="宋体" w:hAnsi="Times New Roman"/>
          <w:color w:val="000000"/>
          <w:sz w:val="20"/>
          <w:szCs w:val="20"/>
        </w:rPr>
        <w:t>ary cost environment coupled with a shift in mix towards CSG offerings.</w:t>
      </w:r>
    </w:p>
    <w:p w14:paraId="07DD0F34" w14:textId="77777777" w:rsidR="00AE727E" w:rsidRDefault="00AE727E"/>
    <w:p w14:paraId="07DD0F35" w14:textId="77777777" w:rsidR="00AE727E" w:rsidRDefault="008433E0">
      <w:r>
        <w:rPr>
          <w:rFonts w:ascii="Times New Roman" w:eastAsia="宋体" w:hAnsi="Times New Roman"/>
          <w:color w:val="000000"/>
          <w:sz w:val="20"/>
          <w:szCs w:val="20"/>
        </w:rPr>
        <w:t>Cash provided by operating activities was $7.2 billion and $5.5 billion for the first nine months of Fiscal 2022 and Fiscal 2021, respectively. The increase in operating cash flows du</w:t>
      </w:r>
      <w:r>
        <w:rPr>
          <w:rFonts w:ascii="Times New Roman" w:eastAsia="宋体" w:hAnsi="Times New Roman"/>
          <w:color w:val="000000"/>
          <w:sz w:val="20"/>
          <w:szCs w:val="20"/>
        </w:rPr>
        <w:t>ring the first nine months of Fiscal 2022 was driven by strong growth coupled with favorable working capital dynamics, compared to unfavorable working capital impacts during the first nine months of Fiscal 2021. See “Market Conditions, Liquidity, and Capit</w:t>
      </w:r>
      <w:r>
        <w:rPr>
          <w:rFonts w:ascii="Times New Roman" w:eastAsia="宋体" w:hAnsi="Times New Roman"/>
          <w:color w:val="000000"/>
          <w:sz w:val="20"/>
          <w:szCs w:val="20"/>
        </w:rPr>
        <w:t>al Commitments” for further information on our cash flow metrics.</w:t>
      </w:r>
    </w:p>
    <w:p w14:paraId="07DD0F36" w14:textId="77777777" w:rsidR="00AE727E" w:rsidRDefault="00AE727E"/>
    <w:p w14:paraId="07DD0F37" w14:textId="77777777" w:rsidR="00AE727E" w:rsidRDefault="008433E0">
      <w:r>
        <w:rPr>
          <w:rFonts w:ascii="Times New Roman" w:eastAsia="宋体" w:hAnsi="Times New Roman"/>
          <w:color w:val="000000"/>
          <w:sz w:val="20"/>
          <w:szCs w:val="20"/>
        </w:rPr>
        <w:t>We continue to see opportunities to create value and grow in response to resilient demand for our IT solutions driven by a technology-enabled world. We have demonstrated our ability to adju</w:t>
      </w:r>
      <w:r>
        <w:rPr>
          <w:rFonts w:ascii="Times New Roman" w:eastAsia="宋体" w:hAnsi="Times New Roman"/>
          <w:color w:val="000000"/>
          <w:sz w:val="20"/>
          <w:szCs w:val="20"/>
        </w:rPr>
        <w:t xml:space="preserve">st as needed to changing market conditions with complementary solutions across all segments of our business, an agile workforce, and the strength of our global supply chain. As we continue to innovate and modernize our core offerings, we believe that Dell </w:t>
      </w:r>
      <w:r>
        <w:rPr>
          <w:rFonts w:ascii="Times New Roman" w:eastAsia="宋体" w:hAnsi="Times New Roman"/>
          <w:color w:val="000000"/>
          <w:sz w:val="20"/>
          <w:szCs w:val="20"/>
        </w:rPr>
        <w:t>Technologies is well-positioned for long-term profitable growth.</w:t>
      </w:r>
    </w:p>
    <w:p w14:paraId="07DD0F38" w14:textId="77777777" w:rsidR="00AE727E" w:rsidRDefault="00AE727E"/>
    <w:p w14:paraId="07DD0F39" w14:textId="77777777" w:rsidR="00AE727E" w:rsidRDefault="00AE727E">
      <w:pPr>
        <w:jc w:val="center"/>
      </w:pPr>
    </w:p>
    <w:p w14:paraId="07DD0F3A" w14:textId="77777777" w:rsidR="00AE727E" w:rsidRDefault="008433E0">
      <w:pPr>
        <w:jc w:val="center"/>
      </w:pPr>
      <w:r>
        <w:rPr>
          <w:rFonts w:ascii="Times New Roman" w:eastAsia="宋体" w:hAnsi="Times New Roman"/>
          <w:color w:val="000000"/>
          <w:sz w:val="20"/>
          <w:szCs w:val="20"/>
        </w:rPr>
        <w:t>73</w:t>
      </w:r>
    </w:p>
    <w:p w14:paraId="07DD0F3B" w14:textId="77777777" w:rsidR="00AE727E" w:rsidRDefault="00AE727E">
      <w:pPr>
        <w:jc w:val="center"/>
      </w:pPr>
    </w:p>
    <w:p w14:paraId="07DD0F3C" w14:textId="77777777" w:rsidR="00AE727E" w:rsidRDefault="008433E0">
      <w:r>
        <w:pict w14:anchorId="07DD1919">
          <v:rect id="_x0000_i1097" style="width:415.3pt;height:1.5pt" o:hralign="center" o:hrstd="t" o:hr="t" fillcolor="#a0a0a0" stroked="f"/>
        </w:pict>
      </w:r>
    </w:p>
    <w:p w14:paraId="07DD0F3D" w14:textId="77777777" w:rsidR="00AE727E" w:rsidRDefault="008433E0">
      <w:hyperlink r:id="rId198" w:anchor="i1c8279be622a460ea19600488436f115_10" w:history="1">
        <w:r>
          <w:rPr>
            <w:rStyle w:val="a5"/>
            <w:rFonts w:ascii="Times New Roman" w:eastAsia="宋体" w:hAnsi="Times New Roman"/>
            <w:sz w:val="20"/>
            <w:szCs w:val="20"/>
          </w:rPr>
          <w:t>Table of Contents</w:t>
        </w:r>
      </w:hyperlink>
    </w:p>
    <w:p w14:paraId="07DD0F3E" w14:textId="77777777" w:rsidR="00AE727E" w:rsidRDefault="008433E0">
      <w:r>
        <w:rPr>
          <w:rFonts w:ascii="Times New Roman" w:eastAsia="宋体" w:hAnsi="Times New Roman"/>
          <w:b/>
          <w:bCs/>
          <w:color w:val="000000"/>
          <w:sz w:val="20"/>
          <w:szCs w:val="20"/>
        </w:rPr>
        <w:t>Net Revenue</w:t>
      </w:r>
    </w:p>
    <w:p w14:paraId="07DD0F3F" w14:textId="77777777" w:rsidR="00AE727E" w:rsidRDefault="00AE727E"/>
    <w:p w14:paraId="07DD0F40" w14:textId="77777777" w:rsidR="00AE727E" w:rsidRDefault="008433E0">
      <w:r>
        <w:rPr>
          <w:rFonts w:ascii="Times New Roman" w:eastAsia="宋体" w:hAnsi="Times New Roman"/>
          <w:color w:val="000000"/>
          <w:sz w:val="20"/>
          <w:szCs w:val="20"/>
        </w:rPr>
        <w:t>During the third quarter and first nine months of Fiscal 2022, both net revenue and non-GAAP net revenue increased 21% and 16%, respectively, driven primarily by increases in net revenue for CSG and, to a lesser extent, increases in net revenue for ISG a</w:t>
      </w:r>
      <w:r>
        <w:rPr>
          <w:rFonts w:ascii="Times New Roman" w:eastAsia="宋体" w:hAnsi="Times New Roman"/>
          <w:color w:val="000000"/>
          <w:sz w:val="20"/>
          <w:szCs w:val="20"/>
        </w:rPr>
        <w:t>nd VMware. See “Business Unit Results” for further information.</w:t>
      </w:r>
    </w:p>
    <w:p w14:paraId="07DD0F41" w14:textId="77777777" w:rsidR="00AE727E" w:rsidRDefault="00AE727E"/>
    <w:p w14:paraId="07DD0F42"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third quarter and first nine months of Fiscal 2022, both product net revenue and non-GAAP product net revenue increased 24% and 18%, respectively, </w:t>
      </w:r>
      <w:r>
        <w:rPr>
          <w:rFonts w:ascii="Times New Roman" w:eastAsia="宋体" w:hAnsi="Times New Roman"/>
          <w:color w:val="000000"/>
          <w:sz w:val="20"/>
          <w:szCs w:val="20"/>
        </w:rPr>
        <w:t>driven primarily by growth in CSG product net revenue and, to a lesser extent, ISG product net revenue. CSG product net revenue increased during the third quarter and first nine months of Fiscal 2022 primarily due to increases in units sold of both commerc</w:t>
      </w:r>
      <w:r>
        <w:rPr>
          <w:rFonts w:ascii="Times New Roman" w:eastAsia="宋体" w:hAnsi="Times New Roman"/>
          <w:color w:val="000000"/>
          <w:sz w:val="20"/>
          <w:szCs w:val="20"/>
        </w:rPr>
        <w:t>ial and consumer product offerings as a result of continued strength in the demand environment and, to a lesser extent, an increase in average selling price of our commercial offerings. During the third quarter and first nine months of Fiscal 2022, ISG pro</w:t>
      </w:r>
      <w:r>
        <w:rPr>
          <w:rFonts w:ascii="Times New Roman" w:eastAsia="宋体" w:hAnsi="Times New Roman"/>
          <w:color w:val="000000"/>
          <w:sz w:val="20"/>
          <w:szCs w:val="20"/>
        </w:rPr>
        <w:t xml:space="preserve">duct net revenue increased due to increased sales volumes of our server offerings. Additionally, we experienced an increase in average selling price of our server offerings during the third quarter only. </w:t>
      </w:r>
    </w:p>
    <w:p w14:paraId="07DD0F43" w14:textId="77777777" w:rsidR="00AE727E" w:rsidRDefault="00AE727E"/>
    <w:p w14:paraId="07DD0F44"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w:t>
      </w:r>
      <w:r>
        <w:rPr>
          <w:rFonts w:ascii="Times New Roman" w:eastAsia="宋体" w:hAnsi="Times New Roman"/>
          <w:color w:val="000000"/>
          <w:sz w:val="20"/>
          <w:szCs w:val="20"/>
        </w:rPr>
        <w:t xml:space="preserve">des revenue from our services offerings and support services related to hardware products and software licenses. During the third quarter and first nine months of Fiscal 2022, services net revenue increased 12% and 11%, respectively. Non-GAAP services net </w:t>
      </w:r>
      <w:r>
        <w:rPr>
          <w:rFonts w:ascii="Times New Roman" w:eastAsia="宋体" w:hAnsi="Times New Roman"/>
          <w:color w:val="000000"/>
          <w:sz w:val="20"/>
          <w:szCs w:val="20"/>
        </w:rPr>
        <w:t>revenue increased 11% during both Fiscal 2022 periods presented. These increases were driven primarily by growth in CSG services net revenue and, to a lesser extent, growth in both VMware and ISG services net revenue. CSG services net revenue increases wer</w:t>
      </w:r>
      <w:r>
        <w:rPr>
          <w:rFonts w:ascii="Times New Roman" w:eastAsia="宋体" w:hAnsi="Times New Roman"/>
          <w:color w:val="000000"/>
          <w:sz w:val="20"/>
          <w:szCs w:val="20"/>
        </w:rPr>
        <w:t>e primarily attributable to growth within CSG hardware and software support and maintenance, while ISG services net revenue increased primarily as a result of growth within hardware support services. VMware services net revenue increases were primarily dri</w:t>
      </w:r>
      <w:r>
        <w:rPr>
          <w:rFonts w:ascii="Times New Roman" w:eastAsia="宋体" w:hAnsi="Times New Roman"/>
          <w:color w:val="000000"/>
          <w:sz w:val="20"/>
          <w:szCs w:val="20"/>
        </w:rPr>
        <w:t>ven by growth within VMware subscriptions and SaaS offerings. A substantial portion of services net revenue is derived from offerings that have been deferred over a period of time, and, as a result, reported services net revenue growth rates will be differ</w:t>
      </w:r>
      <w:r>
        <w:rPr>
          <w:rFonts w:ascii="Times New Roman" w:eastAsia="宋体" w:hAnsi="Times New Roman"/>
          <w:color w:val="000000"/>
          <w:sz w:val="20"/>
          <w:szCs w:val="20"/>
        </w:rPr>
        <w:t>ent than reported product net revenue growth rates.</w:t>
      </w:r>
    </w:p>
    <w:p w14:paraId="07DD0F45" w14:textId="77777777" w:rsidR="00AE727E" w:rsidRDefault="00AE727E"/>
    <w:p w14:paraId="07DD0F46" w14:textId="77777777" w:rsidR="00AE727E" w:rsidRDefault="008433E0">
      <w:r>
        <w:rPr>
          <w:rFonts w:ascii="Times New Roman" w:eastAsia="宋体" w:hAnsi="Times New Roman"/>
          <w:color w:val="000000"/>
          <w:sz w:val="20"/>
          <w:szCs w:val="20"/>
        </w:rPr>
        <w:t>From a geographical perspective, net revenue generated by sales to customers in all regions increased during the third quarter and first nine months of Fiscal 2022, driven by strong CSG performance.</w:t>
      </w:r>
    </w:p>
    <w:p w14:paraId="07DD0F47" w14:textId="77777777" w:rsidR="00AE727E" w:rsidRDefault="00AE727E"/>
    <w:p w14:paraId="07DD0F48" w14:textId="77777777" w:rsidR="00AE727E" w:rsidRDefault="008433E0">
      <w:r>
        <w:rPr>
          <w:rFonts w:ascii="Times New Roman" w:eastAsia="宋体" w:hAnsi="Times New Roman"/>
          <w:b/>
          <w:bCs/>
          <w:color w:val="000000"/>
          <w:sz w:val="20"/>
          <w:szCs w:val="20"/>
        </w:rPr>
        <w:t>Gro</w:t>
      </w:r>
      <w:r>
        <w:rPr>
          <w:rFonts w:ascii="Times New Roman" w:eastAsia="宋体" w:hAnsi="Times New Roman"/>
          <w:b/>
          <w:bCs/>
          <w:color w:val="000000"/>
          <w:sz w:val="20"/>
          <w:szCs w:val="20"/>
        </w:rPr>
        <w:t>ss Margin</w:t>
      </w:r>
    </w:p>
    <w:p w14:paraId="07DD0F49" w14:textId="77777777" w:rsidR="00AE727E" w:rsidRDefault="00AE727E"/>
    <w:p w14:paraId="07DD0F4A" w14:textId="77777777" w:rsidR="00AE727E" w:rsidRDefault="008433E0">
      <w:r>
        <w:rPr>
          <w:rFonts w:ascii="Times New Roman" w:eastAsia="宋体" w:hAnsi="Times New Roman"/>
          <w:color w:val="000000"/>
          <w:sz w:val="20"/>
          <w:szCs w:val="20"/>
        </w:rPr>
        <w:t>During the third quarter and first nine months of Fiscal 2022, our gross margin increased 11% to $8.1 billion and 11% to $23.7 billion, respectively. Our non-GAAP gross margin increased 8% to $8.4 billion and 9% to $24.8 billion during the third</w:t>
      </w:r>
      <w:r>
        <w:rPr>
          <w:rFonts w:ascii="Times New Roman" w:eastAsia="宋体" w:hAnsi="Times New Roman"/>
          <w:color w:val="000000"/>
          <w:sz w:val="20"/>
          <w:szCs w:val="20"/>
        </w:rPr>
        <w:t xml:space="preserve"> quarter and first nine months of Fiscal 2022, respectively. Both gross margin and non-GAAP gross margin benefited from an increase in gross margin for CSG and, to a lesser extent, increases for both VMware and ISG. Gross margin and non-GAAP gross margin i</w:t>
      </w:r>
      <w:r>
        <w:rPr>
          <w:rFonts w:ascii="Times New Roman" w:eastAsia="宋体" w:hAnsi="Times New Roman"/>
          <w:color w:val="000000"/>
          <w:sz w:val="20"/>
          <w:szCs w:val="20"/>
        </w:rPr>
        <w:t>ncreases during the first nine months of Fiscal 2022 were partially offset by a decrease in gross margin for other businesses as a result of the impact of the divestiture of RSA Security during the third quarter of Fiscal 2021.</w:t>
      </w:r>
    </w:p>
    <w:p w14:paraId="07DD0F4B" w14:textId="77777777" w:rsidR="00AE727E" w:rsidRDefault="00AE727E"/>
    <w:p w14:paraId="07DD0F4C" w14:textId="77777777" w:rsidR="00AE727E" w:rsidRDefault="008433E0">
      <w:r>
        <w:rPr>
          <w:rFonts w:ascii="Times New Roman" w:eastAsia="宋体" w:hAnsi="Times New Roman"/>
          <w:color w:val="000000"/>
          <w:sz w:val="20"/>
          <w:szCs w:val="20"/>
        </w:rPr>
        <w:t xml:space="preserve">During the third </w:t>
      </w:r>
      <w:r>
        <w:rPr>
          <w:rFonts w:ascii="Times New Roman" w:eastAsia="宋体" w:hAnsi="Times New Roman"/>
          <w:color w:val="000000"/>
          <w:sz w:val="20"/>
          <w:szCs w:val="20"/>
        </w:rPr>
        <w:t>quarter and first nine months of Fiscal 2022, our gross margin percentage decreased 250 basis points to 28.4% and 120 basis points to 30.0%, respectively. The d</w:t>
      </w:r>
      <w:r>
        <w:rPr>
          <w:rFonts w:ascii="Times New Roman" w:eastAsia="宋体" w:hAnsi="Times New Roman"/>
          <w:color w:val="000000"/>
          <w:sz w:val="20"/>
          <w:szCs w:val="20"/>
          <w:shd w:val="clear" w:color="auto" w:fill="FFFFFF"/>
        </w:rPr>
        <w:t xml:space="preserve">ecrease </w:t>
      </w:r>
      <w:r>
        <w:rPr>
          <w:rFonts w:ascii="Times New Roman" w:eastAsia="宋体" w:hAnsi="Times New Roman"/>
          <w:color w:val="000000"/>
          <w:sz w:val="20"/>
          <w:szCs w:val="20"/>
        </w:rPr>
        <w:t xml:space="preserve">in gross margin percentage during the third quarter of Fiscal 2022 was primarily due to </w:t>
      </w:r>
      <w:r>
        <w:rPr>
          <w:rFonts w:ascii="Times New Roman" w:eastAsia="宋体" w:hAnsi="Times New Roman"/>
          <w:color w:val="000000"/>
          <w:sz w:val="20"/>
          <w:szCs w:val="20"/>
        </w:rPr>
        <w:t>unfavorable impacts in gross margin percentage across CSG, VMware, and ISG, driven in part by supply chain challenges and the inflationary cost environment, coupled with a shift in mix towards CSG. These decreases were partially offset by a decrease in amo</w:t>
      </w:r>
      <w:r>
        <w:rPr>
          <w:rFonts w:ascii="Times New Roman" w:eastAsia="宋体" w:hAnsi="Times New Roman"/>
          <w:color w:val="000000"/>
          <w:sz w:val="20"/>
          <w:szCs w:val="20"/>
        </w:rPr>
        <w:t>rtization of intangible assets. For the first nine months of Fiscal 2022, the decrease in gross margin percentage was driven by the same unfavorable impacts within VMware and ISG as well as a shift in mix towards CSG, partially offset by an increase in gro</w:t>
      </w:r>
      <w:r>
        <w:rPr>
          <w:rFonts w:ascii="Times New Roman" w:eastAsia="宋体" w:hAnsi="Times New Roman"/>
          <w:color w:val="000000"/>
          <w:sz w:val="20"/>
          <w:szCs w:val="20"/>
        </w:rPr>
        <w:t>ss margin percentage for CSG and a decrease in amortization of intangible assets. Non-GAAP gross margin percentage decreased 340 basis points to 29.6% and 200 basis points to 31.3% during the third quarter and first nine months of Fiscal 2022, respectively</w:t>
      </w:r>
      <w:r>
        <w:rPr>
          <w:rFonts w:ascii="Times New Roman" w:eastAsia="宋体" w:hAnsi="Times New Roman"/>
          <w:color w:val="000000"/>
          <w:sz w:val="20"/>
          <w:szCs w:val="20"/>
        </w:rPr>
        <w:t>, driven by the same ISG, CSG, and VMware dynamics discussed above.</w:t>
      </w:r>
    </w:p>
    <w:p w14:paraId="07DD0F4D" w14:textId="77777777" w:rsidR="00AE727E" w:rsidRDefault="00AE727E"/>
    <w:p w14:paraId="07DD0F4E"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Products</w:t>
      </w:r>
      <w:r>
        <w:rPr>
          <w:rFonts w:ascii="Times New Roman" w:eastAsia="宋体" w:hAnsi="Times New Roman"/>
          <w:color w:val="000000"/>
          <w:sz w:val="20"/>
          <w:szCs w:val="20"/>
        </w:rPr>
        <w:t> — During the third quarter and first nine months of Fiscal 2022, product gross margin increased 12% to $4.0 billion and 16% to $11.8 billion, respectively. The increases in prod</w:t>
      </w:r>
      <w:r>
        <w:rPr>
          <w:rFonts w:ascii="Times New Roman" w:eastAsia="宋体" w:hAnsi="Times New Roman"/>
          <w:color w:val="000000"/>
          <w:sz w:val="20"/>
          <w:szCs w:val="20"/>
        </w:rPr>
        <w:t>uct gross margin were primarily driven by growth in CSG product gross margin coupled with a decrease in amortization of intangible assets. During the same Fiscal 2022 periods, non-GAAP product gross margin increased 8% to $4.3 billion and 12% to $12.7 bill</w:t>
      </w:r>
      <w:r>
        <w:rPr>
          <w:rFonts w:ascii="Times New Roman" w:eastAsia="宋体" w:hAnsi="Times New Roman"/>
          <w:color w:val="000000"/>
          <w:sz w:val="20"/>
          <w:szCs w:val="20"/>
        </w:rPr>
        <w:t>ion, respectively. The increases in non-GAAP product gross margin were primarily driven by an increase in CSG product gross margin.</w:t>
      </w:r>
    </w:p>
    <w:p w14:paraId="07DD0F4F" w14:textId="77777777" w:rsidR="00AE727E" w:rsidRDefault="00AE727E"/>
    <w:p w14:paraId="07DD0F50" w14:textId="77777777" w:rsidR="00AE727E" w:rsidRDefault="00AE727E">
      <w:pPr>
        <w:jc w:val="center"/>
      </w:pPr>
    </w:p>
    <w:p w14:paraId="07DD0F51" w14:textId="77777777" w:rsidR="00AE727E" w:rsidRDefault="008433E0">
      <w:pPr>
        <w:jc w:val="center"/>
      </w:pPr>
      <w:r>
        <w:rPr>
          <w:rFonts w:ascii="Times New Roman" w:eastAsia="宋体" w:hAnsi="Times New Roman"/>
          <w:color w:val="000000"/>
          <w:sz w:val="20"/>
          <w:szCs w:val="20"/>
        </w:rPr>
        <w:t>74</w:t>
      </w:r>
    </w:p>
    <w:p w14:paraId="07DD0F52" w14:textId="77777777" w:rsidR="00AE727E" w:rsidRDefault="00AE727E">
      <w:pPr>
        <w:jc w:val="center"/>
      </w:pPr>
    </w:p>
    <w:p w14:paraId="07DD0F53" w14:textId="77777777" w:rsidR="00AE727E" w:rsidRDefault="008433E0">
      <w:r>
        <w:pict w14:anchorId="07DD191A">
          <v:rect id="_x0000_i1098" style="width:415.3pt;height:1.5pt" o:hralign="center" o:hrstd="t" o:hr="t" fillcolor="#a0a0a0" stroked="f"/>
        </w:pict>
      </w:r>
    </w:p>
    <w:p w14:paraId="07DD0F54" w14:textId="77777777" w:rsidR="00AE727E" w:rsidRDefault="008433E0">
      <w:hyperlink r:id="rId199" w:anchor="i1c8279be622a460ea19600488436f115_10" w:history="1">
        <w:r>
          <w:rPr>
            <w:rStyle w:val="a5"/>
            <w:rFonts w:ascii="Times New Roman" w:eastAsia="宋体" w:hAnsi="Times New Roman"/>
            <w:sz w:val="20"/>
            <w:szCs w:val="20"/>
          </w:rPr>
          <w:t>Table of Contents</w:t>
        </w:r>
      </w:hyperlink>
    </w:p>
    <w:p w14:paraId="07DD0F55" w14:textId="77777777" w:rsidR="00AE727E" w:rsidRDefault="008433E0">
      <w:r>
        <w:rPr>
          <w:rFonts w:ascii="Times New Roman" w:eastAsia="宋体" w:hAnsi="Times New Roman"/>
          <w:color w:val="000000"/>
          <w:sz w:val="20"/>
          <w:szCs w:val="20"/>
        </w:rPr>
        <w:t xml:space="preserve">During the third quarter and first nine months of Fiscal 2022, product gross margin percentage decreased 200 basis points to 18.5% and 30 basis points to 20.1%, respectively. For the third </w:t>
      </w:r>
      <w:r>
        <w:rPr>
          <w:rFonts w:ascii="Times New Roman" w:eastAsia="宋体" w:hAnsi="Times New Roman"/>
          <w:color w:val="000000"/>
          <w:sz w:val="20"/>
          <w:szCs w:val="20"/>
        </w:rPr>
        <w:t>quarter of Fiscal 2022, the decrease in product gross margin percentage was driven primarily by a decrease in CSG product gross margin percentage coupled with a shift in mix towards CSG, the effects of which were partially offset by a decrease in amortizat</w:t>
      </w:r>
      <w:r>
        <w:rPr>
          <w:rFonts w:ascii="Times New Roman" w:eastAsia="宋体" w:hAnsi="Times New Roman"/>
          <w:color w:val="000000"/>
          <w:sz w:val="20"/>
          <w:szCs w:val="20"/>
        </w:rPr>
        <w:t xml:space="preserve">ion of intangible assets. The decrease in product gross margin percentage during the first nine months of Fiscal 2022 was driven primarily by a shift in product mix towards CSG. During the same Fiscal 2022 periods, non-GAAP product gross margin percentage </w:t>
      </w:r>
      <w:r>
        <w:rPr>
          <w:rFonts w:ascii="Times New Roman" w:eastAsia="宋体" w:hAnsi="Times New Roman"/>
          <w:color w:val="000000"/>
          <w:sz w:val="20"/>
          <w:szCs w:val="20"/>
        </w:rPr>
        <w:t>decreased 290 basis points to 19.9% and 120 basis points to 21.5%, respectively. The decreases in non-GAAP product gross margin percentage for the third quarter and first nine months of Fiscal 2022 were driven by the same CSG dynamics discussed above.</w:t>
      </w:r>
    </w:p>
    <w:p w14:paraId="07DD0F56" w14:textId="77777777" w:rsidR="00AE727E" w:rsidRDefault="00AE727E"/>
    <w:p w14:paraId="07DD0F57"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w:t>
      </w:r>
      <w:r>
        <w:rPr>
          <w:rFonts w:ascii="Times New Roman" w:eastAsia="宋体" w:hAnsi="Times New Roman"/>
          <w:i/>
          <w:iCs/>
          <w:color w:val="000000"/>
          <w:sz w:val="20"/>
          <w:szCs w:val="20"/>
          <w:u w:val="single"/>
        </w:rPr>
        <w:t>rvices</w:t>
      </w:r>
      <w:r>
        <w:rPr>
          <w:rFonts w:ascii="Times New Roman" w:eastAsia="宋体" w:hAnsi="Times New Roman"/>
          <w:color w:val="000000"/>
          <w:sz w:val="20"/>
          <w:szCs w:val="20"/>
        </w:rPr>
        <w:t> — During the third quarter and first nine months of Fiscal 2022, services gross margin increased 10% to $4.1 billion and 7% to $11.9 billion, respectively. The increases in services gross margin were primarily driven by VMware and CSG and, to a less</w:t>
      </w:r>
      <w:r>
        <w:rPr>
          <w:rFonts w:ascii="Times New Roman" w:eastAsia="宋体" w:hAnsi="Times New Roman"/>
          <w:color w:val="000000"/>
          <w:sz w:val="20"/>
          <w:szCs w:val="20"/>
        </w:rPr>
        <w:t>er extent, ISG. VMware services gross margin increased as a result of growth within subscription and SaaS offerings while CSG services gross margin increased due to growth in hardware support and maintenance. During the same Fiscal 2022 periods, non-GAAP s</w:t>
      </w:r>
      <w:r>
        <w:rPr>
          <w:rFonts w:ascii="Times New Roman" w:eastAsia="宋体" w:hAnsi="Times New Roman"/>
          <w:color w:val="000000"/>
          <w:sz w:val="20"/>
          <w:szCs w:val="20"/>
        </w:rPr>
        <w:t>ervices gross margin increased 8% to $4.1 billion and 6% to $12.1 billion, respectively. The changes were driven by the same dynamics discussed above.</w:t>
      </w:r>
    </w:p>
    <w:p w14:paraId="07DD0F58" w14:textId="77777777" w:rsidR="00AE727E" w:rsidRDefault="00AE727E"/>
    <w:p w14:paraId="07DD0F59" w14:textId="77777777" w:rsidR="00AE727E" w:rsidRDefault="008433E0">
      <w:r>
        <w:rPr>
          <w:rFonts w:ascii="Times New Roman" w:eastAsia="宋体" w:hAnsi="Times New Roman"/>
          <w:color w:val="000000"/>
          <w:sz w:val="20"/>
          <w:szCs w:val="20"/>
        </w:rPr>
        <w:t>During the third quarter and first nine months of Fiscal 2022, services gross margin percentage decrease</w:t>
      </w:r>
      <w:r>
        <w:rPr>
          <w:rFonts w:ascii="Times New Roman" w:eastAsia="宋体" w:hAnsi="Times New Roman"/>
          <w:color w:val="000000"/>
          <w:sz w:val="20"/>
          <w:szCs w:val="20"/>
        </w:rPr>
        <w:t>d 90 basis points to 59.4% and 220 basis points to 59.3%, respectively. During the same Fiscal 2022 periods, non-GAAP serv</w:t>
      </w:r>
      <w:r>
        <w:rPr>
          <w:rFonts w:ascii="Times New Roman" w:eastAsia="宋体" w:hAnsi="Times New Roman"/>
          <w:color w:val="000000"/>
          <w:sz w:val="20"/>
          <w:szCs w:val="20"/>
          <w:shd w:val="clear" w:color="auto" w:fill="FFFFFF"/>
        </w:rPr>
        <w:t>ices gross margin percentage decreased</w:t>
      </w:r>
      <w:r>
        <w:rPr>
          <w:rFonts w:ascii="Times New Roman" w:eastAsia="宋体" w:hAnsi="Times New Roman"/>
          <w:color w:val="000000"/>
          <w:sz w:val="20"/>
          <w:szCs w:val="20"/>
        </w:rPr>
        <w:t xml:space="preserve"> 170 basis points to 60.1% and 260 basis points to 60.1%, respectively. For the third quarter of</w:t>
      </w:r>
      <w:r>
        <w:rPr>
          <w:rFonts w:ascii="Times New Roman" w:eastAsia="宋体" w:hAnsi="Times New Roman"/>
          <w:color w:val="000000"/>
          <w:sz w:val="20"/>
          <w:szCs w:val="20"/>
        </w:rPr>
        <w:t xml:space="preserve"> Fiscal 2022, the decreases were as a result of declines in services gross margin percentage for VMware and ISG coupled with a shift in mix towards CSG, partially offset by an increase in services gross margin percentage for CSG. The declines for the first</w:t>
      </w:r>
      <w:r>
        <w:rPr>
          <w:rFonts w:ascii="Times New Roman" w:eastAsia="宋体" w:hAnsi="Times New Roman"/>
          <w:color w:val="000000"/>
          <w:sz w:val="20"/>
          <w:szCs w:val="20"/>
        </w:rPr>
        <w:t xml:space="preserve"> nine months of Fiscal 2022 were driven by a shift in mix towards CSG coupled with decreases in services gross margin percentage for CSG, VMware, and ISG. </w:t>
      </w:r>
    </w:p>
    <w:p w14:paraId="07DD0F5A" w14:textId="77777777" w:rsidR="00AE727E" w:rsidRDefault="00AE727E"/>
    <w:p w14:paraId="07DD0F5B" w14:textId="77777777" w:rsidR="00AE727E" w:rsidRDefault="008433E0">
      <w:r>
        <w:rPr>
          <w:rFonts w:ascii="Times New Roman" w:eastAsia="宋体" w:hAnsi="Times New Roman"/>
          <w:i/>
          <w:iCs/>
          <w:color w:val="000000"/>
          <w:sz w:val="20"/>
          <w:szCs w:val="20"/>
          <w:u w:val="single"/>
        </w:rPr>
        <w:t>Vendor Programs and Settlements</w:t>
      </w:r>
    </w:p>
    <w:p w14:paraId="07DD0F5C" w14:textId="77777777" w:rsidR="00AE727E" w:rsidRDefault="00AE727E"/>
    <w:p w14:paraId="07DD0F5D" w14:textId="77777777" w:rsidR="00AE727E" w:rsidRDefault="008433E0">
      <w:r>
        <w:rPr>
          <w:rFonts w:ascii="Times New Roman" w:eastAsia="宋体" w:hAnsi="Times New Roman"/>
          <w:color w:val="000000"/>
          <w:sz w:val="20"/>
          <w:szCs w:val="20"/>
        </w:rPr>
        <w:t>Our gross margin is affected by our ability to achieve competitive</w:t>
      </w:r>
      <w:r>
        <w:rPr>
          <w:rFonts w:ascii="Times New Roman" w:eastAsia="宋体" w:hAnsi="Times New Roman"/>
          <w:color w:val="000000"/>
          <w:sz w:val="20"/>
          <w:szCs w:val="20"/>
        </w:rPr>
        <w:t xml:space="preserve"> pricing with our vendors and contract manufacturers, including through our negotiation of a variety of vendor rebate programs to achieve lower net costs for the various components we include in our products. Under these programs, vendors provide us with r</w:t>
      </w:r>
      <w:r>
        <w:rPr>
          <w:rFonts w:ascii="Times New Roman" w:eastAsia="宋体" w:hAnsi="Times New Roman"/>
          <w:color w:val="000000"/>
          <w:sz w:val="20"/>
          <w:szCs w:val="20"/>
        </w:rPr>
        <w:t>ebates or other discounts from the list prices for the components, which are generally elements of their pricing strategy. We account for vendor rebates and other discounts as a reduction in cost of net revenue. We manage our costs on a total net cost basi</w:t>
      </w:r>
      <w:r>
        <w:rPr>
          <w:rFonts w:ascii="Times New Roman" w:eastAsia="宋体" w:hAnsi="Times New Roman"/>
          <w:color w:val="000000"/>
          <w:sz w:val="20"/>
          <w:szCs w:val="20"/>
        </w:rPr>
        <w:t>s, which includes supplier list prices reduced by vendor rebates and other discounts.</w:t>
      </w:r>
    </w:p>
    <w:p w14:paraId="07DD0F5E" w14:textId="77777777" w:rsidR="00AE727E" w:rsidRDefault="00AE727E"/>
    <w:p w14:paraId="07DD0F5F" w14:textId="77777777" w:rsidR="00AE727E" w:rsidRDefault="008433E0">
      <w:r>
        <w:rPr>
          <w:rFonts w:ascii="Times New Roman" w:eastAsia="宋体" w:hAnsi="Times New Roman"/>
          <w:color w:val="000000"/>
          <w:sz w:val="20"/>
          <w:szCs w:val="20"/>
        </w:rPr>
        <w:t>The terms and conditions of our vendor rebate programs are largely based on product volumes and are generally negotiated either at the beginning of the annual or quarter</w:t>
      </w:r>
      <w:r>
        <w:rPr>
          <w:rFonts w:ascii="Times New Roman" w:eastAsia="宋体" w:hAnsi="Times New Roman"/>
          <w:color w:val="000000"/>
          <w:sz w:val="20"/>
          <w:szCs w:val="20"/>
        </w:rPr>
        <w:t>ly period, depending on the program. The timing and amount of vendor rebates and other discounts we receive under the programs may vary from period to period, reflecting changes in the competitive environment. We monitor our component costs and seek to add</w:t>
      </w:r>
      <w:r>
        <w:rPr>
          <w:rFonts w:ascii="Times New Roman" w:eastAsia="宋体" w:hAnsi="Times New Roman"/>
          <w:color w:val="000000"/>
          <w:sz w:val="20"/>
          <w:szCs w:val="20"/>
        </w:rPr>
        <w:t xml:space="preserve">ress the effects of any changes to terms that might arise under our vendor rebate programs. Our gross margins for the third quarter and first nine months of Fiscal 2022 and Fiscal 2021 were not materially affected by any changes to the terms of our vendor </w:t>
      </w:r>
      <w:r>
        <w:rPr>
          <w:rFonts w:ascii="Times New Roman" w:eastAsia="宋体" w:hAnsi="Times New Roman"/>
          <w:color w:val="000000"/>
          <w:sz w:val="20"/>
          <w:szCs w:val="20"/>
        </w:rPr>
        <w:t>rebate programs, as the amounts we received under these programs were generally stable relative to our total net cost. We are not aware of any significant changes to vendor pricing or rebate programs that may impact our results in the near term.</w:t>
      </w:r>
      <w:r>
        <w:rPr>
          <w:rFonts w:ascii="Times New Roman" w:eastAsia="宋体" w:hAnsi="Times New Roman"/>
          <w:b/>
          <w:bCs/>
          <w:i/>
          <w:iCs/>
          <w:color w:val="000000"/>
          <w:sz w:val="20"/>
          <w:szCs w:val="20"/>
        </w:rPr>
        <w:t xml:space="preserve"> </w:t>
      </w:r>
    </w:p>
    <w:p w14:paraId="07DD0F60" w14:textId="77777777" w:rsidR="00AE727E" w:rsidRDefault="00AE727E"/>
    <w:p w14:paraId="07DD0F61" w14:textId="77777777" w:rsidR="00AE727E" w:rsidRDefault="00AE727E"/>
    <w:p w14:paraId="07DD0F62" w14:textId="77777777" w:rsidR="00AE727E" w:rsidRDefault="00AE727E"/>
    <w:p w14:paraId="07DD0F63" w14:textId="77777777" w:rsidR="00AE727E" w:rsidRDefault="00AE727E">
      <w:pPr>
        <w:jc w:val="center"/>
      </w:pPr>
    </w:p>
    <w:p w14:paraId="07DD0F64" w14:textId="77777777" w:rsidR="00AE727E" w:rsidRDefault="008433E0">
      <w:pPr>
        <w:jc w:val="center"/>
      </w:pPr>
      <w:r>
        <w:rPr>
          <w:rFonts w:ascii="Times New Roman" w:eastAsia="宋体" w:hAnsi="Times New Roman"/>
          <w:color w:val="000000"/>
          <w:sz w:val="20"/>
          <w:szCs w:val="20"/>
        </w:rPr>
        <w:t>75</w:t>
      </w:r>
    </w:p>
    <w:p w14:paraId="07DD0F65" w14:textId="77777777" w:rsidR="00AE727E" w:rsidRDefault="00AE727E">
      <w:pPr>
        <w:jc w:val="center"/>
      </w:pPr>
    </w:p>
    <w:p w14:paraId="07DD0F66" w14:textId="77777777" w:rsidR="00AE727E" w:rsidRDefault="008433E0">
      <w:r>
        <w:pict w14:anchorId="07DD191B">
          <v:rect id="_x0000_i1099" style="width:415.3pt;height:1.5pt" o:hralign="center" o:hrstd="t" o:hr="t" fillcolor="#a0a0a0" stroked="f"/>
        </w:pict>
      </w:r>
    </w:p>
    <w:p w14:paraId="07DD0F67" w14:textId="77777777" w:rsidR="00AE727E" w:rsidRDefault="008433E0">
      <w:hyperlink r:id="rId200" w:anchor="i1c8279be622a460ea19600488436f115_10" w:history="1">
        <w:r>
          <w:rPr>
            <w:rStyle w:val="a5"/>
            <w:rFonts w:ascii="Times New Roman" w:eastAsia="宋体" w:hAnsi="Times New Roman"/>
            <w:sz w:val="20"/>
            <w:szCs w:val="20"/>
          </w:rPr>
          <w:t>Table of Contents</w:t>
        </w:r>
      </w:hyperlink>
    </w:p>
    <w:p w14:paraId="07DD0F68" w14:textId="77777777" w:rsidR="00AE727E" w:rsidRDefault="008433E0">
      <w:r>
        <w:rPr>
          <w:rFonts w:ascii="Times New Roman" w:eastAsia="宋体" w:hAnsi="Times New Roman"/>
          <w:b/>
          <w:bCs/>
          <w:color w:val="000000"/>
          <w:sz w:val="20"/>
          <w:szCs w:val="20"/>
        </w:rPr>
        <w:t>Operating Expenses</w:t>
      </w:r>
    </w:p>
    <w:p w14:paraId="07DD0F69" w14:textId="77777777" w:rsidR="00AE727E" w:rsidRDefault="00AE727E"/>
    <w:p w14:paraId="07DD0F6A" w14:textId="77777777" w:rsidR="00AE727E" w:rsidRDefault="008433E0">
      <w:pPr>
        <w:spacing w:after="60"/>
      </w:pPr>
      <w:r>
        <w:rPr>
          <w:rFonts w:ascii="Times New Roman" w:eastAsia="宋体" w:hAnsi="Times New Roman"/>
          <w:color w:val="000000"/>
          <w:sz w:val="20"/>
          <w:szCs w:val="20"/>
          <w:shd w:val="clear" w:color="auto" w:fill="FFFFFF"/>
        </w:rPr>
        <w:t xml:space="preserve">The following table presents information regarding our </w:t>
      </w:r>
      <w:r>
        <w:rPr>
          <w:rFonts w:ascii="Times New Roman" w:eastAsia="宋体" w:hAnsi="Times New Roman"/>
          <w:color w:val="000000"/>
          <w:sz w:val="20"/>
          <w:szCs w:val="20"/>
          <w:shd w:val="clear" w:color="auto" w:fill="FFFFFF"/>
        </w:rPr>
        <w:t>operating expenses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145"/>
        <w:gridCol w:w="778"/>
        <w:gridCol w:w="36"/>
        <w:gridCol w:w="100"/>
        <w:gridCol w:w="375"/>
        <w:gridCol w:w="35"/>
        <w:gridCol w:w="40"/>
        <w:gridCol w:w="33"/>
        <w:gridCol w:w="35"/>
        <w:gridCol w:w="102"/>
        <w:gridCol w:w="588"/>
        <w:gridCol w:w="146"/>
        <w:gridCol w:w="40"/>
        <w:gridCol w:w="31"/>
        <w:gridCol w:w="34"/>
        <w:gridCol w:w="73"/>
        <w:gridCol w:w="402"/>
        <w:gridCol w:w="145"/>
        <w:gridCol w:w="40"/>
        <w:gridCol w:w="31"/>
        <w:gridCol w:w="34"/>
        <w:gridCol w:w="99"/>
        <w:gridCol w:w="374"/>
        <w:gridCol w:w="34"/>
        <w:gridCol w:w="40"/>
        <w:gridCol w:w="31"/>
        <w:gridCol w:w="34"/>
        <w:gridCol w:w="102"/>
        <w:gridCol w:w="588"/>
        <w:gridCol w:w="146"/>
        <w:gridCol w:w="40"/>
        <w:gridCol w:w="31"/>
        <w:gridCol w:w="34"/>
        <w:gridCol w:w="99"/>
        <w:gridCol w:w="447"/>
        <w:gridCol w:w="34"/>
        <w:gridCol w:w="40"/>
        <w:gridCol w:w="31"/>
        <w:gridCol w:w="34"/>
        <w:gridCol w:w="80"/>
        <w:gridCol w:w="444"/>
        <w:gridCol w:w="145"/>
        <w:gridCol w:w="40"/>
        <w:gridCol w:w="31"/>
        <w:gridCol w:w="34"/>
        <w:gridCol w:w="73"/>
        <w:gridCol w:w="402"/>
        <w:gridCol w:w="145"/>
        <w:gridCol w:w="40"/>
        <w:gridCol w:w="31"/>
        <w:gridCol w:w="34"/>
        <w:gridCol w:w="99"/>
        <w:gridCol w:w="447"/>
        <w:gridCol w:w="34"/>
        <w:gridCol w:w="40"/>
        <w:gridCol w:w="31"/>
        <w:gridCol w:w="34"/>
        <w:gridCol w:w="76"/>
        <w:gridCol w:w="450"/>
        <w:gridCol w:w="145"/>
      </w:tblGrid>
      <w:tr w:rsidR="00AE727E" w14:paraId="07DD0FA7" w14:textId="77777777">
        <w:tc>
          <w:tcPr>
            <w:tcW w:w="50" w:type="pct"/>
            <w:shd w:val="clear" w:color="auto" w:fill="auto"/>
            <w:vAlign w:val="bottom"/>
          </w:tcPr>
          <w:p w14:paraId="07DD0F6B" w14:textId="77777777" w:rsidR="00AE727E" w:rsidRDefault="00AE727E">
            <w:pPr>
              <w:rPr>
                <w:rFonts w:ascii="宋体"/>
              </w:rPr>
            </w:pPr>
          </w:p>
        </w:tc>
        <w:tc>
          <w:tcPr>
            <w:tcW w:w="931" w:type="pct"/>
            <w:shd w:val="clear" w:color="auto" w:fill="auto"/>
            <w:vAlign w:val="bottom"/>
          </w:tcPr>
          <w:p w14:paraId="07DD0F6C" w14:textId="77777777" w:rsidR="00AE727E" w:rsidRDefault="00AE727E">
            <w:pPr>
              <w:rPr>
                <w:rFonts w:ascii="宋体"/>
              </w:rPr>
            </w:pPr>
          </w:p>
        </w:tc>
        <w:tc>
          <w:tcPr>
            <w:tcW w:w="5" w:type="pct"/>
            <w:shd w:val="clear" w:color="auto" w:fill="auto"/>
            <w:vAlign w:val="bottom"/>
          </w:tcPr>
          <w:p w14:paraId="07DD0F6D" w14:textId="77777777" w:rsidR="00AE727E" w:rsidRDefault="00AE727E">
            <w:pPr>
              <w:rPr>
                <w:rFonts w:ascii="宋体"/>
              </w:rPr>
            </w:pPr>
          </w:p>
        </w:tc>
        <w:tc>
          <w:tcPr>
            <w:tcW w:w="50" w:type="pct"/>
            <w:shd w:val="clear" w:color="auto" w:fill="auto"/>
            <w:vAlign w:val="bottom"/>
          </w:tcPr>
          <w:p w14:paraId="07DD0F6E" w14:textId="77777777" w:rsidR="00AE727E" w:rsidRDefault="00AE727E">
            <w:pPr>
              <w:rPr>
                <w:rFonts w:ascii="宋体"/>
              </w:rPr>
            </w:pPr>
          </w:p>
        </w:tc>
        <w:tc>
          <w:tcPr>
            <w:tcW w:w="317" w:type="pct"/>
            <w:shd w:val="clear" w:color="auto" w:fill="auto"/>
            <w:vAlign w:val="bottom"/>
          </w:tcPr>
          <w:p w14:paraId="07DD0F6F" w14:textId="77777777" w:rsidR="00AE727E" w:rsidRDefault="00AE727E">
            <w:pPr>
              <w:rPr>
                <w:rFonts w:ascii="宋体"/>
              </w:rPr>
            </w:pPr>
          </w:p>
        </w:tc>
        <w:tc>
          <w:tcPr>
            <w:tcW w:w="5" w:type="pct"/>
            <w:shd w:val="clear" w:color="auto" w:fill="auto"/>
            <w:vAlign w:val="bottom"/>
          </w:tcPr>
          <w:p w14:paraId="07DD0F70" w14:textId="77777777" w:rsidR="00AE727E" w:rsidRDefault="00AE727E">
            <w:pPr>
              <w:rPr>
                <w:rFonts w:ascii="宋体"/>
              </w:rPr>
            </w:pPr>
          </w:p>
        </w:tc>
        <w:tc>
          <w:tcPr>
            <w:tcW w:w="5" w:type="pct"/>
            <w:shd w:val="clear" w:color="auto" w:fill="auto"/>
            <w:vAlign w:val="bottom"/>
          </w:tcPr>
          <w:p w14:paraId="07DD0F71" w14:textId="77777777" w:rsidR="00AE727E" w:rsidRDefault="00AE727E">
            <w:pPr>
              <w:rPr>
                <w:rFonts w:ascii="宋体"/>
              </w:rPr>
            </w:pPr>
          </w:p>
        </w:tc>
        <w:tc>
          <w:tcPr>
            <w:tcW w:w="19" w:type="pct"/>
            <w:shd w:val="clear" w:color="auto" w:fill="auto"/>
            <w:vAlign w:val="bottom"/>
          </w:tcPr>
          <w:p w14:paraId="07DD0F72" w14:textId="77777777" w:rsidR="00AE727E" w:rsidRDefault="00AE727E">
            <w:pPr>
              <w:rPr>
                <w:rFonts w:ascii="宋体"/>
              </w:rPr>
            </w:pPr>
          </w:p>
        </w:tc>
        <w:tc>
          <w:tcPr>
            <w:tcW w:w="5" w:type="pct"/>
            <w:shd w:val="clear" w:color="auto" w:fill="auto"/>
            <w:vAlign w:val="bottom"/>
          </w:tcPr>
          <w:p w14:paraId="07DD0F73" w14:textId="77777777" w:rsidR="00AE727E" w:rsidRDefault="00AE727E">
            <w:pPr>
              <w:rPr>
                <w:rFonts w:ascii="宋体"/>
              </w:rPr>
            </w:pPr>
          </w:p>
        </w:tc>
        <w:tc>
          <w:tcPr>
            <w:tcW w:w="50" w:type="pct"/>
            <w:shd w:val="clear" w:color="auto" w:fill="auto"/>
            <w:vAlign w:val="bottom"/>
          </w:tcPr>
          <w:p w14:paraId="07DD0F74" w14:textId="77777777" w:rsidR="00AE727E" w:rsidRDefault="00AE727E">
            <w:pPr>
              <w:rPr>
                <w:rFonts w:ascii="宋体"/>
              </w:rPr>
            </w:pPr>
          </w:p>
        </w:tc>
        <w:tc>
          <w:tcPr>
            <w:tcW w:w="317" w:type="pct"/>
            <w:shd w:val="clear" w:color="auto" w:fill="auto"/>
            <w:vAlign w:val="bottom"/>
          </w:tcPr>
          <w:p w14:paraId="07DD0F75" w14:textId="77777777" w:rsidR="00AE727E" w:rsidRDefault="00AE727E">
            <w:pPr>
              <w:rPr>
                <w:rFonts w:ascii="宋体"/>
              </w:rPr>
            </w:pPr>
          </w:p>
        </w:tc>
        <w:tc>
          <w:tcPr>
            <w:tcW w:w="5" w:type="pct"/>
            <w:shd w:val="clear" w:color="auto" w:fill="auto"/>
            <w:vAlign w:val="bottom"/>
          </w:tcPr>
          <w:p w14:paraId="07DD0F76" w14:textId="77777777" w:rsidR="00AE727E" w:rsidRDefault="00AE727E">
            <w:pPr>
              <w:rPr>
                <w:rFonts w:ascii="宋体"/>
              </w:rPr>
            </w:pPr>
          </w:p>
        </w:tc>
        <w:tc>
          <w:tcPr>
            <w:tcW w:w="5" w:type="pct"/>
            <w:shd w:val="clear" w:color="auto" w:fill="auto"/>
            <w:vAlign w:val="bottom"/>
          </w:tcPr>
          <w:p w14:paraId="07DD0F77" w14:textId="77777777" w:rsidR="00AE727E" w:rsidRDefault="00AE727E">
            <w:pPr>
              <w:rPr>
                <w:rFonts w:ascii="宋体"/>
              </w:rPr>
            </w:pPr>
          </w:p>
        </w:tc>
        <w:tc>
          <w:tcPr>
            <w:tcW w:w="19" w:type="pct"/>
            <w:shd w:val="clear" w:color="auto" w:fill="auto"/>
            <w:vAlign w:val="bottom"/>
          </w:tcPr>
          <w:p w14:paraId="07DD0F78" w14:textId="77777777" w:rsidR="00AE727E" w:rsidRDefault="00AE727E">
            <w:pPr>
              <w:rPr>
                <w:rFonts w:ascii="宋体"/>
              </w:rPr>
            </w:pPr>
          </w:p>
        </w:tc>
        <w:tc>
          <w:tcPr>
            <w:tcW w:w="5" w:type="pct"/>
            <w:shd w:val="clear" w:color="auto" w:fill="auto"/>
            <w:vAlign w:val="bottom"/>
          </w:tcPr>
          <w:p w14:paraId="07DD0F79" w14:textId="77777777" w:rsidR="00AE727E" w:rsidRDefault="00AE727E">
            <w:pPr>
              <w:rPr>
                <w:rFonts w:ascii="宋体"/>
              </w:rPr>
            </w:pPr>
          </w:p>
        </w:tc>
        <w:tc>
          <w:tcPr>
            <w:tcW w:w="50" w:type="pct"/>
            <w:shd w:val="clear" w:color="auto" w:fill="auto"/>
            <w:vAlign w:val="bottom"/>
          </w:tcPr>
          <w:p w14:paraId="07DD0F7A" w14:textId="77777777" w:rsidR="00AE727E" w:rsidRDefault="00AE727E">
            <w:pPr>
              <w:rPr>
                <w:rFonts w:ascii="宋体"/>
              </w:rPr>
            </w:pPr>
          </w:p>
        </w:tc>
        <w:tc>
          <w:tcPr>
            <w:tcW w:w="317" w:type="pct"/>
            <w:shd w:val="clear" w:color="auto" w:fill="auto"/>
            <w:vAlign w:val="bottom"/>
          </w:tcPr>
          <w:p w14:paraId="07DD0F7B" w14:textId="77777777" w:rsidR="00AE727E" w:rsidRDefault="00AE727E">
            <w:pPr>
              <w:rPr>
                <w:rFonts w:ascii="宋体"/>
              </w:rPr>
            </w:pPr>
          </w:p>
        </w:tc>
        <w:tc>
          <w:tcPr>
            <w:tcW w:w="5" w:type="pct"/>
            <w:shd w:val="clear" w:color="auto" w:fill="auto"/>
            <w:vAlign w:val="bottom"/>
          </w:tcPr>
          <w:p w14:paraId="07DD0F7C" w14:textId="77777777" w:rsidR="00AE727E" w:rsidRDefault="00AE727E">
            <w:pPr>
              <w:rPr>
                <w:rFonts w:ascii="宋体"/>
              </w:rPr>
            </w:pPr>
          </w:p>
        </w:tc>
        <w:tc>
          <w:tcPr>
            <w:tcW w:w="5" w:type="pct"/>
            <w:shd w:val="clear" w:color="auto" w:fill="auto"/>
            <w:vAlign w:val="bottom"/>
          </w:tcPr>
          <w:p w14:paraId="07DD0F7D" w14:textId="77777777" w:rsidR="00AE727E" w:rsidRDefault="00AE727E">
            <w:pPr>
              <w:rPr>
                <w:rFonts w:ascii="宋体"/>
              </w:rPr>
            </w:pPr>
          </w:p>
        </w:tc>
        <w:tc>
          <w:tcPr>
            <w:tcW w:w="19" w:type="pct"/>
            <w:shd w:val="clear" w:color="auto" w:fill="auto"/>
            <w:vAlign w:val="bottom"/>
          </w:tcPr>
          <w:p w14:paraId="07DD0F7E" w14:textId="77777777" w:rsidR="00AE727E" w:rsidRDefault="00AE727E">
            <w:pPr>
              <w:rPr>
                <w:rFonts w:ascii="宋体"/>
              </w:rPr>
            </w:pPr>
          </w:p>
        </w:tc>
        <w:tc>
          <w:tcPr>
            <w:tcW w:w="5" w:type="pct"/>
            <w:shd w:val="clear" w:color="auto" w:fill="auto"/>
            <w:vAlign w:val="bottom"/>
          </w:tcPr>
          <w:p w14:paraId="07DD0F7F" w14:textId="77777777" w:rsidR="00AE727E" w:rsidRDefault="00AE727E">
            <w:pPr>
              <w:rPr>
                <w:rFonts w:ascii="宋体"/>
              </w:rPr>
            </w:pPr>
          </w:p>
        </w:tc>
        <w:tc>
          <w:tcPr>
            <w:tcW w:w="50" w:type="pct"/>
            <w:shd w:val="clear" w:color="auto" w:fill="auto"/>
            <w:vAlign w:val="bottom"/>
          </w:tcPr>
          <w:p w14:paraId="07DD0F80" w14:textId="77777777" w:rsidR="00AE727E" w:rsidRDefault="00AE727E">
            <w:pPr>
              <w:rPr>
                <w:rFonts w:ascii="宋体"/>
              </w:rPr>
            </w:pPr>
          </w:p>
        </w:tc>
        <w:tc>
          <w:tcPr>
            <w:tcW w:w="317" w:type="pct"/>
            <w:shd w:val="clear" w:color="auto" w:fill="auto"/>
            <w:vAlign w:val="bottom"/>
          </w:tcPr>
          <w:p w14:paraId="07DD0F81" w14:textId="77777777" w:rsidR="00AE727E" w:rsidRDefault="00AE727E">
            <w:pPr>
              <w:rPr>
                <w:rFonts w:ascii="宋体"/>
              </w:rPr>
            </w:pPr>
          </w:p>
        </w:tc>
        <w:tc>
          <w:tcPr>
            <w:tcW w:w="5" w:type="pct"/>
            <w:shd w:val="clear" w:color="auto" w:fill="auto"/>
            <w:vAlign w:val="bottom"/>
          </w:tcPr>
          <w:p w14:paraId="07DD0F82" w14:textId="77777777" w:rsidR="00AE727E" w:rsidRDefault="00AE727E">
            <w:pPr>
              <w:rPr>
                <w:rFonts w:ascii="宋体"/>
              </w:rPr>
            </w:pPr>
          </w:p>
        </w:tc>
        <w:tc>
          <w:tcPr>
            <w:tcW w:w="5" w:type="pct"/>
            <w:shd w:val="clear" w:color="auto" w:fill="auto"/>
            <w:vAlign w:val="bottom"/>
          </w:tcPr>
          <w:p w14:paraId="07DD0F83" w14:textId="77777777" w:rsidR="00AE727E" w:rsidRDefault="00AE727E">
            <w:pPr>
              <w:rPr>
                <w:rFonts w:ascii="宋体"/>
              </w:rPr>
            </w:pPr>
          </w:p>
        </w:tc>
        <w:tc>
          <w:tcPr>
            <w:tcW w:w="19" w:type="pct"/>
            <w:shd w:val="clear" w:color="auto" w:fill="auto"/>
            <w:vAlign w:val="bottom"/>
          </w:tcPr>
          <w:p w14:paraId="07DD0F84" w14:textId="77777777" w:rsidR="00AE727E" w:rsidRDefault="00AE727E">
            <w:pPr>
              <w:rPr>
                <w:rFonts w:ascii="宋体"/>
              </w:rPr>
            </w:pPr>
          </w:p>
        </w:tc>
        <w:tc>
          <w:tcPr>
            <w:tcW w:w="5" w:type="pct"/>
            <w:shd w:val="clear" w:color="auto" w:fill="auto"/>
            <w:vAlign w:val="bottom"/>
          </w:tcPr>
          <w:p w14:paraId="07DD0F85" w14:textId="77777777" w:rsidR="00AE727E" w:rsidRDefault="00AE727E">
            <w:pPr>
              <w:rPr>
                <w:rFonts w:ascii="宋体"/>
              </w:rPr>
            </w:pPr>
          </w:p>
        </w:tc>
        <w:tc>
          <w:tcPr>
            <w:tcW w:w="50" w:type="pct"/>
            <w:shd w:val="clear" w:color="auto" w:fill="auto"/>
            <w:vAlign w:val="bottom"/>
          </w:tcPr>
          <w:p w14:paraId="07DD0F86" w14:textId="77777777" w:rsidR="00AE727E" w:rsidRDefault="00AE727E">
            <w:pPr>
              <w:rPr>
                <w:rFonts w:ascii="宋体"/>
              </w:rPr>
            </w:pPr>
          </w:p>
        </w:tc>
        <w:tc>
          <w:tcPr>
            <w:tcW w:w="317" w:type="pct"/>
            <w:shd w:val="clear" w:color="auto" w:fill="auto"/>
            <w:vAlign w:val="bottom"/>
          </w:tcPr>
          <w:p w14:paraId="07DD0F87" w14:textId="77777777" w:rsidR="00AE727E" w:rsidRDefault="00AE727E">
            <w:pPr>
              <w:rPr>
                <w:rFonts w:ascii="宋体"/>
              </w:rPr>
            </w:pPr>
          </w:p>
        </w:tc>
        <w:tc>
          <w:tcPr>
            <w:tcW w:w="5" w:type="pct"/>
            <w:shd w:val="clear" w:color="auto" w:fill="auto"/>
            <w:vAlign w:val="bottom"/>
          </w:tcPr>
          <w:p w14:paraId="07DD0F88" w14:textId="77777777" w:rsidR="00AE727E" w:rsidRDefault="00AE727E">
            <w:pPr>
              <w:rPr>
                <w:rFonts w:ascii="宋体"/>
              </w:rPr>
            </w:pPr>
          </w:p>
        </w:tc>
        <w:tc>
          <w:tcPr>
            <w:tcW w:w="5" w:type="pct"/>
            <w:shd w:val="clear" w:color="auto" w:fill="auto"/>
            <w:vAlign w:val="bottom"/>
          </w:tcPr>
          <w:p w14:paraId="07DD0F89" w14:textId="77777777" w:rsidR="00AE727E" w:rsidRDefault="00AE727E">
            <w:pPr>
              <w:rPr>
                <w:rFonts w:ascii="宋体"/>
              </w:rPr>
            </w:pPr>
          </w:p>
        </w:tc>
        <w:tc>
          <w:tcPr>
            <w:tcW w:w="19" w:type="pct"/>
            <w:shd w:val="clear" w:color="auto" w:fill="auto"/>
            <w:vAlign w:val="bottom"/>
          </w:tcPr>
          <w:p w14:paraId="07DD0F8A" w14:textId="77777777" w:rsidR="00AE727E" w:rsidRDefault="00AE727E">
            <w:pPr>
              <w:rPr>
                <w:rFonts w:ascii="宋体"/>
              </w:rPr>
            </w:pPr>
          </w:p>
        </w:tc>
        <w:tc>
          <w:tcPr>
            <w:tcW w:w="5" w:type="pct"/>
            <w:shd w:val="clear" w:color="auto" w:fill="auto"/>
            <w:vAlign w:val="bottom"/>
          </w:tcPr>
          <w:p w14:paraId="07DD0F8B" w14:textId="77777777" w:rsidR="00AE727E" w:rsidRDefault="00AE727E">
            <w:pPr>
              <w:rPr>
                <w:rFonts w:ascii="宋体"/>
              </w:rPr>
            </w:pPr>
          </w:p>
        </w:tc>
        <w:tc>
          <w:tcPr>
            <w:tcW w:w="50" w:type="pct"/>
            <w:shd w:val="clear" w:color="auto" w:fill="auto"/>
            <w:vAlign w:val="bottom"/>
          </w:tcPr>
          <w:p w14:paraId="07DD0F8C" w14:textId="77777777" w:rsidR="00AE727E" w:rsidRDefault="00AE727E">
            <w:pPr>
              <w:rPr>
                <w:rFonts w:ascii="宋体"/>
              </w:rPr>
            </w:pPr>
          </w:p>
        </w:tc>
        <w:tc>
          <w:tcPr>
            <w:tcW w:w="317" w:type="pct"/>
            <w:shd w:val="clear" w:color="auto" w:fill="auto"/>
            <w:vAlign w:val="bottom"/>
          </w:tcPr>
          <w:p w14:paraId="07DD0F8D" w14:textId="77777777" w:rsidR="00AE727E" w:rsidRDefault="00AE727E">
            <w:pPr>
              <w:rPr>
                <w:rFonts w:ascii="宋体"/>
              </w:rPr>
            </w:pPr>
          </w:p>
        </w:tc>
        <w:tc>
          <w:tcPr>
            <w:tcW w:w="5" w:type="pct"/>
            <w:shd w:val="clear" w:color="auto" w:fill="auto"/>
            <w:vAlign w:val="bottom"/>
          </w:tcPr>
          <w:p w14:paraId="07DD0F8E" w14:textId="77777777" w:rsidR="00AE727E" w:rsidRDefault="00AE727E">
            <w:pPr>
              <w:rPr>
                <w:rFonts w:ascii="宋体"/>
              </w:rPr>
            </w:pPr>
          </w:p>
        </w:tc>
        <w:tc>
          <w:tcPr>
            <w:tcW w:w="5" w:type="pct"/>
            <w:shd w:val="clear" w:color="auto" w:fill="auto"/>
            <w:vAlign w:val="bottom"/>
          </w:tcPr>
          <w:p w14:paraId="07DD0F8F" w14:textId="77777777" w:rsidR="00AE727E" w:rsidRDefault="00AE727E">
            <w:pPr>
              <w:rPr>
                <w:rFonts w:ascii="宋体"/>
              </w:rPr>
            </w:pPr>
          </w:p>
        </w:tc>
        <w:tc>
          <w:tcPr>
            <w:tcW w:w="19" w:type="pct"/>
            <w:shd w:val="clear" w:color="auto" w:fill="auto"/>
            <w:vAlign w:val="bottom"/>
          </w:tcPr>
          <w:p w14:paraId="07DD0F90" w14:textId="77777777" w:rsidR="00AE727E" w:rsidRDefault="00AE727E">
            <w:pPr>
              <w:rPr>
                <w:rFonts w:ascii="宋体"/>
              </w:rPr>
            </w:pPr>
          </w:p>
        </w:tc>
        <w:tc>
          <w:tcPr>
            <w:tcW w:w="5" w:type="pct"/>
            <w:shd w:val="clear" w:color="auto" w:fill="auto"/>
            <w:vAlign w:val="bottom"/>
          </w:tcPr>
          <w:p w14:paraId="07DD0F91" w14:textId="77777777" w:rsidR="00AE727E" w:rsidRDefault="00AE727E">
            <w:pPr>
              <w:rPr>
                <w:rFonts w:ascii="宋体"/>
              </w:rPr>
            </w:pPr>
          </w:p>
        </w:tc>
        <w:tc>
          <w:tcPr>
            <w:tcW w:w="50" w:type="pct"/>
            <w:shd w:val="clear" w:color="auto" w:fill="auto"/>
            <w:vAlign w:val="bottom"/>
          </w:tcPr>
          <w:p w14:paraId="07DD0F92" w14:textId="77777777" w:rsidR="00AE727E" w:rsidRDefault="00AE727E">
            <w:pPr>
              <w:rPr>
                <w:rFonts w:ascii="宋体"/>
              </w:rPr>
            </w:pPr>
          </w:p>
        </w:tc>
        <w:tc>
          <w:tcPr>
            <w:tcW w:w="317" w:type="pct"/>
            <w:shd w:val="clear" w:color="auto" w:fill="auto"/>
            <w:vAlign w:val="bottom"/>
          </w:tcPr>
          <w:p w14:paraId="07DD0F93" w14:textId="77777777" w:rsidR="00AE727E" w:rsidRDefault="00AE727E">
            <w:pPr>
              <w:rPr>
                <w:rFonts w:ascii="宋体"/>
              </w:rPr>
            </w:pPr>
          </w:p>
        </w:tc>
        <w:tc>
          <w:tcPr>
            <w:tcW w:w="5" w:type="pct"/>
            <w:shd w:val="clear" w:color="auto" w:fill="auto"/>
            <w:vAlign w:val="bottom"/>
          </w:tcPr>
          <w:p w14:paraId="07DD0F94" w14:textId="77777777" w:rsidR="00AE727E" w:rsidRDefault="00AE727E">
            <w:pPr>
              <w:rPr>
                <w:rFonts w:ascii="宋体"/>
              </w:rPr>
            </w:pPr>
          </w:p>
        </w:tc>
        <w:tc>
          <w:tcPr>
            <w:tcW w:w="5" w:type="pct"/>
            <w:shd w:val="clear" w:color="auto" w:fill="auto"/>
            <w:vAlign w:val="bottom"/>
          </w:tcPr>
          <w:p w14:paraId="07DD0F95" w14:textId="77777777" w:rsidR="00AE727E" w:rsidRDefault="00AE727E">
            <w:pPr>
              <w:rPr>
                <w:rFonts w:ascii="宋体"/>
              </w:rPr>
            </w:pPr>
          </w:p>
        </w:tc>
        <w:tc>
          <w:tcPr>
            <w:tcW w:w="19" w:type="pct"/>
            <w:shd w:val="clear" w:color="auto" w:fill="auto"/>
            <w:vAlign w:val="bottom"/>
          </w:tcPr>
          <w:p w14:paraId="07DD0F96" w14:textId="77777777" w:rsidR="00AE727E" w:rsidRDefault="00AE727E">
            <w:pPr>
              <w:rPr>
                <w:rFonts w:ascii="宋体"/>
              </w:rPr>
            </w:pPr>
          </w:p>
        </w:tc>
        <w:tc>
          <w:tcPr>
            <w:tcW w:w="5" w:type="pct"/>
            <w:shd w:val="clear" w:color="auto" w:fill="auto"/>
            <w:vAlign w:val="bottom"/>
          </w:tcPr>
          <w:p w14:paraId="07DD0F97" w14:textId="77777777" w:rsidR="00AE727E" w:rsidRDefault="00AE727E">
            <w:pPr>
              <w:rPr>
                <w:rFonts w:ascii="宋体"/>
              </w:rPr>
            </w:pPr>
          </w:p>
        </w:tc>
        <w:tc>
          <w:tcPr>
            <w:tcW w:w="50" w:type="pct"/>
            <w:shd w:val="clear" w:color="auto" w:fill="auto"/>
            <w:vAlign w:val="bottom"/>
          </w:tcPr>
          <w:p w14:paraId="07DD0F98" w14:textId="77777777" w:rsidR="00AE727E" w:rsidRDefault="00AE727E">
            <w:pPr>
              <w:rPr>
                <w:rFonts w:ascii="宋体"/>
              </w:rPr>
            </w:pPr>
          </w:p>
        </w:tc>
        <w:tc>
          <w:tcPr>
            <w:tcW w:w="317" w:type="pct"/>
            <w:shd w:val="clear" w:color="auto" w:fill="auto"/>
            <w:vAlign w:val="bottom"/>
          </w:tcPr>
          <w:p w14:paraId="07DD0F99" w14:textId="77777777" w:rsidR="00AE727E" w:rsidRDefault="00AE727E">
            <w:pPr>
              <w:rPr>
                <w:rFonts w:ascii="宋体"/>
              </w:rPr>
            </w:pPr>
          </w:p>
        </w:tc>
        <w:tc>
          <w:tcPr>
            <w:tcW w:w="5" w:type="pct"/>
            <w:shd w:val="clear" w:color="auto" w:fill="auto"/>
            <w:vAlign w:val="bottom"/>
          </w:tcPr>
          <w:p w14:paraId="07DD0F9A" w14:textId="77777777" w:rsidR="00AE727E" w:rsidRDefault="00AE727E">
            <w:pPr>
              <w:rPr>
                <w:rFonts w:ascii="宋体"/>
              </w:rPr>
            </w:pPr>
          </w:p>
        </w:tc>
        <w:tc>
          <w:tcPr>
            <w:tcW w:w="5" w:type="pct"/>
            <w:shd w:val="clear" w:color="auto" w:fill="auto"/>
            <w:vAlign w:val="bottom"/>
          </w:tcPr>
          <w:p w14:paraId="07DD0F9B" w14:textId="77777777" w:rsidR="00AE727E" w:rsidRDefault="00AE727E">
            <w:pPr>
              <w:rPr>
                <w:rFonts w:ascii="宋体"/>
              </w:rPr>
            </w:pPr>
          </w:p>
        </w:tc>
        <w:tc>
          <w:tcPr>
            <w:tcW w:w="19" w:type="pct"/>
            <w:shd w:val="clear" w:color="auto" w:fill="auto"/>
            <w:vAlign w:val="bottom"/>
          </w:tcPr>
          <w:p w14:paraId="07DD0F9C" w14:textId="77777777" w:rsidR="00AE727E" w:rsidRDefault="00AE727E">
            <w:pPr>
              <w:rPr>
                <w:rFonts w:ascii="宋体"/>
              </w:rPr>
            </w:pPr>
          </w:p>
        </w:tc>
        <w:tc>
          <w:tcPr>
            <w:tcW w:w="5" w:type="pct"/>
            <w:shd w:val="clear" w:color="auto" w:fill="auto"/>
            <w:vAlign w:val="bottom"/>
          </w:tcPr>
          <w:p w14:paraId="07DD0F9D" w14:textId="77777777" w:rsidR="00AE727E" w:rsidRDefault="00AE727E">
            <w:pPr>
              <w:rPr>
                <w:rFonts w:ascii="宋体"/>
              </w:rPr>
            </w:pPr>
          </w:p>
        </w:tc>
        <w:tc>
          <w:tcPr>
            <w:tcW w:w="50" w:type="pct"/>
            <w:shd w:val="clear" w:color="auto" w:fill="auto"/>
            <w:vAlign w:val="bottom"/>
          </w:tcPr>
          <w:p w14:paraId="07DD0F9E" w14:textId="77777777" w:rsidR="00AE727E" w:rsidRDefault="00AE727E">
            <w:pPr>
              <w:rPr>
                <w:rFonts w:ascii="宋体"/>
              </w:rPr>
            </w:pPr>
          </w:p>
        </w:tc>
        <w:tc>
          <w:tcPr>
            <w:tcW w:w="317" w:type="pct"/>
            <w:shd w:val="clear" w:color="auto" w:fill="auto"/>
            <w:vAlign w:val="bottom"/>
          </w:tcPr>
          <w:p w14:paraId="07DD0F9F" w14:textId="77777777" w:rsidR="00AE727E" w:rsidRDefault="00AE727E">
            <w:pPr>
              <w:rPr>
                <w:rFonts w:ascii="宋体"/>
              </w:rPr>
            </w:pPr>
          </w:p>
        </w:tc>
        <w:tc>
          <w:tcPr>
            <w:tcW w:w="5" w:type="pct"/>
            <w:shd w:val="clear" w:color="auto" w:fill="auto"/>
            <w:vAlign w:val="bottom"/>
          </w:tcPr>
          <w:p w14:paraId="07DD0FA0" w14:textId="77777777" w:rsidR="00AE727E" w:rsidRDefault="00AE727E">
            <w:pPr>
              <w:rPr>
                <w:rFonts w:ascii="宋体"/>
              </w:rPr>
            </w:pPr>
          </w:p>
        </w:tc>
        <w:tc>
          <w:tcPr>
            <w:tcW w:w="5" w:type="pct"/>
            <w:shd w:val="clear" w:color="auto" w:fill="auto"/>
            <w:vAlign w:val="bottom"/>
          </w:tcPr>
          <w:p w14:paraId="07DD0FA1" w14:textId="77777777" w:rsidR="00AE727E" w:rsidRDefault="00AE727E">
            <w:pPr>
              <w:rPr>
                <w:rFonts w:ascii="宋体"/>
              </w:rPr>
            </w:pPr>
          </w:p>
        </w:tc>
        <w:tc>
          <w:tcPr>
            <w:tcW w:w="19" w:type="pct"/>
            <w:shd w:val="clear" w:color="auto" w:fill="auto"/>
            <w:vAlign w:val="bottom"/>
          </w:tcPr>
          <w:p w14:paraId="07DD0FA2" w14:textId="77777777" w:rsidR="00AE727E" w:rsidRDefault="00AE727E">
            <w:pPr>
              <w:rPr>
                <w:rFonts w:ascii="宋体"/>
              </w:rPr>
            </w:pPr>
          </w:p>
        </w:tc>
        <w:tc>
          <w:tcPr>
            <w:tcW w:w="5" w:type="pct"/>
            <w:shd w:val="clear" w:color="auto" w:fill="auto"/>
            <w:vAlign w:val="bottom"/>
          </w:tcPr>
          <w:p w14:paraId="07DD0FA3" w14:textId="77777777" w:rsidR="00AE727E" w:rsidRDefault="00AE727E">
            <w:pPr>
              <w:rPr>
                <w:rFonts w:ascii="宋体"/>
              </w:rPr>
            </w:pPr>
          </w:p>
        </w:tc>
        <w:tc>
          <w:tcPr>
            <w:tcW w:w="50" w:type="pct"/>
            <w:shd w:val="clear" w:color="auto" w:fill="auto"/>
            <w:vAlign w:val="bottom"/>
          </w:tcPr>
          <w:p w14:paraId="07DD0FA4" w14:textId="77777777" w:rsidR="00AE727E" w:rsidRDefault="00AE727E">
            <w:pPr>
              <w:rPr>
                <w:rFonts w:ascii="宋体"/>
              </w:rPr>
            </w:pPr>
          </w:p>
        </w:tc>
        <w:tc>
          <w:tcPr>
            <w:tcW w:w="340" w:type="pct"/>
            <w:shd w:val="clear" w:color="auto" w:fill="auto"/>
            <w:vAlign w:val="bottom"/>
          </w:tcPr>
          <w:p w14:paraId="07DD0FA5" w14:textId="77777777" w:rsidR="00AE727E" w:rsidRDefault="00AE727E">
            <w:pPr>
              <w:rPr>
                <w:rFonts w:ascii="宋体"/>
              </w:rPr>
            </w:pPr>
          </w:p>
        </w:tc>
        <w:tc>
          <w:tcPr>
            <w:tcW w:w="5" w:type="pct"/>
            <w:shd w:val="clear" w:color="auto" w:fill="auto"/>
            <w:vAlign w:val="bottom"/>
          </w:tcPr>
          <w:p w14:paraId="07DD0FA6" w14:textId="77777777" w:rsidR="00AE727E" w:rsidRDefault="00AE727E">
            <w:pPr>
              <w:rPr>
                <w:rFonts w:ascii="宋体"/>
              </w:rPr>
            </w:pPr>
          </w:p>
        </w:tc>
      </w:tr>
      <w:tr w:rsidR="00AE727E" w14:paraId="07DD0FAC" w14:textId="77777777">
        <w:tc>
          <w:tcPr>
            <w:tcW w:w="0" w:type="auto"/>
            <w:gridSpan w:val="3"/>
            <w:shd w:val="clear" w:color="auto" w:fill="auto"/>
            <w:tcMar>
              <w:top w:w="0" w:type="dxa"/>
              <w:left w:w="20" w:type="dxa"/>
              <w:bottom w:w="0" w:type="dxa"/>
              <w:right w:w="20" w:type="dxa"/>
            </w:tcMar>
            <w:vAlign w:val="bottom"/>
          </w:tcPr>
          <w:p w14:paraId="07DD0FA8"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0FA9"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0FAA"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0FAB"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0FB9" w14:textId="77777777">
        <w:tc>
          <w:tcPr>
            <w:tcW w:w="0" w:type="auto"/>
            <w:gridSpan w:val="3"/>
            <w:shd w:val="clear" w:color="auto" w:fill="auto"/>
            <w:tcMar>
              <w:top w:w="0" w:type="dxa"/>
              <w:left w:w="20" w:type="dxa"/>
              <w:bottom w:w="0" w:type="dxa"/>
              <w:right w:w="20" w:type="dxa"/>
            </w:tcMar>
            <w:vAlign w:val="bottom"/>
          </w:tcPr>
          <w:p w14:paraId="07DD0FAD"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FAE"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AF"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0"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1"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FB2"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0FB3"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FB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5"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6"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7"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0FB8" w14:textId="77777777" w:rsidR="00AE727E" w:rsidRDefault="008433E0">
            <w:pPr>
              <w:jc w:val="center"/>
              <w:textAlignment w:val="bottom"/>
            </w:pPr>
            <w:r>
              <w:rPr>
                <w:rFonts w:ascii="Times New Roman" w:eastAsia="宋体" w:hAnsi="Times New Roman"/>
                <w:b/>
                <w:bCs/>
                <w:color w:val="000000"/>
                <w:sz w:val="20"/>
                <w:szCs w:val="20"/>
              </w:rPr>
              <w:t xml:space="preserve">October 30, </w:t>
            </w:r>
            <w:r>
              <w:rPr>
                <w:rFonts w:ascii="Times New Roman" w:eastAsia="宋体" w:hAnsi="Times New Roman"/>
                <w:b/>
                <w:bCs/>
                <w:color w:val="000000"/>
                <w:sz w:val="20"/>
                <w:szCs w:val="20"/>
              </w:rPr>
              <w:t>2020</w:t>
            </w:r>
          </w:p>
        </w:tc>
      </w:tr>
      <w:tr w:rsidR="00AE727E" w14:paraId="07DD0FCE" w14:textId="77777777">
        <w:tc>
          <w:tcPr>
            <w:tcW w:w="0" w:type="auto"/>
            <w:gridSpan w:val="3"/>
            <w:shd w:val="clear" w:color="auto" w:fill="auto"/>
            <w:tcMar>
              <w:top w:w="0" w:type="dxa"/>
              <w:left w:w="20" w:type="dxa"/>
              <w:bottom w:w="0" w:type="dxa"/>
              <w:right w:w="20" w:type="dxa"/>
            </w:tcMar>
            <w:vAlign w:val="bottom"/>
          </w:tcPr>
          <w:p w14:paraId="07DD0FB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0FBB"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B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BD"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FBE"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0FBF"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0FC0"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1"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C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3"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FC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5"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C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7"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0FC8"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0FC9"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0FC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B"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0FCC"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0FCD"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r>
      <w:tr w:rsidR="00AE727E" w14:paraId="07DD0FD1" w14:textId="77777777">
        <w:tc>
          <w:tcPr>
            <w:tcW w:w="0" w:type="auto"/>
            <w:gridSpan w:val="3"/>
            <w:shd w:val="clear" w:color="auto" w:fill="auto"/>
            <w:tcMar>
              <w:top w:w="0" w:type="dxa"/>
              <w:left w:w="20" w:type="dxa"/>
              <w:bottom w:w="0" w:type="dxa"/>
              <w:right w:w="20" w:type="dxa"/>
            </w:tcMar>
            <w:vAlign w:val="bottom"/>
          </w:tcPr>
          <w:p w14:paraId="07DD0FCF" w14:textId="77777777" w:rsidR="00AE727E" w:rsidRDefault="00AE727E">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07DD0FD0" w14:textId="77777777" w:rsidR="00AE727E" w:rsidRDefault="008433E0">
            <w:pPr>
              <w:jc w:val="center"/>
              <w:textAlignment w:val="bottom"/>
            </w:pPr>
            <w:r>
              <w:rPr>
                <w:rFonts w:ascii="Times New Roman" w:eastAsia="宋体" w:hAnsi="Times New Roman"/>
                <w:color w:val="000000"/>
                <w:sz w:val="20"/>
                <w:szCs w:val="20"/>
              </w:rPr>
              <w:t>(in millions, except percentages)</w:t>
            </w:r>
          </w:p>
        </w:tc>
      </w:tr>
      <w:tr w:rsidR="00AE727E" w14:paraId="07DD0FE6" w14:textId="77777777">
        <w:tc>
          <w:tcPr>
            <w:tcW w:w="0" w:type="auto"/>
            <w:gridSpan w:val="3"/>
            <w:shd w:val="clear" w:color="auto" w:fill="CCEEFF"/>
            <w:tcMar>
              <w:top w:w="40" w:type="dxa"/>
              <w:left w:w="20" w:type="dxa"/>
              <w:bottom w:w="40" w:type="dxa"/>
              <w:right w:w="20" w:type="dxa"/>
            </w:tcMar>
            <w:vAlign w:val="bottom"/>
          </w:tcPr>
          <w:p w14:paraId="07DD0FD2" w14:textId="77777777" w:rsidR="00AE727E" w:rsidRDefault="008433E0">
            <w:pPr>
              <w:textAlignment w:val="bottom"/>
            </w:pPr>
            <w:r>
              <w:rPr>
                <w:rFonts w:ascii="Times New Roman" w:eastAsia="宋体" w:hAnsi="Times New Roman"/>
                <w:i/>
                <w:iCs/>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07DD0FD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D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0FE5" w14:textId="77777777" w:rsidR="00AE727E" w:rsidRDefault="00AE727E">
            <w:pPr>
              <w:rPr>
                <w:rFonts w:ascii="宋体"/>
              </w:rPr>
            </w:pPr>
          </w:p>
        </w:tc>
      </w:tr>
      <w:tr w:rsidR="008433E0" w14:paraId="07DD1009" w14:textId="77777777">
        <w:tc>
          <w:tcPr>
            <w:tcW w:w="0" w:type="auto"/>
            <w:gridSpan w:val="3"/>
            <w:shd w:val="clear" w:color="auto" w:fill="FFFFFF"/>
            <w:tcMar>
              <w:top w:w="40" w:type="dxa"/>
              <w:left w:w="35" w:type="dxa"/>
              <w:bottom w:w="40" w:type="dxa"/>
              <w:right w:w="20" w:type="dxa"/>
            </w:tcMar>
            <w:vAlign w:val="bottom"/>
          </w:tcPr>
          <w:p w14:paraId="07DD0FE7" w14:textId="77777777" w:rsidR="00AE727E" w:rsidRDefault="008433E0">
            <w:pPr>
              <w:textAlignment w:val="bottom"/>
            </w:pPr>
            <w:r>
              <w:rPr>
                <w:rFonts w:ascii="Times New Roman" w:eastAsia="宋体" w:hAnsi="Times New Roman"/>
                <w:color w:val="000000"/>
                <w:sz w:val="20"/>
                <w:szCs w:val="20"/>
              </w:rPr>
              <w:t>Selling, general, and administrative</w:t>
            </w:r>
          </w:p>
        </w:tc>
        <w:tc>
          <w:tcPr>
            <w:tcW w:w="0" w:type="auto"/>
            <w:shd w:val="clear" w:color="auto" w:fill="FFFFFF"/>
            <w:tcMar>
              <w:top w:w="40" w:type="dxa"/>
              <w:left w:w="20" w:type="dxa"/>
              <w:bottom w:w="40" w:type="dxa"/>
              <w:right w:w="0" w:type="dxa"/>
            </w:tcMar>
            <w:vAlign w:val="bottom"/>
          </w:tcPr>
          <w:p w14:paraId="07DD0FE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FE9" w14:textId="77777777" w:rsidR="00AE727E" w:rsidRDefault="008433E0">
            <w:pPr>
              <w:jc w:val="right"/>
              <w:textAlignment w:val="bottom"/>
            </w:pPr>
            <w:r>
              <w:rPr>
                <w:rFonts w:ascii="Times New Roman" w:eastAsia="宋体" w:hAnsi="Times New Roman"/>
                <w:color w:val="000000"/>
                <w:sz w:val="20"/>
                <w:szCs w:val="20"/>
              </w:rPr>
              <w:t>5,293 </w:t>
            </w:r>
          </w:p>
        </w:tc>
        <w:tc>
          <w:tcPr>
            <w:tcW w:w="0" w:type="auto"/>
            <w:shd w:val="clear" w:color="auto" w:fill="FFFFFF"/>
            <w:tcMar>
              <w:top w:w="40" w:type="dxa"/>
              <w:left w:w="0" w:type="dxa"/>
              <w:bottom w:w="40" w:type="dxa"/>
              <w:right w:w="20" w:type="dxa"/>
            </w:tcMar>
            <w:vAlign w:val="bottom"/>
          </w:tcPr>
          <w:p w14:paraId="07DD0FE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FE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FEC" w14:textId="77777777" w:rsidR="00AE727E" w:rsidRDefault="008433E0">
            <w:pPr>
              <w:jc w:val="right"/>
              <w:textAlignment w:val="bottom"/>
            </w:pPr>
            <w:r>
              <w:rPr>
                <w:rFonts w:ascii="Times New Roman" w:eastAsia="宋体" w:hAnsi="Times New Roman"/>
                <w:color w:val="000000"/>
                <w:sz w:val="20"/>
                <w:szCs w:val="20"/>
              </w:rPr>
              <w:t>18.6 </w:t>
            </w:r>
          </w:p>
        </w:tc>
        <w:tc>
          <w:tcPr>
            <w:tcW w:w="0" w:type="auto"/>
            <w:shd w:val="clear" w:color="auto" w:fill="FFFFFF"/>
            <w:tcMar>
              <w:top w:w="40" w:type="dxa"/>
              <w:left w:w="0" w:type="dxa"/>
              <w:bottom w:w="40" w:type="dxa"/>
              <w:right w:w="20" w:type="dxa"/>
            </w:tcMar>
            <w:vAlign w:val="bottom"/>
          </w:tcPr>
          <w:p w14:paraId="07DD0FED"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FE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FEF"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D0FF0"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FF1"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FF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FF3" w14:textId="77777777" w:rsidR="00AE727E" w:rsidRDefault="008433E0">
            <w:pPr>
              <w:jc w:val="right"/>
              <w:textAlignment w:val="bottom"/>
            </w:pPr>
            <w:r>
              <w:rPr>
                <w:rFonts w:ascii="Times New Roman" w:eastAsia="宋体" w:hAnsi="Times New Roman"/>
                <w:color w:val="000000"/>
                <w:sz w:val="20"/>
                <w:szCs w:val="20"/>
              </w:rPr>
              <w:t>4,772 </w:t>
            </w:r>
          </w:p>
        </w:tc>
        <w:tc>
          <w:tcPr>
            <w:tcW w:w="0" w:type="auto"/>
            <w:shd w:val="clear" w:color="auto" w:fill="FFFFFF"/>
            <w:tcMar>
              <w:top w:w="40" w:type="dxa"/>
              <w:left w:w="0" w:type="dxa"/>
              <w:bottom w:w="40" w:type="dxa"/>
              <w:right w:w="20" w:type="dxa"/>
            </w:tcMar>
            <w:vAlign w:val="bottom"/>
          </w:tcPr>
          <w:p w14:paraId="07DD0FF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FF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FF6" w14:textId="77777777" w:rsidR="00AE727E" w:rsidRDefault="008433E0">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07DD0FF7"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FF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0FF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0FFA" w14:textId="77777777" w:rsidR="00AE727E" w:rsidRDefault="008433E0">
            <w:pPr>
              <w:jc w:val="right"/>
              <w:textAlignment w:val="bottom"/>
            </w:pPr>
            <w:r>
              <w:rPr>
                <w:rFonts w:ascii="Times New Roman" w:eastAsia="宋体" w:hAnsi="Times New Roman"/>
                <w:color w:val="000000"/>
                <w:sz w:val="20"/>
                <w:szCs w:val="20"/>
              </w:rPr>
              <w:t>15,398 </w:t>
            </w:r>
          </w:p>
        </w:tc>
        <w:tc>
          <w:tcPr>
            <w:tcW w:w="0" w:type="auto"/>
            <w:shd w:val="clear" w:color="auto" w:fill="FFFFFF"/>
            <w:tcMar>
              <w:top w:w="40" w:type="dxa"/>
              <w:left w:w="0" w:type="dxa"/>
              <w:bottom w:w="40" w:type="dxa"/>
              <w:right w:w="20" w:type="dxa"/>
            </w:tcMar>
            <w:vAlign w:val="bottom"/>
          </w:tcPr>
          <w:p w14:paraId="07DD0FF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0FF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0FFD" w14:textId="77777777" w:rsidR="00AE727E" w:rsidRDefault="008433E0">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07DD0FFE"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0FF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00" w14:textId="77777777" w:rsidR="00AE727E" w:rsidRDefault="008433E0">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07DD100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0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00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004" w14:textId="77777777" w:rsidR="00AE727E" w:rsidRDefault="008433E0">
            <w:pPr>
              <w:jc w:val="right"/>
              <w:textAlignment w:val="bottom"/>
            </w:pPr>
            <w:r>
              <w:rPr>
                <w:rFonts w:ascii="Times New Roman" w:eastAsia="宋体" w:hAnsi="Times New Roman"/>
                <w:color w:val="000000"/>
                <w:sz w:val="20"/>
                <w:szCs w:val="20"/>
              </w:rPr>
              <w:t>14,419 </w:t>
            </w:r>
          </w:p>
        </w:tc>
        <w:tc>
          <w:tcPr>
            <w:tcW w:w="0" w:type="auto"/>
            <w:shd w:val="clear" w:color="auto" w:fill="FFFFFF"/>
            <w:tcMar>
              <w:top w:w="40" w:type="dxa"/>
              <w:left w:w="0" w:type="dxa"/>
              <w:bottom w:w="40" w:type="dxa"/>
              <w:right w:w="20" w:type="dxa"/>
            </w:tcMar>
            <w:vAlign w:val="bottom"/>
          </w:tcPr>
          <w:p w14:paraId="07DD100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0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07" w14:textId="77777777" w:rsidR="00AE727E" w:rsidRDefault="008433E0">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07DD1008" w14:textId="77777777" w:rsidR="00AE727E" w:rsidRDefault="008433E0">
            <w:pPr>
              <w:jc w:val="right"/>
              <w:textAlignment w:val="bottom"/>
            </w:pPr>
            <w:r>
              <w:rPr>
                <w:rFonts w:ascii="Times New Roman" w:eastAsia="宋体" w:hAnsi="Times New Roman"/>
                <w:color w:val="000000"/>
                <w:sz w:val="20"/>
                <w:szCs w:val="20"/>
              </w:rPr>
              <w:t>%</w:t>
            </w:r>
          </w:p>
        </w:tc>
      </w:tr>
      <w:tr w:rsidR="008433E0" w14:paraId="07DD1028" w14:textId="77777777">
        <w:tc>
          <w:tcPr>
            <w:tcW w:w="0" w:type="auto"/>
            <w:gridSpan w:val="3"/>
            <w:shd w:val="clear" w:color="auto" w:fill="CCEEFF"/>
            <w:tcMar>
              <w:top w:w="40" w:type="dxa"/>
              <w:left w:w="35" w:type="dxa"/>
              <w:bottom w:w="40" w:type="dxa"/>
              <w:right w:w="20" w:type="dxa"/>
            </w:tcMar>
            <w:vAlign w:val="bottom"/>
          </w:tcPr>
          <w:p w14:paraId="07DD100A" w14:textId="77777777" w:rsidR="00AE727E" w:rsidRDefault="008433E0">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07DD100B" w14:textId="77777777" w:rsidR="00AE727E" w:rsidRDefault="008433E0">
            <w:pPr>
              <w:jc w:val="right"/>
              <w:textAlignment w:val="bottom"/>
            </w:pPr>
            <w:r>
              <w:rPr>
                <w:rFonts w:ascii="Times New Roman" w:eastAsia="宋体" w:hAnsi="Times New Roman"/>
                <w:color w:val="000000"/>
                <w:sz w:val="20"/>
                <w:szCs w:val="20"/>
              </w:rPr>
              <w:t>1,417 </w:t>
            </w:r>
          </w:p>
        </w:tc>
        <w:tc>
          <w:tcPr>
            <w:tcW w:w="0" w:type="auto"/>
            <w:shd w:val="clear" w:color="auto" w:fill="CCEEFF"/>
            <w:tcMar>
              <w:top w:w="40" w:type="dxa"/>
              <w:left w:w="0" w:type="dxa"/>
              <w:bottom w:w="40" w:type="dxa"/>
              <w:right w:w="20" w:type="dxa"/>
            </w:tcMar>
            <w:vAlign w:val="bottom"/>
          </w:tcPr>
          <w:p w14:paraId="07DD100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0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0E" w14:textId="77777777" w:rsidR="00AE727E" w:rsidRDefault="008433E0">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07DD100F"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1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11" w14:textId="77777777" w:rsidR="00AE727E" w:rsidRDefault="008433E0">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DD1012"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1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14" w14:textId="77777777" w:rsidR="00AE727E" w:rsidRDefault="008433E0">
            <w:pPr>
              <w:jc w:val="right"/>
              <w:textAlignment w:val="bottom"/>
            </w:pPr>
            <w:r>
              <w:rPr>
                <w:rFonts w:ascii="Times New Roman" w:eastAsia="宋体" w:hAnsi="Times New Roman"/>
                <w:color w:val="000000"/>
                <w:sz w:val="20"/>
                <w:szCs w:val="20"/>
              </w:rPr>
              <w:t>1,360 </w:t>
            </w:r>
          </w:p>
        </w:tc>
        <w:tc>
          <w:tcPr>
            <w:tcW w:w="0" w:type="auto"/>
            <w:shd w:val="clear" w:color="auto" w:fill="CCEEFF"/>
            <w:tcMar>
              <w:top w:w="40" w:type="dxa"/>
              <w:left w:w="0" w:type="dxa"/>
              <w:bottom w:w="40" w:type="dxa"/>
              <w:right w:w="20" w:type="dxa"/>
            </w:tcMar>
            <w:vAlign w:val="bottom"/>
          </w:tcPr>
          <w:p w14:paraId="07DD101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1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17" w14:textId="77777777" w:rsidR="00AE727E" w:rsidRDefault="008433E0">
            <w:pPr>
              <w:jc w:val="right"/>
              <w:textAlignment w:val="bottom"/>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vAlign w:val="bottom"/>
          </w:tcPr>
          <w:p w14:paraId="07DD1018"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1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1A" w14:textId="77777777" w:rsidR="00AE727E" w:rsidRDefault="008433E0">
            <w:pPr>
              <w:jc w:val="right"/>
              <w:textAlignment w:val="bottom"/>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bottom"/>
          </w:tcPr>
          <w:p w14:paraId="07DD101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1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1D" w14:textId="77777777" w:rsidR="00AE727E" w:rsidRDefault="008433E0">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07DD101E"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20" w14:textId="77777777" w:rsidR="00AE727E" w:rsidRDefault="008433E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DD102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2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23" w14:textId="77777777" w:rsidR="00AE727E" w:rsidRDefault="008433E0">
            <w:pPr>
              <w:jc w:val="right"/>
              <w:textAlignment w:val="bottom"/>
            </w:pPr>
            <w:r>
              <w:rPr>
                <w:rFonts w:ascii="Times New Roman" w:eastAsia="宋体" w:hAnsi="Times New Roman"/>
                <w:color w:val="000000"/>
                <w:sz w:val="20"/>
                <w:szCs w:val="20"/>
              </w:rPr>
              <w:t>3,884 </w:t>
            </w:r>
          </w:p>
        </w:tc>
        <w:tc>
          <w:tcPr>
            <w:tcW w:w="0" w:type="auto"/>
            <w:shd w:val="clear" w:color="auto" w:fill="CCEEFF"/>
            <w:tcMar>
              <w:top w:w="40" w:type="dxa"/>
              <w:left w:w="0" w:type="dxa"/>
              <w:bottom w:w="40" w:type="dxa"/>
              <w:right w:w="20" w:type="dxa"/>
            </w:tcMar>
            <w:vAlign w:val="bottom"/>
          </w:tcPr>
          <w:p w14:paraId="07DD102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2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26" w14:textId="77777777" w:rsidR="00AE727E" w:rsidRDefault="008433E0">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07DD1027" w14:textId="77777777" w:rsidR="00AE727E" w:rsidRDefault="008433E0">
            <w:pPr>
              <w:jc w:val="right"/>
              <w:textAlignment w:val="bottom"/>
            </w:pPr>
            <w:r>
              <w:rPr>
                <w:rFonts w:ascii="Times New Roman" w:eastAsia="宋体" w:hAnsi="Times New Roman"/>
                <w:color w:val="000000"/>
                <w:sz w:val="20"/>
                <w:szCs w:val="20"/>
              </w:rPr>
              <w:t>%</w:t>
            </w:r>
          </w:p>
        </w:tc>
      </w:tr>
      <w:tr w:rsidR="008433E0" w14:paraId="07DD104B" w14:textId="77777777">
        <w:tc>
          <w:tcPr>
            <w:tcW w:w="0" w:type="auto"/>
            <w:gridSpan w:val="3"/>
            <w:shd w:val="clear" w:color="auto" w:fill="FFFFFF"/>
            <w:tcMar>
              <w:top w:w="40" w:type="dxa"/>
              <w:left w:w="125" w:type="dxa"/>
              <w:bottom w:w="40" w:type="dxa"/>
              <w:right w:w="20" w:type="dxa"/>
            </w:tcMar>
            <w:vAlign w:val="bottom"/>
          </w:tcPr>
          <w:p w14:paraId="07DD1029" w14:textId="77777777" w:rsidR="00AE727E" w:rsidRDefault="008433E0">
            <w:pPr>
              <w:textAlignment w:val="bottom"/>
            </w:pPr>
            <w:r>
              <w:rPr>
                <w:rFonts w:ascii="Times New Roman" w:eastAsia="宋体" w:hAnsi="Times New Roman"/>
                <w:color w:val="000000"/>
                <w:sz w:val="20"/>
                <w:szCs w:val="20"/>
              </w:rPr>
              <w:t>Total operating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D102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102B" w14:textId="77777777" w:rsidR="00AE727E" w:rsidRDefault="008433E0">
            <w:pPr>
              <w:jc w:val="right"/>
              <w:textAlignment w:val="bottom"/>
            </w:pPr>
            <w:r>
              <w:rPr>
                <w:rFonts w:ascii="Times New Roman" w:eastAsia="宋体" w:hAnsi="Times New Roman"/>
                <w:color w:val="000000"/>
                <w:sz w:val="20"/>
                <w:szCs w:val="20"/>
              </w:rPr>
              <w:t>6,710 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02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2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2E" w14:textId="77777777" w:rsidR="00AE727E" w:rsidRDefault="008433E0">
            <w:pPr>
              <w:jc w:val="right"/>
              <w:textAlignment w:val="bottom"/>
            </w:pPr>
            <w:r>
              <w:rPr>
                <w:rFonts w:ascii="Times New Roman" w:eastAsia="宋体" w:hAnsi="Times New Roman"/>
                <w:color w:val="000000"/>
                <w:sz w:val="20"/>
                <w:szCs w:val="20"/>
              </w:rPr>
              <w:t>23.6 </w:t>
            </w:r>
          </w:p>
        </w:tc>
        <w:tc>
          <w:tcPr>
            <w:tcW w:w="0" w:type="auto"/>
            <w:shd w:val="clear" w:color="auto" w:fill="FFFFFF"/>
            <w:tcMar>
              <w:top w:w="40" w:type="dxa"/>
              <w:left w:w="0" w:type="dxa"/>
              <w:bottom w:w="40" w:type="dxa"/>
              <w:right w:w="20" w:type="dxa"/>
            </w:tcMar>
            <w:vAlign w:val="bottom"/>
          </w:tcPr>
          <w:p w14:paraId="07DD102F"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3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31" w14:textId="77777777" w:rsidR="00AE727E" w:rsidRDefault="008433E0">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7DD1032"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33"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103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1035" w14:textId="77777777" w:rsidR="00AE727E" w:rsidRDefault="008433E0">
            <w:pPr>
              <w:jc w:val="right"/>
              <w:textAlignment w:val="bottom"/>
            </w:pPr>
            <w:r>
              <w:rPr>
                <w:rFonts w:ascii="Times New Roman" w:eastAsia="宋体" w:hAnsi="Times New Roman"/>
                <w:color w:val="000000"/>
                <w:sz w:val="20"/>
                <w:szCs w:val="20"/>
              </w:rPr>
              <w:t>6,132 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03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3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38" w14:textId="77777777" w:rsidR="00AE727E" w:rsidRDefault="008433E0">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07DD1039"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3A"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103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103C" w14:textId="77777777" w:rsidR="00AE727E" w:rsidRDefault="008433E0">
            <w:pPr>
              <w:jc w:val="right"/>
              <w:textAlignment w:val="bottom"/>
            </w:pPr>
            <w:r>
              <w:rPr>
                <w:rFonts w:ascii="Times New Roman" w:eastAsia="宋体" w:hAnsi="Times New Roman"/>
                <w:color w:val="000000"/>
                <w:sz w:val="20"/>
                <w:szCs w:val="20"/>
              </w:rPr>
              <w:t>19,606 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03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3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3F" w14:textId="77777777" w:rsidR="00AE727E" w:rsidRDefault="008433E0">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left w:w="0" w:type="dxa"/>
              <w:bottom w:w="40" w:type="dxa"/>
              <w:right w:w="20" w:type="dxa"/>
            </w:tcMar>
            <w:vAlign w:val="bottom"/>
          </w:tcPr>
          <w:p w14:paraId="07DD1040"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4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42" w14:textId="77777777" w:rsidR="00AE727E" w:rsidRDefault="008433E0">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07DD1043"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044"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D1045"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D1046" w14:textId="77777777" w:rsidR="00AE727E" w:rsidRDefault="008433E0">
            <w:pPr>
              <w:jc w:val="right"/>
              <w:textAlignment w:val="bottom"/>
            </w:pPr>
            <w:r>
              <w:rPr>
                <w:rFonts w:ascii="Times New Roman" w:eastAsia="宋体" w:hAnsi="Times New Roman"/>
                <w:color w:val="000000"/>
                <w:sz w:val="20"/>
                <w:szCs w:val="20"/>
              </w:rPr>
              <w:t>18,303 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04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4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049" w14:textId="77777777" w:rsidR="00AE727E" w:rsidRDefault="008433E0">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left w:w="0" w:type="dxa"/>
              <w:bottom w:w="40" w:type="dxa"/>
              <w:right w:w="20" w:type="dxa"/>
            </w:tcMar>
            <w:vAlign w:val="bottom"/>
          </w:tcPr>
          <w:p w14:paraId="07DD104A" w14:textId="77777777" w:rsidR="00AE727E" w:rsidRDefault="008433E0">
            <w:pPr>
              <w:jc w:val="right"/>
              <w:textAlignment w:val="bottom"/>
            </w:pPr>
            <w:r>
              <w:rPr>
                <w:rFonts w:ascii="Times New Roman" w:eastAsia="宋体" w:hAnsi="Times New Roman"/>
                <w:color w:val="000000"/>
                <w:sz w:val="20"/>
                <w:szCs w:val="20"/>
              </w:rPr>
              <w:t>%</w:t>
            </w:r>
          </w:p>
        </w:tc>
      </w:tr>
      <w:tr w:rsidR="00AE727E" w14:paraId="07DD1060" w14:textId="77777777">
        <w:trPr>
          <w:trHeight w:val="340"/>
        </w:trPr>
        <w:tc>
          <w:tcPr>
            <w:tcW w:w="0" w:type="auto"/>
            <w:gridSpan w:val="3"/>
            <w:shd w:val="clear" w:color="auto" w:fill="auto"/>
            <w:tcMar>
              <w:top w:w="0" w:type="dxa"/>
              <w:left w:w="20" w:type="dxa"/>
              <w:bottom w:w="0" w:type="dxa"/>
              <w:right w:w="20" w:type="dxa"/>
            </w:tcMar>
            <w:vAlign w:val="bottom"/>
          </w:tcPr>
          <w:p w14:paraId="07DD104C"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D104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4E"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4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0"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1"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2"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D105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4"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5"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6"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D105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8"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9"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A"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B"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C" w14:textId="77777777" w:rsidR="00AE727E" w:rsidRDefault="00AE727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D105D"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E"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05F" w14:textId="77777777" w:rsidR="00AE727E" w:rsidRDefault="00AE727E">
            <w:pPr>
              <w:rPr>
                <w:rFonts w:ascii="宋体"/>
              </w:rPr>
            </w:pPr>
          </w:p>
        </w:tc>
      </w:tr>
      <w:tr w:rsidR="00AE727E" w14:paraId="07DD1065" w14:textId="77777777">
        <w:tc>
          <w:tcPr>
            <w:tcW w:w="0" w:type="auto"/>
            <w:gridSpan w:val="3"/>
            <w:shd w:val="clear" w:color="auto" w:fill="auto"/>
            <w:tcMar>
              <w:top w:w="0" w:type="dxa"/>
              <w:left w:w="20" w:type="dxa"/>
              <w:bottom w:w="0" w:type="dxa"/>
              <w:right w:w="20" w:type="dxa"/>
            </w:tcMar>
            <w:vAlign w:val="bottom"/>
          </w:tcPr>
          <w:p w14:paraId="07DD1061"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1062"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063" w14:textId="77777777" w:rsidR="00AE727E" w:rsidRDefault="00AE727E">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DD1064"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072" w14:textId="77777777">
        <w:tc>
          <w:tcPr>
            <w:tcW w:w="0" w:type="auto"/>
            <w:gridSpan w:val="3"/>
            <w:shd w:val="clear" w:color="auto" w:fill="auto"/>
            <w:tcMar>
              <w:top w:w="0" w:type="dxa"/>
              <w:left w:w="20" w:type="dxa"/>
              <w:bottom w:w="0" w:type="dxa"/>
              <w:right w:w="20" w:type="dxa"/>
            </w:tcMar>
            <w:vAlign w:val="bottom"/>
          </w:tcPr>
          <w:p w14:paraId="07DD1066"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06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68"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69"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6A"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06B"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06C"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06D"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6E"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6F" w14:textId="77777777" w:rsidR="00AE727E" w:rsidRDefault="00AE727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70"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071"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087" w14:textId="77777777">
        <w:tc>
          <w:tcPr>
            <w:tcW w:w="0" w:type="auto"/>
            <w:gridSpan w:val="3"/>
            <w:shd w:val="clear" w:color="auto" w:fill="auto"/>
            <w:tcMar>
              <w:top w:w="0" w:type="dxa"/>
              <w:left w:w="20" w:type="dxa"/>
              <w:bottom w:w="0" w:type="dxa"/>
              <w:right w:w="20" w:type="dxa"/>
            </w:tcMar>
            <w:vAlign w:val="bottom"/>
          </w:tcPr>
          <w:p w14:paraId="07DD1073"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074"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7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76" w14:textId="77777777" w:rsidR="00AE727E" w:rsidRDefault="008433E0">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1077"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078"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107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7A"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7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7C" w14:textId="77777777" w:rsidR="00AE727E" w:rsidRDefault="008433E0">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107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7E"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7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80"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DD1081"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082" w14:textId="77777777" w:rsidR="00AE727E" w:rsidRDefault="008433E0">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DD108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84" w14:textId="77777777" w:rsidR="00AE727E" w:rsidRDefault="008433E0">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8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86" w14:textId="77777777" w:rsidR="00AE727E" w:rsidRDefault="008433E0">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 xml:space="preserve">Net </w:t>
            </w:r>
            <w:r>
              <w:rPr>
                <w:rFonts w:ascii="Times New Roman" w:eastAsia="宋体" w:hAnsi="Times New Roman"/>
                <w:b/>
                <w:bCs/>
                <w:color w:val="000000"/>
                <w:sz w:val="18"/>
                <w:szCs w:val="18"/>
              </w:rPr>
              <w:t>Revenue</w:t>
            </w:r>
          </w:p>
        </w:tc>
      </w:tr>
      <w:tr w:rsidR="00AE727E" w14:paraId="07DD108A" w14:textId="77777777">
        <w:tc>
          <w:tcPr>
            <w:tcW w:w="0" w:type="auto"/>
            <w:gridSpan w:val="3"/>
            <w:shd w:val="clear" w:color="auto" w:fill="auto"/>
            <w:tcMar>
              <w:top w:w="0" w:type="dxa"/>
              <w:left w:w="20" w:type="dxa"/>
              <w:bottom w:w="0" w:type="dxa"/>
              <w:right w:w="20" w:type="dxa"/>
            </w:tcMar>
            <w:vAlign w:val="bottom"/>
          </w:tcPr>
          <w:p w14:paraId="07DD1088" w14:textId="77777777" w:rsidR="00AE727E" w:rsidRDefault="00AE727E">
            <w:pPr>
              <w:rPr>
                <w:rFonts w:ascii="宋体"/>
              </w:rPr>
            </w:pPr>
          </w:p>
        </w:tc>
        <w:tc>
          <w:tcPr>
            <w:tcW w:w="0" w:type="auto"/>
            <w:gridSpan w:val="57"/>
            <w:tcBorders>
              <w:top w:val="single" w:sz="8" w:space="0" w:color="000000"/>
            </w:tcBorders>
            <w:shd w:val="clear" w:color="auto" w:fill="auto"/>
            <w:tcMar>
              <w:top w:w="40" w:type="dxa"/>
              <w:left w:w="20" w:type="dxa"/>
              <w:bottom w:w="40" w:type="dxa"/>
              <w:right w:w="20" w:type="dxa"/>
            </w:tcMar>
            <w:vAlign w:val="bottom"/>
          </w:tcPr>
          <w:p w14:paraId="07DD1089" w14:textId="77777777" w:rsidR="00AE727E" w:rsidRDefault="008433E0">
            <w:pPr>
              <w:jc w:val="center"/>
              <w:textAlignment w:val="bottom"/>
            </w:pPr>
            <w:r>
              <w:rPr>
                <w:rFonts w:ascii="Times New Roman" w:eastAsia="宋体" w:hAnsi="Times New Roman"/>
                <w:color w:val="000000"/>
                <w:sz w:val="20"/>
                <w:szCs w:val="20"/>
              </w:rPr>
              <w:t>(in millions, except percentages)</w:t>
            </w:r>
          </w:p>
        </w:tc>
      </w:tr>
      <w:tr w:rsidR="008433E0" w14:paraId="07DD10AD" w14:textId="77777777">
        <w:tc>
          <w:tcPr>
            <w:tcW w:w="0" w:type="auto"/>
            <w:gridSpan w:val="3"/>
            <w:shd w:val="clear" w:color="auto" w:fill="CCEEFF"/>
            <w:tcMar>
              <w:top w:w="40" w:type="dxa"/>
              <w:left w:w="20" w:type="dxa"/>
              <w:bottom w:w="40" w:type="dxa"/>
              <w:right w:w="20" w:type="dxa"/>
            </w:tcMar>
            <w:vAlign w:val="bottom"/>
          </w:tcPr>
          <w:p w14:paraId="07DD108B" w14:textId="77777777" w:rsidR="00AE727E" w:rsidRDefault="008433E0">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right w:w="0" w:type="dxa"/>
            </w:tcMar>
            <w:vAlign w:val="bottom"/>
          </w:tcPr>
          <w:p w14:paraId="07DD108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08D" w14:textId="77777777" w:rsidR="00AE727E" w:rsidRDefault="008433E0">
            <w:pPr>
              <w:jc w:val="right"/>
              <w:textAlignment w:val="bottom"/>
            </w:pPr>
            <w:r>
              <w:rPr>
                <w:rFonts w:ascii="Times New Roman" w:eastAsia="宋体" w:hAnsi="Times New Roman"/>
                <w:color w:val="000000"/>
                <w:sz w:val="20"/>
                <w:szCs w:val="20"/>
              </w:rPr>
              <w:t>5,542 </w:t>
            </w:r>
          </w:p>
        </w:tc>
        <w:tc>
          <w:tcPr>
            <w:tcW w:w="0" w:type="auto"/>
            <w:shd w:val="clear" w:color="auto" w:fill="CCEEFF"/>
            <w:tcMar>
              <w:top w:w="40" w:type="dxa"/>
              <w:left w:w="0" w:type="dxa"/>
              <w:bottom w:w="40" w:type="dxa"/>
              <w:right w:w="20" w:type="dxa"/>
            </w:tcMar>
            <w:vAlign w:val="bottom"/>
          </w:tcPr>
          <w:p w14:paraId="07DD108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8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90" w14:textId="77777777" w:rsidR="00AE727E" w:rsidRDefault="008433E0">
            <w:pPr>
              <w:jc w:val="right"/>
              <w:textAlignment w:val="bottom"/>
            </w:pPr>
            <w:r>
              <w:rPr>
                <w:rFonts w:ascii="Times New Roman" w:eastAsia="宋体" w:hAnsi="Times New Roman"/>
                <w:color w:val="000000"/>
                <w:sz w:val="20"/>
                <w:szCs w:val="20"/>
              </w:rPr>
              <w:t>19.5 </w:t>
            </w:r>
          </w:p>
        </w:tc>
        <w:tc>
          <w:tcPr>
            <w:tcW w:w="0" w:type="auto"/>
            <w:shd w:val="clear" w:color="auto" w:fill="CCEEFF"/>
            <w:tcMar>
              <w:top w:w="40" w:type="dxa"/>
              <w:left w:w="0" w:type="dxa"/>
              <w:bottom w:w="40" w:type="dxa"/>
              <w:right w:w="20" w:type="dxa"/>
            </w:tcMar>
            <w:vAlign w:val="bottom"/>
          </w:tcPr>
          <w:p w14:paraId="07DD1091"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9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93" w14:textId="77777777" w:rsidR="00AE727E" w:rsidRDefault="008433E0">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07DD1094"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95"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09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097" w14:textId="77777777" w:rsidR="00AE727E" w:rsidRDefault="008433E0">
            <w:pPr>
              <w:jc w:val="right"/>
              <w:textAlignment w:val="bottom"/>
            </w:pPr>
            <w:r>
              <w:rPr>
                <w:rFonts w:ascii="Times New Roman" w:eastAsia="宋体" w:hAnsi="Times New Roman"/>
                <w:color w:val="000000"/>
                <w:sz w:val="20"/>
                <w:szCs w:val="20"/>
              </w:rPr>
              <w:t>5,046 </w:t>
            </w:r>
          </w:p>
        </w:tc>
        <w:tc>
          <w:tcPr>
            <w:tcW w:w="0" w:type="auto"/>
            <w:shd w:val="clear" w:color="auto" w:fill="CCEEFF"/>
            <w:tcMar>
              <w:top w:w="40" w:type="dxa"/>
              <w:left w:w="0" w:type="dxa"/>
              <w:bottom w:w="40" w:type="dxa"/>
              <w:right w:w="20" w:type="dxa"/>
            </w:tcMar>
            <w:vAlign w:val="bottom"/>
          </w:tcPr>
          <w:p w14:paraId="07DD109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9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9A" w14:textId="77777777" w:rsidR="00AE727E" w:rsidRDefault="008433E0">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07DD109B"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9C"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09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09E" w14:textId="77777777" w:rsidR="00AE727E" w:rsidRDefault="008433E0">
            <w:pPr>
              <w:jc w:val="right"/>
              <w:textAlignment w:val="bottom"/>
            </w:pPr>
            <w:r>
              <w:rPr>
                <w:rFonts w:ascii="Times New Roman" w:eastAsia="宋体" w:hAnsi="Times New Roman"/>
                <w:color w:val="000000"/>
                <w:sz w:val="20"/>
                <w:szCs w:val="20"/>
              </w:rPr>
              <w:t>16,377 </w:t>
            </w:r>
          </w:p>
        </w:tc>
        <w:tc>
          <w:tcPr>
            <w:tcW w:w="0" w:type="auto"/>
            <w:shd w:val="clear" w:color="auto" w:fill="CCEEFF"/>
            <w:tcMar>
              <w:top w:w="40" w:type="dxa"/>
              <w:left w:w="0" w:type="dxa"/>
              <w:bottom w:w="40" w:type="dxa"/>
              <w:right w:w="20" w:type="dxa"/>
            </w:tcMar>
            <w:vAlign w:val="bottom"/>
          </w:tcPr>
          <w:p w14:paraId="07DD109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A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A1" w14:textId="77777777" w:rsidR="00AE727E" w:rsidRDefault="008433E0">
            <w:pPr>
              <w:jc w:val="right"/>
              <w:textAlignment w:val="bottom"/>
            </w:pPr>
            <w:r>
              <w:rPr>
                <w:rFonts w:ascii="Times New Roman" w:eastAsia="宋体" w:hAnsi="Times New Roman"/>
                <w:color w:val="000000"/>
                <w:sz w:val="20"/>
                <w:szCs w:val="20"/>
              </w:rPr>
              <w:t>20.7 </w:t>
            </w:r>
          </w:p>
        </w:tc>
        <w:tc>
          <w:tcPr>
            <w:tcW w:w="0" w:type="auto"/>
            <w:shd w:val="clear" w:color="auto" w:fill="CCEEFF"/>
            <w:tcMar>
              <w:top w:w="40" w:type="dxa"/>
              <w:left w:w="0" w:type="dxa"/>
              <w:bottom w:w="40" w:type="dxa"/>
              <w:right w:w="20" w:type="dxa"/>
            </w:tcMar>
            <w:vAlign w:val="bottom"/>
          </w:tcPr>
          <w:p w14:paraId="07DD10A2"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A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A4" w14:textId="77777777" w:rsidR="00AE727E" w:rsidRDefault="008433E0">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DD10A5"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0A6"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0A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0A8" w14:textId="77777777" w:rsidR="00AE727E" w:rsidRDefault="008433E0">
            <w:pPr>
              <w:jc w:val="right"/>
              <w:textAlignment w:val="bottom"/>
            </w:pPr>
            <w:r>
              <w:rPr>
                <w:rFonts w:ascii="Times New Roman" w:eastAsia="宋体" w:hAnsi="Times New Roman"/>
                <w:color w:val="000000"/>
                <w:sz w:val="20"/>
                <w:szCs w:val="20"/>
              </w:rPr>
              <w:t>15,218 </w:t>
            </w:r>
          </w:p>
        </w:tc>
        <w:tc>
          <w:tcPr>
            <w:tcW w:w="0" w:type="auto"/>
            <w:shd w:val="clear" w:color="auto" w:fill="CCEEFF"/>
            <w:tcMar>
              <w:top w:w="40" w:type="dxa"/>
              <w:left w:w="0" w:type="dxa"/>
              <w:bottom w:w="40" w:type="dxa"/>
              <w:right w:w="20" w:type="dxa"/>
            </w:tcMar>
            <w:vAlign w:val="bottom"/>
          </w:tcPr>
          <w:p w14:paraId="07DD10A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0A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0AB" w14:textId="77777777" w:rsidR="00AE727E" w:rsidRDefault="008433E0">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07DD10AC" w14:textId="77777777" w:rsidR="00AE727E" w:rsidRDefault="008433E0">
            <w:pPr>
              <w:jc w:val="right"/>
              <w:textAlignment w:val="bottom"/>
            </w:pPr>
            <w:r>
              <w:rPr>
                <w:rFonts w:ascii="Times New Roman" w:eastAsia="宋体" w:hAnsi="Times New Roman"/>
                <w:color w:val="000000"/>
                <w:sz w:val="20"/>
                <w:szCs w:val="20"/>
              </w:rPr>
              <w:t>%</w:t>
            </w:r>
          </w:p>
        </w:tc>
      </w:tr>
    </w:tbl>
    <w:p w14:paraId="07DD10AE" w14:textId="77777777" w:rsidR="00AE727E" w:rsidRDefault="00AE727E"/>
    <w:p w14:paraId="07DD10AF" w14:textId="77777777" w:rsidR="00AE727E" w:rsidRDefault="008433E0">
      <w:r>
        <w:rPr>
          <w:rFonts w:ascii="Times New Roman" w:eastAsia="宋体" w:hAnsi="Times New Roman"/>
          <w:color w:val="000000"/>
          <w:sz w:val="20"/>
          <w:szCs w:val="20"/>
        </w:rPr>
        <w:t xml:space="preserve">During the third quarter and first nine months of Fiscal 2022, operating expenses increased 9% and 7%, respectively. Non-GAAP operating expenses increased 10% and 8% for the third quarter and first nine months of Fiscal 2022, respectively. These increases </w:t>
      </w:r>
      <w:r>
        <w:rPr>
          <w:rFonts w:ascii="Times New Roman" w:eastAsia="宋体" w:hAnsi="Times New Roman"/>
          <w:color w:val="000000"/>
          <w:sz w:val="20"/>
          <w:szCs w:val="20"/>
        </w:rPr>
        <w:t>were primarily driven by employee-related expenses as a result of performance-based compensation associated with strong operating results, coupled with the reintroduction of expenses that were temporarily reduced during Fiscal 2021 in response to the COVID</w:t>
      </w:r>
      <w:r>
        <w:rPr>
          <w:rFonts w:ascii="Times New Roman" w:eastAsia="宋体" w:hAnsi="Times New Roman"/>
          <w:color w:val="000000"/>
          <w:sz w:val="20"/>
          <w:szCs w:val="20"/>
        </w:rPr>
        <w:t xml:space="preserve">-19 pandemic. </w:t>
      </w:r>
    </w:p>
    <w:p w14:paraId="07DD10B0" w14:textId="77777777" w:rsidR="00AE727E" w:rsidRDefault="00AE727E"/>
    <w:p w14:paraId="07DD10B1"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 Selling, general, and administrative (“SG&amp;A”) expenses increased 11% and 7%, respectively, during the third quarter and first nine months of Fiscal 2022. The increases were primarily due to an increas</w:t>
      </w:r>
      <w:r>
        <w:rPr>
          <w:rFonts w:ascii="Times New Roman" w:eastAsia="宋体" w:hAnsi="Times New Roman"/>
          <w:color w:val="000000"/>
          <w:sz w:val="20"/>
          <w:szCs w:val="20"/>
        </w:rPr>
        <w:t>e in employee-related compensation and benefits expense as well as an increase in outside services expense incurred in connection with our transformational initiatives, primarily the VMware Spin-off.</w:t>
      </w:r>
    </w:p>
    <w:p w14:paraId="07DD10B2" w14:textId="77777777" w:rsidR="00AE727E" w:rsidRDefault="00AE727E"/>
    <w:p w14:paraId="07DD10B3" w14:textId="77777777" w:rsidR="00AE727E" w:rsidRDefault="008433E0">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w:t>
      </w:r>
      <w:r>
        <w:rPr>
          <w:rFonts w:ascii="Times New Roman" w:eastAsia="宋体" w:hAnsi="Times New Roman"/>
          <w:color w:val="000000"/>
          <w:sz w:val="20"/>
          <w:szCs w:val="20"/>
        </w:rPr>
        <w:t xml:space="preserve">R&amp;D”) expenses are primarily composed of personnel-related expenses incurred to develop the software that powers our solutions. R&amp;D expenses grew 4% and 8% during the third quarter and first nine months of Fiscal 2022, respectively. As a percentage of net </w:t>
      </w:r>
      <w:r>
        <w:rPr>
          <w:rFonts w:ascii="Times New Roman" w:eastAsia="宋体" w:hAnsi="Times New Roman"/>
          <w:color w:val="000000"/>
          <w:sz w:val="20"/>
          <w:szCs w:val="20"/>
        </w:rPr>
        <w:t>revenue, R&amp;D expenses were approximately 5.0% and 5.8% for the third quarter of Fiscal 2022 and Fiscal 2021, respectively, and 5.3% and 5.7% for the first nine months of Fiscal 2022 and Fiscal 2021, respectively. The decreases in R&amp;D expenses as a percenta</w:t>
      </w:r>
      <w:r>
        <w:rPr>
          <w:rFonts w:ascii="Times New Roman" w:eastAsia="宋体" w:hAnsi="Times New Roman"/>
          <w:color w:val="000000"/>
          <w:sz w:val="20"/>
          <w:szCs w:val="20"/>
        </w:rPr>
        <w:t>ge of net revenue were attributable to revenue growth that outpaced the scale of R&amp;D investments. We intend to continue to support R&amp;D initiatives to innovate and introduce new and enhanced solutions into the market.</w:t>
      </w:r>
    </w:p>
    <w:p w14:paraId="07DD10B4" w14:textId="77777777" w:rsidR="00AE727E" w:rsidRDefault="00AE727E"/>
    <w:p w14:paraId="07DD10B5" w14:textId="77777777" w:rsidR="00AE727E" w:rsidRDefault="008433E0">
      <w:r>
        <w:rPr>
          <w:rFonts w:ascii="Times New Roman" w:eastAsia="宋体" w:hAnsi="Times New Roman"/>
          <w:color w:val="000000"/>
          <w:sz w:val="20"/>
          <w:szCs w:val="20"/>
        </w:rPr>
        <w:t>We continue to make targeted investmen</w:t>
      </w:r>
      <w:r>
        <w:rPr>
          <w:rFonts w:ascii="Times New Roman" w:eastAsia="宋体" w:hAnsi="Times New Roman"/>
          <w:color w:val="000000"/>
          <w:sz w:val="20"/>
          <w:szCs w:val="20"/>
        </w:rPr>
        <w:t>ts designed to enable growth, marketing, and R&amp;D, while balancing these investments with our efforts to drive cost efficiencies in the business. We also expect to continue to make investments in support of our own digital transformation to modernize and st</w:t>
      </w:r>
      <w:r>
        <w:rPr>
          <w:rFonts w:ascii="Times New Roman" w:eastAsia="宋体" w:hAnsi="Times New Roman"/>
          <w:color w:val="000000"/>
          <w:sz w:val="20"/>
          <w:szCs w:val="20"/>
        </w:rPr>
        <w:t>reamline our IT operations.</w:t>
      </w:r>
    </w:p>
    <w:p w14:paraId="07DD10B6" w14:textId="77777777" w:rsidR="00AE727E" w:rsidRDefault="00AE727E"/>
    <w:p w14:paraId="07DD10B7" w14:textId="77777777" w:rsidR="00AE727E" w:rsidRDefault="00AE727E">
      <w:pPr>
        <w:jc w:val="center"/>
      </w:pPr>
    </w:p>
    <w:p w14:paraId="07DD10B8" w14:textId="77777777" w:rsidR="00AE727E" w:rsidRDefault="008433E0">
      <w:pPr>
        <w:jc w:val="center"/>
      </w:pPr>
      <w:r>
        <w:rPr>
          <w:rFonts w:ascii="Times New Roman" w:eastAsia="宋体" w:hAnsi="Times New Roman"/>
          <w:color w:val="000000"/>
          <w:sz w:val="20"/>
          <w:szCs w:val="20"/>
        </w:rPr>
        <w:t>76</w:t>
      </w:r>
    </w:p>
    <w:p w14:paraId="07DD10B9" w14:textId="77777777" w:rsidR="00AE727E" w:rsidRDefault="00AE727E">
      <w:pPr>
        <w:jc w:val="center"/>
      </w:pPr>
    </w:p>
    <w:p w14:paraId="07DD10BA" w14:textId="77777777" w:rsidR="00AE727E" w:rsidRDefault="008433E0">
      <w:r>
        <w:pict w14:anchorId="07DD191C">
          <v:rect id="_x0000_i1100" style="width:415.3pt;height:1.5pt" o:hralign="center" o:hrstd="t" o:hr="t" fillcolor="#a0a0a0" stroked="f"/>
        </w:pict>
      </w:r>
    </w:p>
    <w:p w14:paraId="07DD10BB" w14:textId="77777777" w:rsidR="00AE727E" w:rsidRDefault="008433E0">
      <w:hyperlink r:id="rId201" w:anchor="i1c8279be622a460ea19600488436f115_10" w:history="1">
        <w:r>
          <w:rPr>
            <w:rStyle w:val="a5"/>
            <w:rFonts w:ascii="Times New Roman" w:eastAsia="宋体" w:hAnsi="Times New Roman"/>
            <w:sz w:val="20"/>
            <w:szCs w:val="20"/>
          </w:rPr>
          <w:t>Table of Contents</w:t>
        </w:r>
      </w:hyperlink>
    </w:p>
    <w:p w14:paraId="07DD10BC" w14:textId="77777777" w:rsidR="00AE727E" w:rsidRDefault="008433E0">
      <w:r>
        <w:rPr>
          <w:rFonts w:ascii="Times New Roman" w:eastAsia="宋体" w:hAnsi="Times New Roman"/>
          <w:b/>
          <w:bCs/>
          <w:color w:val="000000"/>
          <w:sz w:val="20"/>
          <w:szCs w:val="20"/>
        </w:rPr>
        <w:t>Operating Income</w:t>
      </w:r>
    </w:p>
    <w:p w14:paraId="07DD10BD" w14:textId="77777777" w:rsidR="00AE727E" w:rsidRDefault="00AE727E"/>
    <w:p w14:paraId="07DD10BE" w14:textId="77777777" w:rsidR="00AE727E" w:rsidRDefault="008433E0">
      <w:r>
        <w:rPr>
          <w:rFonts w:ascii="Times New Roman" w:eastAsia="宋体" w:hAnsi="Times New Roman"/>
          <w:color w:val="000000"/>
          <w:sz w:val="20"/>
          <w:szCs w:val="20"/>
        </w:rPr>
        <w:t>During the third quarter and first nine months of Fiscal 2022, our operating income increased 19% and 38% to $1.3 billion and $4.1 billion, respectively, and our non-GAAP operating income increased 5% and 12% to $2.9 billion and $8.4 billion, respectively.</w:t>
      </w:r>
      <w:r>
        <w:rPr>
          <w:rFonts w:ascii="Times New Roman" w:eastAsia="宋体" w:hAnsi="Times New Roman"/>
          <w:color w:val="000000"/>
          <w:sz w:val="20"/>
          <w:szCs w:val="20"/>
        </w:rPr>
        <w:t xml:space="preserve"> The increases were primarily due to growth in operating income for CSG, driven primarily by our commercial offerings and, to a lesser extent, our consumer offerings. Operating income during the third quarter and first nine months of Fiscal 2022 also benef</w:t>
      </w:r>
      <w:r>
        <w:rPr>
          <w:rFonts w:ascii="Times New Roman" w:eastAsia="宋体" w:hAnsi="Times New Roman"/>
          <w:color w:val="000000"/>
          <w:sz w:val="20"/>
          <w:szCs w:val="20"/>
        </w:rPr>
        <w:t xml:space="preserve">ited from a decrease in amortization of intangible assets. </w:t>
      </w:r>
    </w:p>
    <w:p w14:paraId="07DD10BF" w14:textId="77777777" w:rsidR="00AE727E" w:rsidRDefault="00AE727E"/>
    <w:p w14:paraId="07DD10C0" w14:textId="77777777" w:rsidR="00AE727E" w:rsidRDefault="008433E0">
      <w:r>
        <w:rPr>
          <w:rFonts w:ascii="Times New Roman" w:eastAsia="宋体" w:hAnsi="Times New Roman"/>
          <w:color w:val="000000"/>
          <w:sz w:val="20"/>
          <w:szCs w:val="20"/>
        </w:rPr>
        <w:t>Our operating income as a percentage of net revenue remained flat at 4.8% and increased 80 basis points to 5.2% for the third quarter and first nine months of Fiscal 2022. The increase in our ope</w:t>
      </w:r>
      <w:r>
        <w:rPr>
          <w:rFonts w:ascii="Times New Roman" w:eastAsia="宋体" w:hAnsi="Times New Roman"/>
          <w:color w:val="000000"/>
          <w:sz w:val="20"/>
          <w:szCs w:val="20"/>
        </w:rPr>
        <w:t xml:space="preserve">rating income as a percentage of net revenue for the first nine months of Fiscal 2022 was driven primarily by a decrease in amortization of intangible assets. Our non-GAAP operating income as a percentage of net revenue decreased 150 basis points to 10.1% </w:t>
      </w:r>
      <w:r>
        <w:rPr>
          <w:rFonts w:ascii="Times New Roman" w:eastAsia="宋体" w:hAnsi="Times New Roman"/>
          <w:color w:val="000000"/>
          <w:sz w:val="20"/>
          <w:szCs w:val="20"/>
        </w:rPr>
        <w:t>and 40 basis points to 10.6% during the third quarter and first nine months of Fiscal 2022, respectively. The decreases in our non-GAAP operating income as a percentage of net revenue were driven primarily by declines in gross margin as a percentage of net</w:t>
      </w:r>
      <w:r>
        <w:rPr>
          <w:rFonts w:ascii="Times New Roman" w:eastAsia="宋体" w:hAnsi="Times New Roman"/>
          <w:color w:val="000000"/>
          <w:sz w:val="20"/>
          <w:szCs w:val="20"/>
        </w:rPr>
        <w:t xml:space="preserve"> revenue, principally due to supply chain challenges and the inflationary cost environment coupled with a shift in mix towards CSG offerings.</w:t>
      </w:r>
    </w:p>
    <w:p w14:paraId="07DD10C1" w14:textId="77777777" w:rsidR="00AE727E" w:rsidRDefault="00AE727E"/>
    <w:p w14:paraId="07DD10C2" w14:textId="77777777" w:rsidR="00AE727E" w:rsidRDefault="008433E0">
      <w:r>
        <w:rPr>
          <w:rFonts w:ascii="Times New Roman" w:eastAsia="宋体" w:hAnsi="Times New Roman"/>
          <w:b/>
          <w:bCs/>
          <w:color w:val="000000"/>
          <w:sz w:val="20"/>
          <w:szCs w:val="20"/>
          <w:shd w:val="clear" w:color="auto" w:fill="FFFFFF"/>
        </w:rPr>
        <w:t>Interest and Other, Net</w:t>
      </w:r>
    </w:p>
    <w:p w14:paraId="07DD10C3" w14:textId="77777777" w:rsidR="00AE727E" w:rsidRDefault="00AE727E"/>
    <w:p w14:paraId="07DD10C4" w14:textId="77777777" w:rsidR="00AE727E" w:rsidRDefault="008433E0">
      <w:pPr>
        <w:spacing w:after="60"/>
      </w:pPr>
      <w:r>
        <w:rPr>
          <w:rFonts w:ascii="Times New Roman" w:eastAsia="宋体" w:hAnsi="Times New Roman"/>
          <w:color w:val="000000"/>
          <w:sz w:val="20"/>
          <w:szCs w:val="20"/>
          <w:shd w:val="clear" w:color="auto" w:fill="FFFFFF"/>
        </w:rPr>
        <w:t xml:space="preserve">The following table presents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w:t>
      </w:r>
      <w:r>
        <w:rPr>
          <w:rFonts w:ascii="Times New Roman" w:eastAsia="宋体" w:hAnsi="Times New Roman"/>
          <w:color w:val="000000"/>
          <w:sz w:val="20"/>
          <w:szCs w:val="20"/>
          <w:shd w:val="clear" w:color="auto" w:fill="FFFFFF"/>
        </w:rPr>
        <w:t xml:space="preserve">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962"/>
        <w:gridCol w:w="38"/>
        <w:gridCol w:w="121"/>
        <w:gridCol w:w="1085"/>
        <w:gridCol w:w="37"/>
        <w:gridCol w:w="36"/>
        <w:gridCol w:w="36"/>
        <w:gridCol w:w="36"/>
        <w:gridCol w:w="121"/>
        <w:gridCol w:w="1085"/>
        <w:gridCol w:w="37"/>
        <w:gridCol w:w="36"/>
        <w:gridCol w:w="36"/>
        <w:gridCol w:w="36"/>
        <w:gridCol w:w="121"/>
        <w:gridCol w:w="1085"/>
        <w:gridCol w:w="37"/>
        <w:gridCol w:w="36"/>
        <w:gridCol w:w="36"/>
        <w:gridCol w:w="36"/>
        <w:gridCol w:w="121"/>
        <w:gridCol w:w="1086"/>
        <w:gridCol w:w="37"/>
      </w:tblGrid>
      <w:tr w:rsidR="00AE727E" w14:paraId="07DD10DD" w14:textId="77777777">
        <w:tc>
          <w:tcPr>
            <w:tcW w:w="50" w:type="pct"/>
            <w:shd w:val="clear" w:color="auto" w:fill="auto"/>
            <w:vAlign w:val="bottom"/>
          </w:tcPr>
          <w:p w14:paraId="07DD10C5" w14:textId="77777777" w:rsidR="00AE727E" w:rsidRDefault="00AE727E">
            <w:pPr>
              <w:rPr>
                <w:rFonts w:ascii="宋体"/>
              </w:rPr>
            </w:pPr>
          </w:p>
        </w:tc>
        <w:tc>
          <w:tcPr>
            <w:tcW w:w="1845" w:type="pct"/>
            <w:shd w:val="clear" w:color="auto" w:fill="auto"/>
            <w:vAlign w:val="bottom"/>
          </w:tcPr>
          <w:p w14:paraId="07DD10C6" w14:textId="77777777" w:rsidR="00AE727E" w:rsidRDefault="00AE727E">
            <w:pPr>
              <w:rPr>
                <w:rFonts w:ascii="宋体"/>
              </w:rPr>
            </w:pPr>
          </w:p>
        </w:tc>
        <w:tc>
          <w:tcPr>
            <w:tcW w:w="5" w:type="pct"/>
            <w:shd w:val="clear" w:color="auto" w:fill="auto"/>
            <w:vAlign w:val="bottom"/>
          </w:tcPr>
          <w:p w14:paraId="07DD10C7" w14:textId="77777777" w:rsidR="00AE727E" w:rsidRDefault="00AE727E">
            <w:pPr>
              <w:rPr>
                <w:rFonts w:ascii="宋体"/>
              </w:rPr>
            </w:pPr>
          </w:p>
        </w:tc>
        <w:tc>
          <w:tcPr>
            <w:tcW w:w="50" w:type="pct"/>
            <w:shd w:val="clear" w:color="auto" w:fill="auto"/>
            <w:vAlign w:val="bottom"/>
          </w:tcPr>
          <w:p w14:paraId="07DD10C8" w14:textId="77777777" w:rsidR="00AE727E" w:rsidRDefault="00AE727E">
            <w:pPr>
              <w:rPr>
                <w:rFonts w:ascii="宋体"/>
              </w:rPr>
            </w:pPr>
          </w:p>
        </w:tc>
        <w:tc>
          <w:tcPr>
            <w:tcW w:w="697" w:type="pct"/>
            <w:shd w:val="clear" w:color="auto" w:fill="auto"/>
            <w:vAlign w:val="bottom"/>
          </w:tcPr>
          <w:p w14:paraId="07DD10C9" w14:textId="77777777" w:rsidR="00AE727E" w:rsidRDefault="00AE727E">
            <w:pPr>
              <w:rPr>
                <w:rFonts w:ascii="宋体"/>
              </w:rPr>
            </w:pPr>
          </w:p>
        </w:tc>
        <w:tc>
          <w:tcPr>
            <w:tcW w:w="5" w:type="pct"/>
            <w:shd w:val="clear" w:color="auto" w:fill="auto"/>
            <w:vAlign w:val="bottom"/>
          </w:tcPr>
          <w:p w14:paraId="07DD10CA" w14:textId="77777777" w:rsidR="00AE727E" w:rsidRDefault="00AE727E">
            <w:pPr>
              <w:rPr>
                <w:rFonts w:ascii="宋体"/>
              </w:rPr>
            </w:pPr>
          </w:p>
        </w:tc>
        <w:tc>
          <w:tcPr>
            <w:tcW w:w="5" w:type="pct"/>
            <w:shd w:val="clear" w:color="auto" w:fill="auto"/>
            <w:vAlign w:val="bottom"/>
          </w:tcPr>
          <w:p w14:paraId="07DD10CB" w14:textId="77777777" w:rsidR="00AE727E" w:rsidRDefault="00AE727E">
            <w:pPr>
              <w:rPr>
                <w:rFonts w:ascii="宋体"/>
              </w:rPr>
            </w:pPr>
          </w:p>
        </w:tc>
        <w:tc>
          <w:tcPr>
            <w:tcW w:w="19" w:type="pct"/>
            <w:shd w:val="clear" w:color="auto" w:fill="auto"/>
            <w:vAlign w:val="bottom"/>
          </w:tcPr>
          <w:p w14:paraId="07DD10CC" w14:textId="77777777" w:rsidR="00AE727E" w:rsidRDefault="00AE727E">
            <w:pPr>
              <w:rPr>
                <w:rFonts w:ascii="宋体"/>
              </w:rPr>
            </w:pPr>
          </w:p>
        </w:tc>
        <w:tc>
          <w:tcPr>
            <w:tcW w:w="5" w:type="pct"/>
            <w:shd w:val="clear" w:color="auto" w:fill="auto"/>
            <w:vAlign w:val="bottom"/>
          </w:tcPr>
          <w:p w14:paraId="07DD10CD" w14:textId="77777777" w:rsidR="00AE727E" w:rsidRDefault="00AE727E">
            <w:pPr>
              <w:rPr>
                <w:rFonts w:ascii="宋体"/>
              </w:rPr>
            </w:pPr>
          </w:p>
        </w:tc>
        <w:tc>
          <w:tcPr>
            <w:tcW w:w="50" w:type="pct"/>
            <w:shd w:val="clear" w:color="auto" w:fill="auto"/>
            <w:vAlign w:val="bottom"/>
          </w:tcPr>
          <w:p w14:paraId="07DD10CE" w14:textId="77777777" w:rsidR="00AE727E" w:rsidRDefault="00AE727E">
            <w:pPr>
              <w:rPr>
                <w:rFonts w:ascii="宋体"/>
              </w:rPr>
            </w:pPr>
          </w:p>
        </w:tc>
        <w:tc>
          <w:tcPr>
            <w:tcW w:w="697" w:type="pct"/>
            <w:shd w:val="clear" w:color="auto" w:fill="auto"/>
            <w:vAlign w:val="bottom"/>
          </w:tcPr>
          <w:p w14:paraId="07DD10CF" w14:textId="77777777" w:rsidR="00AE727E" w:rsidRDefault="00AE727E">
            <w:pPr>
              <w:rPr>
                <w:rFonts w:ascii="宋体"/>
              </w:rPr>
            </w:pPr>
          </w:p>
        </w:tc>
        <w:tc>
          <w:tcPr>
            <w:tcW w:w="5" w:type="pct"/>
            <w:shd w:val="clear" w:color="auto" w:fill="auto"/>
            <w:vAlign w:val="bottom"/>
          </w:tcPr>
          <w:p w14:paraId="07DD10D0" w14:textId="77777777" w:rsidR="00AE727E" w:rsidRDefault="00AE727E">
            <w:pPr>
              <w:rPr>
                <w:rFonts w:ascii="宋体"/>
              </w:rPr>
            </w:pPr>
          </w:p>
        </w:tc>
        <w:tc>
          <w:tcPr>
            <w:tcW w:w="5" w:type="pct"/>
            <w:shd w:val="clear" w:color="auto" w:fill="auto"/>
            <w:vAlign w:val="bottom"/>
          </w:tcPr>
          <w:p w14:paraId="07DD10D1" w14:textId="77777777" w:rsidR="00AE727E" w:rsidRDefault="00AE727E">
            <w:pPr>
              <w:rPr>
                <w:rFonts w:ascii="宋体"/>
              </w:rPr>
            </w:pPr>
          </w:p>
        </w:tc>
        <w:tc>
          <w:tcPr>
            <w:tcW w:w="19" w:type="pct"/>
            <w:shd w:val="clear" w:color="auto" w:fill="auto"/>
            <w:vAlign w:val="bottom"/>
          </w:tcPr>
          <w:p w14:paraId="07DD10D2" w14:textId="77777777" w:rsidR="00AE727E" w:rsidRDefault="00AE727E">
            <w:pPr>
              <w:rPr>
                <w:rFonts w:ascii="宋体"/>
              </w:rPr>
            </w:pPr>
          </w:p>
        </w:tc>
        <w:tc>
          <w:tcPr>
            <w:tcW w:w="5" w:type="pct"/>
            <w:shd w:val="clear" w:color="auto" w:fill="auto"/>
            <w:vAlign w:val="bottom"/>
          </w:tcPr>
          <w:p w14:paraId="07DD10D3" w14:textId="77777777" w:rsidR="00AE727E" w:rsidRDefault="00AE727E">
            <w:pPr>
              <w:rPr>
                <w:rFonts w:ascii="宋体"/>
              </w:rPr>
            </w:pPr>
          </w:p>
        </w:tc>
        <w:tc>
          <w:tcPr>
            <w:tcW w:w="50" w:type="pct"/>
            <w:shd w:val="clear" w:color="auto" w:fill="auto"/>
            <w:vAlign w:val="bottom"/>
          </w:tcPr>
          <w:p w14:paraId="07DD10D4" w14:textId="77777777" w:rsidR="00AE727E" w:rsidRDefault="00AE727E">
            <w:pPr>
              <w:rPr>
                <w:rFonts w:ascii="宋体"/>
              </w:rPr>
            </w:pPr>
          </w:p>
        </w:tc>
        <w:tc>
          <w:tcPr>
            <w:tcW w:w="697" w:type="pct"/>
            <w:shd w:val="clear" w:color="auto" w:fill="auto"/>
            <w:vAlign w:val="bottom"/>
          </w:tcPr>
          <w:p w14:paraId="07DD10D5" w14:textId="77777777" w:rsidR="00AE727E" w:rsidRDefault="00AE727E">
            <w:pPr>
              <w:rPr>
                <w:rFonts w:ascii="宋体"/>
              </w:rPr>
            </w:pPr>
          </w:p>
        </w:tc>
        <w:tc>
          <w:tcPr>
            <w:tcW w:w="5" w:type="pct"/>
            <w:shd w:val="clear" w:color="auto" w:fill="auto"/>
            <w:vAlign w:val="bottom"/>
          </w:tcPr>
          <w:p w14:paraId="07DD10D6" w14:textId="77777777" w:rsidR="00AE727E" w:rsidRDefault="00AE727E">
            <w:pPr>
              <w:rPr>
                <w:rFonts w:ascii="宋体"/>
              </w:rPr>
            </w:pPr>
          </w:p>
        </w:tc>
        <w:tc>
          <w:tcPr>
            <w:tcW w:w="5" w:type="pct"/>
            <w:shd w:val="clear" w:color="auto" w:fill="auto"/>
            <w:vAlign w:val="bottom"/>
          </w:tcPr>
          <w:p w14:paraId="07DD10D7" w14:textId="77777777" w:rsidR="00AE727E" w:rsidRDefault="00AE727E">
            <w:pPr>
              <w:rPr>
                <w:rFonts w:ascii="宋体"/>
              </w:rPr>
            </w:pPr>
          </w:p>
        </w:tc>
        <w:tc>
          <w:tcPr>
            <w:tcW w:w="19" w:type="pct"/>
            <w:shd w:val="clear" w:color="auto" w:fill="auto"/>
            <w:vAlign w:val="bottom"/>
          </w:tcPr>
          <w:p w14:paraId="07DD10D8" w14:textId="77777777" w:rsidR="00AE727E" w:rsidRDefault="00AE727E">
            <w:pPr>
              <w:rPr>
                <w:rFonts w:ascii="宋体"/>
              </w:rPr>
            </w:pPr>
          </w:p>
        </w:tc>
        <w:tc>
          <w:tcPr>
            <w:tcW w:w="5" w:type="pct"/>
            <w:shd w:val="clear" w:color="auto" w:fill="auto"/>
            <w:vAlign w:val="bottom"/>
          </w:tcPr>
          <w:p w14:paraId="07DD10D9" w14:textId="77777777" w:rsidR="00AE727E" w:rsidRDefault="00AE727E">
            <w:pPr>
              <w:rPr>
                <w:rFonts w:ascii="宋体"/>
              </w:rPr>
            </w:pPr>
          </w:p>
        </w:tc>
        <w:tc>
          <w:tcPr>
            <w:tcW w:w="50" w:type="pct"/>
            <w:shd w:val="clear" w:color="auto" w:fill="auto"/>
            <w:vAlign w:val="bottom"/>
          </w:tcPr>
          <w:p w14:paraId="07DD10DA" w14:textId="77777777" w:rsidR="00AE727E" w:rsidRDefault="00AE727E">
            <w:pPr>
              <w:rPr>
                <w:rFonts w:ascii="宋体"/>
              </w:rPr>
            </w:pPr>
          </w:p>
        </w:tc>
        <w:tc>
          <w:tcPr>
            <w:tcW w:w="698" w:type="pct"/>
            <w:shd w:val="clear" w:color="auto" w:fill="auto"/>
            <w:vAlign w:val="bottom"/>
          </w:tcPr>
          <w:p w14:paraId="07DD10DB" w14:textId="77777777" w:rsidR="00AE727E" w:rsidRDefault="00AE727E">
            <w:pPr>
              <w:rPr>
                <w:rFonts w:ascii="宋体"/>
              </w:rPr>
            </w:pPr>
          </w:p>
        </w:tc>
        <w:tc>
          <w:tcPr>
            <w:tcW w:w="5" w:type="pct"/>
            <w:shd w:val="clear" w:color="auto" w:fill="auto"/>
            <w:vAlign w:val="bottom"/>
          </w:tcPr>
          <w:p w14:paraId="07DD10DC" w14:textId="77777777" w:rsidR="00AE727E" w:rsidRDefault="00AE727E">
            <w:pPr>
              <w:rPr>
                <w:rFonts w:ascii="宋体"/>
              </w:rPr>
            </w:pPr>
          </w:p>
        </w:tc>
      </w:tr>
      <w:tr w:rsidR="00AE727E" w14:paraId="07DD10E2" w14:textId="77777777">
        <w:tc>
          <w:tcPr>
            <w:tcW w:w="0" w:type="auto"/>
            <w:gridSpan w:val="3"/>
            <w:shd w:val="clear" w:color="auto" w:fill="auto"/>
            <w:tcMar>
              <w:top w:w="0" w:type="dxa"/>
              <w:left w:w="20" w:type="dxa"/>
              <w:bottom w:w="0" w:type="dxa"/>
              <w:right w:w="20" w:type="dxa"/>
            </w:tcMar>
            <w:vAlign w:val="bottom"/>
          </w:tcPr>
          <w:p w14:paraId="07DD10DE"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10DF"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0E0"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10E1"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0EB" w14:textId="77777777">
        <w:tc>
          <w:tcPr>
            <w:tcW w:w="0" w:type="auto"/>
            <w:gridSpan w:val="3"/>
            <w:shd w:val="clear" w:color="auto" w:fill="auto"/>
            <w:tcMar>
              <w:top w:w="40" w:type="dxa"/>
              <w:left w:w="20" w:type="dxa"/>
              <w:bottom w:w="40" w:type="dxa"/>
              <w:right w:w="20" w:type="dxa"/>
            </w:tcMar>
            <w:vAlign w:val="bottom"/>
          </w:tcPr>
          <w:p w14:paraId="07DD10E3" w14:textId="77777777" w:rsidR="00AE727E" w:rsidRDefault="008433E0">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0E4"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E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E6"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0E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E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0E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0EA"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0EE" w14:textId="77777777">
        <w:tc>
          <w:tcPr>
            <w:tcW w:w="0" w:type="auto"/>
            <w:gridSpan w:val="3"/>
            <w:shd w:val="clear" w:color="auto" w:fill="auto"/>
            <w:tcMar>
              <w:top w:w="40" w:type="dxa"/>
              <w:left w:w="20" w:type="dxa"/>
              <w:bottom w:w="40" w:type="dxa"/>
              <w:right w:w="20" w:type="dxa"/>
            </w:tcMar>
            <w:vAlign w:val="center"/>
          </w:tcPr>
          <w:p w14:paraId="07DD10EC" w14:textId="77777777" w:rsidR="00AE727E" w:rsidRDefault="008433E0">
            <w:pPr>
              <w:jc w:val="center"/>
              <w:textAlignment w:val="center"/>
            </w:pPr>
            <w:r>
              <w:rPr>
                <w:rFonts w:ascii="Times New Roman" w:eastAsia="宋体" w:hAnsi="Times New Roman"/>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07DD10ED"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D10F7" w14:textId="77777777">
        <w:tc>
          <w:tcPr>
            <w:tcW w:w="0" w:type="auto"/>
            <w:gridSpan w:val="3"/>
            <w:shd w:val="clear" w:color="auto" w:fill="CCEEFF"/>
            <w:tcMar>
              <w:top w:w="40" w:type="dxa"/>
              <w:left w:w="20" w:type="dxa"/>
              <w:bottom w:w="40" w:type="dxa"/>
              <w:right w:w="20" w:type="dxa"/>
            </w:tcMar>
            <w:vAlign w:val="bottom"/>
          </w:tcPr>
          <w:p w14:paraId="07DD10EF" w14:textId="77777777" w:rsidR="00AE727E" w:rsidRDefault="008433E0">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bottom"/>
          </w:tcPr>
          <w:p w14:paraId="07DD10F0"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10F1"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10F2"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10F3"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10F4" w14:textId="77777777" w:rsidR="00AE727E" w:rsidRDefault="008433E0">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DD10F5"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10F6" w14:textId="77777777" w:rsidR="00AE727E" w:rsidRDefault="008433E0">
            <w:pPr>
              <w:jc w:val="right"/>
              <w:textAlignment w:val="bottom"/>
            </w:pPr>
            <w:r>
              <w:rPr>
                <w:rFonts w:ascii="Times New Roman" w:eastAsia="宋体" w:hAnsi="Times New Roman"/>
                <w:color w:val="000000"/>
                <w:sz w:val="20"/>
                <w:szCs w:val="20"/>
              </w:rPr>
              <w:t> </w:t>
            </w:r>
          </w:p>
        </w:tc>
      </w:tr>
      <w:tr w:rsidR="00AE727E" w14:paraId="07DD1108" w14:textId="77777777">
        <w:tc>
          <w:tcPr>
            <w:tcW w:w="0" w:type="auto"/>
            <w:gridSpan w:val="3"/>
            <w:shd w:val="clear" w:color="auto" w:fill="FFFFFF"/>
            <w:tcMar>
              <w:top w:w="40" w:type="dxa"/>
              <w:left w:w="245" w:type="dxa"/>
              <w:bottom w:w="40" w:type="dxa"/>
              <w:right w:w="20" w:type="dxa"/>
            </w:tcMar>
            <w:vAlign w:val="bottom"/>
          </w:tcPr>
          <w:p w14:paraId="07DD10F8" w14:textId="77777777" w:rsidR="00AE727E" w:rsidRDefault="008433E0">
            <w:pPr>
              <w:textAlignment w:val="bottom"/>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bottom"/>
          </w:tcPr>
          <w:p w14:paraId="07DD10F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0FA"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D10F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0F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0F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0FE" w14:textId="77777777" w:rsidR="00AE727E" w:rsidRDefault="008433E0">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D10F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00"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10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02" w14:textId="77777777" w:rsidR="00AE727E" w:rsidRDefault="008433E0">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07DD110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04"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10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06" w14:textId="77777777" w:rsidR="00AE727E" w:rsidRDefault="008433E0">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7DD1107" w14:textId="77777777" w:rsidR="00AE727E" w:rsidRDefault="00AE727E">
            <w:pPr>
              <w:jc w:val="right"/>
              <w:rPr>
                <w:rFonts w:ascii="宋体"/>
              </w:rPr>
            </w:pPr>
          </w:p>
        </w:tc>
      </w:tr>
      <w:tr w:rsidR="00AE727E" w14:paraId="07DD1115" w14:textId="77777777">
        <w:tc>
          <w:tcPr>
            <w:tcW w:w="0" w:type="auto"/>
            <w:gridSpan w:val="3"/>
            <w:shd w:val="clear" w:color="auto" w:fill="CCEEFF"/>
            <w:tcMar>
              <w:top w:w="40" w:type="dxa"/>
              <w:left w:w="245" w:type="dxa"/>
              <w:bottom w:w="40" w:type="dxa"/>
              <w:right w:w="20" w:type="dxa"/>
            </w:tcMar>
            <w:vAlign w:val="bottom"/>
          </w:tcPr>
          <w:p w14:paraId="07DD1109" w14:textId="77777777" w:rsidR="00AE727E" w:rsidRDefault="008433E0">
            <w:pPr>
              <w:textAlignment w:val="bottom"/>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bottom"/>
          </w:tcPr>
          <w:p w14:paraId="07DD110A" w14:textId="77777777" w:rsidR="00AE727E" w:rsidRDefault="008433E0">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7DD110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0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0D" w14:textId="77777777" w:rsidR="00AE727E" w:rsidRDefault="008433E0">
            <w:pPr>
              <w:jc w:val="right"/>
              <w:textAlignment w:val="bottom"/>
            </w:pPr>
            <w:r>
              <w:rPr>
                <w:rFonts w:ascii="Times New Roman" w:eastAsia="宋体" w:hAnsi="Times New Roman"/>
                <w:color w:val="000000"/>
                <w:sz w:val="20"/>
                <w:szCs w:val="20"/>
              </w:rPr>
              <w:t>489 </w:t>
            </w:r>
          </w:p>
        </w:tc>
        <w:tc>
          <w:tcPr>
            <w:tcW w:w="0" w:type="auto"/>
            <w:shd w:val="clear" w:color="auto" w:fill="CCEEFF"/>
            <w:tcMar>
              <w:top w:w="40" w:type="dxa"/>
              <w:left w:w="0" w:type="dxa"/>
              <w:bottom w:w="40" w:type="dxa"/>
              <w:right w:w="20" w:type="dxa"/>
            </w:tcMar>
            <w:vAlign w:val="bottom"/>
          </w:tcPr>
          <w:p w14:paraId="07DD110E"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0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10" w14:textId="77777777" w:rsidR="00AE727E" w:rsidRDefault="008433E0">
            <w:pPr>
              <w:jc w:val="right"/>
              <w:textAlignment w:val="bottom"/>
            </w:pPr>
            <w:r>
              <w:rPr>
                <w:rFonts w:ascii="Times New Roman" w:eastAsia="宋体" w:hAnsi="Times New Roman"/>
                <w:color w:val="000000"/>
                <w:sz w:val="20"/>
                <w:szCs w:val="20"/>
              </w:rPr>
              <w:t>352 </w:t>
            </w:r>
          </w:p>
        </w:tc>
        <w:tc>
          <w:tcPr>
            <w:tcW w:w="0" w:type="auto"/>
            <w:shd w:val="clear" w:color="auto" w:fill="CCEEFF"/>
            <w:tcMar>
              <w:top w:w="40" w:type="dxa"/>
              <w:left w:w="0" w:type="dxa"/>
              <w:bottom w:w="40" w:type="dxa"/>
              <w:right w:w="20" w:type="dxa"/>
            </w:tcMar>
            <w:vAlign w:val="bottom"/>
          </w:tcPr>
          <w:p w14:paraId="07DD1111"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1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13" w14:textId="77777777" w:rsidR="00AE727E" w:rsidRDefault="008433E0">
            <w:pPr>
              <w:jc w:val="right"/>
              <w:textAlignment w:val="bottom"/>
            </w:pPr>
            <w:r>
              <w:rPr>
                <w:rFonts w:ascii="Times New Roman" w:eastAsia="宋体" w:hAnsi="Times New Roman"/>
                <w:color w:val="000000"/>
                <w:sz w:val="20"/>
                <w:szCs w:val="20"/>
              </w:rPr>
              <w:t>591 </w:t>
            </w:r>
          </w:p>
        </w:tc>
        <w:tc>
          <w:tcPr>
            <w:tcW w:w="0" w:type="auto"/>
            <w:shd w:val="clear" w:color="auto" w:fill="CCEEFF"/>
            <w:tcMar>
              <w:top w:w="40" w:type="dxa"/>
              <w:left w:w="0" w:type="dxa"/>
              <w:bottom w:w="40" w:type="dxa"/>
              <w:right w:w="20" w:type="dxa"/>
            </w:tcMar>
            <w:vAlign w:val="bottom"/>
          </w:tcPr>
          <w:p w14:paraId="07DD1114" w14:textId="77777777" w:rsidR="00AE727E" w:rsidRDefault="00AE727E">
            <w:pPr>
              <w:jc w:val="right"/>
              <w:rPr>
                <w:rFonts w:ascii="宋体"/>
              </w:rPr>
            </w:pPr>
          </w:p>
        </w:tc>
      </w:tr>
      <w:tr w:rsidR="00AE727E" w14:paraId="07DD1122" w14:textId="77777777">
        <w:tc>
          <w:tcPr>
            <w:tcW w:w="0" w:type="auto"/>
            <w:gridSpan w:val="3"/>
            <w:shd w:val="clear" w:color="auto" w:fill="FFFFFF"/>
            <w:tcMar>
              <w:top w:w="40" w:type="dxa"/>
              <w:left w:w="245" w:type="dxa"/>
              <w:bottom w:w="40" w:type="dxa"/>
              <w:right w:w="20" w:type="dxa"/>
            </w:tcMar>
            <w:vAlign w:val="bottom"/>
          </w:tcPr>
          <w:p w14:paraId="07DD1116" w14:textId="77777777" w:rsidR="00AE727E" w:rsidRDefault="008433E0">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7DD1117" w14:textId="77777777" w:rsidR="00AE727E" w:rsidRDefault="008433E0">
            <w:pPr>
              <w:jc w:val="right"/>
              <w:textAlignment w:val="bottom"/>
            </w:pPr>
            <w:r>
              <w:rPr>
                <w:rFonts w:ascii="Times New Roman" w:eastAsia="宋体" w:hAnsi="Times New Roman"/>
                <w:color w:val="000000"/>
                <w:sz w:val="20"/>
                <w:szCs w:val="20"/>
              </w:rPr>
              <w:t>(482)</w:t>
            </w:r>
          </w:p>
        </w:tc>
        <w:tc>
          <w:tcPr>
            <w:tcW w:w="0" w:type="auto"/>
            <w:shd w:val="clear" w:color="auto" w:fill="FFFFFF"/>
            <w:tcMar>
              <w:top w:w="40" w:type="dxa"/>
              <w:left w:w="0" w:type="dxa"/>
              <w:bottom w:w="40" w:type="dxa"/>
              <w:right w:w="20" w:type="dxa"/>
            </w:tcMar>
            <w:vAlign w:val="bottom"/>
          </w:tcPr>
          <w:p w14:paraId="07DD111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1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1A" w14:textId="77777777" w:rsidR="00AE727E" w:rsidRDefault="008433E0">
            <w:pPr>
              <w:jc w:val="right"/>
              <w:textAlignment w:val="bottom"/>
            </w:pPr>
            <w:r>
              <w:rPr>
                <w:rFonts w:ascii="Times New Roman" w:eastAsia="宋体" w:hAnsi="Times New Roman"/>
                <w:color w:val="000000"/>
                <w:sz w:val="20"/>
                <w:szCs w:val="20"/>
              </w:rPr>
              <w:t>(566)</w:t>
            </w:r>
          </w:p>
        </w:tc>
        <w:tc>
          <w:tcPr>
            <w:tcW w:w="0" w:type="auto"/>
            <w:shd w:val="clear" w:color="auto" w:fill="FFFFFF"/>
            <w:tcMar>
              <w:top w:w="40" w:type="dxa"/>
              <w:left w:w="0" w:type="dxa"/>
              <w:bottom w:w="40" w:type="dxa"/>
              <w:right w:w="20" w:type="dxa"/>
            </w:tcMar>
            <w:vAlign w:val="bottom"/>
          </w:tcPr>
          <w:p w14:paraId="07DD111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1C"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1D" w14:textId="77777777" w:rsidR="00AE727E" w:rsidRDefault="008433E0">
            <w:pPr>
              <w:jc w:val="right"/>
              <w:textAlignment w:val="bottom"/>
            </w:pPr>
            <w:r>
              <w:rPr>
                <w:rFonts w:ascii="Times New Roman" w:eastAsia="宋体" w:hAnsi="Times New Roman"/>
                <w:color w:val="000000"/>
                <w:sz w:val="20"/>
                <w:szCs w:val="20"/>
              </w:rPr>
              <w:t>(1,475)</w:t>
            </w:r>
          </w:p>
        </w:tc>
        <w:tc>
          <w:tcPr>
            <w:tcW w:w="0" w:type="auto"/>
            <w:shd w:val="clear" w:color="auto" w:fill="FFFFFF"/>
            <w:tcMar>
              <w:top w:w="40" w:type="dxa"/>
              <w:left w:w="0" w:type="dxa"/>
              <w:bottom w:w="40" w:type="dxa"/>
              <w:right w:w="20" w:type="dxa"/>
            </w:tcMar>
            <w:vAlign w:val="bottom"/>
          </w:tcPr>
          <w:p w14:paraId="07DD111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1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20" w14:textId="77777777" w:rsidR="00AE727E" w:rsidRDefault="008433E0">
            <w:pPr>
              <w:jc w:val="right"/>
              <w:textAlignment w:val="bottom"/>
            </w:pPr>
            <w:r>
              <w:rPr>
                <w:rFonts w:ascii="Times New Roman" w:eastAsia="宋体" w:hAnsi="Times New Roman"/>
                <w:color w:val="000000"/>
                <w:sz w:val="20"/>
                <w:szCs w:val="20"/>
              </w:rPr>
              <w:t>(1,855)</w:t>
            </w:r>
          </w:p>
        </w:tc>
        <w:tc>
          <w:tcPr>
            <w:tcW w:w="0" w:type="auto"/>
            <w:shd w:val="clear" w:color="auto" w:fill="FFFFFF"/>
            <w:tcMar>
              <w:top w:w="40" w:type="dxa"/>
              <w:left w:w="0" w:type="dxa"/>
              <w:bottom w:w="40" w:type="dxa"/>
              <w:right w:w="20" w:type="dxa"/>
            </w:tcMar>
            <w:vAlign w:val="bottom"/>
          </w:tcPr>
          <w:p w14:paraId="07DD1121" w14:textId="77777777" w:rsidR="00AE727E" w:rsidRDefault="00AE727E">
            <w:pPr>
              <w:jc w:val="right"/>
              <w:rPr>
                <w:rFonts w:ascii="宋体"/>
              </w:rPr>
            </w:pPr>
          </w:p>
        </w:tc>
      </w:tr>
      <w:tr w:rsidR="00AE727E" w14:paraId="07DD112F" w14:textId="77777777">
        <w:tc>
          <w:tcPr>
            <w:tcW w:w="0" w:type="auto"/>
            <w:gridSpan w:val="3"/>
            <w:shd w:val="clear" w:color="auto" w:fill="CCEEFF"/>
            <w:tcMar>
              <w:top w:w="40" w:type="dxa"/>
              <w:left w:w="245" w:type="dxa"/>
              <w:bottom w:w="40" w:type="dxa"/>
              <w:right w:w="20" w:type="dxa"/>
            </w:tcMar>
            <w:vAlign w:val="bottom"/>
          </w:tcPr>
          <w:p w14:paraId="07DD1123" w14:textId="77777777" w:rsidR="00AE727E" w:rsidRDefault="008433E0">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07DD1124" w14:textId="77777777" w:rsidR="00AE727E" w:rsidRDefault="008433E0">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7DD112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2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27" w14:textId="77777777" w:rsidR="00AE727E" w:rsidRDefault="008433E0">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07DD112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2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2A" w14:textId="77777777" w:rsidR="00AE727E" w:rsidRDefault="008433E0">
            <w:pPr>
              <w:jc w:val="right"/>
              <w:textAlignment w:val="bottom"/>
            </w:pPr>
            <w:r>
              <w:rPr>
                <w:rFonts w:ascii="Times New Roman" w:eastAsia="宋体" w:hAnsi="Times New Roman"/>
                <w:color w:val="000000"/>
                <w:sz w:val="20"/>
                <w:szCs w:val="20"/>
              </w:rPr>
              <w:t>(146)</w:t>
            </w:r>
          </w:p>
        </w:tc>
        <w:tc>
          <w:tcPr>
            <w:tcW w:w="0" w:type="auto"/>
            <w:shd w:val="clear" w:color="auto" w:fill="CCEEFF"/>
            <w:tcMar>
              <w:top w:w="40" w:type="dxa"/>
              <w:left w:w="0" w:type="dxa"/>
              <w:bottom w:w="40" w:type="dxa"/>
              <w:right w:w="20" w:type="dxa"/>
            </w:tcMar>
            <w:vAlign w:val="bottom"/>
          </w:tcPr>
          <w:p w14:paraId="07DD112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2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2D" w14:textId="77777777" w:rsidR="00AE727E" w:rsidRDefault="008433E0">
            <w:pPr>
              <w:jc w:val="right"/>
              <w:textAlignment w:val="bottom"/>
            </w:pPr>
            <w:r>
              <w:rPr>
                <w:rFonts w:ascii="Times New Roman" w:eastAsia="宋体" w:hAnsi="Times New Roman"/>
                <w:color w:val="000000"/>
                <w:sz w:val="20"/>
                <w:szCs w:val="20"/>
              </w:rPr>
              <w:t>(130)</w:t>
            </w:r>
          </w:p>
        </w:tc>
        <w:tc>
          <w:tcPr>
            <w:tcW w:w="0" w:type="auto"/>
            <w:shd w:val="clear" w:color="auto" w:fill="CCEEFF"/>
            <w:tcMar>
              <w:top w:w="40" w:type="dxa"/>
              <w:left w:w="0" w:type="dxa"/>
              <w:bottom w:w="40" w:type="dxa"/>
              <w:right w:w="20" w:type="dxa"/>
            </w:tcMar>
            <w:vAlign w:val="bottom"/>
          </w:tcPr>
          <w:p w14:paraId="07DD112E" w14:textId="77777777" w:rsidR="00AE727E" w:rsidRDefault="00AE727E">
            <w:pPr>
              <w:jc w:val="right"/>
              <w:rPr>
                <w:rFonts w:ascii="宋体"/>
              </w:rPr>
            </w:pPr>
          </w:p>
        </w:tc>
      </w:tr>
      <w:tr w:rsidR="00AE727E" w14:paraId="07DD113C" w14:textId="77777777">
        <w:tc>
          <w:tcPr>
            <w:tcW w:w="0" w:type="auto"/>
            <w:gridSpan w:val="3"/>
            <w:shd w:val="clear" w:color="auto" w:fill="FFFFFF"/>
            <w:tcMar>
              <w:top w:w="40" w:type="dxa"/>
              <w:left w:w="245" w:type="dxa"/>
              <w:bottom w:w="40" w:type="dxa"/>
              <w:right w:w="20" w:type="dxa"/>
            </w:tcMar>
            <w:vAlign w:val="bottom"/>
          </w:tcPr>
          <w:p w14:paraId="07DD1130" w14:textId="77777777" w:rsidR="00AE727E" w:rsidRDefault="008433E0">
            <w:pPr>
              <w:textAlignment w:val="bottom"/>
            </w:pPr>
            <w:r>
              <w:rPr>
                <w:rFonts w:ascii="Times New Roman" w:eastAsia="宋体" w:hAnsi="Times New Roman"/>
                <w:color w:val="000000"/>
                <w:sz w:val="20"/>
                <w:szCs w:val="20"/>
              </w:rPr>
              <w:t>Gain on disposition of businesses and assets</w:t>
            </w:r>
          </w:p>
        </w:tc>
        <w:tc>
          <w:tcPr>
            <w:tcW w:w="0" w:type="auto"/>
            <w:gridSpan w:val="2"/>
            <w:shd w:val="clear" w:color="auto" w:fill="FFFFFF"/>
            <w:tcMar>
              <w:top w:w="40" w:type="dxa"/>
              <w:left w:w="20" w:type="dxa"/>
              <w:bottom w:w="40" w:type="dxa"/>
              <w:right w:w="0" w:type="dxa"/>
            </w:tcMar>
            <w:vAlign w:val="bottom"/>
          </w:tcPr>
          <w:p w14:paraId="07DD1131" w14:textId="77777777" w:rsidR="00AE727E" w:rsidRDefault="008433E0">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DD113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3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34" w14:textId="77777777" w:rsidR="00AE727E" w:rsidRDefault="008433E0">
            <w:pPr>
              <w:jc w:val="right"/>
              <w:textAlignment w:val="bottom"/>
            </w:pPr>
            <w:r>
              <w:rPr>
                <w:rFonts w:ascii="Times New Roman" w:eastAsia="宋体" w:hAnsi="Times New Roman"/>
                <w:color w:val="000000"/>
                <w:sz w:val="20"/>
                <w:szCs w:val="20"/>
              </w:rPr>
              <w:t>338 </w:t>
            </w:r>
          </w:p>
        </w:tc>
        <w:tc>
          <w:tcPr>
            <w:tcW w:w="0" w:type="auto"/>
            <w:shd w:val="clear" w:color="auto" w:fill="FFFFFF"/>
            <w:tcMar>
              <w:top w:w="40" w:type="dxa"/>
              <w:left w:w="0" w:type="dxa"/>
              <w:bottom w:w="40" w:type="dxa"/>
              <w:right w:w="20" w:type="dxa"/>
            </w:tcMar>
            <w:vAlign w:val="bottom"/>
          </w:tcPr>
          <w:p w14:paraId="07DD113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3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37" w14:textId="77777777" w:rsidR="00AE727E" w:rsidRDefault="008433E0">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DD113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3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13A" w14:textId="77777777" w:rsidR="00AE727E" w:rsidRDefault="008433E0">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07DD113B" w14:textId="77777777" w:rsidR="00AE727E" w:rsidRDefault="00AE727E">
            <w:pPr>
              <w:jc w:val="right"/>
              <w:rPr>
                <w:rFonts w:ascii="宋体"/>
              </w:rPr>
            </w:pPr>
          </w:p>
        </w:tc>
      </w:tr>
      <w:tr w:rsidR="00AE727E" w14:paraId="07DD1149" w14:textId="77777777">
        <w:tc>
          <w:tcPr>
            <w:tcW w:w="0" w:type="auto"/>
            <w:gridSpan w:val="3"/>
            <w:shd w:val="clear" w:color="auto" w:fill="CCEEFF"/>
            <w:tcMar>
              <w:top w:w="40" w:type="dxa"/>
              <w:left w:w="245" w:type="dxa"/>
              <w:bottom w:w="40" w:type="dxa"/>
              <w:right w:w="20" w:type="dxa"/>
            </w:tcMar>
            <w:vAlign w:val="bottom"/>
          </w:tcPr>
          <w:p w14:paraId="07DD113D" w14:textId="77777777" w:rsidR="00AE727E" w:rsidRDefault="008433E0">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7DD113E" w14:textId="77777777" w:rsidR="00AE727E" w:rsidRDefault="008433E0">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07DD113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4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41" w14:textId="77777777" w:rsidR="00AE727E" w:rsidRDefault="008433E0">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07DD114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4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44" w14:textId="77777777" w:rsidR="00AE727E" w:rsidRDefault="008433E0">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07DD114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46"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47" w14:textId="77777777" w:rsidR="00AE727E" w:rsidRDefault="008433E0">
            <w:pPr>
              <w:jc w:val="right"/>
              <w:textAlignment w:val="bottom"/>
            </w:pPr>
            <w:r>
              <w:rPr>
                <w:rFonts w:ascii="Times New Roman" w:eastAsia="宋体" w:hAnsi="Times New Roman"/>
                <w:color w:val="000000"/>
                <w:sz w:val="20"/>
                <w:szCs w:val="20"/>
              </w:rPr>
              <w:t>(40)</w:t>
            </w:r>
          </w:p>
        </w:tc>
        <w:tc>
          <w:tcPr>
            <w:tcW w:w="0" w:type="auto"/>
            <w:shd w:val="clear" w:color="auto" w:fill="CCEEFF"/>
            <w:tcMar>
              <w:top w:w="40" w:type="dxa"/>
              <w:left w:w="0" w:type="dxa"/>
              <w:bottom w:w="40" w:type="dxa"/>
              <w:right w:w="20" w:type="dxa"/>
            </w:tcMar>
            <w:vAlign w:val="bottom"/>
          </w:tcPr>
          <w:p w14:paraId="07DD1148" w14:textId="77777777" w:rsidR="00AE727E" w:rsidRDefault="00AE727E">
            <w:pPr>
              <w:jc w:val="right"/>
              <w:rPr>
                <w:rFonts w:ascii="宋体"/>
              </w:rPr>
            </w:pPr>
          </w:p>
        </w:tc>
      </w:tr>
      <w:tr w:rsidR="00AE727E" w14:paraId="07DD115A" w14:textId="77777777">
        <w:tc>
          <w:tcPr>
            <w:tcW w:w="0" w:type="auto"/>
            <w:gridSpan w:val="3"/>
            <w:shd w:val="clear" w:color="auto" w:fill="FFFFFF"/>
            <w:tcMar>
              <w:top w:w="40" w:type="dxa"/>
              <w:left w:w="515" w:type="dxa"/>
              <w:bottom w:w="40" w:type="dxa"/>
              <w:right w:w="20" w:type="dxa"/>
            </w:tcMar>
            <w:vAlign w:val="bottom"/>
          </w:tcPr>
          <w:p w14:paraId="07DD114A" w14:textId="77777777" w:rsidR="00AE727E" w:rsidRDefault="008433E0">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14B"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14C" w14:textId="77777777" w:rsidR="00AE727E" w:rsidRDefault="008433E0">
            <w:pPr>
              <w:jc w:val="right"/>
              <w:textAlignment w:val="bottom"/>
            </w:pPr>
            <w:r>
              <w:rPr>
                <w:rFonts w:ascii="Times New Roman" w:eastAsia="宋体" w:hAnsi="Times New Roman"/>
                <w:color w:val="000000"/>
                <w:sz w:val="20"/>
                <w:szCs w:val="20"/>
              </w:rPr>
              <w:t>3,436 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14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4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14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150" w14:textId="77777777" w:rsidR="00AE727E" w:rsidRDefault="008433E0">
            <w:pPr>
              <w:jc w:val="right"/>
              <w:textAlignment w:val="bottom"/>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15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52"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153"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154" w14:textId="77777777" w:rsidR="00AE727E" w:rsidRDefault="008433E0">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15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56"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157"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158" w14:textId="77777777" w:rsidR="00AE727E" w:rsidRDefault="008433E0">
            <w:pPr>
              <w:jc w:val="right"/>
              <w:textAlignment w:val="bottom"/>
            </w:pPr>
            <w:r>
              <w:rPr>
                <w:rFonts w:ascii="Times New Roman" w:eastAsia="宋体" w:hAnsi="Times New Roman"/>
                <w:color w:val="000000"/>
                <w:sz w:val="20"/>
                <w:szCs w:val="20"/>
              </w:rPr>
              <w:t>(929)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159" w14:textId="77777777" w:rsidR="00AE727E" w:rsidRDefault="00AE727E">
            <w:pPr>
              <w:jc w:val="right"/>
              <w:rPr>
                <w:rFonts w:ascii="宋体"/>
              </w:rPr>
            </w:pPr>
          </w:p>
        </w:tc>
      </w:tr>
    </w:tbl>
    <w:p w14:paraId="07DD115B" w14:textId="77777777" w:rsidR="00AE727E" w:rsidRDefault="00AE727E"/>
    <w:p w14:paraId="07DD115C" w14:textId="77777777" w:rsidR="00AE727E" w:rsidRDefault="008433E0">
      <w:r>
        <w:rPr>
          <w:rFonts w:ascii="Times New Roman" w:eastAsia="宋体" w:hAnsi="Times New Roman"/>
          <w:color w:val="000000"/>
          <w:sz w:val="20"/>
          <w:szCs w:val="20"/>
        </w:rPr>
        <w:t xml:space="preserve">During the third quarter and first nine months of Fiscal 2022, the change in interest and other, net was </w:t>
      </w:r>
      <w:r>
        <w:rPr>
          <w:rFonts w:ascii="Times New Roman" w:eastAsia="宋体" w:hAnsi="Times New Roman"/>
          <w:color w:val="000000"/>
          <w:sz w:val="20"/>
          <w:szCs w:val="20"/>
        </w:rPr>
        <w:t>favorable by $3.2 billion and $3.6 billion, respectively. The favorability in both periods was primarily driven by the pre-tax gain of $4.0 billion on the sale of Boomi and, to a lesser extent, a decrease in interest expense due to debt paydowns. The favor</w:t>
      </w:r>
      <w:r>
        <w:rPr>
          <w:rFonts w:ascii="Times New Roman" w:eastAsia="宋体" w:hAnsi="Times New Roman"/>
          <w:color w:val="000000"/>
          <w:sz w:val="20"/>
          <w:szCs w:val="20"/>
        </w:rPr>
        <w:t>ability was partially offset by a decrease in net gains on our strategic investments portfolio. For further details on the Boomi divestiture, see Note 1 of the Notes to the Condensed Consolidated Financial Statements included in this report.</w:t>
      </w:r>
    </w:p>
    <w:p w14:paraId="07DD115D" w14:textId="77777777" w:rsidR="00AE727E" w:rsidRDefault="00AE727E"/>
    <w:p w14:paraId="07DD115E" w14:textId="77777777" w:rsidR="00AE727E" w:rsidRDefault="00AE727E"/>
    <w:p w14:paraId="07DD115F" w14:textId="77777777" w:rsidR="00AE727E" w:rsidRDefault="00AE727E"/>
    <w:p w14:paraId="07DD1160" w14:textId="77777777" w:rsidR="00AE727E" w:rsidRDefault="00AE727E"/>
    <w:p w14:paraId="07DD1161" w14:textId="77777777" w:rsidR="00AE727E" w:rsidRDefault="00AE727E"/>
    <w:p w14:paraId="07DD1162" w14:textId="77777777" w:rsidR="00AE727E" w:rsidRDefault="00AE727E"/>
    <w:p w14:paraId="07DD1163" w14:textId="77777777" w:rsidR="00AE727E" w:rsidRDefault="00AE727E"/>
    <w:p w14:paraId="07DD1164" w14:textId="77777777" w:rsidR="00AE727E" w:rsidRDefault="00AE727E"/>
    <w:p w14:paraId="07DD1165" w14:textId="77777777" w:rsidR="00AE727E" w:rsidRDefault="00AE727E"/>
    <w:p w14:paraId="07DD1166" w14:textId="77777777" w:rsidR="00AE727E" w:rsidRDefault="00AE727E"/>
    <w:p w14:paraId="07DD1167" w14:textId="77777777" w:rsidR="00AE727E" w:rsidRDefault="00AE727E"/>
    <w:p w14:paraId="07DD1168" w14:textId="77777777" w:rsidR="00AE727E" w:rsidRDefault="00AE727E"/>
    <w:p w14:paraId="07DD1169" w14:textId="77777777" w:rsidR="00AE727E" w:rsidRDefault="00AE727E"/>
    <w:p w14:paraId="07DD116A" w14:textId="77777777" w:rsidR="00AE727E" w:rsidRDefault="00AE727E"/>
    <w:p w14:paraId="07DD116B" w14:textId="77777777" w:rsidR="00AE727E" w:rsidRDefault="00AE727E"/>
    <w:p w14:paraId="07DD116C" w14:textId="77777777" w:rsidR="00AE727E" w:rsidRDefault="00AE727E"/>
    <w:p w14:paraId="07DD116D" w14:textId="77777777" w:rsidR="00AE727E" w:rsidRDefault="00AE727E"/>
    <w:p w14:paraId="07DD116E" w14:textId="77777777" w:rsidR="00AE727E" w:rsidRDefault="00AE727E">
      <w:pPr>
        <w:jc w:val="center"/>
      </w:pPr>
    </w:p>
    <w:p w14:paraId="07DD116F" w14:textId="77777777" w:rsidR="00AE727E" w:rsidRDefault="008433E0">
      <w:pPr>
        <w:jc w:val="center"/>
      </w:pPr>
      <w:r>
        <w:rPr>
          <w:rFonts w:ascii="Times New Roman" w:eastAsia="宋体" w:hAnsi="Times New Roman"/>
          <w:color w:val="000000"/>
          <w:sz w:val="20"/>
          <w:szCs w:val="20"/>
        </w:rPr>
        <w:t>77</w:t>
      </w:r>
    </w:p>
    <w:p w14:paraId="07DD1170" w14:textId="77777777" w:rsidR="00AE727E" w:rsidRDefault="00AE727E">
      <w:pPr>
        <w:jc w:val="center"/>
      </w:pPr>
    </w:p>
    <w:p w14:paraId="07DD1171" w14:textId="77777777" w:rsidR="00AE727E" w:rsidRDefault="008433E0">
      <w:r>
        <w:pict w14:anchorId="07DD191D">
          <v:rect id="_x0000_i1101" style="width:415.3pt;height:1.5pt" o:hralign="center" o:hrstd="t" o:hr="t" fillcolor="#a0a0a0" stroked="f"/>
        </w:pict>
      </w:r>
    </w:p>
    <w:p w14:paraId="07DD1172" w14:textId="77777777" w:rsidR="00AE727E" w:rsidRDefault="008433E0">
      <w:hyperlink r:id="rId202" w:anchor="i1c8279be622a460ea19600488436f115_10" w:history="1">
        <w:r>
          <w:rPr>
            <w:rStyle w:val="a5"/>
            <w:rFonts w:ascii="Times New Roman" w:eastAsia="宋体" w:hAnsi="Times New Roman"/>
            <w:sz w:val="20"/>
            <w:szCs w:val="20"/>
          </w:rPr>
          <w:t>Table of Contents</w:t>
        </w:r>
      </w:hyperlink>
    </w:p>
    <w:p w14:paraId="07DD1173" w14:textId="77777777" w:rsidR="00AE727E" w:rsidRDefault="008433E0">
      <w:r>
        <w:rPr>
          <w:rFonts w:ascii="Times New Roman" w:eastAsia="宋体" w:hAnsi="Times New Roman"/>
          <w:b/>
          <w:bCs/>
          <w:color w:val="000000"/>
          <w:sz w:val="20"/>
          <w:szCs w:val="20"/>
        </w:rPr>
        <w:t>Income and Other Taxes</w:t>
      </w:r>
    </w:p>
    <w:p w14:paraId="07DD1174" w14:textId="77777777" w:rsidR="00AE727E" w:rsidRDefault="00AE727E"/>
    <w:p w14:paraId="07DD1175" w14:textId="77777777" w:rsidR="00AE727E" w:rsidRDefault="008433E0">
      <w:pPr>
        <w:spacing w:after="60"/>
      </w:pPr>
      <w:r>
        <w:rPr>
          <w:rFonts w:ascii="Times New Roman" w:eastAsia="宋体" w:hAnsi="Times New Roman"/>
          <w:color w:val="000000"/>
          <w:sz w:val="20"/>
          <w:szCs w:val="20"/>
        </w:rPr>
        <w:t xml:space="preserve">The following table presents </w:t>
      </w:r>
      <w:r>
        <w:rPr>
          <w:rFonts w:ascii="Times New Roman" w:eastAsia="宋体" w:hAnsi="Times New Roman"/>
          <w:color w:val="000000"/>
          <w:sz w:val="20"/>
          <w:szCs w:val="20"/>
        </w:rPr>
        <w:t>information regarding our income and other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987"/>
        <w:gridCol w:w="37"/>
        <w:gridCol w:w="120"/>
        <w:gridCol w:w="1143"/>
        <w:gridCol w:w="187"/>
        <w:gridCol w:w="36"/>
        <w:gridCol w:w="36"/>
        <w:gridCol w:w="36"/>
        <w:gridCol w:w="120"/>
        <w:gridCol w:w="1193"/>
        <w:gridCol w:w="187"/>
        <w:gridCol w:w="36"/>
        <w:gridCol w:w="36"/>
        <w:gridCol w:w="36"/>
        <w:gridCol w:w="120"/>
        <w:gridCol w:w="1193"/>
        <w:gridCol w:w="187"/>
        <w:gridCol w:w="36"/>
        <w:gridCol w:w="36"/>
        <w:gridCol w:w="36"/>
        <w:gridCol w:w="120"/>
        <w:gridCol w:w="1193"/>
        <w:gridCol w:w="187"/>
      </w:tblGrid>
      <w:tr w:rsidR="00AE727E" w14:paraId="07DD118E" w14:textId="77777777">
        <w:tc>
          <w:tcPr>
            <w:tcW w:w="50" w:type="pct"/>
            <w:shd w:val="clear" w:color="auto" w:fill="auto"/>
            <w:vAlign w:val="bottom"/>
          </w:tcPr>
          <w:p w14:paraId="07DD1176" w14:textId="77777777" w:rsidR="00AE727E" w:rsidRDefault="00AE727E">
            <w:pPr>
              <w:rPr>
                <w:rFonts w:ascii="宋体"/>
              </w:rPr>
            </w:pPr>
          </w:p>
        </w:tc>
        <w:tc>
          <w:tcPr>
            <w:tcW w:w="1377" w:type="pct"/>
            <w:shd w:val="clear" w:color="auto" w:fill="auto"/>
            <w:vAlign w:val="bottom"/>
          </w:tcPr>
          <w:p w14:paraId="07DD1177" w14:textId="77777777" w:rsidR="00AE727E" w:rsidRDefault="00AE727E">
            <w:pPr>
              <w:rPr>
                <w:rFonts w:ascii="宋体"/>
              </w:rPr>
            </w:pPr>
          </w:p>
        </w:tc>
        <w:tc>
          <w:tcPr>
            <w:tcW w:w="5" w:type="pct"/>
            <w:shd w:val="clear" w:color="auto" w:fill="auto"/>
            <w:vAlign w:val="bottom"/>
          </w:tcPr>
          <w:p w14:paraId="07DD1178" w14:textId="77777777" w:rsidR="00AE727E" w:rsidRDefault="00AE727E">
            <w:pPr>
              <w:rPr>
                <w:rFonts w:ascii="宋体"/>
              </w:rPr>
            </w:pPr>
          </w:p>
        </w:tc>
        <w:tc>
          <w:tcPr>
            <w:tcW w:w="50" w:type="pct"/>
            <w:shd w:val="clear" w:color="auto" w:fill="auto"/>
            <w:vAlign w:val="bottom"/>
          </w:tcPr>
          <w:p w14:paraId="07DD1179" w14:textId="77777777" w:rsidR="00AE727E" w:rsidRDefault="00AE727E">
            <w:pPr>
              <w:rPr>
                <w:rFonts w:ascii="宋体"/>
              </w:rPr>
            </w:pPr>
          </w:p>
        </w:tc>
        <w:tc>
          <w:tcPr>
            <w:tcW w:w="792" w:type="pct"/>
            <w:shd w:val="clear" w:color="auto" w:fill="auto"/>
            <w:vAlign w:val="bottom"/>
          </w:tcPr>
          <w:p w14:paraId="07DD117A" w14:textId="77777777" w:rsidR="00AE727E" w:rsidRDefault="00AE727E">
            <w:pPr>
              <w:rPr>
                <w:rFonts w:ascii="宋体"/>
              </w:rPr>
            </w:pPr>
          </w:p>
        </w:tc>
        <w:tc>
          <w:tcPr>
            <w:tcW w:w="5" w:type="pct"/>
            <w:shd w:val="clear" w:color="auto" w:fill="auto"/>
            <w:vAlign w:val="bottom"/>
          </w:tcPr>
          <w:p w14:paraId="07DD117B" w14:textId="77777777" w:rsidR="00AE727E" w:rsidRDefault="00AE727E">
            <w:pPr>
              <w:rPr>
                <w:rFonts w:ascii="宋体"/>
              </w:rPr>
            </w:pPr>
          </w:p>
        </w:tc>
        <w:tc>
          <w:tcPr>
            <w:tcW w:w="5" w:type="pct"/>
            <w:shd w:val="clear" w:color="auto" w:fill="auto"/>
            <w:vAlign w:val="bottom"/>
          </w:tcPr>
          <w:p w14:paraId="07DD117C" w14:textId="77777777" w:rsidR="00AE727E" w:rsidRDefault="00AE727E">
            <w:pPr>
              <w:rPr>
                <w:rFonts w:ascii="宋体"/>
              </w:rPr>
            </w:pPr>
          </w:p>
        </w:tc>
        <w:tc>
          <w:tcPr>
            <w:tcW w:w="19" w:type="pct"/>
            <w:shd w:val="clear" w:color="auto" w:fill="auto"/>
            <w:vAlign w:val="bottom"/>
          </w:tcPr>
          <w:p w14:paraId="07DD117D" w14:textId="77777777" w:rsidR="00AE727E" w:rsidRDefault="00AE727E">
            <w:pPr>
              <w:rPr>
                <w:rFonts w:ascii="宋体"/>
              </w:rPr>
            </w:pPr>
          </w:p>
        </w:tc>
        <w:tc>
          <w:tcPr>
            <w:tcW w:w="5" w:type="pct"/>
            <w:shd w:val="clear" w:color="auto" w:fill="auto"/>
            <w:vAlign w:val="bottom"/>
          </w:tcPr>
          <w:p w14:paraId="07DD117E" w14:textId="77777777" w:rsidR="00AE727E" w:rsidRDefault="00AE727E">
            <w:pPr>
              <w:rPr>
                <w:rFonts w:ascii="宋体"/>
              </w:rPr>
            </w:pPr>
          </w:p>
        </w:tc>
        <w:tc>
          <w:tcPr>
            <w:tcW w:w="50" w:type="pct"/>
            <w:shd w:val="clear" w:color="auto" w:fill="auto"/>
            <w:vAlign w:val="bottom"/>
          </w:tcPr>
          <w:p w14:paraId="07DD117F" w14:textId="77777777" w:rsidR="00AE727E" w:rsidRDefault="00AE727E">
            <w:pPr>
              <w:rPr>
                <w:rFonts w:ascii="宋体"/>
              </w:rPr>
            </w:pPr>
          </w:p>
        </w:tc>
        <w:tc>
          <w:tcPr>
            <w:tcW w:w="822" w:type="pct"/>
            <w:shd w:val="clear" w:color="auto" w:fill="auto"/>
            <w:vAlign w:val="bottom"/>
          </w:tcPr>
          <w:p w14:paraId="07DD1180" w14:textId="77777777" w:rsidR="00AE727E" w:rsidRDefault="00AE727E">
            <w:pPr>
              <w:rPr>
                <w:rFonts w:ascii="宋体"/>
              </w:rPr>
            </w:pPr>
          </w:p>
        </w:tc>
        <w:tc>
          <w:tcPr>
            <w:tcW w:w="5" w:type="pct"/>
            <w:shd w:val="clear" w:color="auto" w:fill="auto"/>
            <w:vAlign w:val="bottom"/>
          </w:tcPr>
          <w:p w14:paraId="07DD1181" w14:textId="77777777" w:rsidR="00AE727E" w:rsidRDefault="00AE727E">
            <w:pPr>
              <w:rPr>
                <w:rFonts w:ascii="宋体"/>
              </w:rPr>
            </w:pPr>
          </w:p>
        </w:tc>
        <w:tc>
          <w:tcPr>
            <w:tcW w:w="5" w:type="pct"/>
            <w:shd w:val="clear" w:color="auto" w:fill="auto"/>
            <w:vAlign w:val="bottom"/>
          </w:tcPr>
          <w:p w14:paraId="07DD1182" w14:textId="77777777" w:rsidR="00AE727E" w:rsidRDefault="00AE727E">
            <w:pPr>
              <w:rPr>
                <w:rFonts w:ascii="宋体"/>
              </w:rPr>
            </w:pPr>
          </w:p>
        </w:tc>
        <w:tc>
          <w:tcPr>
            <w:tcW w:w="19" w:type="pct"/>
            <w:shd w:val="clear" w:color="auto" w:fill="auto"/>
            <w:vAlign w:val="bottom"/>
          </w:tcPr>
          <w:p w14:paraId="07DD1183" w14:textId="77777777" w:rsidR="00AE727E" w:rsidRDefault="00AE727E">
            <w:pPr>
              <w:rPr>
                <w:rFonts w:ascii="宋体"/>
              </w:rPr>
            </w:pPr>
          </w:p>
        </w:tc>
        <w:tc>
          <w:tcPr>
            <w:tcW w:w="5" w:type="pct"/>
            <w:shd w:val="clear" w:color="auto" w:fill="auto"/>
            <w:vAlign w:val="bottom"/>
          </w:tcPr>
          <w:p w14:paraId="07DD1184" w14:textId="77777777" w:rsidR="00AE727E" w:rsidRDefault="00AE727E">
            <w:pPr>
              <w:rPr>
                <w:rFonts w:ascii="宋体"/>
              </w:rPr>
            </w:pPr>
          </w:p>
        </w:tc>
        <w:tc>
          <w:tcPr>
            <w:tcW w:w="50" w:type="pct"/>
            <w:shd w:val="clear" w:color="auto" w:fill="auto"/>
            <w:vAlign w:val="bottom"/>
          </w:tcPr>
          <w:p w14:paraId="07DD1185" w14:textId="77777777" w:rsidR="00AE727E" w:rsidRDefault="00AE727E">
            <w:pPr>
              <w:rPr>
                <w:rFonts w:ascii="宋体"/>
              </w:rPr>
            </w:pPr>
          </w:p>
        </w:tc>
        <w:tc>
          <w:tcPr>
            <w:tcW w:w="822" w:type="pct"/>
            <w:shd w:val="clear" w:color="auto" w:fill="auto"/>
            <w:vAlign w:val="bottom"/>
          </w:tcPr>
          <w:p w14:paraId="07DD1186" w14:textId="77777777" w:rsidR="00AE727E" w:rsidRDefault="00AE727E">
            <w:pPr>
              <w:rPr>
                <w:rFonts w:ascii="宋体"/>
              </w:rPr>
            </w:pPr>
          </w:p>
        </w:tc>
        <w:tc>
          <w:tcPr>
            <w:tcW w:w="5" w:type="pct"/>
            <w:shd w:val="clear" w:color="auto" w:fill="auto"/>
            <w:vAlign w:val="bottom"/>
          </w:tcPr>
          <w:p w14:paraId="07DD1187" w14:textId="77777777" w:rsidR="00AE727E" w:rsidRDefault="00AE727E">
            <w:pPr>
              <w:rPr>
                <w:rFonts w:ascii="宋体"/>
              </w:rPr>
            </w:pPr>
          </w:p>
        </w:tc>
        <w:tc>
          <w:tcPr>
            <w:tcW w:w="5" w:type="pct"/>
            <w:shd w:val="clear" w:color="auto" w:fill="auto"/>
            <w:vAlign w:val="bottom"/>
          </w:tcPr>
          <w:p w14:paraId="07DD1188" w14:textId="77777777" w:rsidR="00AE727E" w:rsidRDefault="00AE727E">
            <w:pPr>
              <w:rPr>
                <w:rFonts w:ascii="宋体"/>
              </w:rPr>
            </w:pPr>
          </w:p>
        </w:tc>
        <w:tc>
          <w:tcPr>
            <w:tcW w:w="19" w:type="pct"/>
            <w:shd w:val="clear" w:color="auto" w:fill="auto"/>
            <w:vAlign w:val="bottom"/>
          </w:tcPr>
          <w:p w14:paraId="07DD1189" w14:textId="77777777" w:rsidR="00AE727E" w:rsidRDefault="00AE727E">
            <w:pPr>
              <w:rPr>
                <w:rFonts w:ascii="宋体"/>
              </w:rPr>
            </w:pPr>
          </w:p>
        </w:tc>
        <w:tc>
          <w:tcPr>
            <w:tcW w:w="5" w:type="pct"/>
            <w:shd w:val="clear" w:color="auto" w:fill="auto"/>
            <w:vAlign w:val="bottom"/>
          </w:tcPr>
          <w:p w14:paraId="07DD118A" w14:textId="77777777" w:rsidR="00AE727E" w:rsidRDefault="00AE727E">
            <w:pPr>
              <w:rPr>
                <w:rFonts w:ascii="宋体"/>
              </w:rPr>
            </w:pPr>
          </w:p>
        </w:tc>
        <w:tc>
          <w:tcPr>
            <w:tcW w:w="50" w:type="pct"/>
            <w:shd w:val="clear" w:color="auto" w:fill="auto"/>
            <w:vAlign w:val="bottom"/>
          </w:tcPr>
          <w:p w14:paraId="07DD118B" w14:textId="77777777" w:rsidR="00AE727E" w:rsidRDefault="00AE727E">
            <w:pPr>
              <w:rPr>
                <w:rFonts w:ascii="宋体"/>
              </w:rPr>
            </w:pPr>
          </w:p>
        </w:tc>
        <w:tc>
          <w:tcPr>
            <w:tcW w:w="822" w:type="pct"/>
            <w:shd w:val="clear" w:color="auto" w:fill="auto"/>
            <w:vAlign w:val="bottom"/>
          </w:tcPr>
          <w:p w14:paraId="07DD118C" w14:textId="77777777" w:rsidR="00AE727E" w:rsidRDefault="00AE727E">
            <w:pPr>
              <w:rPr>
                <w:rFonts w:ascii="宋体"/>
              </w:rPr>
            </w:pPr>
          </w:p>
        </w:tc>
        <w:tc>
          <w:tcPr>
            <w:tcW w:w="5" w:type="pct"/>
            <w:shd w:val="clear" w:color="auto" w:fill="auto"/>
            <w:vAlign w:val="bottom"/>
          </w:tcPr>
          <w:p w14:paraId="07DD118D" w14:textId="77777777" w:rsidR="00AE727E" w:rsidRDefault="00AE727E">
            <w:pPr>
              <w:rPr>
                <w:rFonts w:ascii="宋体"/>
              </w:rPr>
            </w:pPr>
          </w:p>
        </w:tc>
      </w:tr>
      <w:tr w:rsidR="00AE727E" w14:paraId="07DD1193" w14:textId="77777777">
        <w:tc>
          <w:tcPr>
            <w:tcW w:w="0" w:type="auto"/>
            <w:gridSpan w:val="3"/>
            <w:shd w:val="clear" w:color="auto" w:fill="auto"/>
            <w:tcMar>
              <w:top w:w="0" w:type="dxa"/>
              <w:left w:w="20" w:type="dxa"/>
              <w:bottom w:w="0" w:type="dxa"/>
              <w:right w:w="20" w:type="dxa"/>
            </w:tcMar>
            <w:vAlign w:val="bottom"/>
          </w:tcPr>
          <w:p w14:paraId="07DD118F"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1190"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191"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1192"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19C" w14:textId="77777777">
        <w:tc>
          <w:tcPr>
            <w:tcW w:w="0" w:type="auto"/>
            <w:gridSpan w:val="3"/>
            <w:shd w:val="clear" w:color="auto" w:fill="auto"/>
            <w:tcMar>
              <w:top w:w="0" w:type="dxa"/>
              <w:left w:w="20" w:type="dxa"/>
              <w:bottom w:w="0" w:type="dxa"/>
              <w:right w:w="20" w:type="dxa"/>
            </w:tcMar>
            <w:vAlign w:val="bottom"/>
          </w:tcPr>
          <w:p w14:paraId="07DD1194"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195"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19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197"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198"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199"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19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19B"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1A1" w14:textId="77777777">
        <w:tc>
          <w:tcPr>
            <w:tcW w:w="0" w:type="auto"/>
            <w:gridSpan w:val="3"/>
            <w:shd w:val="clear" w:color="auto" w:fill="auto"/>
            <w:tcMar>
              <w:top w:w="0" w:type="dxa"/>
              <w:left w:w="20" w:type="dxa"/>
              <w:bottom w:w="0" w:type="dxa"/>
              <w:right w:w="20" w:type="dxa"/>
            </w:tcMar>
            <w:vAlign w:val="bottom"/>
          </w:tcPr>
          <w:p w14:paraId="07DD119D"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19E" w14:textId="77777777" w:rsidR="00AE727E" w:rsidRDefault="008433E0">
            <w:pPr>
              <w:jc w:val="center"/>
              <w:textAlignment w:val="bottom"/>
            </w:pPr>
            <w:r>
              <w:rPr>
                <w:rFonts w:ascii="Times New Roman" w:eastAsia="宋体" w:hAnsi="Times New Roman"/>
                <w:color w:val="000000"/>
                <w:sz w:val="20"/>
                <w:szCs w:val="20"/>
              </w:rPr>
              <w:t>(in millions, except percentages)</w:t>
            </w:r>
          </w:p>
        </w:tc>
        <w:tc>
          <w:tcPr>
            <w:tcW w:w="0" w:type="auto"/>
            <w:gridSpan w:val="3"/>
            <w:shd w:val="clear" w:color="auto" w:fill="auto"/>
            <w:tcMar>
              <w:top w:w="0" w:type="dxa"/>
              <w:left w:w="20" w:type="dxa"/>
              <w:bottom w:w="0" w:type="dxa"/>
              <w:right w:w="20" w:type="dxa"/>
            </w:tcMar>
            <w:vAlign w:val="bottom"/>
          </w:tcPr>
          <w:p w14:paraId="07DD119F"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1A0" w14:textId="77777777" w:rsidR="00AE727E" w:rsidRDefault="008433E0">
            <w:pPr>
              <w:jc w:val="center"/>
              <w:textAlignment w:val="bottom"/>
            </w:pPr>
            <w:r>
              <w:rPr>
                <w:rFonts w:ascii="Times New Roman" w:eastAsia="宋体" w:hAnsi="Times New Roman"/>
                <w:color w:val="000000"/>
                <w:sz w:val="20"/>
                <w:szCs w:val="20"/>
              </w:rPr>
              <w:t>(in millions, except percentages)</w:t>
            </w:r>
          </w:p>
        </w:tc>
      </w:tr>
      <w:tr w:rsidR="00AE727E" w14:paraId="07DD11B2" w14:textId="77777777">
        <w:tc>
          <w:tcPr>
            <w:tcW w:w="0" w:type="auto"/>
            <w:gridSpan w:val="3"/>
            <w:shd w:val="clear" w:color="auto" w:fill="CCEEFF"/>
            <w:tcMar>
              <w:top w:w="40" w:type="dxa"/>
              <w:left w:w="20" w:type="dxa"/>
              <w:bottom w:w="40" w:type="dxa"/>
              <w:right w:w="20" w:type="dxa"/>
            </w:tcMar>
            <w:vAlign w:val="bottom"/>
          </w:tcPr>
          <w:p w14:paraId="07DD11A2" w14:textId="77777777" w:rsidR="00AE727E" w:rsidRDefault="008433E0">
            <w:pPr>
              <w:textAlignment w:val="bottom"/>
            </w:pPr>
            <w:r>
              <w:rPr>
                <w:rFonts w:ascii="Times New Roman" w:eastAsia="宋体" w:hAnsi="Times New Roman"/>
                <w:color w:val="000000"/>
                <w:sz w:val="20"/>
                <w:szCs w:val="20"/>
              </w:rPr>
              <w:t>Income before income taxes</w:t>
            </w:r>
          </w:p>
        </w:tc>
        <w:tc>
          <w:tcPr>
            <w:tcW w:w="0" w:type="auto"/>
            <w:shd w:val="clear" w:color="auto" w:fill="CCEEFF"/>
            <w:tcMar>
              <w:top w:w="40" w:type="dxa"/>
              <w:left w:w="20" w:type="dxa"/>
              <w:bottom w:w="40" w:type="dxa"/>
              <w:right w:w="0" w:type="dxa"/>
            </w:tcMar>
            <w:vAlign w:val="bottom"/>
          </w:tcPr>
          <w:p w14:paraId="07DD11A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1A4" w14:textId="77777777" w:rsidR="00AE727E" w:rsidRDefault="008433E0">
            <w:pPr>
              <w:jc w:val="right"/>
              <w:textAlignment w:val="bottom"/>
            </w:pPr>
            <w:r>
              <w:rPr>
                <w:rFonts w:ascii="Times New Roman" w:eastAsia="宋体" w:hAnsi="Times New Roman"/>
                <w:color w:val="000000"/>
                <w:sz w:val="20"/>
                <w:szCs w:val="20"/>
              </w:rPr>
              <w:t>4,785 </w:t>
            </w:r>
          </w:p>
        </w:tc>
        <w:tc>
          <w:tcPr>
            <w:tcW w:w="0" w:type="auto"/>
            <w:shd w:val="clear" w:color="auto" w:fill="CCEEFF"/>
            <w:tcMar>
              <w:top w:w="40" w:type="dxa"/>
              <w:left w:w="0" w:type="dxa"/>
              <w:bottom w:w="40" w:type="dxa"/>
              <w:right w:w="20" w:type="dxa"/>
            </w:tcMar>
            <w:vAlign w:val="bottom"/>
          </w:tcPr>
          <w:p w14:paraId="07DD11A5"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A6"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1A7"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1A8" w14:textId="77777777" w:rsidR="00AE727E" w:rsidRDefault="008433E0">
            <w:pPr>
              <w:jc w:val="right"/>
              <w:textAlignment w:val="bottom"/>
            </w:pPr>
            <w:r>
              <w:rPr>
                <w:rFonts w:ascii="Times New Roman" w:eastAsia="宋体" w:hAnsi="Times New Roman"/>
                <w:color w:val="000000"/>
                <w:sz w:val="20"/>
                <w:szCs w:val="20"/>
              </w:rPr>
              <w:t>1,402 </w:t>
            </w:r>
          </w:p>
        </w:tc>
        <w:tc>
          <w:tcPr>
            <w:tcW w:w="0" w:type="auto"/>
            <w:shd w:val="clear" w:color="auto" w:fill="CCEEFF"/>
            <w:tcMar>
              <w:top w:w="40" w:type="dxa"/>
              <w:left w:w="0" w:type="dxa"/>
              <w:bottom w:w="40" w:type="dxa"/>
              <w:right w:w="20" w:type="dxa"/>
            </w:tcMar>
            <w:vAlign w:val="bottom"/>
          </w:tcPr>
          <w:p w14:paraId="07DD11A9"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AA"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1A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1AC" w14:textId="77777777" w:rsidR="00AE727E" w:rsidRDefault="008433E0">
            <w:pPr>
              <w:jc w:val="right"/>
              <w:textAlignment w:val="bottom"/>
            </w:pPr>
            <w:r>
              <w:rPr>
                <w:rFonts w:ascii="Times New Roman" w:eastAsia="宋体" w:hAnsi="Times New Roman"/>
                <w:color w:val="000000"/>
                <w:sz w:val="20"/>
                <w:szCs w:val="20"/>
              </w:rPr>
              <w:t>6,785 </w:t>
            </w:r>
          </w:p>
        </w:tc>
        <w:tc>
          <w:tcPr>
            <w:tcW w:w="0" w:type="auto"/>
            <w:shd w:val="clear" w:color="auto" w:fill="CCEEFF"/>
            <w:tcMar>
              <w:top w:w="40" w:type="dxa"/>
              <w:left w:w="0" w:type="dxa"/>
              <w:bottom w:w="40" w:type="dxa"/>
              <w:right w:w="20" w:type="dxa"/>
            </w:tcMar>
            <w:vAlign w:val="bottom"/>
          </w:tcPr>
          <w:p w14:paraId="07DD11A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1AE"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1AF"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1B0" w14:textId="77777777" w:rsidR="00AE727E" w:rsidRDefault="008433E0">
            <w:pPr>
              <w:jc w:val="right"/>
              <w:textAlignment w:val="bottom"/>
            </w:pPr>
            <w:r>
              <w:rPr>
                <w:rFonts w:ascii="Times New Roman" w:eastAsia="宋体" w:hAnsi="Times New Roman"/>
                <w:color w:val="000000"/>
                <w:sz w:val="20"/>
                <w:szCs w:val="20"/>
              </w:rPr>
              <w:t>2,038 </w:t>
            </w:r>
          </w:p>
        </w:tc>
        <w:tc>
          <w:tcPr>
            <w:tcW w:w="0" w:type="auto"/>
            <w:shd w:val="clear" w:color="auto" w:fill="CCEEFF"/>
            <w:tcMar>
              <w:top w:w="40" w:type="dxa"/>
              <w:left w:w="0" w:type="dxa"/>
              <w:bottom w:w="40" w:type="dxa"/>
              <w:right w:w="20" w:type="dxa"/>
            </w:tcMar>
            <w:vAlign w:val="bottom"/>
          </w:tcPr>
          <w:p w14:paraId="07DD11B1" w14:textId="77777777" w:rsidR="00AE727E" w:rsidRDefault="00AE727E">
            <w:pPr>
              <w:jc w:val="right"/>
              <w:rPr>
                <w:rFonts w:ascii="宋体"/>
              </w:rPr>
            </w:pPr>
          </w:p>
        </w:tc>
      </w:tr>
      <w:tr w:rsidR="00AE727E" w14:paraId="07DD11C3" w14:textId="77777777">
        <w:tc>
          <w:tcPr>
            <w:tcW w:w="0" w:type="auto"/>
            <w:gridSpan w:val="3"/>
            <w:shd w:val="clear" w:color="auto" w:fill="FFFFFF"/>
            <w:tcMar>
              <w:top w:w="40" w:type="dxa"/>
              <w:left w:w="20" w:type="dxa"/>
              <w:bottom w:w="40" w:type="dxa"/>
              <w:right w:w="20" w:type="dxa"/>
            </w:tcMar>
            <w:vAlign w:val="bottom"/>
          </w:tcPr>
          <w:p w14:paraId="07DD11B3" w14:textId="77777777" w:rsidR="00AE727E" w:rsidRDefault="008433E0">
            <w:pPr>
              <w:textAlignment w:val="bottom"/>
            </w:pPr>
            <w:r>
              <w:rPr>
                <w:rFonts w:ascii="Times New Roman" w:eastAsia="宋体" w:hAnsi="Times New Roman"/>
                <w:color w:val="000000"/>
                <w:sz w:val="20"/>
                <w:szCs w:val="20"/>
              </w:rPr>
              <w:t>Income tax expense (benefit)</w:t>
            </w:r>
          </w:p>
        </w:tc>
        <w:tc>
          <w:tcPr>
            <w:tcW w:w="0" w:type="auto"/>
            <w:shd w:val="clear" w:color="auto" w:fill="FFFFFF"/>
            <w:tcMar>
              <w:top w:w="40" w:type="dxa"/>
              <w:left w:w="20" w:type="dxa"/>
              <w:bottom w:w="40" w:type="dxa"/>
              <w:right w:w="0" w:type="dxa"/>
            </w:tcMar>
            <w:vAlign w:val="bottom"/>
          </w:tcPr>
          <w:p w14:paraId="07DD11B4"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B5" w14:textId="77777777" w:rsidR="00AE727E" w:rsidRDefault="008433E0">
            <w:pPr>
              <w:jc w:val="right"/>
              <w:textAlignment w:val="bottom"/>
            </w:pPr>
            <w:r>
              <w:rPr>
                <w:rFonts w:ascii="Times New Roman" w:eastAsia="宋体" w:hAnsi="Times New Roman"/>
                <w:color w:val="000000"/>
                <w:sz w:val="20"/>
                <w:szCs w:val="20"/>
              </w:rPr>
              <w:t>897 </w:t>
            </w:r>
          </w:p>
        </w:tc>
        <w:tc>
          <w:tcPr>
            <w:tcW w:w="0" w:type="auto"/>
            <w:shd w:val="clear" w:color="auto" w:fill="FFFFFF"/>
            <w:tcMar>
              <w:top w:w="40" w:type="dxa"/>
              <w:left w:w="0" w:type="dxa"/>
              <w:bottom w:w="40" w:type="dxa"/>
              <w:right w:w="20" w:type="dxa"/>
            </w:tcMar>
            <w:vAlign w:val="bottom"/>
          </w:tcPr>
          <w:p w14:paraId="07DD11B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B7"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1B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B9" w14:textId="77777777" w:rsidR="00AE727E" w:rsidRDefault="008433E0">
            <w:pPr>
              <w:jc w:val="right"/>
              <w:textAlignment w:val="bottom"/>
            </w:pPr>
            <w:r>
              <w:rPr>
                <w:rFonts w:ascii="Times New Roman" w:eastAsia="宋体" w:hAnsi="Times New Roman"/>
                <w:color w:val="000000"/>
                <w:sz w:val="20"/>
                <w:szCs w:val="20"/>
              </w:rPr>
              <w:t>521 </w:t>
            </w:r>
          </w:p>
        </w:tc>
        <w:tc>
          <w:tcPr>
            <w:tcW w:w="0" w:type="auto"/>
            <w:shd w:val="clear" w:color="auto" w:fill="FFFFFF"/>
            <w:tcMar>
              <w:top w:w="40" w:type="dxa"/>
              <w:left w:w="0" w:type="dxa"/>
              <w:bottom w:w="40" w:type="dxa"/>
              <w:right w:w="20" w:type="dxa"/>
            </w:tcMar>
            <w:vAlign w:val="bottom"/>
          </w:tcPr>
          <w:p w14:paraId="07DD11B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BB"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1BC"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BD" w14:textId="77777777" w:rsidR="00AE727E" w:rsidRDefault="008433E0">
            <w:pPr>
              <w:jc w:val="right"/>
              <w:textAlignment w:val="bottom"/>
            </w:pPr>
            <w:r>
              <w:rPr>
                <w:rFonts w:ascii="Times New Roman" w:eastAsia="宋体" w:hAnsi="Times New Roman"/>
                <w:color w:val="000000"/>
                <w:sz w:val="20"/>
                <w:szCs w:val="20"/>
              </w:rPr>
              <w:t>1,079 </w:t>
            </w:r>
          </w:p>
        </w:tc>
        <w:tc>
          <w:tcPr>
            <w:tcW w:w="0" w:type="auto"/>
            <w:shd w:val="clear" w:color="auto" w:fill="FFFFFF"/>
            <w:tcMar>
              <w:top w:w="40" w:type="dxa"/>
              <w:left w:w="0" w:type="dxa"/>
              <w:bottom w:w="40" w:type="dxa"/>
              <w:right w:w="20" w:type="dxa"/>
            </w:tcMar>
            <w:vAlign w:val="bottom"/>
          </w:tcPr>
          <w:p w14:paraId="07DD11BE"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1BF"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1C0"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1C1" w14:textId="77777777" w:rsidR="00AE727E" w:rsidRDefault="008433E0">
            <w:pPr>
              <w:jc w:val="right"/>
              <w:textAlignment w:val="bottom"/>
            </w:pPr>
            <w:r>
              <w:rPr>
                <w:rFonts w:ascii="Times New Roman" w:eastAsia="宋体" w:hAnsi="Times New Roman"/>
                <w:color w:val="000000"/>
                <w:sz w:val="20"/>
                <w:szCs w:val="20"/>
              </w:rPr>
              <w:t>(124)</w:t>
            </w:r>
          </w:p>
        </w:tc>
        <w:tc>
          <w:tcPr>
            <w:tcW w:w="0" w:type="auto"/>
            <w:shd w:val="clear" w:color="auto" w:fill="FFFFFF"/>
            <w:tcMar>
              <w:top w:w="40" w:type="dxa"/>
              <w:left w:w="0" w:type="dxa"/>
              <w:bottom w:w="40" w:type="dxa"/>
              <w:right w:w="20" w:type="dxa"/>
            </w:tcMar>
            <w:vAlign w:val="bottom"/>
          </w:tcPr>
          <w:p w14:paraId="07DD11C2" w14:textId="77777777" w:rsidR="00AE727E" w:rsidRDefault="00AE727E">
            <w:pPr>
              <w:jc w:val="right"/>
              <w:rPr>
                <w:rFonts w:ascii="宋体"/>
              </w:rPr>
            </w:pPr>
          </w:p>
        </w:tc>
      </w:tr>
      <w:tr w:rsidR="00AE727E" w14:paraId="07DD11D0" w14:textId="77777777">
        <w:tc>
          <w:tcPr>
            <w:tcW w:w="0" w:type="auto"/>
            <w:gridSpan w:val="3"/>
            <w:shd w:val="clear" w:color="auto" w:fill="CCEEFF"/>
            <w:tcMar>
              <w:top w:w="40" w:type="dxa"/>
              <w:left w:w="20" w:type="dxa"/>
              <w:bottom w:w="40" w:type="dxa"/>
              <w:right w:w="20" w:type="dxa"/>
            </w:tcMar>
            <w:vAlign w:val="bottom"/>
          </w:tcPr>
          <w:p w14:paraId="07DD11C4" w14:textId="77777777" w:rsidR="00AE727E" w:rsidRDefault="008433E0">
            <w:pPr>
              <w:textAlignment w:val="bottom"/>
            </w:pPr>
            <w:r>
              <w:rPr>
                <w:rFonts w:ascii="Times New Roman" w:eastAsia="宋体" w:hAnsi="Times New Roman"/>
                <w:color w:val="000000"/>
                <w:sz w:val="20"/>
                <w:szCs w:val="20"/>
              </w:rPr>
              <w:t>Effective income tax rate</w:t>
            </w:r>
          </w:p>
        </w:tc>
        <w:tc>
          <w:tcPr>
            <w:tcW w:w="0" w:type="auto"/>
            <w:gridSpan w:val="2"/>
            <w:shd w:val="clear" w:color="auto" w:fill="CCEEFF"/>
            <w:tcMar>
              <w:top w:w="40" w:type="dxa"/>
              <w:left w:w="20" w:type="dxa"/>
              <w:bottom w:w="40" w:type="dxa"/>
              <w:right w:w="0" w:type="dxa"/>
            </w:tcMar>
            <w:vAlign w:val="bottom"/>
          </w:tcPr>
          <w:p w14:paraId="07DD11C5" w14:textId="77777777" w:rsidR="00AE727E" w:rsidRDefault="008433E0">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07DD11C6"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1C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C8" w14:textId="77777777" w:rsidR="00AE727E" w:rsidRDefault="008433E0">
            <w:pPr>
              <w:jc w:val="right"/>
              <w:textAlignment w:val="bottom"/>
            </w:pPr>
            <w:r>
              <w:rPr>
                <w:rFonts w:ascii="Times New Roman" w:eastAsia="宋体" w:hAnsi="Times New Roman"/>
                <w:color w:val="000000"/>
                <w:sz w:val="20"/>
                <w:szCs w:val="20"/>
              </w:rPr>
              <w:t>37.2 </w:t>
            </w:r>
          </w:p>
        </w:tc>
        <w:tc>
          <w:tcPr>
            <w:tcW w:w="0" w:type="auto"/>
            <w:shd w:val="clear" w:color="auto" w:fill="CCEEFF"/>
            <w:tcMar>
              <w:top w:w="40" w:type="dxa"/>
              <w:left w:w="0" w:type="dxa"/>
              <w:bottom w:w="40" w:type="dxa"/>
              <w:right w:w="20" w:type="dxa"/>
            </w:tcMar>
            <w:vAlign w:val="bottom"/>
          </w:tcPr>
          <w:p w14:paraId="07DD11C9"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1CA"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CB" w14:textId="77777777" w:rsidR="00AE727E" w:rsidRDefault="008433E0">
            <w:pPr>
              <w:jc w:val="right"/>
              <w:textAlignment w:val="bottom"/>
            </w:pPr>
            <w:r>
              <w:rPr>
                <w:rFonts w:ascii="Times New Roman" w:eastAsia="宋体" w:hAnsi="Times New Roman"/>
                <w:color w:val="000000"/>
                <w:sz w:val="20"/>
                <w:szCs w:val="20"/>
              </w:rPr>
              <w:t>15.9 </w:t>
            </w:r>
          </w:p>
        </w:tc>
        <w:tc>
          <w:tcPr>
            <w:tcW w:w="0" w:type="auto"/>
            <w:shd w:val="clear" w:color="auto" w:fill="CCEEFF"/>
            <w:tcMar>
              <w:top w:w="40" w:type="dxa"/>
              <w:left w:w="0" w:type="dxa"/>
              <w:bottom w:w="40" w:type="dxa"/>
              <w:right w:w="20" w:type="dxa"/>
            </w:tcMar>
            <w:vAlign w:val="bottom"/>
          </w:tcPr>
          <w:p w14:paraId="07DD11CC" w14:textId="77777777" w:rsidR="00AE727E" w:rsidRDefault="008433E0">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1C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1CE" w14:textId="77777777" w:rsidR="00AE727E" w:rsidRDefault="008433E0">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07DD11CF" w14:textId="77777777" w:rsidR="00AE727E" w:rsidRDefault="008433E0">
            <w:pPr>
              <w:jc w:val="right"/>
              <w:textAlignment w:val="bottom"/>
            </w:pPr>
            <w:r>
              <w:rPr>
                <w:rFonts w:ascii="Times New Roman" w:eastAsia="宋体" w:hAnsi="Times New Roman"/>
                <w:color w:val="000000"/>
                <w:sz w:val="20"/>
                <w:szCs w:val="20"/>
              </w:rPr>
              <w:t>%</w:t>
            </w:r>
          </w:p>
        </w:tc>
      </w:tr>
    </w:tbl>
    <w:p w14:paraId="07DD11D1" w14:textId="77777777" w:rsidR="00AE727E" w:rsidRDefault="00AE727E"/>
    <w:p w14:paraId="07DD11D2" w14:textId="77777777" w:rsidR="00AE727E" w:rsidRDefault="008433E0">
      <w:r>
        <w:rPr>
          <w:rFonts w:ascii="Times New Roman" w:eastAsia="宋体" w:hAnsi="Times New Roman"/>
          <w:color w:val="000000"/>
          <w:sz w:val="20"/>
          <w:szCs w:val="20"/>
          <w:shd w:val="clear" w:color="auto" w:fill="FFFFFF"/>
        </w:rPr>
        <w:t xml:space="preserve">For the third quarter of Fiscal 2022 and Fiscal 2021, </w:t>
      </w:r>
      <w:r>
        <w:rPr>
          <w:rFonts w:ascii="Times New Roman" w:eastAsia="宋体" w:hAnsi="Times New Roman"/>
          <w:color w:val="000000"/>
          <w:sz w:val="20"/>
          <w:szCs w:val="20"/>
        </w:rPr>
        <w:t>our effective income tax rate was 18.7% and 37.2%, r</w:t>
      </w:r>
      <w:r>
        <w:rPr>
          <w:rFonts w:ascii="Times New Roman" w:eastAsia="宋体" w:hAnsi="Times New Roman"/>
          <w:color w:val="000000"/>
          <w:sz w:val="20"/>
          <w:szCs w:val="20"/>
          <w:shd w:val="clear" w:color="auto" w:fill="FFFFFF"/>
        </w:rPr>
        <w:t xml:space="preserve">espectively. For the first nine months of Fiscal 2022 and Fiscal 2021, our effective income tax rate was 15.9% and -6.1%, respectively. For </w:t>
      </w:r>
      <w:r>
        <w:rPr>
          <w:rFonts w:ascii="Times New Roman" w:eastAsia="宋体" w:hAnsi="Times New Roman"/>
          <w:color w:val="000000"/>
          <w:sz w:val="20"/>
          <w:szCs w:val="20"/>
        </w:rPr>
        <w:t xml:space="preserve">the third </w:t>
      </w:r>
      <w:r>
        <w:rPr>
          <w:rFonts w:ascii="Times New Roman" w:eastAsia="宋体" w:hAnsi="Times New Roman"/>
          <w:color w:val="000000"/>
          <w:sz w:val="20"/>
          <w:szCs w:val="20"/>
        </w:rPr>
        <w:t xml:space="preserve">quarter and first nine months of Fiscal 2022, </w:t>
      </w:r>
      <w:r>
        <w:rPr>
          <w:rFonts w:ascii="Times New Roman" w:eastAsia="宋体" w:hAnsi="Times New Roman"/>
          <w:color w:val="000000"/>
          <w:sz w:val="20"/>
          <w:szCs w:val="20"/>
          <w:shd w:val="clear" w:color="auto" w:fill="FFFFFF"/>
        </w:rPr>
        <w:t>our effective income tax rate includes tax expense o</w:t>
      </w:r>
      <w:r>
        <w:rPr>
          <w:rFonts w:ascii="Times New Roman" w:eastAsia="宋体" w:hAnsi="Times New Roman"/>
          <w:color w:val="000000"/>
          <w:sz w:val="20"/>
          <w:szCs w:val="20"/>
        </w:rPr>
        <w:t>f $1.0 billion re</w:t>
      </w:r>
      <w:r>
        <w:rPr>
          <w:rFonts w:ascii="Times New Roman" w:eastAsia="宋体" w:hAnsi="Times New Roman"/>
          <w:color w:val="000000"/>
          <w:sz w:val="20"/>
          <w:szCs w:val="20"/>
          <w:shd w:val="clear" w:color="auto" w:fill="FFFFFF"/>
        </w:rPr>
        <w:t>lated to the divestiture of Boomi during the third quarter of Fiscal 2022. In comparison, for the first nine months of Fiscal 2021, our effec</w:t>
      </w:r>
      <w:r>
        <w:rPr>
          <w:rFonts w:ascii="Times New Roman" w:eastAsia="宋体" w:hAnsi="Times New Roman"/>
          <w:color w:val="000000"/>
          <w:sz w:val="20"/>
          <w:szCs w:val="20"/>
          <w:shd w:val="clear" w:color="auto" w:fill="FFFFFF"/>
        </w:rPr>
        <w:t xml:space="preserve">tive income tax rate included discrete tax </w:t>
      </w:r>
      <w:r>
        <w:rPr>
          <w:rFonts w:ascii="Times New Roman" w:eastAsia="宋体" w:hAnsi="Times New Roman"/>
          <w:color w:val="000000"/>
          <w:sz w:val="20"/>
          <w:szCs w:val="20"/>
        </w:rPr>
        <w:t>benefits of $746 million relat</w:t>
      </w:r>
      <w:r>
        <w:rPr>
          <w:rFonts w:ascii="Times New Roman" w:eastAsia="宋体" w:hAnsi="Times New Roman"/>
          <w:color w:val="000000"/>
          <w:sz w:val="20"/>
          <w:szCs w:val="20"/>
          <w:shd w:val="clear" w:color="auto" w:fill="FFFFFF"/>
        </w:rPr>
        <w:t xml:space="preserve">ed to an audit settlement that was recorded in the second quarter of Fiscal 2021 and tax expense of </w:t>
      </w:r>
      <w:r>
        <w:rPr>
          <w:rFonts w:ascii="Times New Roman" w:eastAsia="宋体" w:hAnsi="Times New Roman"/>
          <w:color w:val="000000"/>
          <w:sz w:val="20"/>
          <w:szCs w:val="20"/>
        </w:rPr>
        <w:t>$359 million</w:t>
      </w:r>
      <w:r>
        <w:rPr>
          <w:rFonts w:ascii="Times New Roman" w:eastAsia="宋体" w:hAnsi="Times New Roman"/>
          <w:color w:val="000000"/>
          <w:sz w:val="20"/>
          <w:szCs w:val="20"/>
          <w:shd w:val="clear" w:color="auto" w:fill="FFFFFF"/>
        </w:rPr>
        <w:t xml:space="preserve"> related to the divestiture of RSA Security during the third quarter of</w:t>
      </w:r>
      <w:r>
        <w:rPr>
          <w:rFonts w:ascii="Times New Roman" w:eastAsia="宋体" w:hAnsi="Times New Roman"/>
          <w:color w:val="000000"/>
          <w:sz w:val="20"/>
          <w:szCs w:val="20"/>
          <w:shd w:val="clear" w:color="auto" w:fill="FFFFFF"/>
        </w:rPr>
        <w:t xml:space="preserve"> Fiscal 2021. Our effective income tax rates are also impacted by a change in our jurisdictional mix of income and lower overall taxes on foreign operations.</w:t>
      </w:r>
    </w:p>
    <w:p w14:paraId="07DD11D3" w14:textId="77777777" w:rsidR="00AE727E" w:rsidRDefault="00AE727E"/>
    <w:p w14:paraId="07DD11D4" w14:textId="77777777" w:rsidR="00AE727E" w:rsidRDefault="008433E0">
      <w:r>
        <w:rPr>
          <w:rFonts w:ascii="Times New Roman" w:eastAsia="宋体" w:hAnsi="Times New Roman"/>
          <w:color w:val="000000"/>
          <w:sz w:val="20"/>
          <w:szCs w:val="20"/>
        </w:rPr>
        <w:t>Our effective income tax rate can fluctuate depending on the geographic distribution of our world</w:t>
      </w:r>
      <w:r>
        <w:rPr>
          <w:rFonts w:ascii="Times New Roman" w:eastAsia="宋体" w:hAnsi="Times New Roman"/>
          <w:color w:val="000000"/>
          <w:sz w:val="20"/>
          <w:szCs w:val="20"/>
        </w:rPr>
        <w:t>wide earnings, as our foreign earnings are generally taxed at lower rates than in the United States. The differences between our effective income tax rate and the U.S. federal statutory rate of 21% principally result from the geographical distribution of i</w:t>
      </w:r>
      <w:r>
        <w:rPr>
          <w:rFonts w:ascii="Times New Roman" w:eastAsia="宋体" w:hAnsi="Times New Roman"/>
          <w:color w:val="000000"/>
          <w:sz w:val="20"/>
          <w:szCs w:val="20"/>
        </w:rPr>
        <w:t>ncome, differences between the book and tax treatment of certain items, and the discrete tax items discussed above. In certain jurisdictions, our tax rate is significantly less than the applicable statutory rate as a result of tax holidays. The majority of</w:t>
      </w:r>
      <w:r>
        <w:rPr>
          <w:rFonts w:ascii="Times New Roman" w:eastAsia="宋体" w:hAnsi="Times New Roman"/>
          <w:color w:val="000000"/>
          <w:sz w:val="20"/>
          <w:szCs w:val="20"/>
        </w:rPr>
        <w:t xml:space="preserve"> our foreign income that is subject to these tax holidays and lower tax rates is attributable to Singapore and China. A significant portion of these income tax benefits relates to a tax holiday that will be effective until January 31, 2029.  Our other tax </w:t>
      </w:r>
      <w:r>
        <w:rPr>
          <w:rFonts w:ascii="Times New Roman" w:eastAsia="宋体" w:hAnsi="Times New Roman"/>
          <w:color w:val="000000"/>
          <w:sz w:val="20"/>
          <w:szCs w:val="20"/>
        </w:rPr>
        <w:t>holidays will expire in whole or in part during Fiscal 2022 through Fiscal 2030. Many of these tax holidays and reduced tax rates may be extended when certain conditions are met or may be terminated early if certain conditions are not met. As of October 29</w:t>
      </w:r>
      <w:r>
        <w:rPr>
          <w:rFonts w:ascii="Times New Roman" w:eastAsia="宋体" w:hAnsi="Times New Roman"/>
          <w:color w:val="000000"/>
          <w:sz w:val="20"/>
          <w:szCs w:val="20"/>
        </w:rPr>
        <w:t>, 2021, we were not aware of any matters of non-compliance related to these tax holidays.</w:t>
      </w:r>
    </w:p>
    <w:p w14:paraId="07DD11D5" w14:textId="77777777" w:rsidR="00AE727E" w:rsidRDefault="00AE727E"/>
    <w:p w14:paraId="07DD11D6" w14:textId="77777777" w:rsidR="00AE727E" w:rsidRDefault="008433E0">
      <w:r>
        <w:rPr>
          <w:rFonts w:ascii="Times New Roman" w:eastAsia="宋体" w:hAnsi="Times New Roman"/>
          <w:color w:val="000000"/>
          <w:sz w:val="20"/>
          <w:szCs w:val="20"/>
        </w:rPr>
        <w:t xml:space="preserve">For further discussion regarding tax matters, including the status of income tax audits, see Note 10 of the Notes to the Condensed Consolidated Financial Statements </w:t>
      </w:r>
      <w:r>
        <w:rPr>
          <w:rFonts w:ascii="Times New Roman" w:eastAsia="宋体" w:hAnsi="Times New Roman"/>
          <w:color w:val="000000"/>
          <w:sz w:val="20"/>
          <w:szCs w:val="20"/>
        </w:rPr>
        <w:t xml:space="preserve">included in this report. </w:t>
      </w:r>
    </w:p>
    <w:p w14:paraId="07DD11D7" w14:textId="77777777" w:rsidR="00AE727E" w:rsidRDefault="00AE727E"/>
    <w:p w14:paraId="07DD11D8" w14:textId="77777777" w:rsidR="00AE727E" w:rsidRDefault="008433E0">
      <w:r>
        <w:rPr>
          <w:rFonts w:ascii="Times New Roman" w:eastAsia="宋体" w:hAnsi="Times New Roman"/>
          <w:b/>
          <w:bCs/>
          <w:color w:val="000000"/>
          <w:sz w:val="20"/>
          <w:szCs w:val="20"/>
        </w:rPr>
        <w:t>Net Income</w:t>
      </w:r>
    </w:p>
    <w:p w14:paraId="07DD11D9" w14:textId="77777777" w:rsidR="00AE727E" w:rsidRDefault="00AE727E"/>
    <w:p w14:paraId="07DD11DA" w14:textId="77777777" w:rsidR="00AE727E" w:rsidRDefault="008433E0">
      <w:r>
        <w:rPr>
          <w:rFonts w:ascii="Times New Roman" w:eastAsia="宋体" w:hAnsi="Times New Roman"/>
          <w:color w:val="000000"/>
          <w:sz w:val="20"/>
          <w:szCs w:val="20"/>
        </w:rPr>
        <w:t>During the third quarter and first nine months of Fiscal 2022, net income increased 341% to $3.9 billion and 164% to $5.7 billion, respectively.</w:t>
      </w:r>
      <w:r>
        <w:rPr>
          <w:rFonts w:ascii="Times New Roman" w:eastAsia="宋体" w:hAnsi="Times New Roman"/>
          <w:color w:val="000000"/>
          <w:sz w:val="20"/>
          <w:szCs w:val="20"/>
          <w:shd w:val="clear" w:color="auto" w:fill="FFFFFF"/>
        </w:rPr>
        <w:t xml:space="preserve"> The increases for </w:t>
      </w:r>
      <w:r>
        <w:rPr>
          <w:rFonts w:ascii="Times New Roman" w:eastAsia="宋体" w:hAnsi="Times New Roman"/>
          <w:color w:val="000000"/>
          <w:sz w:val="20"/>
          <w:szCs w:val="20"/>
        </w:rPr>
        <w:t>the third quarter and first nine months of Fiscal 2022</w:t>
      </w:r>
      <w:r>
        <w:rPr>
          <w:rFonts w:ascii="Times New Roman" w:eastAsia="宋体" w:hAnsi="Times New Roman"/>
          <w:color w:val="000000"/>
          <w:sz w:val="20"/>
          <w:szCs w:val="20"/>
        </w:rPr>
        <w:t xml:space="preserve"> were primarily attributable to a favorable change in interest and other, net, as result of the gain on sale of Boomi and, to a lesser extent, an increase in operating income. Non-GAAP net income increased 18% to $2.0 billion and 28% to $5.7 billion during</w:t>
      </w:r>
      <w:r>
        <w:rPr>
          <w:rFonts w:ascii="Times New Roman" w:eastAsia="宋体" w:hAnsi="Times New Roman"/>
          <w:color w:val="000000"/>
          <w:sz w:val="20"/>
          <w:szCs w:val="20"/>
        </w:rPr>
        <w:t xml:space="preserve"> the third quarter and first nine months of Fiscal 2022, respectively. </w:t>
      </w:r>
      <w:r>
        <w:rPr>
          <w:rFonts w:ascii="Times New Roman" w:eastAsia="宋体" w:hAnsi="Times New Roman"/>
          <w:color w:val="000000"/>
          <w:sz w:val="20"/>
          <w:szCs w:val="20"/>
          <w:shd w:val="clear" w:color="auto" w:fill="FFFFFF"/>
        </w:rPr>
        <w:t>The increases in non-GAAP net income during both the third quarter and first nine months of Fiscal 2022 were primarily attr</w:t>
      </w:r>
      <w:r>
        <w:rPr>
          <w:rFonts w:ascii="Times New Roman" w:eastAsia="宋体" w:hAnsi="Times New Roman"/>
          <w:color w:val="000000"/>
          <w:sz w:val="20"/>
          <w:szCs w:val="20"/>
        </w:rPr>
        <w:t>ibutable to an increase in non-GAAP operating income and a red</w:t>
      </w:r>
      <w:r>
        <w:rPr>
          <w:rFonts w:ascii="Times New Roman" w:eastAsia="宋体" w:hAnsi="Times New Roman"/>
          <w:color w:val="000000"/>
          <w:sz w:val="20"/>
          <w:szCs w:val="20"/>
        </w:rPr>
        <w:t>uction in interest expense during the first nine months of Fiscal 2022, partially offset by an increase in tax expense.</w:t>
      </w:r>
    </w:p>
    <w:p w14:paraId="07DD11DB" w14:textId="77777777" w:rsidR="00AE727E" w:rsidRDefault="00AE727E"/>
    <w:p w14:paraId="07DD11DC" w14:textId="77777777" w:rsidR="00AE727E" w:rsidRDefault="00AE727E">
      <w:pPr>
        <w:jc w:val="center"/>
      </w:pPr>
    </w:p>
    <w:p w14:paraId="07DD11DD" w14:textId="77777777" w:rsidR="00AE727E" w:rsidRDefault="008433E0">
      <w:pPr>
        <w:jc w:val="center"/>
      </w:pPr>
      <w:r>
        <w:rPr>
          <w:rFonts w:ascii="Times New Roman" w:eastAsia="宋体" w:hAnsi="Times New Roman"/>
          <w:color w:val="000000"/>
          <w:sz w:val="20"/>
          <w:szCs w:val="20"/>
        </w:rPr>
        <w:t>78</w:t>
      </w:r>
    </w:p>
    <w:p w14:paraId="07DD11DE" w14:textId="77777777" w:rsidR="00AE727E" w:rsidRDefault="00AE727E">
      <w:pPr>
        <w:jc w:val="center"/>
      </w:pPr>
    </w:p>
    <w:p w14:paraId="07DD11DF" w14:textId="77777777" w:rsidR="00AE727E" w:rsidRDefault="008433E0">
      <w:r>
        <w:pict w14:anchorId="07DD191E">
          <v:rect id="_x0000_i1102" style="width:415.3pt;height:1.5pt" o:hralign="center" o:hrstd="t" o:hr="t" fillcolor="#a0a0a0" stroked="f"/>
        </w:pict>
      </w:r>
    </w:p>
    <w:p w14:paraId="07DD11E0" w14:textId="77777777" w:rsidR="00AE727E" w:rsidRDefault="008433E0">
      <w:hyperlink r:id="rId203" w:anchor="i1c8279be622a460ea19600488436f115_10" w:history="1">
        <w:r>
          <w:rPr>
            <w:rStyle w:val="a5"/>
            <w:rFonts w:ascii="Times New Roman" w:eastAsia="宋体" w:hAnsi="Times New Roman"/>
            <w:sz w:val="20"/>
            <w:szCs w:val="20"/>
          </w:rPr>
          <w:t>Table of Contents</w:t>
        </w:r>
      </w:hyperlink>
    </w:p>
    <w:p w14:paraId="07DD11E1" w14:textId="77777777" w:rsidR="00AE727E" w:rsidRDefault="008433E0">
      <w:r>
        <w:rPr>
          <w:rFonts w:ascii="Times New Roman" w:eastAsia="宋体" w:hAnsi="Times New Roman"/>
          <w:b/>
          <w:bCs/>
          <w:color w:val="000000"/>
          <w:sz w:val="20"/>
          <w:szCs w:val="20"/>
        </w:rPr>
        <w:t>Non-controlling Interests</w:t>
      </w:r>
    </w:p>
    <w:p w14:paraId="07DD11E2" w14:textId="77777777" w:rsidR="00AE727E" w:rsidRDefault="00AE727E"/>
    <w:p w14:paraId="07DD11E3" w14:textId="77777777" w:rsidR="00AE727E" w:rsidRDefault="008433E0">
      <w:r>
        <w:rPr>
          <w:rFonts w:ascii="Times New Roman" w:eastAsia="宋体" w:hAnsi="Times New Roman"/>
          <w:color w:val="000000"/>
          <w:sz w:val="20"/>
          <w:szCs w:val="20"/>
        </w:rPr>
        <w:t>Net income attributable to non-controlling interests consists of net income or loss attributable to our non-controlling interests in VMware, Inc. and Secureworks. During the third quarter of Fiscal 2022 and Fiscal 2021, net income attributable to non-contr</w:t>
      </w:r>
      <w:r>
        <w:rPr>
          <w:rFonts w:ascii="Times New Roman" w:eastAsia="宋体" w:hAnsi="Times New Roman"/>
          <w:color w:val="000000"/>
          <w:sz w:val="20"/>
          <w:szCs w:val="20"/>
        </w:rPr>
        <w:t>olling interests was $45 million and $49 million, respectively. The decrease in net income attributable to non-controlling interests during the third quarter of Fiscal 2022 was primarily due to a decrease in net income attributable to our non-controlling i</w:t>
      </w:r>
      <w:r>
        <w:rPr>
          <w:rFonts w:ascii="Times New Roman" w:eastAsia="宋体" w:hAnsi="Times New Roman"/>
          <w:color w:val="000000"/>
          <w:sz w:val="20"/>
          <w:szCs w:val="20"/>
        </w:rPr>
        <w:t xml:space="preserve">nterest in VMware, Inc. </w:t>
      </w:r>
    </w:p>
    <w:p w14:paraId="07DD11E4" w14:textId="77777777" w:rsidR="00AE727E" w:rsidRDefault="00AE727E"/>
    <w:p w14:paraId="07DD11E5" w14:textId="77777777" w:rsidR="00AE727E" w:rsidRDefault="008433E0">
      <w:r>
        <w:rPr>
          <w:rFonts w:ascii="Times New Roman" w:eastAsia="宋体" w:hAnsi="Times New Roman"/>
          <w:color w:val="000000"/>
          <w:sz w:val="20"/>
          <w:szCs w:val="20"/>
        </w:rPr>
        <w:t>During the first nine months of Fiscal 2022 and Fiscal 2021, net income attributable to non-controlling interests was $145 million and $139 million, respectively. The increase in net income attributable to non-controlling interest</w:t>
      </w:r>
      <w:r>
        <w:rPr>
          <w:rFonts w:ascii="Times New Roman" w:eastAsia="宋体" w:hAnsi="Times New Roman"/>
          <w:color w:val="000000"/>
          <w:sz w:val="20"/>
          <w:szCs w:val="20"/>
        </w:rPr>
        <w:t>s during the first nine months of Fiscal 2022 was primarily due to an increase in net income attributable to our non-controlling interest in VMware, Inc. For more information about our non-controlling interests, see Note 12 of the Notes to the Condensed Co</w:t>
      </w:r>
      <w:r>
        <w:rPr>
          <w:rFonts w:ascii="Times New Roman" w:eastAsia="宋体" w:hAnsi="Times New Roman"/>
          <w:color w:val="000000"/>
          <w:sz w:val="20"/>
          <w:szCs w:val="20"/>
        </w:rPr>
        <w:t>nsolidated Financial Statements included in this report.</w:t>
      </w:r>
    </w:p>
    <w:p w14:paraId="07DD11E6" w14:textId="77777777" w:rsidR="00AE727E" w:rsidRDefault="00AE727E"/>
    <w:p w14:paraId="07DD11E7" w14:textId="77777777" w:rsidR="00AE727E" w:rsidRDefault="008433E0">
      <w:r>
        <w:rPr>
          <w:rFonts w:ascii="Times New Roman" w:eastAsia="宋体" w:hAnsi="Times New Roman"/>
          <w:b/>
          <w:bCs/>
          <w:color w:val="000000"/>
          <w:sz w:val="20"/>
          <w:szCs w:val="20"/>
        </w:rPr>
        <w:t>Net Income Attributable to Dell Technologies Inc.</w:t>
      </w:r>
    </w:p>
    <w:p w14:paraId="07DD11E8" w14:textId="77777777" w:rsidR="00AE727E" w:rsidRDefault="00AE727E"/>
    <w:p w14:paraId="07DD11E9" w14:textId="77777777" w:rsidR="00AE727E" w:rsidRDefault="008433E0">
      <w:r>
        <w:rPr>
          <w:rFonts w:ascii="Times New Roman" w:eastAsia="宋体" w:hAnsi="Times New Roman"/>
          <w:color w:val="000000"/>
          <w:sz w:val="20"/>
          <w:szCs w:val="20"/>
        </w:rPr>
        <w:t>Net income attributable to Dell Technologies Inc. represents net income and an adjustment for non-controlling interests. During the third quarter o</w:t>
      </w:r>
      <w:r>
        <w:rPr>
          <w:rFonts w:ascii="Times New Roman" w:eastAsia="宋体" w:hAnsi="Times New Roman"/>
          <w:color w:val="000000"/>
          <w:sz w:val="20"/>
          <w:szCs w:val="20"/>
        </w:rPr>
        <w:t>f Fiscal 2022 and Fiscal 2021, net income attributable to Dell Technologies Inc. was $3.8 billion and $0.8 billion, respectively. During the first nine months of Fiscal 2022 and Fiscal 2021, net income attributable to Dell Technologies Inc. was $5.6 billio</w:t>
      </w:r>
      <w:r>
        <w:rPr>
          <w:rFonts w:ascii="Times New Roman" w:eastAsia="宋体" w:hAnsi="Times New Roman"/>
          <w:color w:val="000000"/>
          <w:sz w:val="20"/>
          <w:szCs w:val="20"/>
        </w:rPr>
        <w:t xml:space="preserve">n and $2.0 billion, respectively. The increase in net income attributable to Dell Technologies Inc. during the third quarter and first nine months of Fiscal 2022 was primarily attributable to increases in net income for both periods. </w:t>
      </w:r>
    </w:p>
    <w:p w14:paraId="07DD11EA" w14:textId="77777777" w:rsidR="00AE727E" w:rsidRDefault="00AE727E"/>
    <w:p w14:paraId="07DD11EB" w14:textId="77777777" w:rsidR="00AE727E" w:rsidRDefault="00AE727E">
      <w:pPr>
        <w:jc w:val="center"/>
      </w:pPr>
    </w:p>
    <w:p w14:paraId="07DD11EC" w14:textId="77777777" w:rsidR="00AE727E" w:rsidRDefault="008433E0">
      <w:pPr>
        <w:jc w:val="center"/>
      </w:pPr>
      <w:r>
        <w:rPr>
          <w:rFonts w:ascii="Times New Roman" w:eastAsia="宋体" w:hAnsi="Times New Roman"/>
          <w:color w:val="000000"/>
          <w:sz w:val="20"/>
          <w:szCs w:val="20"/>
        </w:rPr>
        <w:t>79</w:t>
      </w:r>
    </w:p>
    <w:p w14:paraId="07DD11ED" w14:textId="77777777" w:rsidR="00AE727E" w:rsidRDefault="00AE727E">
      <w:pPr>
        <w:jc w:val="center"/>
      </w:pPr>
    </w:p>
    <w:p w14:paraId="07DD11EE" w14:textId="77777777" w:rsidR="00AE727E" w:rsidRDefault="008433E0">
      <w:r>
        <w:pict w14:anchorId="07DD191F">
          <v:rect id="_x0000_i1103" style="width:415.3pt;height:1.5pt" o:hralign="center" o:hrstd="t" o:hr="t" fillcolor="#a0a0a0" stroked="f"/>
        </w:pict>
      </w:r>
    </w:p>
    <w:p w14:paraId="07DD11EF" w14:textId="77777777" w:rsidR="00AE727E" w:rsidRDefault="008433E0">
      <w:hyperlink r:id="rId204" w:anchor="i1c8279be622a460ea19600488436f115_10" w:history="1">
        <w:r>
          <w:rPr>
            <w:rStyle w:val="a5"/>
            <w:rFonts w:ascii="Times New Roman" w:eastAsia="宋体" w:hAnsi="Times New Roman"/>
            <w:sz w:val="20"/>
            <w:szCs w:val="20"/>
          </w:rPr>
          <w:t>Table of Contents</w:t>
        </w:r>
      </w:hyperlink>
    </w:p>
    <w:p w14:paraId="07DD11F0" w14:textId="77777777" w:rsidR="00AE727E" w:rsidRDefault="008433E0">
      <w:r>
        <w:rPr>
          <w:rFonts w:ascii="Times New Roman" w:eastAsia="宋体" w:hAnsi="Times New Roman"/>
          <w:b/>
          <w:bCs/>
          <w:color w:val="000000"/>
          <w:sz w:val="20"/>
          <w:szCs w:val="20"/>
        </w:rPr>
        <w:t>Business Unit Results</w:t>
      </w:r>
    </w:p>
    <w:p w14:paraId="07DD11F1" w14:textId="77777777" w:rsidR="00AE727E" w:rsidRDefault="00AE727E"/>
    <w:p w14:paraId="07DD11F2" w14:textId="77777777" w:rsidR="00AE727E" w:rsidRDefault="008433E0">
      <w:r>
        <w:rPr>
          <w:rFonts w:ascii="Times New Roman" w:eastAsia="宋体" w:hAnsi="Times New Roman"/>
          <w:color w:val="000000"/>
          <w:sz w:val="20"/>
          <w:szCs w:val="20"/>
        </w:rPr>
        <w:t>Our reportable segments are based on the following business u</w:t>
      </w:r>
      <w:r>
        <w:rPr>
          <w:rFonts w:ascii="Times New Roman" w:eastAsia="宋体" w:hAnsi="Times New Roman"/>
          <w:color w:val="000000"/>
          <w:sz w:val="20"/>
          <w:szCs w:val="20"/>
        </w:rPr>
        <w:t>nits: ISG, CSG, and VMware. A description of our three business units is provided under “Introduction.” See Note 16 of the Notes to the Condensed Consolidated Financial Statements included in this report for a reconciliation of net revenue and operating in</w:t>
      </w:r>
      <w:r>
        <w:rPr>
          <w:rFonts w:ascii="Times New Roman" w:eastAsia="宋体" w:hAnsi="Times New Roman"/>
          <w:color w:val="000000"/>
          <w:sz w:val="20"/>
          <w:szCs w:val="20"/>
        </w:rPr>
        <w:t>come by reportable segment to consolidated net revenue and consolidated operating income, respectively.</w:t>
      </w:r>
    </w:p>
    <w:p w14:paraId="07DD11F3" w14:textId="77777777" w:rsidR="00AE727E" w:rsidRDefault="00AE727E"/>
    <w:p w14:paraId="07DD11F4" w14:textId="77777777" w:rsidR="00AE727E" w:rsidRDefault="008433E0">
      <w:r>
        <w:rPr>
          <w:rFonts w:ascii="Times New Roman" w:eastAsia="宋体" w:hAnsi="Times New Roman"/>
          <w:b/>
          <w:bCs/>
          <w:color w:val="000000"/>
          <w:sz w:val="20"/>
          <w:szCs w:val="20"/>
          <w:shd w:val="clear" w:color="auto" w:fill="FFFFFF"/>
        </w:rPr>
        <w:t>Infrastructure Solutions Group</w:t>
      </w:r>
    </w:p>
    <w:p w14:paraId="07DD11F5" w14:textId="77777777" w:rsidR="00AE727E" w:rsidRDefault="00AE727E"/>
    <w:p w14:paraId="07DD11F6" w14:textId="77777777" w:rsidR="00AE727E" w:rsidRDefault="008433E0">
      <w:pPr>
        <w:spacing w:after="60"/>
      </w:pPr>
      <w:r>
        <w:rPr>
          <w:rFonts w:ascii="Times New Roman" w:eastAsia="宋体" w:hAnsi="Times New Roman"/>
          <w:color w:val="000000"/>
          <w:sz w:val="20"/>
          <w:szCs w:val="20"/>
          <w:shd w:val="clear" w:color="auto" w:fill="FFFFFF"/>
        </w:rPr>
        <w:t>The following table presents net revenue and operating income attributable to ISG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918"/>
        <w:gridCol w:w="36"/>
        <w:gridCol w:w="120"/>
        <w:gridCol w:w="726"/>
        <w:gridCol w:w="187"/>
        <w:gridCol w:w="36"/>
        <w:gridCol w:w="36"/>
        <w:gridCol w:w="36"/>
        <w:gridCol w:w="67"/>
        <w:gridCol w:w="623"/>
        <w:gridCol w:w="187"/>
        <w:gridCol w:w="36"/>
        <w:gridCol w:w="36"/>
        <w:gridCol w:w="36"/>
        <w:gridCol w:w="121"/>
        <w:gridCol w:w="673"/>
        <w:gridCol w:w="187"/>
        <w:gridCol w:w="36"/>
        <w:gridCol w:w="36"/>
        <w:gridCol w:w="36"/>
        <w:gridCol w:w="121"/>
        <w:gridCol w:w="673"/>
        <w:gridCol w:w="187"/>
        <w:gridCol w:w="36"/>
        <w:gridCol w:w="36"/>
        <w:gridCol w:w="36"/>
        <w:gridCol w:w="84"/>
        <w:gridCol w:w="604"/>
        <w:gridCol w:w="187"/>
        <w:gridCol w:w="36"/>
        <w:gridCol w:w="36"/>
        <w:gridCol w:w="36"/>
        <w:gridCol w:w="121"/>
        <w:gridCol w:w="748"/>
        <w:gridCol w:w="187"/>
      </w:tblGrid>
      <w:tr w:rsidR="00AE727E" w14:paraId="07DD121B" w14:textId="77777777">
        <w:tc>
          <w:tcPr>
            <w:tcW w:w="50" w:type="pct"/>
            <w:shd w:val="clear" w:color="auto" w:fill="auto"/>
            <w:vAlign w:val="bottom"/>
          </w:tcPr>
          <w:p w14:paraId="07DD11F7" w14:textId="77777777" w:rsidR="00AE727E" w:rsidRDefault="00AE727E">
            <w:pPr>
              <w:rPr>
                <w:rFonts w:ascii="宋体"/>
              </w:rPr>
            </w:pPr>
          </w:p>
        </w:tc>
        <w:tc>
          <w:tcPr>
            <w:tcW w:w="1355" w:type="pct"/>
            <w:shd w:val="clear" w:color="auto" w:fill="auto"/>
            <w:vAlign w:val="bottom"/>
          </w:tcPr>
          <w:p w14:paraId="07DD11F8" w14:textId="77777777" w:rsidR="00AE727E" w:rsidRDefault="00AE727E">
            <w:pPr>
              <w:rPr>
                <w:rFonts w:ascii="宋体"/>
              </w:rPr>
            </w:pPr>
          </w:p>
        </w:tc>
        <w:tc>
          <w:tcPr>
            <w:tcW w:w="5" w:type="pct"/>
            <w:shd w:val="clear" w:color="auto" w:fill="auto"/>
            <w:vAlign w:val="bottom"/>
          </w:tcPr>
          <w:p w14:paraId="07DD11F9" w14:textId="77777777" w:rsidR="00AE727E" w:rsidRDefault="00AE727E">
            <w:pPr>
              <w:rPr>
                <w:rFonts w:ascii="宋体"/>
              </w:rPr>
            </w:pPr>
          </w:p>
        </w:tc>
        <w:tc>
          <w:tcPr>
            <w:tcW w:w="50" w:type="pct"/>
            <w:shd w:val="clear" w:color="auto" w:fill="auto"/>
            <w:vAlign w:val="bottom"/>
          </w:tcPr>
          <w:p w14:paraId="07DD11FA" w14:textId="77777777" w:rsidR="00AE727E" w:rsidRDefault="00AE727E">
            <w:pPr>
              <w:rPr>
                <w:rFonts w:ascii="宋体"/>
              </w:rPr>
            </w:pPr>
          </w:p>
        </w:tc>
        <w:tc>
          <w:tcPr>
            <w:tcW w:w="551" w:type="pct"/>
            <w:shd w:val="clear" w:color="auto" w:fill="auto"/>
            <w:vAlign w:val="bottom"/>
          </w:tcPr>
          <w:p w14:paraId="07DD11FB" w14:textId="77777777" w:rsidR="00AE727E" w:rsidRDefault="00AE727E">
            <w:pPr>
              <w:rPr>
                <w:rFonts w:ascii="宋体"/>
              </w:rPr>
            </w:pPr>
          </w:p>
        </w:tc>
        <w:tc>
          <w:tcPr>
            <w:tcW w:w="5" w:type="pct"/>
            <w:shd w:val="clear" w:color="auto" w:fill="auto"/>
            <w:vAlign w:val="bottom"/>
          </w:tcPr>
          <w:p w14:paraId="07DD11FC" w14:textId="77777777" w:rsidR="00AE727E" w:rsidRDefault="00AE727E">
            <w:pPr>
              <w:rPr>
                <w:rFonts w:ascii="宋体"/>
              </w:rPr>
            </w:pPr>
          </w:p>
        </w:tc>
        <w:tc>
          <w:tcPr>
            <w:tcW w:w="5" w:type="pct"/>
            <w:shd w:val="clear" w:color="auto" w:fill="auto"/>
            <w:vAlign w:val="bottom"/>
          </w:tcPr>
          <w:p w14:paraId="07DD11FD" w14:textId="77777777" w:rsidR="00AE727E" w:rsidRDefault="00AE727E">
            <w:pPr>
              <w:rPr>
                <w:rFonts w:ascii="宋体"/>
              </w:rPr>
            </w:pPr>
          </w:p>
        </w:tc>
        <w:tc>
          <w:tcPr>
            <w:tcW w:w="19" w:type="pct"/>
            <w:shd w:val="clear" w:color="auto" w:fill="auto"/>
            <w:vAlign w:val="bottom"/>
          </w:tcPr>
          <w:p w14:paraId="07DD11FE" w14:textId="77777777" w:rsidR="00AE727E" w:rsidRDefault="00AE727E">
            <w:pPr>
              <w:rPr>
                <w:rFonts w:ascii="宋体"/>
              </w:rPr>
            </w:pPr>
          </w:p>
        </w:tc>
        <w:tc>
          <w:tcPr>
            <w:tcW w:w="5" w:type="pct"/>
            <w:shd w:val="clear" w:color="auto" w:fill="auto"/>
            <w:vAlign w:val="bottom"/>
          </w:tcPr>
          <w:p w14:paraId="07DD11FF" w14:textId="77777777" w:rsidR="00AE727E" w:rsidRDefault="00AE727E">
            <w:pPr>
              <w:rPr>
                <w:rFonts w:ascii="宋体"/>
              </w:rPr>
            </w:pPr>
          </w:p>
        </w:tc>
        <w:tc>
          <w:tcPr>
            <w:tcW w:w="50" w:type="pct"/>
            <w:shd w:val="clear" w:color="auto" w:fill="auto"/>
            <w:vAlign w:val="bottom"/>
          </w:tcPr>
          <w:p w14:paraId="07DD1200" w14:textId="77777777" w:rsidR="00AE727E" w:rsidRDefault="00AE727E">
            <w:pPr>
              <w:rPr>
                <w:rFonts w:ascii="宋体"/>
              </w:rPr>
            </w:pPr>
          </w:p>
        </w:tc>
        <w:tc>
          <w:tcPr>
            <w:tcW w:w="471" w:type="pct"/>
            <w:shd w:val="clear" w:color="auto" w:fill="auto"/>
            <w:vAlign w:val="bottom"/>
          </w:tcPr>
          <w:p w14:paraId="07DD1201" w14:textId="77777777" w:rsidR="00AE727E" w:rsidRDefault="00AE727E">
            <w:pPr>
              <w:rPr>
                <w:rFonts w:ascii="宋体"/>
              </w:rPr>
            </w:pPr>
          </w:p>
        </w:tc>
        <w:tc>
          <w:tcPr>
            <w:tcW w:w="5" w:type="pct"/>
            <w:shd w:val="clear" w:color="auto" w:fill="auto"/>
            <w:vAlign w:val="bottom"/>
          </w:tcPr>
          <w:p w14:paraId="07DD1202" w14:textId="77777777" w:rsidR="00AE727E" w:rsidRDefault="00AE727E">
            <w:pPr>
              <w:rPr>
                <w:rFonts w:ascii="宋体"/>
              </w:rPr>
            </w:pPr>
          </w:p>
        </w:tc>
        <w:tc>
          <w:tcPr>
            <w:tcW w:w="5" w:type="pct"/>
            <w:shd w:val="clear" w:color="auto" w:fill="auto"/>
            <w:vAlign w:val="bottom"/>
          </w:tcPr>
          <w:p w14:paraId="07DD1203" w14:textId="77777777" w:rsidR="00AE727E" w:rsidRDefault="00AE727E">
            <w:pPr>
              <w:rPr>
                <w:rFonts w:ascii="宋体"/>
              </w:rPr>
            </w:pPr>
          </w:p>
        </w:tc>
        <w:tc>
          <w:tcPr>
            <w:tcW w:w="19" w:type="pct"/>
            <w:shd w:val="clear" w:color="auto" w:fill="auto"/>
            <w:vAlign w:val="bottom"/>
          </w:tcPr>
          <w:p w14:paraId="07DD1204" w14:textId="77777777" w:rsidR="00AE727E" w:rsidRDefault="00AE727E">
            <w:pPr>
              <w:rPr>
                <w:rFonts w:ascii="宋体"/>
              </w:rPr>
            </w:pPr>
          </w:p>
        </w:tc>
        <w:tc>
          <w:tcPr>
            <w:tcW w:w="5" w:type="pct"/>
            <w:shd w:val="clear" w:color="auto" w:fill="auto"/>
            <w:vAlign w:val="bottom"/>
          </w:tcPr>
          <w:p w14:paraId="07DD1205" w14:textId="77777777" w:rsidR="00AE727E" w:rsidRDefault="00AE727E">
            <w:pPr>
              <w:rPr>
                <w:rFonts w:ascii="宋体"/>
              </w:rPr>
            </w:pPr>
          </w:p>
        </w:tc>
        <w:tc>
          <w:tcPr>
            <w:tcW w:w="50" w:type="pct"/>
            <w:shd w:val="clear" w:color="auto" w:fill="auto"/>
            <w:vAlign w:val="bottom"/>
          </w:tcPr>
          <w:p w14:paraId="07DD1206" w14:textId="77777777" w:rsidR="00AE727E" w:rsidRDefault="00AE727E">
            <w:pPr>
              <w:rPr>
                <w:rFonts w:ascii="宋体"/>
              </w:rPr>
            </w:pPr>
          </w:p>
        </w:tc>
        <w:tc>
          <w:tcPr>
            <w:tcW w:w="559" w:type="pct"/>
            <w:shd w:val="clear" w:color="auto" w:fill="auto"/>
            <w:vAlign w:val="bottom"/>
          </w:tcPr>
          <w:p w14:paraId="07DD1207" w14:textId="77777777" w:rsidR="00AE727E" w:rsidRDefault="00AE727E">
            <w:pPr>
              <w:rPr>
                <w:rFonts w:ascii="宋体"/>
              </w:rPr>
            </w:pPr>
          </w:p>
        </w:tc>
        <w:tc>
          <w:tcPr>
            <w:tcW w:w="5" w:type="pct"/>
            <w:shd w:val="clear" w:color="auto" w:fill="auto"/>
            <w:vAlign w:val="bottom"/>
          </w:tcPr>
          <w:p w14:paraId="07DD1208" w14:textId="77777777" w:rsidR="00AE727E" w:rsidRDefault="00AE727E">
            <w:pPr>
              <w:rPr>
                <w:rFonts w:ascii="宋体"/>
              </w:rPr>
            </w:pPr>
          </w:p>
        </w:tc>
        <w:tc>
          <w:tcPr>
            <w:tcW w:w="5" w:type="pct"/>
            <w:shd w:val="clear" w:color="auto" w:fill="auto"/>
            <w:vAlign w:val="bottom"/>
          </w:tcPr>
          <w:p w14:paraId="07DD1209" w14:textId="77777777" w:rsidR="00AE727E" w:rsidRDefault="00AE727E">
            <w:pPr>
              <w:rPr>
                <w:rFonts w:ascii="宋体"/>
              </w:rPr>
            </w:pPr>
          </w:p>
        </w:tc>
        <w:tc>
          <w:tcPr>
            <w:tcW w:w="19" w:type="pct"/>
            <w:shd w:val="clear" w:color="auto" w:fill="auto"/>
            <w:vAlign w:val="bottom"/>
          </w:tcPr>
          <w:p w14:paraId="07DD120A" w14:textId="77777777" w:rsidR="00AE727E" w:rsidRDefault="00AE727E">
            <w:pPr>
              <w:rPr>
                <w:rFonts w:ascii="宋体"/>
              </w:rPr>
            </w:pPr>
          </w:p>
        </w:tc>
        <w:tc>
          <w:tcPr>
            <w:tcW w:w="5" w:type="pct"/>
            <w:shd w:val="clear" w:color="auto" w:fill="auto"/>
            <w:vAlign w:val="bottom"/>
          </w:tcPr>
          <w:p w14:paraId="07DD120B" w14:textId="77777777" w:rsidR="00AE727E" w:rsidRDefault="00AE727E">
            <w:pPr>
              <w:rPr>
                <w:rFonts w:ascii="宋体"/>
              </w:rPr>
            </w:pPr>
          </w:p>
        </w:tc>
        <w:tc>
          <w:tcPr>
            <w:tcW w:w="50" w:type="pct"/>
            <w:shd w:val="clear" w:color="auto" w:fill="auto"/>
            <w:vAlign w:val="bottom"/>
          </w:tcPr>
          <w:p w14:paraId="07DD120C" w14:textId="77777777" w:rsidR="00AE727E" w:rsidRDefault="00AE727E">
            <w:pPr>
              <w:rPr>
                <w:rFonts w:ascii="宋体"/>
              </w:rPr>
            </w:pPr>
          </w:p>
        </w:tc>
        <w:tc>
          <w:tcPr>
            <w:tcW w:w="559" w:type="pct"/>
            <w:shd w:val="clear" w:color="auto" w:fill="auto"/>
            <w:vAlign w:val="bottom"/>
          </w:tcPr>
          <w:p w14:paraId="07DD120D" w14:textId="77777777" w:rsidR="00AE727E" w:rsidRDefault="00AE727E">
            <w:pPr>
              <w:rPr>
                <w:rFonts w:ascii="宋体"/>
              </w:rPr>
            </w:pPr>
          </w:p>
        </w:tc>
        <w:tc>
          <w:tcPr>
            <w:tcW w:w="5" w:type="pct"/>
            <w:shd w:val="clear" w:color="auto" w:fill="auto"/>
            <w:vAlign w:val="bottom"/>
          </w:tcPr>
          <w:p w14:paraId="07DD120E" w14:textId="77777777" w:rsidR="00AE727E" w:rsidRDefault="00AE727E">
            <w:pPr>
              <w:rPr>
                <w:rFonts w:ascii="宋体"/>
              </w:rPr>
            </w:pPr>
          </w:p>
        </w:tc>
        <w:tc>
          <w:tcPr>
            <w:tcW w:w="5" w:type="pct"/>
            <w:shd w:val="clear" w:color="auto" w:fill="auto"/>
            <w:vAlign w:val="bottom"/>
          </w:tcPr>
          <w:p w14:paraId="07DD120F" w14:textId="77777777" w:rsidR="00AE727E" w:rsidRDefault="00AE727E">
            <w:pPr>
              <w:rPr>
                <w:rFonts w:ascii="宋体"/>
              </w:rPr>
            </w:pPr>
          </w:p>
        </w:tc>
        <w:tc>
          <w:tcPr>
            <w:tcW w:w="19" w:type="pct"/>
            <w:shd w:val="clear" w:color="auto" w:fill="auto"/>
            <w:vAlign w:val="bottom"/>
          </w:tcPr>
          <w:p w14:paraId="07DD1210" w14:textId="77777777" w:rsidR="00AE727E" w:rsidRDefault="00AE727E">
            <w:pPr>
              <w:rPr>
                <w:rFonts w:ascii="宋体"/>
              </w:rPr>
            </w:pPr>
          </w:p>
        </w:tc>
        <w:tc>
          <w:tcPr>
            <w:tcW w:w="5" w:type="pct"/>
            <w:shd w:val="clear" w:color="auto" w:fill="auto"/>
            <w:vAlign w:val="bottom"/>
          </w:tcPr>
          <w:p w14:paraId="07DD1211" w14:textId="77777777" w:rsidR="00AE727E" w:rsidRDefault="00AE727E">
            <w:pPr>
              <w:rPr>
                <w:rFonts w:ascii="宋体"/>
              </w:rPr>
            </w:pPr>
          </w:p>
        </w:tc>
        <w:tc>
          <w:tcPr>
            <w:tcW w:w="50" w:type="pct"/>
            <w:shd w:val="clear" w:color="auto" w:fill="auto"/>
            <w:vAlign w:val="bottom"/>
          </w:tcPr>
          <w:p w14:paraId="07DD1212" w14:textId="77777777" w:rsidR="00AE727E" w:rsidRDefault="00AE727E">
            <w:pPr>
              <w:rPr>
                <w:rFonts w:ascii="宋体"/>
              </w:rPr>
            </w:pPr>
          </w:p>
        </w:tc>
        <w:tc>
          <w:tcPr>
            <w:tcW w:w="361" w:type="pct"/>
            <w:shd w:val="clear" w:color="auto" w:fill="auto"/>
            <w:vAlign w:val="bottom"/>
          </w:tcPr>
          <w:p w14:paraId="07DD1213" w14:textId="77777777" w:rsidR="00AE727E" w:rsidRDefault="00AE727E">
            <w:pPr>
              <w:rPr>
                <w:rFonts w:ascii="宋体"/>
              </w:rPr>
            </w:pPr>
          </w:p>
        </w:tc>
        <w:tc>
          <w:tcPr>
            <w:tcW w:w="5" w:type="pct"/>
            <w:shd w:val="clear" w:color="auto" w:fill="auto"/>
            <w:vAlign w:val="bottom"/>
          </w:tcPr>
          <w:p w14:paraId="07DD1214" w14:textId="77777777" w:rsidR="00AE727E" w:rsidRDefault="00AE727E">
            <w:pPr>
              <w:rPr>
                <w:rFonts w:ascii="宋体"/>
              </w:rPr>
            </w:pPr>
          </w:p>
        </w:tc>
        <w:tc>
          <w:tcPr>
            <w:tcW w:w="5" w:type="pct"/>
            <w:shd w:val="clear" w:color="auto" w:fill="auto"/>
            <w:vAlign w:val="bottom"/>
          </w:tcPr>
          <w:p w14:paraId="07DD1215" w14:textId="77777777" w:rsidR="00AE727E" w:rsidRDefault="00AE727E">
            <w:pPr>
              <w:rPr>
                <w:rFonts w:ascii="宋体"/>
              </w:rPr>
            </w:pPr>
          </w:p>
        </w:tc>
        <w:tc>
          <w:tcPr>
            <w:tcW w:w="19" w:type="pct"/>
            <w:shd w:val="clear" w:color="auto" w:fill="auto"/>
            <w:vAlign w:val="bottom"/>
          </w:tcPr>
          <w:p w14:paraId="07DD1216" w14:textId="77777777" w:rsidR="00AE727E" w:rsidRDefault="00AE727E">
            <w:pPr>
              <w:rPr>
                <w:rFonts w:ascii="宋体"/>
              </w:rPr>
            </w:pPr>
          </w:p>
        </w:tc>
        <w:tc>
          <w:tcPr>
            <w:tcW w:w="5" w:type="pct"/>
            <w:shd w:val="clear" w:color="auto" w:fill="auto"/>
            <w:vAlign w:val="bottom"/>
          </w:tcPr>
          <w:p w14:paraId="07DD1217" w14:textId="77777777" w:rsidR="00AE727E" w:rsidRDefault="00AE727E">
            <w:pPr>
              <w:rPr>
                <w:rFonts w:ascii="宋体"/>
              </w:rPr>
            </w:pPr>
          </w:p>
        </w:tc>
        <w:tc>
          <w:tcPr>
            <w:tcW w:w="50" w:type="pct"/>
            <w:shd w:val="clear" w:color="auto" w:fill="auto"/>
            <w:vAlign w:val="bottom"/>
          </w:tcPr>
          <w:p w14:paraId="07DD1218" w14:textId="77777777" w:rsidR="00AE727E" w:rsidRDefault="00AE727E">
            <w:pPr>
              <w:rPr>
                <w:rFonts w:ascii="宋体"/>
              </w:rPr>
            </w:pPr>
          </w:p>
        </w:tc>
        <w:tc>
          <w:tcPr>
            <w:tcW w:w="610" w:type="pct"/>
            <w:shd w:val="clear" w:color="auto" w:fill="auto"/>
            <w:vAlign w:val="bottom"/>
          </w:tcPr>
          <w:p w14:paraId="07DD1219" w14:textId="77777777" w:rsidR="00AE727E" w:rsidRDefault="00AE727E">
            <w:pPr>
              <w:rPr>
                <w:rFonts w:ascii="宋体"/>
              </w:rPr>
            </w:pPr>
          </w:p>
        </w:tc>
        <w:tc>
          <w:tcPr>
            <w:tcW w:w="5" w:type="pct"/>
            <w:shd w:val="clear" w:color="auto" w:fill="auto"/>
            <w:vAlign w:val="bottom"/>
          </w:tcPr>
          <w:p w14:paraId="07DD121A" w14:textId="77777777" w:rsidR="00AE727E" w:rsidRDefault="00AE727E">
            <w:pPr>
              <w:rPr>
                <w:rFonts w:ascii="宋体"/>
              </w:rPr>
            </w:pPr>
          </w:p>
        </w:tc>
      </w:tr>
      <w:tr w:rsidR="00AE727E" w14:paraId="07DD1220" w14:textId="77777777">
        <w:tc>
          <w:tcPr>
            <w:tcW w:w="0" w:type="auto"/>
            <w:gridSpan w:val="3"/>
            <w:shd w:val="clear" w:color="auto" w:fill="auto"/>
            <w:tcMar>
              <w:top w:w="0" w:type="dxa"/>
              <w:left w:w="20" w:type="dxa"/>
              <w:bottom w:w="0" w:type="dxa"/>
              <w:right w:w="20" w:type="dxa"/>
            </w:tcMar>
            <w:vAlign w:val="bottom"/>
          </w:tcPr>
          <w:p w14:paraId="07DD121C"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21D"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21E"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21F"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22D" w14:textId="77777777">
        <w:tc>
          <w:tcPr>
            <w:tcW w:w="0" w:type="auto"/>
            <w:gridSpan w:val="3"/>
            <w:shd w:val="clear" w:color="auto" w:fill="auto"/>
            <w:tcMar>
              <w:top w:w="40" w:type="dxa"/>
              <w:left w:w="20" w:type="dxa"/>
              <w:bottom w:w="40" w:type="dxa"/>
              <w:right w:w="20" w:type="dxa"/>
            </w:tcMar>
            <w:vAlign w:val="bottom"/>
          </w:tcPr>
          <w:p w14:paraId="07DD1221" w14:textId="77777777" w:rsidR="00AE727E" w:rsidRDefault="008433E0">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222"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2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24"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25"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26"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227"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28"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29"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2A"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2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2C"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230" w14:textId="77777777">
        <w:tc>
          <w:tcPr>
            <w:tcW w:w="0" w:type="auto"/>
            <w:gridSpan w:val="3"/>
            <w:shd w:val="clear" w:color="auto" w:fill="auto"/>
            <w:tcMar>
              <w:top w:w="0" w:type="dxa"/>
              <w:left w:w="20" w:type="dxa"/>
              <w:bottom w:w="0" w:type="dxa"/>
              <w:right w:w="20" w:type="dxa"/>
            </w:tcMar>
            <w:vAlign w:val="bottom"/>
          </w:tcPr>
          <w:p w14:paraId="07DD122E"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DD122F" w14:textId="77777777" w:rsidR="00AE727E" w:rsidRDefault="008433E0">
            <w:pPr>
              <w:jc w:val="center"/>
              <w:textAlignment w:val="bottom"/>
            </w:pPr>
            <w:r>
              <w:rPr>
                <w:rFonts w:ascii="Times New Roman" w:eastAsia="宋体" w:hAnsi="Times New Roman"/>
                <w:color w:val="000000"/>
                <w:sz w:val="20"/>
                <w:szCs w:val="20"/>
              </w:rPr>
              <w:t>(in millions, except percentages)</w:t>
            </w:r>
          </w:p>
        </w:tc>
      </w:tr>
      <w:tr w:rsidR="00AE727E" w14:paraId="07DD123D" w14:textId="77777777">
        <w:tc>
          <w:tcPr>
            <w:tcW w:w="0" w:type="auto"/>
            <w:gridSpan w:val="3"/>
            <w:shd w:val="clear" w:color="auto" w:fill="CCEEFF"/>
            <w:tcMar>
              <w:top w:w="40" w:type="dxa"/>
              <w:left w:w="20" w:type="dxa"/>
              <w:bottom w:w="40" w:type="dxa"/>
              <w:right w:w="20" w:type="dxa"/>
            </w:tcMar>
            <w:vAlign w:val="center"/>
          </w:tcPr>
          <w:p w14:paraId="07DD1231" w14:textId="77777777" w:rsidR="00AE727E" w:rsidRDefault="008433E0">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DD123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3C" w14:textId="77777777" w:rsidR="00AE727E" w:rsidRDefault="00AE727E">
            <w:pPr>
              <w:rPr>
                <w:rFonts w:ascii="宋体"/>
              </w:rPr>
            </w:pPr>
          </w:p>
        </w:tc>
      </w:tr>
      <w:tr w:rsidR="00AE727E" w14:paraId="07DD1251" w14:textId="77777777">
        <w:tc>
          <w:tcPr>
            <w:tcW w:w="0" w:type="auto"/>
            <w:gridSpan w:val="3"/>
            <w:shd w:val="clear" w:color="auto" w:fill="FFFFFF"/>
            <w:tcMar>
              <w:top w:w="40" w:type="dxa"/>
              <w:left w:w="155" w:type="dxa"/>
              <w:bottom w:w="40" w:type="dxa"/>
              <w:right w:w="20" w:type="dxa"/>
            </w:tcMar>
            <w:vAlign w:val="center"/>
          </w:tcPr>
          <w:p w14:paraId="07DD123E" w14:textId="77777777" w:rsidR="00AE727E" w:rsidRDefault="008433E0">
            <w:pPr>
              <w:textAlignment w:val="center"/>
            </w:pPr>
            <w:r>
              <w:rPr>
                <w:rFonts w:ascii="Times New Roman" w:eastAsia="宋体" w:hAnsi="Times New Roman"/>
                <w:color w:val="000000"/>
                <w:sz w:val="20"/>
                <w:szCs w:val="20"/>
              </w:rPr>
              <w:t>Servers and networking</w:t>
            </w:r>
          </w:p>
        </w:tc>
        <w:tc>
          <w:tcPr>
            <w:tcW w:w="0" w:type="auto"/>
            <w:shd w:val="clear" w:color="auto" w:fill="FFFFFF"/>
            <w:tcMar>
              <w:top w:w="40" w:type="dxa"/>
              <w:left w:w="20" w:type="dxa"/>
              <w:bottom w:w="40" w:type="dxa"/>
              <w:right w:w="0" w:type="dxa"/>
            </w:tcMar>
            <w:vAlign w:val="center"/>
          </w:tcPr>
          <w:p w14:paraId="07DD123F"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240" w14:textId="77777777" w:rsidR="00AE727E" w:rsidRDefault="008433E0">
            <w:pPr>
              <w:jc w:val="right"/>
              <w:textAlignment w:val="center"/>
            </w:pPr>
            <w:r>
              <w:rPr>
                <w:rFonts w:ascii="Times New Roman" w:eastAsia="宋体" w:hAnsi="Times New Roman"/>
                <w:color w:val="000000"/>
                <w:sz w:val="20"/>
                <w:szCs w:val="20"/>
              </w:rPr>
              <w:t>4,533 </w:t>
            </w:r>
          </w:p>
        </w:tc>
        <w:tc>
          <w:tcPr>
            <w:tcW w:w="0" w:type="auto"/>
            <w:shd w:val="clear" w:color="auto" w:fill="FFFFFF"/>
            <w:tcMar>
              <w:top w:w="40" w:type="dxa"/>
              <w:left w:w="0" w:type="dxa"/>
              <w:bottom w:w="40" w:type="dxa"/>
              <w:right w:w="20" w:type="dxa"/>
            </w:tcMar>
            <w:vAlign w:val="center"/>
          </w:tcPr>
          <w:p w14:paraId="07DD124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242"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243"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07DD1244"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4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246" w14:textId="77777777" w:rsidR="00AE727E" w:rsidRDefault="008433E0">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07DD1247" w14:textId="77777777" w:rsidR="00AE727E" w:rsidRDefault="008433E0">
            <w:pPr>
              <w:jc w:val="right"/>
              <w:textAlignment w:val="center"/>
            </w:pPr>
            <w:r>
              <w:rPr>
                <w:rFonts w:ascii="Times New Roman" w:eastAsia="宋体" w:hAnsi="Times New Roman"/>
                <w:color w:val="000000"/>
                <w:sz w:val="20"/>
                <w:szCs w:val="20"/>
              </w:rPr>
              <w:t>4,164</w:t>
            </w:r>
          </w:p>
        </w:tc>
        <w:tc>
          <w:tcPr>
            <w:tcW w:w="0" w:type="auto"/>
            <w:gridSpan w:val="3"/>
            <w:shd w:val="clear" w:color="auto" w:fill="FFFFFF"/>
            <w:tcMar>
              <w:top w:w="0" w:type="dxa"/>
              <w:left w:w="20" w:type="dxa"/>
              <w:bottom w:w="0" w:type="dxa"/>
              <w:right w:w="20" w:type="dxa"/>
            </w:tcMar>
            <w:vAlign w:val="bottom"/>
          </w:tcPr>
          <w:p w14:paraId="07DD1248"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249" w14:textId="77777777" w:rsidR="00AE727E" w:rsidRDefault="008433E0">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07DD124A" w14:textId="77777777" w:rsidR="00AE727E" w:rsidRDefault="008433E0">
            <w:pPr>
              <w:jc w:val="right"/>
              <w:textAlignment w:val="center"/>
            </w:pPr>
            <w:r>
              <w:rPr>
                <w:rFonts w:ascii="Times New Roman" w:eastAsia="宋体" w:hAnsi="Times New Roman"/>
                <w:color w:val="000000"/>
                <w:sz w:val="20"/>
                <w:szCs w:val="20"/>
              </w:rPr>
              <w:t>13,104</w:t>
            </w:r>
          </w:p>
        </w:tc>
        <w:tc>
          <w:tcPr>
            <w:tcW w:w="0" w:type="auto"/>
            <w:gridSpan w:val="3"/>
            <w:shd w:val="clear" w:color="auto" w:fill="FFFFFF"/>
            <w:tcMar>
              <w:top w:w="0" w:type="dxa"/>
              <w:left w:w="20" w:type="dxa"/>
              <w:bottom w:w="0" w:type="dxa"/>
              <w:right w:w="20" w:type="dxa"/>
            </w:tcMar>
            <w:vAlign w:val="bottom"/>
          </w:tcPr>
          <w:p w14:paraId="07DD124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24C" w14:textId="77777777" w:rsidR="00AE727E" w:rsidRDefault="008433E0">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DD124D"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4E"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24F" w14:textId="77777777" w:rsidR="00AE727E" w:rsidRDefault="008433E0">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07DD1250" w14:textId="77777777" w:rsidR="00AE727E" w:rsidRDefault="008433E0">
            <w:pPr>
              <w:jc w:val="right"/>
              <w:textAlignment w:val="center"/>
            </w:pPr>
            <w:r>
              <w:rPr>
                <w:rFonts w:ascii="Times New Roman" w:eastAsia="宋体" w:hAnsi="Times New Roman"/>
                <w:color w:val="000000"/>
                <w:sz w:val="20"/>
                <w:szCs w:val="20"/>
              </w:rPr>
              <w:t>12,118</w:t>
            </w:r>
          </w:p>
        </w:tc>
      </w:tr>
      <w:tr w:rsidR="00AE727E" w14:paraId="07DD1261" w14:textId="77777777">
        <w:tc>
          <w:tcPr>
            <w:tcW w:w="0" w:type="auto"/>
            <w:gridSpan w:val="3"/>
            <w:shd w:val="clear" w:color="auto" w:fill="CCEEFF"/>
            <w:tcMar>
              <w:top w:w="40" w:type="dxa"/>
              <w:left w:w="155" w:type="dxa"/>
              <w:bottom w:w="40" w:type="dxa"/>
              <w:right w:w="20" w:type="dxa"/>
            </w:tcMar>
            <w:vAlign w:val="center"/>
          </w:tcPr>
          <w:p w14:paraId="07DD1252" w14:textId="77777777" w:rsidR="00AE727E" w:rsidRDefault="008433E0">
            <w:pPr>
              <w:textAlignment w:val="center"/>
            </w:pPr>
            <w:r>
              <w:rPr>
                <w:rFonts w:ascii="Times New Roman" w:eastAsia="宋体" w:hAnsi="Times New Roman"/>
                <w:color w:val="000000"/>
                <w:sz w:val="20"/>
                <w:szCs w:val="20"/>
              </w:rPr>
              <w:t>Storage</w:t>
            </w:r>
          </w:p>
        </w:tc>
        <w:tc>
          <w:tcPr>
            <w:tcW w:w="0" w:type="auto"/>
            <w:gridSpan w:val="2"/>
            <w:shd w:val="clear" w:color="auto" w:fill="CCEEFF"/>
            <w:tcMar>
              <w:top w:w="40" w:type="dxa"/>
              <w:left w:w="20" w:type="dxa"/>
              <w:bottom w:w="40" w:type="dxa"/>
              <w:right w:w="0" w:type="dxa"/>
            </w:tcMar>
            <w:vAlign w:val="center"/>
          </w:tcPr>
          <w:p w14:paraId="07DD1253" w14:textId="77777777" w:rsidR="00AE727E" w:rsidRDefault="008433E0">
            <w:pPr>
              <w:jc w:val="right"/>
              <w:textAlignment w:val="center"/>
            </w:pPr>
            <w:r>
              <w:rPr>
                <w:rFonts w:ascii="Times New Roman" w:eastAsia="宋体" w:hAnsi="Times New Roman"/>
                <w:color w:val="000000"/>
                <w:sz w:val="20"/>
                <w:szCs w:val="20"/>
              </w:rPr>
              <w:t>3,895 </w:t>
            </w:r>
          </w:p>
        </w:tc>
        <w:tc>
          <w:tcPr>
            <w:tcW w:w="0" w:type="auto"/>
            <w:shd w:val="clear" w:color="auto" w:fill="CCEEFF"/>
            <w:tcMar>
              <w:top w:w="40" w:type="dxa"/>
              <w:left w:w="0" w:type="dxa"/>
              <w:bottom w:w="40" w:type="dxa"/>
              <w:right w:w="20" w:type="dxa"/>
            </w:tcMar>
            <w:vAlign w:val="center"/>
          </w:tcPr>
          <w:p w14:paraId="07DD125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25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256"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125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258" w14:textId="77777777" w:rsidR="00AE727E" w:rsidRDefault="00AE727E">
            <w:pPr>
              <w:rPr>
                <w:rFonts w:ascii="宋体"/>
              </w:rPr>
            </w:pPr>
          </w:p>
        </w:tc>
        <w:tc>
          <w:tcPr>
            <w:tcW w:w="0" w:type="auto"/>
            <w:gridSpan w:val="3"/>
            <w:shd w:val="clear" w:color="auto" w:fill="CCEEFF"/>
            <w:tcMar>
              <w:top w:w="40" w:type="dxa"/>
              <w:left w:w="20" w:type="dxa"/>
              <w:bottom w:w="40" w:type="dxa"/>
              <w:right w:w="140" w:type="dxa"/>
            </w:tcMar>
            <w:vAlign w:val="center"/>
          </w:tcPr>
          <w:p w14:paraId="07DD1259" w14:textId="77777777" w:rsidR="00AE727E" w:rsidRDefault="008433E0">
            <w:pPr>
              <w:jc w:val="right"/>
              <w:textAlignment w:val="center"/>
            </w:pPr>
            <w:r>
              <w:rPr>
                <w:rFonts w:ascii="Times New Roman" w:eastAsia="宋体" w:hAnsi="Times New Roman"/>
                <w:color w:val="000000"/>
                <w:sz w:val="20"/>
                <w:szCs w:val="20"/>
              </w:rPr>
              <w:t>3,860</w:t>
            </w:r>
          </w:p>
        </w:tc>
        <w:tc>
          <w:tcPr>
            <w:tcW w:w="0" w:type="auto"/>
            <w:gridSpan w:val="3"/>
            <w:shd w:val="clear" w:color="auto" w:fill="CCEEFF"/>
            <w:tcMar>
              <w:top w:w="0" w:type="dxa"/>
              <w:left w:w="20" w:type="dxa"/>
              <w:bottom w:w="0" w:type="dxa"/>
              <w:right w:w="20" w:type="dxa"/>
            </w:tcMar>
            <w:vAlign w:val="bottom"/>
          </w:tcPr>
          <w:p w14:paraId="07DD125A" w14:textId="77777777" w:rsidR="00AE727E" w:rsidRDefault="00AE727E">
            <w:pPr>
              <w:rPr>
                <w:rFonts w:ascii="宋体"/>
              </w:rPr>
            </w:pPr>
          </w:p>
        </w:tc>
        <w:tc>
          <w:tcPr>
            <w:tcW w:w="0" w:type="auto"/>
            <w:gridSpan w:val="3"/>
            <w:shd w:val="clear" w:color="auto" w:fill="CCEEFF"/>
            <w:tcMar>
              <w:top w:w="40" w:type="dxa"/>
              <w:left w:w="20" w:type="dxa"/>
              <w:bottom w:w="40" w:type="dxa"/>
              <w:right w:w="140" w:type="dxa"/>
            </w:tcMar>
            <w:vAlign w:val="center"/>
          </w:tcPr>
          <w:p w14:paraId="07DD125B" w14:textId="77777777" w:rsidR="00AE727E" w:rsidRDefault="008433E0">
            <w:pPr>
              <w:jc w:val="right"/>
              <w:textAlignment w:val="center"/>
            </w:pPr>
            <w:r>
              <w:rPr>
                <w:rFonts w:ascii="Times New Roman" w:eastAsia="宋体" w:hAnsi="Times New Roman"/>
                <w:color w:val="000000"/>
                <w:sz w:val="20"/>
                <w:szCs w:val="20"/>
              </w:rPr>
              <w:t>11,667</w:t>
            </w:r>
          </w:p>
        </w:tc>
        <w:tc>
          <w:tcPr>
            <w:tcW w:w="0" w:type="auto"/>
            <w:gridSpan w:val="3"/>
            <w:shd w:val="clear" w:color="auto" w:fill="CCEEFF"/>
            <w:tcMar>
              <w:top w:w="0" w:type="dxa"/>
              <w:left w:w="20" w:type="dxa"/>
              <w:bottom w:w="0" w:type="dxa"/>
              <w:right w:w="20" w:type="dxa"/>
            </w:tcMar>
            <w:vAlign w:val="bottom"/>
          </w:tcPr>
          <w:p w14:paraId="07DD125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25D"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D125E"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25F" w14:textId="77777777" w:rsidR="00AE727E" w:rsidRDefault="00AE727E">
            <w:pPr>
              <w:rPr>
                <w:rFonts w:ascii="宋体"/>
              </w:rPr>
            </w:pPr>
          </w:p>
        </w:tc>
        <w:tc>
          <w:tcPr>
            <w:tcW w:w="0" w:type="auto"/>
            <w:gridSpan w:val="3"/>
            <w:shd w:val="clear" w:color="auto" w:fill="CCEEFF"/>
            <w:tcMar>
              <w:top w:w="40" w:type="dxa"/>
              <w:left w:w="20" w:type="dxa"/>
              <w:bottom w:w="40" w:type="dxa"/>
              <w:right w:w="140" w:type="dxa"/>
            </w:tcMar>
            <w:vAlign w:val="center"/>
          </w:tcPr>
          <w:p w14:paraId="07DD1260" w14:textId="77777777" w:rsidR="00AE727E" w:rsidRDefault="008433E0">
            <w:pPr>
              <w:jc w:val="right"/>
              <w:textAlignment w:val="center"/>
            </w:pPr>
            <w:r>
              <w:rPr>
                <w:rFonts w:ascii="Times New Roman" w:eastAsia="宋体" w:hAnsi="Times New Roman"/>
                <w:color w:val="000000"/>
                <w:sz w:val="20"/>
                <w:szCs w:val="20"/>
              </w:rPr>
              <w:t>11,682</w:t>
            </w:r>
          </w:p>
        </w:tc>
      </w:tr>
      <w:tr w:rsidR="00AE727E" w14:paraId="07DD1275" w14:textId="77777777">
        <w:tc>
          <w:tcPr>
            <w:tcW w:w="0" w:type="auto"/>
            <w:gridSpan w:val="3"/>
            <w:shd w:val="clear" w:color="auto" w:fill="FFFFFF"/>
            <w:tcMar>
              <w:top w:w="40" w:type="dxa"/>
              <w:left w:w="245" w:type="dxa"/>
              <w:bottom w:w="40" w:type="dxa"/>
              <w:right w:w="20" w:type="dxa"/>
            </w:tcMar>
            <w:vAlign w:val="center"/>
          </w:tcPr>
          <w:p w14:paraId="07DD1262" w14:textId="77777777" w:rsidR="00AE727E" w:rsidRDefault="008433E0">
            <w:pPr>
              <w:textAlignment w:val="center"/>
            </w:pPr>
            <w:r>
              <w:rPr>
                <w:rFonts w:ascii="Times New Roman" w:eastAsia="宋体" w:hAnsi="Times New Roman"/>
                <w:color w:val="000000"/>
                <w:sz w:val="20"/>
                <w:szCs w:val="20"/>
              </w:rPr>
              <w:t>Total ISG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1263"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1264" w14:textId="77777777" w:rsidR="00AE727E" w:rsidRDefault="008433E0">
            <w:pPr>
              <w:jc w:val="right"/>
              <w:textAlignment w:val="center"/>
            </w:pPr>
            <w:r>
              <w:rPr>
                <w:rFonts w:ascii="Times New Roman" w:eastAsia="宋体" w:hAnsi="Times New Roman"/>
                <w:color w:val="000000"/>
                <w:sz w:val="20"/>
                <w:szCs w:val="20"/>
              </w:rPr>
              <w:t>8,428 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26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26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267" w14:textId="77777777" w:rsidR="00AE727E" w:rsidRDefault="008433E0">
            <w:pPr>
              <w:jc w:val="right"/>
              <w:textAlignment w:val="center"/>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center"/>
          </w:tcPr>
          <w:p w14:paraId="07DD1268"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69"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26A"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26B" w14:textId="77777777" w:rsidR="00AE727E" w:rsidRDefault="008433E0">
            <w:pPr>
              <w:jc w:val="right"/>
              <w:textAlignment w:val="center"/>
            </w:pPr>
            <w:r>
              <w:rPr>
                <w:rFonts w:ascii="Times New Roman" w:eastAsia="宋体" w:hAnsi="Times New Roman"/>
                <w:color w:val="000000"/>
                <w:sz w:val="20"/>
                <w:szCs w:val="20"/>
              </w:rPr>
              <w:t>8,024</w:t>
            </w:r>
          </w:p>
        </w:tc>
        <w:tc>
          <w:tcPr>
            <w:tcW w:w="0" w:type="auto"/>
            <w:gridSpan w:val="3"/>
            <w:shd w:val="clear" w:color="auto" w:fill="FFFFFF"/>
            <w:tcMar>
              <w:top w:w="0" w:type="dxa"/>
              <w:left w:w="20" w:type="dxa"/>
              <w:bottom w:w="0" w:type="dxa"/>
              <w:right w:w="20" w:type="dxa"/>
            </w:tcMar>
            <w:vAlign w:val="bottom"/>
          </w:tcPr>
          <w:p w14:paraId="07DD126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26D"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26E" w14:textId="77777777" w:rsidR="00AE727E" w:rsidRDefault="008433E0">
            <w:pPr>
              <w:jc w:val="right"/>
              <w:textAlignment w:val="center"/>
            </w:pPr>
            <w:r>
              <w:rPr>
                <w:rFonts w:ascii="Times New Roman" w:eastAsia="宋体" w:hAnsi="Times New Roman"/>
                <w:color w:val="000000"/>
                <w:sz w:val="20"/>
                <w:szCs w:val="20"/>
              </w:rPr>
              <w:t>24,771</w:t>
            </w:r>
          </w:p>
        </w:tc>
        <w:tc>
          <w:tcPr>
            <w:tcW w:w="0" w:type="auto"/>
            <w:gridSpan w:val="3"/>
            <w:shd w:val="clear" w:color="auto" w:fill="FFFFFF"/>
            <w:tcMar>
              <w:top w:w="0" w:type="dxa"/>
              <w:left w:w="20" w:type="dxa"/>
              <w:bottom w:w="0" w:type="dxa"/>
              <w:right w:w="20" w:type="dxa"/>
            </w:tcMar>
            <w:vAlign w:val="bottom"/>
          </w:tcPr>
          <w:p w14:paraId="07DD126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270" w14:textId="77777777" w:rsidR="00AE727E" w:rsidRDefault="008433E0">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07DD1271"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72"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273"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274" w14:textId="77777777" w:rsidR="00AE727E" w:rsidRDefault="008433E0">
            <w:pPr>
              <w:jc w:val="right"/>
              <w:textAlignment w:val="center"/>
            </w:pPr>
            <w:r>
              <w:rPr>
                <w:rFonts w:ascii="Times New Roman" w:eastAsia="宋体" w:hAnsi="Times New Roman"/>
                <w:color w:val="000000"/>
                <w:sz w:val="20"/>
                <w:szCs w:val="20"/>
              </w:rPr>
              <w:t>23,800</w:t>
            </w:r>
          </w:p>
        </w:tc>
      </w:tr>
      <w:tr w:rsidR="00AE727E" w14:paraId="07DD1282" w14:textId="77777777">
        <w:trPr>
          <w:trHeight w:val="300"/>
        </w:trPr>
        <w:tc>
          <w:tcPr>
            <w:tcW w:w="0" w:type="auto"/>
            <w:gridSpan w:val="3"/>
            <w:shd w:val="clear" w:color="auto" w:fill="CCEEFF"/>
            <w:tcMar>
              <w:top w:w="0" w:type="dxa"/>
              <w:left w:w="20" w:type="dxa"/>
              <w:bottom w:w="0" w:type="dxa"/>
              <w:right w:w="20" w:type="dxa"/>
            </w:tcMar>
            <w:vAlign w:val="bottom"/>
          </w:tcPr>
          <w:p w14:paraId="07DD127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27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A"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27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C"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27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7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280"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281" w14:textId="77777777" w:rsidR="00AE727E" w:rsidRDefault="00AE727E">
            <w:pPr>
              <w:rPr>
                <w:rFonts w:ascii="宋体"/>
              </w:rPr>
            </w:pPr>
          </w:p>
        </w:tc>
      </w:tr>
      <w:tr w:rsidR="00AE727E" w14:paraId="07DD128F" w14:textId="77777777">
        <w:tc>
          <w:tcPr>
            <w:tcW w:w="0" w:type="auto"/>
            <w:gridSpan w:val="3"/>
            <w:shd w:val="clear" w:color="auto" w:fill="FFFFFF"/>
            <w:tcMar>
              <w:top w:w="40" w:type="dxa"/>
              <w:left w:w="20" w:type="dxa"/>
              <w:bottom w:w="40" w:type="dxa"/>
              <w:right w:w="20" w:type="dxa"/>
            </w:tcMar>
            <w:vAlign w:val="center"/>
          </w:tcPr>
          <w:p w14:paraId="07DD1283" w14:textId="77777777" w:rsidR="00AE727E" w:rsidRDefault="008433E0">
            <w:pPr>
              <w:textAlignment w:val="center"/>
            </w:pPr>
            <w:r>
              <w:rPr>
                <w:rFonts w:ascii="Times New Roman" w:eastAsia="宋体" w:hAnsi="Times New Roman"/>
                <w:i/>
                <w:iCs/>
                <w:color w:val="000000"/>
                <w:sz w:val="20"/>
                <w:szCs w:val="20"/>
              </w:rPr>
              <w:t xml:space="preserve">Operating </w:t>
            </w:r>
            <w:r>
              <w:rPr>
                <w:rFonts w:ascii="Times New Roman" w:eastAsia="宋体" w:hAnsi="Times New Roman"/>
                <w:i/>
                <w:iCs/>
                <w:color w:val="000000"/>
                <w:sz w:val="20"/>
                <w:szCs w:val="20"/>
              </w:rPr>
              <w:t>income:</w:t>
            </w:r>
          </w:p>
        </w:tc>
        <w:tc>
          <w:tcPr>
            <w:tcW w:w="0" w:type="auto"/>
            <w:gridSpan w:val="3"/>
            <w:shd w:val="clear" w:color="auto" w:fill="FFFFFF"/>
            <w:tcMar>
              <w:top w:w="0" w:type="dxa"/>
              <w:left w:w="20" w:type="dxa"/>
              <w:bottom w:w="0" w:type="dxa"/>
              <w:right w:w="20" w:type="dxa"/>
            </w:tcMar>
            <w:vAlign w:val="bottom"/>
          </w:tcPr>
          <w:p w14:paraId="07DD128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A"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8E" w14:textId="77777777" w:rsidR="00AE727E" w:rsidRDefault="00AE727E">
            <w:pPr>
              <w:rPr>
                <w:rFonts w:ascii="宋体"/>
              </w:rPr>
            </w:pPr>
          </w:p>
        </w:tc>
      </w:tr>
      <w:tr w:rsidR="00AE727E" w14:paraId="07DD12A3" w14:textId="77777777">
        <w:tc>
          <w:tcPr>
            <w:tcW w:w="0" w:type="auto"/>
            <w:gridSpan w:val="3"/>
            <w:shd w:val="clear" w:color="auto" w:fill="CCEEFF"/>
            <w:tcMar>
              <w:top w:w="40" w:type="dxa"/>
              <w:left w:w="155" w:type="dxa"/>
              <w:bottom w:w="40" w:type="dxa"/>
              <w:right w:w="20" w:type="dxa"/>
            </w:tcMar>
            <w:vAlign w:val="center"/>
          </w:tcPr>
          <w:p w14:paraId="07DD1290" w14:textId="77777777" w:rsidR="00AE727E" w:rsidRDefault="008433E0">
            <w:pPr>
              <w:textAlignment w:val="center"/>
            </w:pPr>
            <w:r>
              <w:rPr>
                <w:rFonts w:ascii="Times New Roman" w:eastAsia="宋体" w:hAnsi="Times New Roman"/>
                <w:color w:val="000000"/>
                <w:sz w:val="20"/>
                <w:szCs w:val="20"/>
              </w:rPr>
              <w:t>ISG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1291"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1292" w14:textId="77777777" w:rsidR="00AE727E" w:rsidRDefault="008433E0">
            <w:pPr>
              <w:jc w:val="right"/>
              <w:textAlignment w:val="center"/>
            </w:pPr>
            <w:r>
              <w:rPr>
                <w:rFonts w:ascii="Times New Roman" w:eastAsia="宋体" w:hAnsi="Times New Roman"/>
                <w:color w:val="000000"/>
                <w:sz w:val="20"/>
                <w:szCs w:val="20"/>
              </w:rPr>
              <w:t>892 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2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29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295"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1296"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297"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298"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299" w14:textId="77777777" w:rsidR="00AE727E" w:rsidRDefault="008433E0">
            <w:pPr>
              <w:jc w:val="right"/>
              <w:textAlignment w:val="center"/>
            </w:pPr>
            <w:r>
              <w:rPr>
                <w:rFonts w:ascii="Times New Roman" w:eastAsia="宋体" w:hAnsi="Times New Roman"/>
                <w:color w:val="000000"/>
                <w:sz w:val="20"/>
                <w:szCs w:val="20"/>
              </w:rPr>
              <w:t>882</w:t>
            </w:r>
          </w:p>
        </w:tc>
        <w:tc>
          <w:tcPr>
            <w:tcW w:w="0" w:type="auto"/>
            <w:gridSpan w:val="3"/>
            <w:shd w:val="clear" w:color="auto" w:fill="CCEEFF"/>
            <w:tcMar>
              <w:top w:w="0" w:type="dxa"/>
              <w:left w:w="20" w:type="dxa"/>
              <w:bottom w:w="0" w:type="dxa"/>
              <w:right w:w="20" w:type="dxa"/>
            </w:tcMar>
            <w:vAlign w:val="bottom"/>
          </w:tcPr>
          <w:p w14:paraId="07DD129A"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29B"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29C" w14:textId="77777777" w:rsidR="00AE727E" w:rsidRDefault="008433E0">
            <w:pPr>
              <w:jc w:val="right"/>
              <w:textAlignment w:val="center"/>
            </w:pPr>
            <w:r>
              <w:rPr>
                <w:rFonts w:ascii="Times New Roman" w:eastAsia="宋体" w:hAnsi="Times New Roman"/>
                <w:color w:val="000000"/>
                <w:sz w:val="20"/>
                <w:szCs w:val="20"/>
              </w:rPr>
              <w:t>2,650</w:t>
            </w:r>
          </w:p>
        </w:tc>
        <w:tc>
          <w:tcPr>
            <w:tcW w:w="0" w:type="auto"/>
            <w:gridSpan w:val="3"/>
            <w:shd w:val="clear" w:color="auto" w:fill="CCEEFF"/>
            <w:tcMar>
              <w:top w:w="0" w:type="dxa"/>
              <w:left w:w="20" w:type="dxa"/>
              <w:bottom w:w="0" w:type="dxa"/>
              <w:right w:w="20" w:type="dxa"/>
            </w:tcMar>
            <w:vAlign w:val="bottom"/>
          </w:tcPr>
          <w:p w14:paraId="07DD129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29E" w14:textId="77777777" w:rsidR="00AE727E" w:rsidRDefault="008433E0">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07DD129F"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2A0"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2A1"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2A2" w14:textId="77777777" w:rsidR="00AE727E" w:rsidRDefault="008433E0">
            <w:pPr>
              <w:jc w:val="right"/>
              <w:textAlignment w:val="center"/>
            </w:pPr>
            <w:r>
              <w:rPr>
                <w:rFonts w:ascii="Times New Roman" w:eastAsia="宋体" w:hAnsi="Times New Roman"/>
                <w:color w:val="000000"/>
                <w:sz w:val="20"/>
                <w:szCs w:val="20"/>
              </w:rPr>
              <w:t>2,587</w:t>
            </w:r>
          </w:p>
        </w:tc>
      </w:tr>
      <w:tr w:rsidR="00AE727E" w14:paraId="07DD12B4" w14:textId="77777777">
        <w:tc>
          <w:tcPr>
            <w:tcW w:w="0" w:type="auto"/>
            <w:gridSpan w:val="3"/>
            <w:shd w:val="clear" w:color="auto" w:fill="FFFFFF"/>
            <w:tcMar>
              <w:top w:w="40" w:type="dxa"/>
              <w:left w:w="155" w:type="dxa"/>
              <w:bottom w:w="40" w:type="dxa"/>
              <w:right w:w="20" w:type="dxa"/>
            </w:tcMar>
            <w:vAlign w:val="center"/>
          </w:tcPr>
          <w:p w14:paraId="07DD12A4" w14:textId="77777777" w:rsidR="00AE727E" w:rsidRDefault="008433E0">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2A5" w14:textId="77777777" w:rsidR="00AE727E" w:rsidRDefault="008433E0">
            <w:pPr>
              <w:jc w:val="right"/>
              <w:textAlignment w:val="center"/>
            </w:pPr>
            <w:r>
              <w:rPr>
                <w:rFonts w:ascii="Times New Roman" w:eastAsia="宋体" w:hAnsi="Times New Roman"/>
                <w:i/>
                <w:iCs/>
                <w:color w:val="000000"/>
                <w:sz w:val="20"/>
                <w:szCs w:val="20"/>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2A6"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A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A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A9"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2AA" w14:textId="77777777" w:rsidR="00AE727E" w:rsidRDefault="008433E0">
            <w:pPr>
              <w:jc w:val="right"/>
              <w:textAlignment w:val="center"/>
            </w:pPr>
            <w:r>
              <w:rPr>
                <w:rFonts w:ascii="Times New Roman" w:eastAsia="宋体" w:hAnsi="Times New Roman"/>
                <w:i/>
                <w:iCs/>
                <w:color w:val="000000"/>
                <w:sz w:val="20"/>
                <w:szCs w:val="20"/>
              </w:rPr>
              <w:t>11.0 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2AB"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AC"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2AD" w14:textId="77777777" w:rsidR="00AE727E" w:rsidRDefault="008433E0">
            <w:pPr>
              <w:jc w:val="right"/>
              <w:textAlignment w:val="center"/>
            </w:pPr>
            <w:r>
              <w:rPr>
                <w:rFonts w:ascii="Times New Roman" w:eastAsia="宋体" w:hAnsi="Times New Roman"/>
                <w:i/>
                <w:iCs/>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2AE"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2A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B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2B1"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2B2" w14:textId="77777777" w:rsidR="00AE727E" w:rsidRDefault="008433E0">
            <w:pPr>
              <w:jc w:val="right"/>
              <w:textAlignment w:val="center"/>
            </w:pPr>
            <w:r>
              <w:rPr>
                <w:rFonts w:ascii="Times New Roman" w:eastAsia="宋体" w:hAnsi="Times New Roman"/>
                <w:i/>
                <w:iCs/>
                <w:color w:val="000000"/>
                <w:sz w:val="20"/>
                <w:szCs w:val="20"/>
              </w:rPr>
              <w:t>10.9 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2B3" w14:textId="77777777" w:rsidR="00AE727E" w:rsidRDefault="008433E0">
            <w:pPr>
              <w:jc w:val="right"/>
              <w:textAlignment w:val="center"/>
            </w:pPr>
            <w:r>
              <w:rPr>
                <w:rFonts w:ascii="Times New Roman" w:eastAsia="宋体" w:hAnsi="Times New Roman"/>
                <w:i/>
                <w:iCs/>
                <w:color w:val="000000"/>
                <w:sz w:val="20"/>
                <w:szCs w:val="20"/>
              </w:rPr>
              <w:t>%</w:t>
            </w:r>
          </w:p>
        </w:tc>
      </w:tr>
    </w:tbl>
    <w:p w14:paraId="07DD12B5" w14:textId="77777777" w:rsidR="00AE727E" w:rsidRDefault="00AE727E"/>
    <w:p w14:paraId="07DD12B6" w14:textId="77777777" w:rsidR="00AE727E" w:rsidRDefault="008433E0">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2022, ISG net revenue increased 5% and 4%, respect</w:t>
      </w:r>
      <w:r>
        <w:rPr>
          <w:rFonts w:ascii="Times New Roman" w:eastAsia="宋体" w:hAnsi="Times New Roman"/>
          <w:color w:val="000000"/>
          <w:sz w:val="20"/>
          <w:szCs w:val="20"/>
        </w:rPr>
        <w:t>ively. These increases were primarily driven by sales of servers and networking attributable to improvements in the macroeconomic environment and a shift towards investment in IT infrastructure. In comparison, net revenue during the third quarter and first</w:t>
      </w:r>
      <w:r>
        <w:rPr>
          <w:rFonts w:ascii="Times New Roman" w:eastAsia="宋体" w:hAnsi="Times New Roman"/>
          <w:color w:val="000000"/>
          <w:sz w:val="20"/>
          <w:szCs w:val="20"/>
        </w:rPr>
        <w:t xml:space="preserve"> nine months of Fiscal 2021 was affected by a weaker demand environment as a result of COVID-19, when customers shifted their investments toward remote work and business continuity solutions.</w:t>
      </w:r>
    </w:p>
    <w:p w14:paraId="07DD12B7" w14:textId="77777777" w:rsidR="00AE727E" w:rsidRDefault="00AE727E"/>
    <w:p w14:paraId="07DD12B8" w14:textId="77777777" w:rsidR="00AE727E" w:rsidRDefault="008433E0">
      <w:r>
        <w:rPr>
          <w:rFonts w:ascii="Times New Roman" w:eastAsia="宋体" w:hAnsi="Times New Roman"/>
          <w:color w:val="000000"/>
          <w:sz w:val="20"/>
          <w:szCs w:val="20"/>
        </w:rPr>
        <w:t>Net revenue from sales of servers and networking increased 9% a</w:t>
      </w:r>
      <w:r>
        <w:rPr>
          <w:rFonts w:ascii="Times New Roman" w:eastAsia="宋体" w:hAnsi="Times New Roman"/>
          <w:color w:val="000000"/>
          <w:sz w:val="20"/>
          <w:szCs w:val="20"/>
        </w:rPr>
        <w:t xml:space="preserve">nd 8% during the third quarter and first nine months of Fiscal 2022, respectively, as a result of an increase in units sold due to continued demand for our PowerEdge servers. During the third quarter of Fiscal 2022, the increase in net revenue was further </w:t>
      </w:r>
      <w:r>
        <w:rPr>
          <w:rFonts w:ascii="Times New Roman" w:eastAsia="宋体" w:hAnsi="Times New Roman"/>
          <w:color w:val="000000"/>
          <w:sz w:val="20"/>
          <w:szCs w:val="20"/>
        </w:rPr>
        <w:t>driven by an increase in average selling price for our PowerEdge servers as we managed pricing in response to the cost environment.</w:t>
      </w:r>
    </w:p>
    <w:p w14:paraId="07DD12B9" w14:textId="77777777" w:rsidR="00AE727E" w:rsidRDefault="00AE727E"/>
    <w:p w14:paraId="07DD12BA" w14:textId="77777777" w:rsidR="00AE727E" w:rsidRDefault="008433E0">
      <w:r>
        <w:rPr>
          <w:rFonts w:ascii="Times New Roman" w:eastAsia="宋体" w:hAnsi="Times New Roman"/>
          <w:color w:val="000000"/>
          <w:sz w:val="20"/>
          <w:szCs w:val="20"/>
        </w:rPr>
        <w:t>Storage revenue increased 1% and remained flat during the third quarter and first nine months of Fiscal 2022, respectively.</w:t>
      </w:r>
      <w:r>
        <w:rPr>
          <w:rFonts w:ascii="Times New Roman" w:eastAsia="宋体" w:hAnsi="Times New Roman"/>
          <w:color w:val="000000"/>
          <w:sz w:val="20"/>
          <w:szCs w:val="20"/>
        </w:rPr>
        <w:t xml:space="preserve"> We benefited from growth within hyper-converged infrastructure which was offset by a decline in other storage offerings. To a lesser extent, during the third quarter of Fiscal 2022, we also benefited from growth within our data protection offerings. Overa</w:t>
      </w:r>
      <w:r>
        <w:rPr>
          <w:rFonts w:ascii="Times New Roman" w:eastAsia="宋体" w:hAnsi="Times New Roman"/>
          <w:color w:val="000000"/>
          <w:sz w:val="20"/>
          <w:szCs w:val="20"/>
        </w:rPr>
        <w:t xml:space="preserve">ll, we have experienced growth in demand for the majority of our storage offerings, most notably within midrange storage, that we expect will benefit net revenue in future periods. </w:t>
      </w:r>
    </w:p>
    <w:p w14:paraId="07DD12BB" w14:textId="77777777" w:rsidR="00AE727E" w:rsidRDefault="00AE727E"/>
    <w:p w14:paraId="07DD12BC" w14:textId="77777777" w:rsidR="00AE727E" w:rsidRDefault="008433E0">
      <w:r>
        <w:rPr>
          <w:rFonts w:ascii="Times New Roman" w:eastAsia="宋体" w:hAnsi="Times New Roman"/>
          <w:color w:val="000000"/>
          <w:sz w:val="20"/>
          <w:szCs w:val="20"/>
        </w:rPr>
        <w:t>ISG customers are seeking new and innovative models that address how they</w:t>
      </w:r>
      <w:r>
        <w:rPr>
          <w:rFonts w:ascii="Times New Roman" w:eastAsia="宋体" w:hAnsi="Times New Roman"/>
          <w:color w:val="000000"/>
          <w:sz w:val="20"/>
          <w:szCs w:val="20"/>
        </w:rPr>
        <w:t xml:space="preserve"> consume our solutions. We offer options including as-a-service, utility, leases, and immediate pay models, all designed to match customers’ consumption and financing preferences. Our multiyear agreements typically result in recurring revenue streams over </w:t>
      </w:r>
      <w:r>
        <w:rPr>
          <w:rFonts w:ascii="Times New Roman" w:eastAsia="宋体" w:hAnsi="Times New Roman"/>
          <w:color w:val="000000"/>
          <w:sz w:val="20"/>
          <w:szCs w:val="20"/>
        </w:rPr>
        <w:t xml:space="preserve">the term of the arrangement. We expect that our flexible consumption models and as-a-service offerings through APEX will further strengthen our customer relationships and provide a foundation for growth in recurring revenue. </w:t>
      </w:r>
    </w:p>
    <w:p w14:paraId="07DD12BD" w14:textId="77777777" w:rsidR="00AE727E" w:rsidRDefault="00AE727E"/>
    <w:p w14:paraId="07DD12BE" w14:textId="77777777" w:rsidR="00AE727E" w:rsidRDefault="008433E0">
      <w:r>
        <w:rPr>
          <w:rFonts w:ascii="Times New Roman" w:eastAsia="宋体" w:hAnsi="Times New Roman"/>
          <w:color w:val="000000"/>
          <w:sz w:val="20"/>
          <w:szCs w:val="20"/>
        </w:rPr>
        <w:t>From a geographical perspecti</w:t>
      </w:r>
      <w:r>
        <w:rPr>
          <w:rFonts w:ascii="Times New Roman" w:eastAsia="宋体" w:hAnsi="Times New Roman"/>
          <w:color w:val="000000"/>
          <w:sz w:val="20"/>
          <w:szCs w:val="20"/>
        </w:rPr>
        <w:t>ve, net revenue attributable to ISG increased in all regions during the third quarter and first nine months of Fiscal 2022.</w:t>
      </w:r>
    </w:p>
    <w:p w14:paraId="07DD12BF" w14:textId="77777777" w:rsidR="00AE727E" w:rsidRDefault="00AE727E"/>
    <w:p w14:paraId="07DD12C0" w14:textId="77777777" w:rsidR="00AE727E" w:rsidRDefault="00AE727E">
      <w:pPr>
        <w:jc w:val="center"/>
      </w:pPr>
    </w:p>
    <w:p w14:paraId="07DD12C1" w14:textId="77777777" w:rsidR="00AE727E" w:rsidRDefault="008433E0">
      <w:pPr>
        <w:jc w:val="center"/>
      </w:pPr>
      <w:r>
        <w:rPr>
          <w:rFonts w:ascii="Times New Roman" w:eastAsia="宋体" w:hAnsi="Times New Roman"/>
          <w:color w:val="000000"/>
          <w:sz w:val="20"/>
          <w:szCs w:val="20"/>
        </w:rPr>
        <w:t>80</w:t>
      </w:r>
    </w:p>
    <w:p w14:paraId="07DD12C2" w14:textId="77777777" w:rsidR="00AE727E" w:rsidRDefault="00AE727E">
      <w:pPr>
        <w:jc w:val="center"/>
      </w:pPr>
    </w:p>
    <w:p w14:paraId="07DD12C3" w14:textId="77777777" w:rsidR="00AE727E" w:rsidRDefault="008433E0">
      <w:r>
        <w:pict w14:anchorId="07DD1920">
          <v:rect id="_x0000_i1104" style="width:415.3pt;height:1.5pt" o:hralign="center" o:hrstd="t" o:hr="t" fillcolor="#a0a0a0" stroked="f"/>
        </w:pict>
      </w:r>
    </w:p>
    <w:p w14:paraId="07DD12C4" w14:textId="77777777" w:rsidR="00AE727E" w:rsidRDefault="008433E0">
      <w:hyperlink r:id="rId205" w:anchor="i1c8279be622a460ea19600488436f115_10" w:history="1">
        <w:r>
          <w:rPr>
            <w:rStyle w:val="a5"/>
            <w:rFonts w:ascii="Times New Roman" w:eastAsia="宋体" w:hAnsi="Times New Roman"/>
            <w:sz w:val="20"/>
            <w:szCs w:val="20"/>
          </w:rPr>
          <w:t>Table of Contents</w:t>
        </w:r>
      </w:hyperlink>
    </w:p>
    <w:p w14:paraId="07DD12C5" w14:textId="77777777" w:rsidR="00AE727E" w:rsidRDefault="008433E0">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2022, ISG operating income as a percentage of net revenue decreased 40 basis points to 10.6% and 20 basis points to 10.7%, respectively. The declines in operating income as a percentage of net revenu</w:t>
      </w:r>
      <w:r>
        <w:rPr>
          <w:rFonts w:ascii="Times New Roman" w:eastAsia="宋体" w:hAnsi="Times New Roman"/>
          <w:color w:val="000000"/>
          <w:sz w:val="20"/>
          <w:szCs w:val="20"/>
        </w:rPr>
        <w:t>e during both Fiscal 2022 periods were driven by declines in ISG gross margin percentage. ISG gross margin percentage decreased as a result of a shift in mix within ISG towards servers and networking coupled with a decline in gross margin percentage for st</w:t>
      </w:r>
      <w:r>
        <w:rPr>
          <w:rFonts w:ascii="Times New Roman" w:eastAsia="宋体" w:hAnsi="Times New Roman"/>
          <w:color w:val="000000"/>
          <w:sz w:val="20"/>
          <w:szCs w:val="20"/>
        </w:rPr>
        <w:t xml:space="preserve">orage, in part due to a shift in mix of storage offerings sold. The decrease in gross margin percentage was partially offset by a decrease in operating expense as a percentage of net revenue. </w:t>
      </w:r>
    </w:p>
    <w:p w14:paraId="07DD12C6" w14:textId="77777777" w:rsidR="00AE727E" w:rsidRDefault="00AE727E"/>
    <w:p w14:paraId="07DD12C7" w14:textId="77777777" w:rsidR="00AE727E" w:rsidRDefault="00AE727E">
      <w:pPr>
        <w:jc w:val="center"/>
      </w:pPr>
    </w:p>
    <w:p w14:paraId="07DD12C8" w14:textId="77777777" w:rsidR="00AE727E" w:rsidRDefault="008433E0">
      <w:pPr>
        <w:jc w:val="center"/>
      </w:pPr>
      <w:r>
        <w:rPr>
          <w:rFonts w:ascii="Times New Roman" w:eastAsia="宋体" w:hAnsi="Times New Roman"/>
          <w:color w:val="000000"/>
          <w:sz w:val="20"/>
          <w:szCs w:val="20"/>
        </w:rPr>
        <w:t>81</w:t>
      </w:r>
    </w:p>
    <w:p w14:paraId="07DD12C9" w14:textId="77777777" w:rsidR="00AE727E" w:rsidRDefault="00AE727E">
      <w:pPr>
        <w:jc w:val="center"/>
      </w:pPr>
    </w:p>
    <w:p w14:paraId="07DD12CA" w14:textId="77777777" w:rsidR="00AE727E" w:rsidRDefault="008433E0">
      <w:r>
        <w:pict w14:anchorId="07DD1921">
          <v:rect id="_x0000_i1105" style="width:415.3pt;height:1.5pt" o:hralign="center" o:hrstd="t" o:hr="t" fillcolor="#a0a0a0" stroked="f"/>
        </w:pict>
      </w:r>
    </w:p>
    <w:p w14:paraId="07DD12CB" w14:textId="77777777" w:rsidR="00AE727E" w:rsidRDefault="008433E0">
      <w:hyperlink r:id="rId206" w:anchor="i1c8279be622a460ea19600488436f115_10" w:history="1">
        <w:r>
          <w:rPr>
            <w:rStyle w:val="a5"/>
            <w:rFonts w:ascii="Times New Roman" w:eastAsia="宋体" w:hAnsi="Times New Roman"/>
            <w:sz w:val="20"/>
            <w:szCs w:val="20"/>
          </w:rPr>
          <w:t>Table of Contents</w:t>
        </w:r>
      </w:hyperlink>
    </w:p>
    <w:p w14:paraId="07DD12CC" w14:textId="77777777" w:rsidR="00AE727E" w:rsidRDefault="008433E0">
      <w:r>
        <w:rPr>
          <w:rFonts w:ascii="Times New Roman" w:eastAsia="宋体" w:hAnsi="Times New Roman"/>
          <w:b/>
          <w:bCs/>
          <w:color w:val="000000"/>
          <w:sz w:val="20"/>
          <w:szCs w:val="20"/>
          <w:shd w:val="clear" w:color="auto" w:fill="FFFFFF"/>
        </w:rPr>
        <w:t>Client Solutions Group</w:t>
      </w:r>
    </w:p>
    <w:p w14:paraId="07DD12CD" w14:textId="77777777" w:rsidR="00AE727E" w:rsidRDefault="00AE727E"/>
    <w:p w14:paraId="07DD12CE" w14:textId="77777777" w:rsidR="00AE727E" w:rsidRDefault="008433E0">
      <w:pPr>
        <w:spacing w:after="60"/>
      </w:pPr>
      <w:r>
        <w:rPr>
          <w:rFonts w:ascii="Times New Roman" w:eastAsia="宋体" w:hAnsi="Times New Roman"/>
          <w:color w:val="000000"/>
          <w:sz w:val="20"/>
          <w:szCs w:val="20"/>
          <w:shd w:val="clear" w:color="auto" w:fill="FFFFFF"/>
        </w:rPr>
        <w:t>The following table presents net revenue and operating income attributable to CSG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1878"/>
        <w:gridCol w:w="36"/>
        <w:gridCol w:w="121"/>
        <w:gridCol w:w="762"/>
        <w:gridCol w:w="187"/>
        <w:gridCol w:w="36"/>
        <w:gridCol w:w="36"/>
        <w:gridCol w:w="36"/>
        <w:gridCol w:w="67"/>
        <w:gridCol w:w="623"/>
        <w:gridCol w:w="187"/>
        <w:gridCol w:w="36"/>
        <w:gridCol w:w="36"/>
        <w:gridCol w:w="36"/>
        <w:gridCol w:w="121"/>
        <w:gridCol w:w="730"/>
        <w:gridCol w:w="187"/>
        <w:gridCol w:w="36"/>
        <w:gridCol w:w="36"/>
        <w:gridCol w:w="36"/>
        <w:gridCol w:w="120"/>
        <w:gridCol w:w="763"/>
        <w:gridCol w:w="187"/>
        <w:gridCol w:w="36"/>
        <w:gridCol w:w="36"/>
        <w:gridCol w:w="36"/>
        <w:gridCol w:w="71"/>
        <w:gridCol w:w="618"/>
        <w:gridCol w:w="187"/>
        <w:gridCol w:w="36"/>
        <w:gridCol w:w="36"/>
        <w:gridCol w:w="36"/>
        <w:gridCol w:w="120"/>
        <w:gridCol w:w="600"/>
        <w:gridCol w:w="187"/>
      </w:tblGrid>
      <w:tr w:rsidR="00AE727E" w14:paraId="07DD12F3" w14:textId="77777777">
        <w:tc>
          <w:tcPr>
            <w:tcW w:w="50" w:type="pct"/>
            <w:shd w:val="clear" w:color="auto" w:fill="auto"/>
            <w:vAlign w:val="bottom"/>
          </w:tcPr>
          <w:p w14:paraId="07DD12CF" w14:textId="77777777" w:rsidR="00AE727E" w:rsidRDefault="00AE727E">
            <w:pPr>
              <w:rPr>
                <w:rFonts w:ascii="宋体"/>
              </w:rPr>
            </w:pPr>
          </w:p>
        </w:tc>
        <w:tc>
          <w:tcPr>
            <w:tcW w:w="1290" w:type="pct"/>
            <w:shd w:val="clear" w:color="auto" w:fill="auto"/>
            <w:vAlign w:val="bottom"/>
          </w:tcPr>
          <w:p w14:paraId="07DD12D0" w14:textId="77777777" w:rsidR="00AE727E" w:rsidRDefault="00AE727E">
            <w:pPr>
              <w:rPr>
                <w:rFonts w:ascii="宋体"/>
              </w:rPr>
            </w:pPr>
          </w:p>
        </w:tc>
        <w:tc>
          <w:tcPr>
            <w:tcW w:w="5" w:type="pct"/>
            <w:shd w:val="clear" w:color="auto" w:fill="auto"/>
            <w:vAlign w:val="bottom"/>
          </w:tcPr>
          <w:p w14:paraId="07DD12D1" w14:textId="77777777" w:rsidR="00AE727E" w:rsidRDefault="00AE727E">
            <w:pPr>
              <w:rPr>
                <w:rFonts w:ascii="宋体"/>
              </w:rPr>
            </w:pPr>
          </w:p>
        </w:tc>
        <w:tc>
          <w:tcPr>
            <w:tcW w:w="50" w:type="pct"/>
            <w:shd w:val="clear" w:color="auto" w:fill="auto"/>
            <w:vAlign w:val="bottom"/>
          </w:tcPr>
          <w:p w14:paraId="07DD12D2" w14:textId="77777777" w:rsidR="00AE727E" w:rsidRDefault="00AE727E">
            <w:pPr>
              <w:rPr>
                <w:rFonts w:ascii="宋体"/>
              </w:rPr>
            </w:pPr>
          </w:p>
        </w:tc>
        <w:tc>
          <w:tcPr>
            <w:tcW w:w="551" w:type="pct"/>
            <w:shd w:val="clear" w:color="auto" w:fill="auto"/>
            <w:vAlign w:val="bottom"/>
          </w:tcPr>
          <w:p w14:paraId="07DD12D3" w14:textId="77777777" w:rsidR="00AE727E" w:rsidRDefault="00AE727E">
            <w:pPr>
              <w:rPr>
                <w:rFonts w:ascii="宋体"/>
              </w:rPr>
            </w:pPr>
          </w:p>
        </w:tc>
        <w:tc>
          <w:tcPr>
            <w:tcW w:w="5" w:type="pct"/>
            <w:shd w:val="clear" w:color="auto" w:fill="auto"/>
            <w:vAlign w:val="bottom"/>
          </w:tcPr>
          <w:p w14:paraId="07DD12D4" w14:textId="77777777" w:rsidR="00AE727E" w:rsidRDefault="00AE727E">
            <w:pPr>
              <w:rPr>
                <w:rFonts w:ascii="宋体"/>
              </w:rPr>
            </w:pPr>
          </w:p>
        </w:tc>
        <w:tc>
          <w:tcPr>
            <w:tcW w:w="5" w:type="pct"/>
            <w:shd w:val="clear" w:color="auto" w:fill="auto"/>
            <w:vAlign w:val="bottom"/>
          </w:tcPr>
          <w:p w14:paraId="07DD12D5" w14:textId="77777777" w:rsidR="00AE727E" w:rsidRDefault="00AE727E">
            <w:pPr>
              <w:rPr>
                <w:rFonts w:ascii="宋体"/>
              </w:rPr>
            </w:pPr>
          </w:p>
        </w:tc>
        <w:tc>
          <w:tcPr>
            <w:tcW w:w="19" w:type="pct"/>
            <w:shd w:val="clear" w:color="auto" w:fill="auto"/>
            <w:vAlign w:val="bottom"/>
          </w:tcPr>
          <w:p w14:paraId="07DD12D6" w14:textId="77777777" w:rsidR="00AE727E" w:rsidRDefault="00AE727E">
            <w:pPr>
              <w:rPr>
                <w:rFonts w:ascii="宋体"/>
              </w:rPr>
            </w:pPr>
          </w:p>
        </w:tc>
        <w:tc>
          <w:tcPr>
            <w:tcW w:w="5" w:type="pct"/>
            <w:shd w:val="clear" w:color="auto" w:fill="auto"/>
            <w:vAlign w:val="bottom"/>
          </w:tcPr>
          <w:p w14:paraId="07DD12D7" w14:textId="77777777" w:rsidR="00AE727E" w:rsidRDefault="00AE727E">
            <w:pPr>
              <w:rPr>
                <w:rFonts w:ascii="宋体"/>
              </w:rPr>
            </w:pPr>
          </w:p>
        </w:tc>
        <w:tc>
          <w:tcPr>
            <w:tcW w:w="50" w:type="pct"/>
            <w:shd w:val="clear" w:color="auto" w:fill="auto"/>
            <w:vAlign w:val="bottom"/>
          </w:tcPr>
          <w:p w14:paraId="07DD12D8" w14:textId="77777777" w:rsidR="00AE727E" w:rsidRDefault="00AE727E">
            <w:pPr>
              <w:rPr>
                <w:rFonts w:ascii="宋体"/>
              </w:rPr>
            </w:pPr>
          </w:p>
        </w:tc>
        <w:tc>
          <w:tcPr>
            <w:tcW w:w="471" w:type="pct"/>
            <w:shd w:val="clear" w:color="auto" w:fill="auto"/>
            <w:vAlign w:val="bottom"/>
          </w:tcPr>
          <w:p w14:paraId="07DD12D9" w14:textId="77777777" w:rsidR="00AE727E" w:rsidRDefault="00AE727E">
            <w:pPr>
              <w:rPr>
                <w:rFonts w:ascii="宋体"/>
              </w:rPr>
            </w:pPr>
          </w:p>
        </w:tc>
        <w:tc>
          <w:tcPr>
            <w:tcW w:w="5" w:type="pct"/>
            <w:shd w:val="clear" w:color="auto" w:fill="auto"/>
            <w:vAlign w:val="bottom"/>
          </w:tcPr>
          <w:p w14:paraId="07DD12DA" w14:textId="77777777" w:rsidR="00AE727E" w:rsidRDefault="00AE727E">
            <w:pPr>
              <w:rPr>
                <w:rFonts w:ascii="宋体"/>
              </w:rPr>
            </w:pPr>
          </w:p>
        </w:tc>
        <w:tc>
          <w:tcPr>
            <w:tcW w:w="5" w:type="pct"/>
            <w:shd w:val="clear" w:color="auto" w:fill="auto"/>
            <w:vAlign w:val="bottom"/>
          </w:tcPr>
          <w:p w14:paraId="07DD12DB" w14:textId="77777777" w:rsidR="00AE727E" w:rsidRDefault="00AE727E">
            <w:pPr>
              <w:rPr>
                <w:rFonts w:ascii="宋体"/>
              </w:rPr>
            </w:pPr>
          </w:p>
        </w:tc>
        <w:tc>
          <w:tcPr>
            <w:tcW w:w="19" w:type="pct"/>
            <w:shd w:val="clear" w:color="auto" w:fill="auto"/>
            <w:vAlign w:val="bottom"/>
          </w:tcPr>
          <w:p w14:paraId="07DD12DC" w14:textId="77777777" w:rsidR="00AE727E" w:rsidRDefault="00AE727E">
            <w:pPr>
              <w:rPr>
                <w:rFonts w:ascii="宋体"/>
              </w:rPr>
            </w:pPr>
          </w:p>
        </w:tc>
        <w:tc>
          <w:tcPr>
            <w:tcW w:w="5" w:type="pct"/>
            <w:shd w:val="clear" w:color="auto" w:fill="auto"/>
            <w:vAlign w:val="bottom"/>
          </w:tcPr>
          <w:p w14:paraId="07DD12DD" w14:textId="77777777" w:rsidR="00AE727E" w:rsidRDefault="00AE727E">
            <w:pPr>
              <w:rPr>
                <w:rFonts w:ascii="宋体"/>
              </w:rPr>
            </w:pPr>
          </w:p>
        </w:tc>
        <w:tc>
          <w:tcPr>
            <w:tcW w:w="50" w:type="pct"/>
            <w:shd w:val="clear" w:color="auto" w:fill="auto"/>
            <w:vAlign w:val="bottom"/>
          </w:tcPr>
          <w:p w14:paraId="07DD12DE" w14:textId="77777777" w:rsidR="00AE727E" w:rsidRDefault="00AE727E">
            <w:pPr>
              <w:rPr>
                <w:rFonts w:ascii="宋体"/>
              </w:rPr>
            </w:pPr>
          </w:p>
        </w:tc>
        <w:tc>
          <w:tcPr>
            <w:tcW w:w="610" w:type="pct"/>
            <w:shd w:val="clear" w:color="auto" w:fill="auto"/>
            <w:vAlign w:val="bottom"/>
          </w:tcPr>
          <w:p w14:paraId="07DD12DF" w14:textId="77777777" w:rsidR="00AE727E" w:rsidRDefault="00AE727E">
            <w:pPr>
              <w:rPr>
                <w:rFonts w:ascii="宋体"/>
              </w:rPr>
            </w:pPr>
          </w:p>
        </w:tc>
        <w:tc>
          <w:tcPr>
            <w:tcW w:w="5" w:type="pct"/>
            <w:shd w:val="clear" w:color="auto" w:fill="auto"/>
            <w:vAlign w:val="bottom"/>
          </w:tcPr>
          <w:p w14:paraId="07DD12E0" w14:textId="77777777" w:rsidR="00AE727E" w:rsidRDefault="00AE727E">
            <w:pPr>
              <w:rPr>
                <w:rFonts w:ascii="宋体"/>
              </w:rPr>
            </w:pPr>
          </w:p>
        </w:tc>
        <w:tc>
          <w:tcPr>
            <w:tcW w:w="5" w:type="pct"/>
            <w:shd w:val="clear" w:color="auto" w:fill="auto"/>
            <w:vAlign w:val="bottom"/>
          </w:tcPr>
          <w:p w14:paraId="07DD12E1" w14:textId="77777777" w:rsidR="00AE727E" w:rsidRDefault="00AE727E">
            <w:pPr>
              <w:rPr>
                <w:rFonts w:ascii="宋体"/>
              </w:rPr>
            </w:pPr>
          </w:p>
        </w:tc>
        <w:tc>
          <w:tcPr>
            <w:tcW w:w="19" w:type="pct"/>
            <w:shd w:val="clear" w:color="auto" w:fill="auto"/>
            <w:vAlign w:val="bottom"/>
          </w:tcPr>
          <w:p w14:paraId="07DD12E2" w14:textId="77777777" w:rsidR="00AE727E" w:rsidRDefault="00AE727E">
            <w:pPr>
              <w:rPr>
                <w:rFonts w:ascii="宋体"/>
              </w:rPr>
            </w:pPr>
          </w:p>
        </w:tc>
        <w:tc>
          <w:tcPr>
            <w:tcW w:w="5" w:type="pct"/>
            <w:shd w:val="clear" w:color="auto" w:fill="auto"/>
            <w:vAlign w:val="bottom"/>
          </w:tcPr>
          <w:p w14:paraId="07DD12E3" w14:textId="77777777" w:rsidR="00AE727E" w:rsidRDefault="00AE727E">
            <w:pPr>
              <w:rPr>
                <w:rFonts w:ascii="宋体"/>
              </w:rPr>
            </w:pPr>
          </w:p>
        </w:tc>
        <w:tc>
          <w:tcPr>
            <w:tcW w:w="50" w:type="pct"/>
            <w:shd w:val="clear" w:color="auto" w:fill="auto"/>
            <w:vAlign w:val="bottom"/>
          </w:tcPr>
          <w:p w14:paraId="07DD12E4" w14:textId="77777777" w:rsidR="00AE727E" w:rsidRDefault="00AE727E">
            <w:pPr>
              <w:rPr>
                <w:rFonts w:ascii="宋体"/>
              </w:rPr>
            </w:pPr>
          </w:p>
        </w:tc>
        <w:tc>
          <w:tcPr>
            <w:tcW w:w="551" w:type="pct"/>
            <w:shd w:val="clear" w:color="auto" w:fill="auto"/>
            <w:vAlign w:val="bottom"/>
          </w:tcPr>
          <w:p w14:paraId="07DD12E5" w14:textId="77777777" w:rsidR="00AE727E" w:rsidRDefault="00AE727E">
            <w:pPr>
              <w:rPr>
                <w:rFonts w:ascii="宋体"/>
              </w:rPr>
            </w:pPr>
          </w:p>
        </w:tc>
        <w:tc>
          <w:tcPr>
            <w:tcW w:w="5" w:type="pct"/>
            <w:shd w:val="clear" w:color="auto" w:fill="auto"/>
            <w:vAlign w:val="bottom"/>
          </w:tcPr>
          <w:p w14:paraId="07DD12E6" w14:textId="77777777" w:rsidR="00AE727E" w:rsidRDefault="00AE727E">
            <w:pPr>
              <w:rPr>
                <w:rFonts w:ascii="宋体"/>
              </w:rPr>
            </w:pPr>
          </w:p>
        </w:tc>
        <w:tc>
          <w:tcPr>
            <w:tcW w:w="5" w:type="pct"/>
            <w:shd w:val="clear" w:color="auto" w:fill="auto"/>
            <w:vAlign w:val="bottom"/>
          </w:tcPr>
          <w:p w14:paraId="07DD12E7" w14:textId="77777777" w:rsidR="00AE727E" w:rsidRDefault="00AE727E">
            <w:pPr>
              <w:rPr>
                <w:rFonts w:ascii="宋体"/>
              </w:rPr>
            </w:pPr>
          </w:p>
        </w:tc>
        <w:tc>
          <w:tcPr>
            <w:tcW w:w="19" w:type="pct"/>
            <w:shd w:val="clear" w:color="auto" w:fill="auto"/>
            <w:vAlign w:val="bottom"/>
          </w:tcPr>
          <w:p w14:paraId="07DD12E8" w14:textId="77777777" w:rsidR="00AE727E" w:rsidRDefault="00AE727E">
            <w:pPr>
              <w:rPr>
                <w:rFonts w:ascii="宋体"/>
              </w:rPr>
            </w:pPr>
          </w:p>
        </w:tc>
        <w:tc>
          <w:tcPr>
            <w:tcW w:w="5" w:type="pct"/>
            <w:shd w:val="clear" w:color="auto" w:fill="auto"/>
            <w:vAlign w:val="bottom"/>
          </w:tcPr>
          <w:p w14:paraId="07DD12E9" w14:textId="77777777" w:rsidR="00AE727E" w:rsidRDefault="00AE727E">
            <w:pPr>
              <w:rPr>
                <w:rFonts w:ascii="宋体"/>
              </w:rPr>
            </w:pPr>
          </w:p>
        </w:tc>
        <w:tc>
          <w:tcPr>
            <w:tcW w:w="50" w:type="pct"/>
            <w:shd w:val="clear" w:color="auto" w:fill="auto"/>
            <w:vAlign w:val="bottom"/>
          </w:tcPr>
          <w:p w14:paraId="07DD12EA" w14:textId="77777777" w:rsidR="00AE727E" w:rsidRDefault="00AE727E">
            <w:pPr>
              <w:rPr>
                <w:rFonts w:ascii="宋体"/>
              </w:rPr>
            </w:pPr>
          </w:p>
        </w:tc>
        <w:tc>
          <w:tcPr>
            <w:tcW w:w="442" w:type="pct"/>
            <w:shd w:val="clear" w:color="auto" w:fill="auto"/>
            <w:vAlign w:val="bottom"/>
          </w:tcPr>
          <w:p w14:paraId="07DD12EB" w14:textId="77777777" w:rsidR="00AE727E" w:rsidRDefault="00AE727E">
            <w:pPr>
              <w:rPr>
                <w:rFonts w:ascii="宋体"/>
              </w:rPr>
            </w:pPr>
          </w:p>
        </w:tc>
        <w:tc>
          <w:tcPr>
            <w:tcW w:w="5" w:type="pct"/>
            <w:shd w:val="clear" w:color="auto" w:fill="auto"/>
            <w:vAlign w:val="bottom"/>
          </w:tcPr>
          <w:p w14:paraId="07DD12EC" w14:textId="77777777" w:rsidR="00AE727E" w:rsidRDefault="00AE727E">
            <w:pPr>
              <w:rPr>
                <w:rFonts w:ascii="宋体"/>
              </w:rPr>
            </w:pPr>
          </w:p>
        </w:tc>
        <w:tc>
          <w:tcPr>
            <w:tcW w:w="5" w:type="pct"/>
            <w:shd w:val="clear" w:color="auto" w:fill="auto"/>
            <w:vAlign w:val="bottom"/>
          </w:tcPr>
          <w:p w14:paraId="07DD12ED" w14:textId="77777777" w:rsidR="00AE727E" w:rsidRDefault="00AE727E">
            <w:pPr>
              <w:rPr>
                <w:rFonts w:ascii="宋体"/>
              </w:rPr>
            </w:pPr>
          </w:p>
        </w:tc>
        <w:tc>
          <w:tcPr>
            <w:tcW w:w="19" w:type="pct"/>
            <w:shd w:val="clear" w:color="auto" w:fill="auto"/>
            <w:vAlign w:val="bottom"/>
          </w:tcPr>
          <w:p w14:paraId="07DD12EE" w14:textId="77777777" w:rsidR="00AE727E" w:rsidRDefault="00AE727E">
            <w:pPr>
              <w:rPr>
                <w:rFonts w:ascii="宋体"/>
              </w:rPr>
            </w:pPr>
          </w:p>
        </w:tc>
        <w:tc>
          <w:tcPr>
            <w:tcW w:w="5" w:type="pct"/>
            <w:shd w:val="clear" w:color="auto" w:fill="auto"/>
            <w:vAlign w:val="bottom"/>
          </w:tcPr>
          <w:p w14:paraId="07DD12EF" w14:textId="77777777" w:rsidR="00AE727E" w:rsidRDefault="00AE727E">
            <w:pPr>
              <w:rPr>
                <w:rFonts w:ascii="宋体"/>
              </w:rPr>
            </w:pPr>
          </w:p>
        </w:tc>
        <w:tc>
          <w:tcPr>
            <w:tcW w:w="50" w:type="pct"/>
            <w:shd w:val="clear" w:color="auto" w:fill="auto"/>
            <w:vAlign w:val="bottom"/>
          </w:tcPr>
          <w:p w14:paraId="07DD12F0" w14:textId="77777777" w:rsidR="00AE727E" w:rsidRDefault="00AE727E">
            <w:pPr>
              <w:rPr>
                <w:rFonts w:ascii="宋体"/>
              </w:rPr>
            </w:pPr>
          </w:p>
        </w:tc>
        <w:tc>
          <w:tcPr>
            <w:tcW w:w="552" w:type="pct"/>
            <w:shd w:val="clear" w:color="auto" w:fill="auto"/>
            <w:vAlign w:val="bottom"/>
          </w:tcPr>
          <w:p w14:paraId="07DD12F1" w14:textId="77777777" w:rsidR="00AE727E" w:rsidRDefault="00AE727E">
            <w:pPr>
              <w:rPr>
                <w:rFonts w:ascii="宋体"/>
              </w:rPr>
            </w:pPr>
          </w:p>
        </w:tc>
        <w:tc>
          <w:tcPr>
            <w:tcW w:w="5" w:type="pct"/>
            <w:shd w:val="clear" w:color="auto" w:fill="auto"/>
            <w:vAlign w:val="bottom"/>
          </w:tcPr>
          <w:p w14:paraId="07DD12F2" w14:textId="77777777" w:rsidR="00AE727E" w:rsidRDefault="00AE727E">
            <w:pPr>
              <w:rPr>
                <w:rFonts w:ascii="宋体"/>
              </w:rPr>
            </w:pPr>
          </w:p>
        </w:tc>
      </w:tr>
      <w:tr w:rsidR="00AE727E" w14:paraId="07DD12F8" w14:textId="77777777">
        <w:tc>
          <w:tcPr>
            <w:tcW w:w="0" w:type="auto"/>
            <w:gridSpan w:val="3"/>
            <w:shd w:val="clear" w:color="auto" w:fill="auto"/>
            <w:tcMar>
              <w:top w:w="0" w:type="dxa"/>
              <w:left w:w="20" w:type="dxa"/>
              <w:bottom w:w="0" w:type="dxa"/>
              <w:right w:w="20" w:type="dxa"/>
            </w:tcMar>
            <w:vAlign w:val="bottom"/>
          </w:tcPr>
          <w:p w14:paraId="07DD12F4"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2F5"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2F6"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2F7"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305" w14:textId="77777777">
        <w:tc>
          <w:tcPr>
            <w:tcW w:w="0" w:type="auto"/>
            <w:gridSpan w:val="3"/>
            <w:shd w:val="clear" w:color="auto" w:fill="auto"/>
            <w:tcMar>
              <w:top w:w="0" w:type="dxa"/>
              <w:left w:w="20" w:type="dxa"/>
              <w:bottom w:w="0" w:type="dxa"/>
              <w:right w:w="20" w:type="dxa"/>
            </w:tcMar>
            <w:vAlign w:val="bottom"/>
          </w:tcPr>
          <w:p w14:paraId="07DD12F9"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2FA"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FB"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FC"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2FD"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2FE"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2FF"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0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01"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02"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03"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04"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308" w14:textId="77777777">
        <w:tc>
          <w:tcPr>
            <w:tcW w:w="0" w:type="auto"/>
            <w:gridSpan w:val="3"/>
            <w:shd w:val="clear" w:color="auto" w:fill="auto"/>
            <w:tcMar>
              <w:top w:w="40" w:type="dxa"/>
              <w:left w:w="20" w:type="dxa"/>
              <w:bottom w:w="40" w:type="dxa"/>
              <w:right w:w="20" w:type="dxa"/>
            </w:tcMar>
            <w:vAlign w:val="center"/>
          </w:tcPr>
          <w:p w14:paraId="07DD1306" w14:textId="77777777" w:rsidR="00AE727E" w:rsidRDefault="008433E0">
            <w:pP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D1307" w14:textId="77777777" w:rsidR="00AE727E" w:rsidRDefault="008433E0">
            <w:pPr>
              <w:jc w:val="center"/>
              <w:textAlignment w:val="center"/>
            </w:pPr>
            <w:r>
              <w:rPr>
                <w:rFonts w:ascii="Times New Roman" w:eastAsia="宋体" w:hAnsi="Times New Roman"/>
                <w:color w:val="000000"/>
                <w:sz w:val="20"/>
                <w:szCs w:val="20"/>
              </w:rPr>
              <w:t>(in millions, except percentages)</w:t>
            </w:r>
          </w:p>
        </w:tc>
      </w:tr>
      <w:tr w:rsidR="00AE727E" w14:paraId="07DD1315" w14:textId="77777777">
        <w:tc>
          <w:tcPr>
            <w:tcW w:w="0" w:type="auto"/>
            <w:gridSpan w:val="3"/>
            <w:shd w:val="clear" w:color="auto" w:fill="CCEEFF"/>
            <w:tcMar>
              <w:top w:w="40" w:type="dxa"/>
              <w:left w:w="20" w:type="dxa"/>
              <w:bottom w:w="40" w:type="dxa"/>
              <w:right w:w="20" w:type="dxa"/>
            </w:tcMar>
            <w:vAlign w:val="center"/>
          </w:tcPr>
          <w:p w14:paraId="07DD1309" w14:textId="77777777" w:rsidR="00AE727E" w:rsidRDefault="008433E0">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DD13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0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0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0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0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0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1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1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1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1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14" w14:textId="77777777" w:rsidR="00AE727E" w:rsidRDefault="00AE727E">
            <w:pPr>
              <w:rPr>
                <w:rFonts w:ascii="宋体"/>
              </w:rPr>
            </w:pPr>
          </w:p>
        </w:tc>
      </w:tr>
      <w:tr w:rsidR="00AE727E" w14:paraId="07DD132A" w14:textId="77777777">
        <w:tc>
          <w:tcPr>
            <w:tcW w:w="0" w:type="auto"/>
            <w:gridSpan w:val="3"/>
            <w:shd w:val="clear" w:color="auto" w:fill="FFFFFF"/>
            <w:tcMar>
              <w:top w:w="40" w:type="dxa"/>
              <w:left w:w="155" w:type="dxa"/>
              <w:bottom w:w="40" w:type="dxa"/>
              <w:right w:w="20" w:type="dxa"/>
            </w:tcMar>
            <w:vAlign w:val="center"/>
          </w:tcPr>
          <w:p w14:paraId="07DD1316" w14:textId="77777777" w:rsidR="00AE727E" w:rsidRDefault="008433E0">
            <w:pPr>
              <w:textAlignment w:val="center"/>
            </w:pPr>
            <w:r>
              <w:rPr>
                <w:rFonts w:ascii="Times New Roman" w:eastAsia="宋体" w:hAnsi="Times New Roman"/>
                <w:color w:val="000000"/>
                <w:sz w:val="20"/>
                <w:szCs w:val="20"/>
              </w:rPr>
              <w:t>Commercial</w:t>
            </w:r>
          </w:p>
        </w:tc>
        <w:tc>
          <w:tcPr>
            <w:tcW w:w="0" w:type="auto"/>
            <w:shd w:val="clear" w:color="auto" w:fill="FFFFFF"/>
            <w:tcMar>
              <w:top w:w="40" w:type="dxa"/>
              <w:left w:w="20" w:type="dxa"/>
              <w:bottom w:w="40" w:type="dxa"/>
              <w:right w:w="0" w:type="dxa"/>
            </w:tcMar>
            <w:vAlign w:val="center"/>
          </w:tcPr>
          <w:p w14:paraId="07DD1317" w14:textId="77777777" w:rsidR="00AE727E" w:rsidRDefault="008433E0">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07DD1318" w14:textId="77777777" w:rsidR="00AE727E" w:rsidRDefault="008433E0">
            <w:pPr>
              <w:jc w:val="right"/>
              <w:textAlignment w:val="center"/>
            </w:pPr>
            <w:r>
              <w:rPr>
                <w:rFonts w:ascii="Times New Roman" w:eastAsia="宋体" w:hAnsi="Times New Roman"/>
                <w:color w:val="000000"/>
                <w:sz w:val="20"/>
                <w:szCs w:val="20"/>
              </w:rPr>
              <w:t>12,292</w:t>
            </w:r>
          </w:p>
        </w:tc>
        <w:tc>
          <w:tcPr>
            <w:tcW w:w="0" w:type="auto"/>
            <w:gridSpan w:val="3"/>
            <w:shd w:val="clear" w:color="auto" w:fill="FFFFFF"/>
            <w:tcMar>
              <w:top w:w="0" w:type="dxa"/>
              <w:left w:w="20" w:type="dxa"/>
              <w:bottom w:w="0" w:type="dxa"/>
              <w:right w:w="20" w:type="dxa"/>
            </w:tcMar>
            <w:vAlign w:val="bottom"/>
          </w:tcPr>
          <w:p w14:paraId="07DD131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1A" w14:textId="77777777" w:rsidR="00AE727E" w:rsidRDefault="008433E0">
            <w:pPr>
              <w:jc w:val="right"/>
              <w:textAlignment w:val="center"/>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center"/>
          </w:tcPr>
          <w:p w14:paraId="07DD131B"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1C"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31D" w14:textId="77777777" w:rsidR="00AE727E" w:rsidRDefault="008433E0">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07DD131E" w14:textId="77777777" w:rsidR="00AE727E" w:rsidRDefault="008433E0">
            <w:pPr>
              <w:jc w:val="right"/>
              <w:textAlignment w:val="center"/>
            </w:pPr>
            <w:r>
              <w:rPr>
                <w:rFonts w:ascii="Times New Roman" w:eastAsia="宋体" w:hAnsi="Times New Roman"/>
                <w:color w:val="000000"/>
                <w:sz w:val="20"/>
                <w:szCs w:val="20"/>
              </w:rPr>
              <w:t>8,783</w:t>
            </w:r>
          </w:p>
        </w:tc>
        <w:tc>
          <w:tcPr>
            <w:tcW w:w="0" w:type="auto"/>
            <w:gridSpan w:val="3"/>
            <w:shd w:val="clear" w:color="auto" w:fill="FFFFFF"/>
            <w:tcMar>
              <w:top w:w="0" w:type="dxa"/>
              <w:left w:w="20" w:type="dxa"/>
              <w:bottom w:w="0" w:type="dxa"/>
              <w:right w:w="20" w:type="dxa"/>
            </w:tcMar>
            <w:vAlign w:val="bottom"/>
          </w:tcPr>
          <w:p w14:paraId="07DD131F"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320"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321" w14:textId="77777777" w:rsidR="00AE727E" w:rsidRDefault="008433E0">
            <w:pPr>
              <w:jc w:val="right"/>
              <w:textAlignment w:val="center"/>
            </w:pPr>
            <w:r>
              <w:rPr>
                <w:rFonts w:ascii="Times New Roman" w:eastAsia="宋体" w:hAnsi="Times New Roman"/>
                <w:color w:val="000000"/>
                <w:sz w:val="20"/>
                <w:szCs w:val="20"/>
              </w:rPr>
              <w:t>32,668 </w:t>
            </w:r>
          </w:p>
        </w:tc>
        <w:tc>
          <w:tcPr>
            <w:tcW w:w="0" w:type="auto"/>
            <w:shd w:val="clear" w:color="auto" w:fill="FFFFFF"/>
            <w:tcMar>
              <w:top w:w="40" w:type="dxa"/>
              <w:left w:w="0" w:type="dxa"/>
              <w:bottom w:w="40" w:type="dxa"/>
              <w:right w:w="20" w:type="dxa"/>
            </w:tcMar>
            <w:vAlign w:val="center"/>
          </w:tcPr>
          <w:p w14:paraId="07DD132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32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24" w14:textId="77777777" w:rsidR="00AE727E" w:rsidRDefault="008433E0">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07DD1325"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26"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327"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328" w14:textId="77777777" w:rsidR="00AE727E" w:rsidRDefault="008433E0">
            <w:pPr>
              <w:jc w:val="right"/>
              <w:textAlignment w:val="center"/>
            </w:pPr>
            <w:r>
              <w:rPr>
                <w:rFonts w:ascii="Times New Roman" w:eastAsia="宋体" w:hAnsi="Times New Roman"/>
                <w:color w:val="000000"/>
                <w:sz w:val="20"/>
                <w:szCs w:val="20"/>
              </w:rPr>
              <w:t>25,456 </w:t>
            </w:r>
          </w:p>
        </w:tc>
        <w:tc>
          <w:tcPr>
            <w:tcW w:w="0" w:type="auto"/>
            <w:shd w:val="clear" w:color="auto" w:fill="FFFFFF"/>
            <w:tcMar>
              <w:top w:w="40" w:type="dxa"/>
              <w:left w:w="0" w:type="dxa"/>
              <w:bottom w:w="40" w:type="dxa"/>
              <w:right w:w="20" w:type="dxa"/>
            </w:tcMar>
            <w:vAlign w:val="center"/>
          </w:tcPr>
          <w:p w14:paraId="07DD1329" w14:textId="77777777" w:rsidR="00AE727E" w:rsidRDefault="00AE727E">
            <w:pPr>
              <w:jc w:val="right"/>
              <w:rPr>
                <w:rFonts w:ascii="宋体"/>
              </w:rPr>
            </w:pPr>
          </w:p>
        </w:tc>
      </w:tr>
      <w:tr w:rsidR="00AE727E" w14:paraId="07DD133B" w14:textId="77777777">
        <w:tc>
          <w:tcPr>
            <w:tcW w:w="0" w:type="auto"/>
            <w:gridSpan w:val="3"/>
            <w:shd w:val="clear" w:color="auto" w:fill="CCEEFF"/>
            <w:tcMar>
              <w:top w:w="40" w:type="dxa"/>
              <w:left w:w="155" w:type="dxa"/>
              <w:bottom w:w="40" w:type="dxa"/>
              <w:right w:w="20" w:type="dxa"/>
            </w:tcMar>
            <w:vAlign w:val="center"/>
          </w:tcPr>
          <w:p w14:paraId="07DD132B" w14:textId="77777777" w:rsidR="00AE727E" w:rsidRDefault="008433E0">
            <w:pPr>
              <w:textAlignment w:val="center"/>
            </w:pPr>
            <w:r>
              <w:rPr>
                <w:rFonts w:ascii="Times New Roman" w:eastAsia="宋体" w:hAnsi="Times New Roman"/>
                <w:color w:val="000000"/>
                <w:sz w:val="20"/>
                <w:szCs w:val="20"/>
              </w:rPr>
              <w:t>Consumer</w:t>
            </w:r>
          </w:p>
        </w:tc>
        <w:tc>
          <w:tcPr>
            <w:tcW w:w="0" w:type="auto"/>
            <w:gridSpan w:val="3"/>
            <w:shd w:val="clear" w:color="auto" w:fill="CCEEFF"/>
            <w:tcMar>
              <w:top w:w="40" w:type="dxa"/>
              <w:left w:w="20" w:type="dxa"/>
              <w:bottom w:w="40" w:type="dxa"/>
              <w:right w:w="140" w:type="dxa"/>
            </w:tcMar>
            <w:vAlign w:val="center"/>
          </w:tcPr>
          <w:p w14:paraId="07DD132C" w14:textId="77777777" w:rsidR="00AE727E" w:rsidRDefault="008433E0">
            <w:pPr>
              <w:jc w:val="right"/>
              <w:textAlignment w:val="center"/>
            </w:pPr>
            <w:r>
              <w:rPr>
                <w:rFonts w:ascii="Times New Roman" w:eastAsia="宋体" w:hAnsi="Times New Roman"/>
                <w:color w:val="000000"/>
                <w:sz w:val="20"/>
                <w:szCs w:val="20"/>
              </w:rPr>
              <w:t>4,254</w:t>
            </w:r>
          </w:p>
        </w:tc>
        <w:tc>
          <w:tcPr>
            <w:tcW w:w="0" w:type="auto"/>
            <w:gridSpan w:val="3"/>
            <w:shd w:val="clear" w:color="auto" w:fill="CCEEFF"/>
            <w:tcMar>
              <w:top w:w="0" w:type="dxa"/>
              <w:left w:w="20" w:type="dxa"/>
              <w:bottom w:w="0" w:type="dxa"/>
              <w:right w:w="20" w:type="dxa"/>
            </w:tcMar>
            <w:vAlign w:val="bottom"/>
          </w:tcPr>
          <w:p w14:paraId="07DD132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2E" w14:textId="77777777" w:rsidR="00AE727E" w:rsidRDefault="008433E0">
            <w:pPr>
              <w:jc w:val="right"/>
              <w:textAlignment w:val="center"/>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center"/>
          </w:tcPr>
          <w:p w14:paraId="07DD132F"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330" w14:textId="77777777" w:rsidR="00AE727E" w:rsidRDefault="00AE727E">
            <w:pPr>
              <w:rPr>
                <w:rFonts w:ascii="宋体"/>
              </w:rPr>
            </w:pPr>
          </w:p>
        </w:tc>
        <w:tc>
          <w:tcPr>
            <w:tcW w:w="0" w:type="auto"/>
            <w:gridSpan w:val="3"/>
            <w:shd w:val="clear" w:color="auto" w:fill="CCEEFF"/>
            <w:tcMar>
              <w:top w:w="40" w:type="dxa"/>
              <w:left w:w="20" w:type="dxa"/>
              <w:bottom w:w="40" w:type="dxa"/>
              <w:right w:w="140" w:type="dxa"/>
            </w:tcMar>
            <w:vAlign w:val="center"/>
          </w:tcPr>
          <w:p w14:paraId="07DD1331" w14:textId="77777777" w:rsidR="00AE727E" w:rsidRDefault="008433E0">
            <w:pPr>
              <w:jc w:val="right"/>
              <w:textAlignment w:val="center"/>
            </w:pPr>
            <w:r>
              <w:rPr>
                <w:rFonts w:ascii="Times New Roman" w:eastAsia="宋体" w:hAnsi="Times New Roman"/>
                <w:color w:val="000000"/>
                <w:sz w:val="20"/>
                <w:szCs w:val="20"/>
              </w:rPr>
              <w:t>3,503</w:t>
            </w:r>
          </w:p>
        </w:tc>
        <w:tc>
          <w:tcPr>
            <w:tcW w:w="0" w:type="auto"/>
            <w:gridSpan w:val="3"/>
            <w:shd w:val="clear" w:color="auto" w:fill="CCEEFF"/>
            <w:tcMar>
              <w:top w:w="0" w:type="dxa"/>
              <w:left w:w="20" w:type="dxa"/>
              <w:bottom w:w="0" w:type="dxa"/>
              <w:right w:w="20" w:type="dxa"/>
            </w:tcMar>
            <w:vAlign w:val="bottom"/>
          </w:tcPr>
          <w:p w14:paraId="07DD1332"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33" w14:textId="77777777" w:rsidR="00AE727E" w:rsidRDefault="008433E0">
            <w:pPr>
              <w:jc w:val="right"/>
              <w:textAlignment w:val="center"/>
            </w:pPr>
            <w:r>
              <w:rPr>
                <w:rFonts w:ascii="Times New Roman" w:eastAsia="宋体" w:hAnsi="Times New Roman"/>
                <w:color w:val="000000"/>
                <w:sz w:val="20"/>
                <w:szCs w:val="20"/>
              </w:rPr>
              <w:t>11,446 </w:t>
            </w:r>
          </w:p>
        </w:tc>
        <w:tc>
          <w:tcPr>
            <w:tcW w:w="0" w:type="auto"/>
            <w:shd w:val="clear" w:color="auto" w:fill="CCEEFF"/>
            <w:tcMar>
              <w:top w:w="40" w:type="dxa"/>
              <w:left w:w="0" w:type="dxa"/>
              <w:bottom w:w="40" w:type="dxa"/>
              <w:right w:w="20" w:type="dxa"/>
            </w:tcMar>
            <w:vAlign w:val="center"/>
          </w:tcPr>
          <w:p w14:paraId="07DD133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33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36" w14:textId="77777777" w:rsidR="00AE727E" w:rsidRDefault="008433E0">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center"/>
          </w:tcPr>
          <w:p w14:paraId="07DD1337"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33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39" w14:textId="77777777" w:rsidR="00AE727E" w:rsidRDefault="008433E0">
            <w:pPr>
              <w:jc w:val="right"/>
              <w:textAlignment w:val="center"/>
            </w:pPr>
            <w:r>
              <w:rPr>
                <w:rFonts w:ascii="Times New Roman" w:eastAsia="宋体" w:hAnsi="Times New Roman"/>
                <w:color w:val="000000"/>
                <w:sz w:val="20"/>
                <w:szCs w:val="20"/>
              </w:rPr>
              <w:t>9,137 </w:t>
            </w:r>
          </w:p>
        </w:tc>
        <w:tc>
          <w:tcPr>
            <w:tcW w:w="0" w:type="auto"/>
            <w:shd w:val="clear" w:color="auto" w:fill="CCEEFF"/>
            <w:tcMar>
              <w:top w:w="40" w:type="dxa"/>
              <w:left w:w="0" w:type="dxa"/>
              <w:bottom w:w="40" w:type="dxa"/>
              <w:right w:w="20" w:type="dxa"/>
            </w:tcMar>
            <w:vAlign w:val="center"/>
          </w:tcPr>
          <w:p w14:paraId="07DD133A" w14:textId="77777777" w:rsidR="00AE727E" w:rsidRDefault="00AE727E">
            <w:pPr>
              <w:jc w:val="right"/>
              <w:rPr>
                <w:rFonts w:ascii="宋体"/>
              </w:rPr>
            </w:pPr>
          </w:p>
        </w:tc>
      </w:tr>
      <w:tr w:rsidR="00AE727E" w14:paraId="07DD1350" w14:textId="77777777">
        <w:tc>
          <w:tcPr>
            <w:tcW w:w="0" w:type="auto"/>
            <w:gridSpan w:val="3"/>
            <w:shd w:val="clear" w:color="auto" w:fill="FFFFFF"/>
            <w:tcMar>
              <w:top w:w="40" w:type="dxa"/>
              <w:left w:w="245" w:type="dxa"/>
              <w:bottom w:w="40" w:type="dxa"/>
              <w:right w:w="20" w:type="dxa"/>
            </w:tcMar>
            <w:vAlign w:val="center"/>
          </w:tcPr>
          <w:p w14:paraId="07DD133C" w14:textId="77777777" w:rsidR="00AE727E" w:rsidRDefault="008433E0">
            <w:pPr>
              <w:textAlignment w:val="center"/>
            </w:pPr>
            <w:r>
              <w:rPr>
                <w:rFonts w:ascii="Times New Roman" w:eastAsia="宋体" w:hAnsi="Times New Roman"/>
                <w:color w:val="000000"/>
                <w:sz w:val="20"/>
                <w:szCs w:val="20"/>
              </w:rPr>
              <w:t>Total CSG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133D"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33E" w14:textId="77777777" w:rsidR="00AE727E" w:rsidRDefault="008433E0">
            <w:pPr>
              <w:jc w:val="right"/>
              <w:textAlignment w:val="center"/>
            </w:pPr>
            <w:r>
              <w:rPr>
                <w:rFonts w:ascii="Times New Roman" w:eastAsia="宋体" w:hAnsi="Times New Roman"/>
                <w:color w:val="000000"/>
                <w:sz w:val="20"/>
                <w:szCs w:val="20"/>
              </w:rPr>
              <w:t>16,546</w:t>
            </w:r>
          </w:p>
        </w:tc>
        <w:tc>
          <w:tcPr>
            <w:tcW w:w="0" w:type="auto"/>
            <w:gridSpan w:val="3"/>
            <w:shd w:val="clear" w:color="auto" w:fill="FFFFFF"/>
            <w:tcMar>
              <w:top w:w="0" w:type="dxa"/>
              <w:left w:w="20" w:type="dxa"/>
              <w:bottom w:w="0" w:type="dxa"/>
              <w:right w:w="20" w:type="dxa"/>
            </w:tcMar>
            <w:vAlign w:val="bottom"/>
          </w:tcPr>
          <w:p w14:paraId="07DD133F"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40" w14:textId="77777777" w:rsidR="00AE727E" w:rsidRDefault="008433E0">
            <w:pPr>
              <w:jc w:val="right"/>
              <w:textAlignment w:val="center"/>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center"/>
          </w:tcPr>
          <w:p w14:paraId="07DD1341"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42"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43"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344" w14:textId="77777777" w:rsidR="00AE727E" w:rsidRDefault="008433E0">
            <w:pPr>
              <w:jc w:val="right"/>
              <w:textAlignment w:val="center"/>
            </w:pPr>
            <w:r>
              <w:rPr>
                <w:rFonts w:ascii="Times New Roman" w:eastAsia="宋体" w:hAnsi="Times New Roman"/>
                <w:color w:val="000000"/>
                <w:sz w:val="20"/>
                <w:szCs w:val="20"/>
              </w:rPr>
              <w:t>12,286</w:t>
            </w:r>
          </w:p>
        </w:tc>
        <w:tc>
          <w:tcPr>
            <w:tcW w:w="0" w:type="auto"/>
            <w:gridSpan w:val="3"/>
            <w:shd w:val="clear" w:color="auto" w:fill="FFFFFF"/>
            <w:tcMar>
              <w:top w:w="0" w:type="dxa"/>
              <w:left w:w="20" w:type="dxa"/>
              <w:bottom w:w="0" w:type="dxa"/>
              <w:right w:w="20" w:type="dxa"/>
            </w:tcMar>
            <w:vAlign w:val="bottom"/>
          </w:tcPr>
          <w:p w14:paraId="07DD1345"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4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1347" w14:textId="77777777" w:rsidR="00AE727E" w:rsidRDefault="008433E0">
            <w:pPr>
              <w:jc w:val="right"/>
              <w:textAlignment w:val="center"/>
            </w:pPr>
            <w:r>
              <w:rPr>
                <w:rFonts w:ascii="Times New Roman" w:eastAsia="宋体" w:hAnsi="Times New Roman"/>
                <w:color w:val="000000"/>
                <w:sz w:val="20"/>
                <w:szCs w:val="20"/>
              </w:rPr>
              <w:t>44,114 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4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349"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4A" w14:textId="77777777" w:rsidR="00AE727E" w:rsidRDefault="008433E0">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07DD134B"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4C"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4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134E" w14:textId="77777777" w:rsidR="00AE727E" w:rsidRDefault="008433E0">
            <w:pPr>
              <w:jc w:val="right"/>
              <w:textAlignment w:val="center"/>
            </w:pPr>
            <w:r>
              <w:rPr>
                <w:rFonts w:ascii="Times New Roman" w:eastAsia="宋体" w:hAnsi="Times New Roman"/>
                <w:color w:val="000000"/>
                <w:sz w:val="20"/>
                <w:szCs w:val="20"/>
              </w:rPr>
              <w:t>34,593 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4F" w14:textId="77777777" w:rsidR="00AE727E" w:rsidRDefault="00AE727E">
            <w:pPr>
              <w:jc w:val="right"/>
              <w:rPr>
                <w:rFonts w:ascii="宋体"/>
              </w:rPr>
            </w:pPr>
          </w:p>
        </w:tc>
      </w:tr>
      <w:tr w:rsidR="00AE727E" w14:paraId="07DD135D" w14:textId="77777777">
        <w:trPr>
          <w:trHeight w:val="300"/>
        </w:trPr>
        <w:tc>
          <w:tcPr>
            <w:tcW w:w="0" w:type="auto"/>
            <w:gridSpan w:val="3"/>
            <w:shd w:val="clear" w:color="auto" w:fill="CCEEFF"/>
            <w:tcMar>
              <w:top w:w="0" w:type="dxa"/>
              <w:left w:w="20" w:type="dxa"/>
              <w:bottom w:w="0" w:type="dxa"/>
              <w:right w:w="20" w:type="dxa"/>
            </w:tcMar>
            <w:vAlign w:val="bottom"/>
          </w:tcPr>
          <w:p w14:paraId="07DD1351"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35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5"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35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7"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35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5B"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35C" w14:textId="77777777" w:rsidR="00AE727E" w:rsidRDefault="00AE727E">
            <w:pPr>
              <w:rPr>
                <w:rFonts w:ascii="宋体"/>
              </w:rPr>
            </w:pPr>
          </w:p>
        </w:tc>
      </w:tr>
      <w:tr w:rsidR="00AE727E" w14:paraId="07DD136A" w14:textId="77777777">
        <w:tc>
          <w:tcPr>
            <w:tcW w:w="0" w:type="auto"/>
            <w:gridSpan w:val="3"/>
            <w:shd w:val="clear" w:color="auto" w:fill="FFFFFF"/>
            <w:tcMar>
              <w:top w:w="40" w:type="dxa"/>
              <w:left w:w="20" w:type="dxa"/>
              <w:bottom w:w="40" w:type="dxa"/>
              <w:right w:w="20" w:type="dxa"/>
            </w:tcMar>
            <w:vAlign w:val="center"/>
          </w:tcPr>
          <w:p w14:paraId="07DD135E" w14:textId="77777777" w:rsidR="00AE727E" w:rsidRDefault="008433E0">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07DD135F"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69" w14:textId="77777777" w:rsidR="00AE727E" w:rsidRDefault="00AE727E">
            <w:pPr>
              <w:rPr>
                <w:rFonts w:ascii="宋体"/>
              </w:rPr>
            </w:pPr>
          </w:p>
        </w:tc>
      </w:tr>
      <w:tr w:rsidR="00AE727E" w14:paraId="07DD137F" w14:textId="77777777">
        <w:tc>
          <w:tcPr>
            <w:tcW w:w="0" w:type="auto"/>
            <w:gridSpan w:val="3"/>
            <w:shd w:val="clear" w:color="auto" w:fill="CCEEFF"/>
            <w:tcMar>
              <w:top w:w="40" w:type="dxa"/>
              <w:left w:w="155" w:type="dxa"/>
              <w:bottom w:w="40" w:type="dxa"/>
              <w:right w:w="20" w:type="dxa"/>
            </w:tcMar>
            <w:vAlign w:val="center"/>
          </w:tcPr>
          <w:p w14:paraId="07DD136B" w14:textId="77777777" w:rsidR="00AE727E" w:rsidRDefault="008433E0">
            <w:pPr>
              <w:textAlignment w:val="center"/>
            </w:pPr>
            <w:r>
              <w:rPr>
                <w:rFonts w:ascii="Times New Roman" w:eastAsia="宋体" w:hAnsi="Times New Roman"/>
                <w:color w:val="000000"/>
                <w:sz w:val="20"/>
                <w:szCs w:val="20"/>
              </w:rPr>
              <w:t>CSG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136C"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36D" w14:textId="77777777" w:rsidR="00AE727E" w:rsidRDefault="008433E0">
            <w:pPr>
              <w:jc w:val="right"/>
              <w:textAlignment w:val="center"/>
            </w:pPr>
            <w:r>
              <w:rPr>
                <w:rFonts w:ascii="Times New Roman" w:eastAsia="宋体" w:hAnsi="Times New Roman"/>
                <w:color w:val="000000"/>
                <w:sz w:val="20"/>
                <w:szCs w:val="20"/>
              </w:rPr>
              <w:t>1,147</w:t>
            </w:r>
          </w:p>
        </w:tc>
        <w:tc>
          <w:tcPr>
            <w:tcW w:w="0" w:type="auto"/>
            <w:gridSpan w:val="3"/>
            <w:shd w:val="clear" w:color="auto" w:fill="CCEEFF"/>
            <w:tcMar>
              <w:top w:w="0" w:type="dxa"/>
              <w:left w:w="20" w:type="dxa"/>
              <w:bottom w:w="0" w:type="dxa"/>
              <w:right w:w="20" w:type="dxa"/>
            </w:tcMar>
            <w:vAlign w:val="bottom"/>
          </w:tcPr>
          <w:p w14:paraId="07DD136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6F" w14:textId="77777777" w:rsidR="00AE727E" w:rsidRDefault="008433E0">
            <w:pPr>
              <w:jc w:val="right"/>
              <w:textAlignment w:val="center"/>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center"/>
          </w:tcPr>
          <w:p w14:paraId="07DD1370"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371"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372"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373" w14:textId="77777777" w:rsidR="00AE727E" w:rsidRDefault="008433E0">
            <w:pPr>
              <w:jc w:val="right"/>
              <w:textAlignment w:val="center"/>
            </w:pPr>
            <w:r>
              <w:rPr>
                <w:rFonts w:ascii="Times New Roman" w:eastAsia="宋体" w:hAnsi="Times New Roman"/>
                <w:color w:val="000000"/>
                <w:sz w:val="20"/>
                <w:szCs w:val="20"/>
              </w:rPr>
              <w:t>1,002</w:t>
            </w:r>
          </w:p>
        </w:tc>
        <w:tc>
          <w:tcPr>
            <w:tcW w:w="0" w:type="auto"/>
            <w:gridSpan w:val="3"/>
            <w:shd w:val="clear" w:color="auto" w:fill="CCEEFF"/>
            <w:tcMar>
              <w:top w:w="0" w:type="dxa"/>
              <w:left w:w="20" w:type="dxa"/>
              <w:bottom w:w="0" w:type="dxa"/>
              <w:right w:w="20" w:type="dxa"/>
            </w:tcMar>
            <w:vAlign w:val="bottom"/>
          </w:tcPr>
          <w:p w14:paraId="07DD1374"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37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1376" w14:textId="77777777" w:rsidR="00AE727E" w:rsidRDefault="008433E0">
            <w:pPr>
              <w:jc w:val="right"/>
              <w:textAlignment w:val="center"/>
            </w:pPr>
            <w:r>
              <w:rPr>
                <w:rFonts w:ascii="Times New Roman" w:eastAsia="宋体" w:hAnsi="Times New Roman"/>
                <w:color w:val="000000"/>
                <w:sz w:val="20"/>
                <w:szCs w:val="20"/>
              </w:rPr>
              <w:t>3,232 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37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378"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379" w14:textId="77777777" w:rsidR="00AE727E" w:rsidRDefault="008433E0">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07DD137A"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37B"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37C"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137D" w14:textId="77777777" w:rsidR="00AE727E" w:rsidRDefault="008433E0">
            <w:pPr>
              <w:jc w:val="right"/>
              <w:textAlignment w:val="center"/>
            </w:pPr>
            <w:r>
              <w:rPr>
                <w:rFonts w:ascii="Times New Roman" w:eastAsia="宋体" w:hAnsi="Times New Roman"/>
                <w:color w:val="000000"/>
                <w:sz w:val="20"/>
                <w:szCs w:val="20"/>
              </w:rPr>
              <w:t>2,309 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37E" w14:textId="77777777" w:rsidR="00AE727E" w:rsidRDefault="00AE727E">
            <w:pPr>
              <w:jc w:val="right"/>
              <w:rPr>
                <w:rFonts w:ascii="宋体"/>
              </w:rPr>
            </w:pPr>
          </w:p>
        </w:tc>
      </w:tr>
      <w:tr w:rsidR="00AE727E" w14:paraId="07DD1390" w14:textId="77777777">
        <w:tc>
          <w:tcPr>
            <w:tcW w:w="0" w:type="auto"/>
            <w:gridSpan w:val="3"/>
            <w:shd w:val="clear" w:color="auto" w:fill="FFFFFF"/>
            <w:tcMar>
              <w:top w:w="40" w:type="dxa"/>
              <w:left w:w="155" w:type="dxa"/>
              <w:bottom w:w="40" w:type="dxa"/>
              <w:right w:w="20" w:type="dxa"/>
            </w:tcMar>
            <w:vAlign w:val="center"/>
          </w:tcPr>
          <w:p w14:paraId="07DD1380" w14:textId="77777777" w:rsidR="00AE727E" w:rsidRDefault="008433E0">
            <w:pPr>
              <w:textAlignment w:val="center"/>
            </w:pPr>
            <w:r>
              <w:rPr>
                <w:rFonts w:ascii="Times New Roman" w:eastAsia="宋体" w:hAnsi="Times New Roman"/>
                <w:i/>
                <w:iCs/>
                <w:color w:val="000000"/>
                <w:sz w:val="20"/>
                <w:szCs w:val="20"/>
              </w:rPr>
              <w:t>% of segment net r</w:t>
            </w:r>
            <w:r>
              <w:rPr>
                <w:rFonts w:ascii="Times New Roman" w:eastAsia="宋体" w:hAnsi="Times New Roman"/>
                <w:i/>
                <w:iCs/>
                <w:color w:val="000000"/>
                <w:sz w:val="20"/>
                <w:szCs w:val="20"/>
              </w:rPr>
              <w:t>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381" w14:textId="77777777" w:rsidR="00AE727E" w:rsidRDefault="008433E0">
            <w:pPr>
              <w:jc w:val="right"/>
              <w:textAlignment w:val="center"/>
            </w:pPr>
            <w:r>
              <w:rPr>
                <w:rFonts w:ascii="Times New Roman" w:eastAsia="宋体" w:hAnsi="Times New Roman"/>
                <w:i/>
                <w:iCs/>
                <w:color w:val="000000"/>
                <w:sz w:val="20"/>
                <w:szCs w:val="20"/>
              </w:rPr>
              <w:t>6.9 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82"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8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8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85"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386" w14:textId="77777777" w:rsidR="00AE727E" w:rsidRDefault="008433E0">
            <w:pPr>
              <w:jc w:val="right"/>
              <w:textAlignment w:val="center"/>
            </w:pPr>
            <w:r>
              <w:rPr>
                <w:rFonts w:ascii="Times New Roman" w:eastAsia="宋体" w:hAnsi="Times New Roman"/>
                <w:i/>
                <w:iCs/>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87"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88"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389" w14:textId="77777777" w:rsidR="00AE727E" w:rsidRDefault="008433E0">
            <w:pPr>
              <w:jc w:val="right"/>
              <w:textAlignment w:val="center"/>
            </w:pPr>
            <w:r>
              <w:rPr>
                <w:rFonts w:ascii="Times New Roman" w:eastAsia="宋体" w:hAnsi="Times New Roman"/>
                <w:i/>
                <w:iCs/>
                <w:color w:val="000000"/>
                <w:sz w:val="20"/>
                <w:szCs w:val="20"/>
              </w:rPr>
              <w:t>7.3 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8A"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8B"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8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38D"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38E" w14:textId="77777777" w:rsidR="00AE727E" w:rsidRDefault="008433E0">
            <w:pPr>
              <w:jc w:val="right"/>
              <w:textAlignment w:val="center"/>
            </w:pPr>
            <w:r>
              <w:rPr>
                <w:rFonts w:ascii="Times New Roman" w:eastAsia="宋体" w:hAnsi="Times New Roman"/>
                <w:i/>
                <w:iCs/>
                <w:color w:val="000000"/>
                <w:sz w:val="20"/>
                <w:szCs w:val="20"/>
              </w:rPr>
              <w:t>6.7 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8F" w14:textId="77777777" w:rsidR="00AE727E" w:rsidRDefault="008433E0">
            <w:pPr>
              <w:jc w:val="right"/>
              <w:textAlignment w:val="center"/>
            </w:pPr>
            <w:r>
              <w:rPr>
                <w:rFonts w:ascii="Times New Roman" w:eastAsia="宋体" w:hAnsi="Times New Roman"/>
                <w:i/>
                <w:iCs/>
                <w:color w:val="000000"/>
                <w:sz w:val="20"/>
                <w:szCs w:val="20"/>
              </w:rPr>
              <w:t>%</w:t>
            </w:r>
          </w:p>
        </w:tc>
      </w:tr>
    </w:tbl>
    <w:p w14:paraId="07DD1391" w14:textId="77777777" w:rsidR="00AE727E" w:rsidRDefault="00AE727E"/>
    <w:p w14:paraId="07DD1392" w14:textId="77777777" w:rsidR="00AE727E" w:rsidRDefault="008433E0">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2022, CSG net revenue increased 35% and 28%, respectively, driven primarily by i</w:t>
      </w:r>
      <w:r>
        <w:rPr>
          <w:rFonts w:ascii="Times New Roman" w:eastAsia="宋体" w:hAnsi="Times New Roman"/>
          <w:color w:val="000000"/>
          <w:sz w:val="20"/>
          <w:szCs w:val="20"/>
        </w:rPr>
        <w:t xml:space="preserve">ncreases in units sold across the majority of product offerings as a result of continued strong demand. Increases in average selling price, principally within our commercial offerings, also contributed to revenue growth. </w:t>
      </w:r>
    </w:p>
    <w:p w14:paraId="07DD1393" w14:textId="77777777" w:rsidR="00AE727E" w:rsidRDefault="00AE727E"/>
    <w:p w14:paraId="07DD1394" w14:textId="77777777" w:rsidR="00AE727E" w:rsidRDefault="008433E0">
      <w:r>
        <w:rPr>
          <w:rFonts w:ascii="Times New Roman" w:eastAsia="宋体" w:hAnsi="Times New Roman"/>
          <w:color w:val="000000"/>
          <w:sz w:val="20"/>
          <w:szCs w:val="20"/>
        </w:rPr>
        <w:t xml:space="preserve">Commercial revenue increased 40% </w:t>
      </w:r>
      <w:r>
        <w:rPr>
          <w:rFonts w:ascii="Times New Roman" w:eastAsia="宋体" w:hAnsi="Times New Roman"/>
          <w:color w:val="000000"/>
          <w:sz w:val="20"/>
          <w:szCs w:val="20"/>
        </w:rPr>
        <w:t>and 28% during the third quarter and first nine months of Fiscal 2022, respectively, primarily due to an increase in sales of commercial desktops and notebooks driven by continued strong demand as customers invest in in-office, remote, and hybrid workforce</w:t>
      </w:r>
      <w:r>
        <w:rPr>
          <w:rFonts w:ascii="Times New Roman" w:eastAsia="宋体" w:hAnsi="Times New Roman"/>
          <w:color w:val="000000"/>
          <w:sz w:val="20"/>
          <w:szCs w:val="20"/>
        </w:rPr>
        <w:t xml:space="preserve"> environments. Increases in average selling price also contributed to revenue growth, most notably in the third quarter of Fiscal 2022, as we continue to navigate through supply chain shortages and managed pricing in response to the current inflationary co</w:t>
      </w:r>
      <w:r>
        <w:rPr>
          <w:rFonts w:ascii="Times New Roman" w:eastAsia="宋体" w:hAnsi="Times New Roman"/>
          <w:color w:val="000000"/>
          <w:sz w:val="20"/>
          <w:szCs w:val="20"/>
        </w:rPr>
        <w:t>st environment.</w:t>
      </w:r>
    </w:p>
    <w:p w14:paraId="07DD1395" w14:textId="77777777" w:rsidR="00AE727E" w:rsidRDefault="00AE727E"/>
    <w:p w14:paraId="07DD1396" w14:textId="77777777" w:rsidR="00AE727E" w:rsidRDefault="008433E0">
      <w:r>
        <w:rPr>
          <w:rFonts w:ascii="Times New Roman" w:eastAsia="宋体" w:hAnsi="Times New Roman"/>
          <w:color w:val="000000"/>
          <w:sz w:val="20"/>
          <w:szCs w:val="20"/>
        </w:rPr>
        <w:t>Consumer revenue increased 21% and 25% during the third quarter and first nine months of Fiscal 2022</w:t>
      </w:r>
      <w:r>
        <w:rPr>
          <w:rFonts w:ascii="Times New Roman" w:eastAsia="宋体" w:hAnsi="Times New Roman"/>
          <w:color w:val="000000"/>
          <w:sz w:val="20"/>
          <w:szCs w:val="20"/>
          <w:shd w:val="clear" w:color="auto" w:fill="FFFFFF"/>
        </w:rPr>
        <w:t xml:space="preserve">, respectively, </w:t>
      </w:r>
      <w:r>
        <w:rPr>
          <w:rFonts w:ascii="Times New Roman" w:eastAsia="宋体" w:hAnsi="Times New Roman"/>
          <w:color w:val="000000"/>
          <w:sz w:val="20"/>
          <w:szCs w:val="20"/>
        </w:rPr>
        <w:t>primarily due to an increase in units sold as a result of strong demand across the majority of consumer product offerings.</w:t>
      </w:r>
    </w:p>
    <w:p w14:paraId="07DD1397" w14:textId="77777777" w:rsidR="00AE727E" w:rsidRDefault="00AE727E"/>
    <w:p w14:paraId="07DD1398" w14:textId="77777777" w:rsidR="00AE727E" w:rsidRDefault="008433E0">
      <w:r>
        <w:rPr>
          <w:rFonts w:ascii="Times New Roman" w:eastAsia="宋体" w:hAnsi="Times New Roman"/>
          <w:color w:val="000000"/>
          <w:sz w:val="20"/>
          <w:szCs w:val="20"/>
        </w:rPr>
        <w:t xml:space="preserve">From a geographical perspective, net revenue attributable to CSG increased across all regions during the third quarter and first nine months of Fiscal 2022. </w:t>
      </w:r>
    </w:p>
    <w:p w14:paraId="07DD1399" w14:textId="77777777" w:rsidR="00AE727E" w:rsidRDefault="00AE727E"/>
    <w:p w14:paraId="07DD139A" w14:textId="77777777" w:rsidR="00AE727E" w:rsidRDefault="008433E0">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third quarter of Fiscal 2022, CSG operating income as a percentage</w:t>
      </w:r>
      <w:r>
        <w:rPr>
          <w:rFonts w:ascii="Times New Roman" w:eastAsia="宋体" w:hAnsi="Times New Roman"/>
          <w:color w:val="000000"/>
          <w:sz w:val="20"/>
          <w:szCs w:val="20"/>
        </w:rPr>
        <w:t xml:space="preserve"> of net revenue decreased 130 basis points to 6.9%. The decrease was primarily attributable to declines in both commercial and consumer gross margin percentages which were impacted by heightened supply chain challenges, logistics costs, and the inflationar</w:t>
      </w:r>
      <w:r>
        <w:rPr>
          <w:rFonts w:ascii="Times New Roman" w:eastAsia="宋体" w:hAnsi="Times New Roman"/>
          <w:color w:val="000000"/>
          <w:sz w:val="20"/>
          <w:szCs w:val="20"/>
        </w:rPr>
        <w:t>y component cost environment. The gross margin percentage decreases were partially offset by a shift in mix towards commercial product offerings and a decrease in operating expenses as a percentage of net revenue.</w:t>
      </w:r>
    </w:p>
    <w:p w14:paraId="07DD139B" w14:textId="77777777" w:rsidR="00AE727E" w:rsidRDefault="00AE727E"/>
    <w:p w14:paraId="07DD139C" w14:textId="77777777" w:rsidR="00AE727E" w:rsidRDefault="008433E0">
      <w:r>
        <w:rPr>
          <w:rFonts w:ascii="Times New Roman" w:eastAsia="宋体" w:hAnsi="Times New Roman"/>
          <w:color w:val="000000"/>
          <w:sz w:val="20"/>
          <w:szCs w:val="20"/>
        </w:rPr>
        <w:t>During the first nine months of Fiscal 20</w:t>
      </w:r>
      <w:r>
        <w:rPr>
          <w:rFonts w:ascii="Times New Roman" w:eastAsia="宋体" w:hAnsi="Times New Roman"/>
          <w:color w:val="000000"/>
          <w:sz w:val="20"/>
          <w:szCs w:val="20"/>
        </w:rPr>
        <w:t>22, CSG operating income as a percentage of net revenue increased 60 basis points to 7.3%. The increase was primarily driven by an increase in gross margin percentage, principally within our consumer offerings, coupled with a decrease in operating expenses</w:t>
      </w:r>
      <w:r>
        <w:rPr>
          <w:rFonts w:ascii="Times New Roman" w:eastAsia="宋体" w:hAnsi="Times New Roman"/>
          <w:color w:val="000000"/>
          <w:sz w:val="20"/>
          <w:szCs w:val="20"/>
        </w:rPr>
        <w:t xml:space="preserve"> as a percentage of net revenue. The increase in gross margin percentage was primarily driven by disciplined pricing as we managed through both cost and supply chain challenges discussed above. These challenges were more unfavorable to the third quarter of</w:t>
      </w:r>
      <w:r>
        <w:rPr>
          <w:rFonts w:ascii="Times New Roman" w:eastAsia="宋体" w:hAnsi="Times New Roman"/>
          <w:color w:val="000000"/>
          <w:sz w:val="20"/>
          <w:szCs w:val="20"/>
        </w:rPr>
        <w:t xml:space="preserve"> Fiscal 2022 as compared to the first half of Fiscal 2022.</w:t>
      </w:r>
    </w:p>
    <w:p w14:paraId="07DD139D" w14:textId="77777777" w:rsidR="00AE727E" w:rsidRDefault="00AE727E"/>
    <w:p w14:paraId="07DD139E" w14:textId="77777777" w:rsidR="00AE727E" w:rsidRDefault="00AE727E">
      <w:pPr>
        <w:jc w:val="center"/>
      </w:pPr>
    </w:p>
    <w:p w14:paraId="07DD139F" w14:textId="77777777" w:rsidR="00AE727E" w:rsidRDefault="008433E0">
      <w:pPr>
        <w:jc w:val="center"/>
      </w:pPr>
      <w:r>
        <w:rPr>
          <w:rFonts w:ascii="Times New Roman" w:eastAsia="宋体" w:hAnsi="Times New Roman"/>
          <w:color w:val="000000"/>
          <w:sz w:val="20"/>
          <w:szCs w:val="20"/>
        </w:rPr>
        <w:t>82</w:t>
      </w:r>
    </w:p>
    <w:p w14:paraId="07DD13A0" w14:textId="77777777" w:rsidR="00AE727E" w:rsidRDefault="00AE727E">
      <w:pPr>
        <w:jc w:val="center"/>
      </w:pPr>
    </w:p>
    <w:p w14:paraId="07DD13A1" w14:textId="77777777" w:rsidR="00AE727E" w:rsidRDefault="008433E0">
      <w:r>
        <w:pict w14:anchorId="07DD1922">
          <v:rect id="_x0000_i1106" style="width:415.3pt;height:1.5pt" o:hralign="center" o:hrstd="t" o:hr="t" fillcolor="#a0a0a0" stroked="f"/>
        </w:pict>
      </w:r>
    </w:p>
    <w:p w14:paraId="07DD13A2" w14:textId="77777777" w:rsidR="00AE727E" w:rsidRDefault="008433E0">
      <w:hyperlink r:id="rId207" w:anchor="i1c8279be622a460ea19600488436f115_10" w:history="1">
        <w:r>
          <w:rPr>
            <w:rStyle w:val="a5"/>
            <w:rFonts w:ascii="Times New Roman" w:eastAsia="宋体" w:hAnsi="Times New Roman"/>
            <w:sz w:val="20"/>
            <w:szCs w:val="20"/>
          </w:rPr>
          <w:t>Table of Contents</w:t>
        </w:r>
      </w:hyperlink>
    </w:p>
    <w:p w14:paraId="07DD13A3" w14:textId="77777777" w:rsidR="00AE727E" w:rsidRDefault="008433E0">
      <w:r>
        <w:rPr>
          <w:rFonts w:ascii="Times New Roman" w:eastAsia="宋体" w:hAnsi="Times New Roman"/>
          <w:b/>
          <w:bCs/>
          <w:color w:val="000000"/>
          <w:sz w:val="20"/>
          <w:szCs w:val="20"/>
          <w:shd w:val="clear" w:color="auto" w:fill="FFFFFF"/>
        </w:rPr>
        <w:t>VMware</w:t>
      </w:r>
    </w:p>
    <w:p w14:paraId="07DD13A4" w14:textId="77777777" w:rsidR="00AE727E" w:rsidRDefault="00AE727E"/>
    <w:p w14:paraId="07DD13A5" w14:textId="77777777" w:rsidR="00AE727E" w:rsidRDefault="008433E0">
      <w:pPr>
        <w:spacing w:after="60"/>
      </w:pPr>
      <w:r>
        <w:rPr>
          <w:rFonts w:ascii="Times New Roman" w:eastAsia="宋体" w:hAnsi="Times New Roman"/>
          <w:color w:val="000000"/>
          <w:sz w:val="20"/>
          <w:szCs w:val="20"/>
          <w:shd w:val="clear" w:color="auto" w:fill="FFFFFF"/>
        </w:rPr>
        <w:t xml:space="preserve">The following table presents net revenue and operating income </w:t>
      </w:r>
      <w:r>
        <w:rPr>
          <w:rFonts w:ascii="Times New Roman" w:eastAsia="宋体" w:hAnsi="Times New Roman"/>
          <w:color w:val="000000"/>
          <w:sz w:val="20"/>
          <w:szCs w:val="20"/>
          <w:shd w:val="clear" w:color="auto" w:fill="FFFFFF"/>
        </w:rPr>
        <w:t>attributable to VMware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678"/>
        <w:gridCol w:w="38"/>
        <w:gridCol w:w="121"/>
        <w:gridCol w:w="765"/>
        <w:gridCol w:w="187"/>
        <w:gridCol w:w="36"/>
        <w:gridCol w:w="36"/>
        <w:gridCol w:w="36"/>
        <w:gridCol w:w="58"/>
        <w:gridCol w:w="635"/>
        <w:gridCol w:w="187"/>
        <w:gridCol w:w="36"/>
        <w:gridCol w:w="36"/>
        <w:gridCol w:w="36"/>
        <w:gridCol w:w="121"/>
        <w:gridCol w:w="765"/>
        <w:gridCol w:w="187"/>
        <w:gridCol w:w="36"/>
        <w:gridCol w:w="36"/>
        <w:gridCol w:w="36"/>
        <w:gridCol w:w="120"/>
        <w:gridCol w:w="765"/>
        <w:gridCol w:w="187"/>
        <w:gridCol w:w="36"/>
        <w:gridCol w:w="36"/>
        <w:gridCol w:w="36"/>
        <w:gridCol w:w="59"/>
        <w:gridCol w:w="632"/>
        <w:gridCol w:w="187"/>
        <w:gridCol w:w="36"/>
        <w:gridCol w:w="36"/>
        <w:gridCol w:w="36"/>
        <w:gridCol w:w="120"/>
        <w:gridCol w:w="758"/>
        <w:gridCol w:w="187"/>
      </w:tblGrid>
      <w:tr w:rsidR="00AE727E" w14:paraId="07DD13CA" w14:textId="77777777">
        <w:tc>
          <w:tcPr>
            <w:tcW w:w="50" w:type="pct"/>
            <w:shd w:val="clear" w:color="auto" w:fill="auto"/>
            <w:vAlign w:val="bottom"/>
          </w:tcPr>
          <w:p w14:paraId="07DD13A6" w14:textId="77777777" w:rsidR="00AE727E" w:rsidRDefault="00AE727E">
            <w:pPr>
              <w:rPr>
                <w:rFonts w:ascii="宋体"/>
              </w:rPr>
            </w:pPr>
          </w:p>
        </w:tc>
        <w:tc>
          <w:tcPr>
            <w:tcW w:w="1165" w:type="pct"/>
            <w:shd w:val="clear" w:color="auto" w:fill="auto"/>
            <w:vAlign w:val="bottom"/>
          </w:tcPr>
          <w:p w14:paraId="07DD13A7" w14:textId="77777777" w:rsidR="00AE727E" w:rsidRDefault="00AE727E">
            <w:pPr>
              <w:rPr>
                <w:rFonts w:ascii="宋体"/>
              </w:rPr>
            </w:pPr>
          </w:p>
        </w:tc>
        <w:tc>
          <w:tcPr>
            <w:tcW w:w="5" w:type="pct"/>
            <w:shd w:val="clear" w:color="auto" w:fill="auto"/>
            <w:vAlign w:val="bottom"/>
          </w:tcPr>
          <w:p w14:paraId="07DD13A8" w14:textId="77777777" w:rsidR="00AE727E" w:rsidRDefault="00AE727E">
            <w:pPr>
              <w:rPr>
                <w:rFonts w:ascii="宋体"/>
              </w:rPr>
            </w:pPr>
          </w:p>
        </w:tc>
        <w:tc>
          <w:tcPr>
            <w:tcW w:w="50" w:type="pct"/>
            <w:shd w:val="clear" w:color="auto" w:fill="auto"/>
            <w:vAlign w:val="bottom"/>
          </w:tcPr>
          <w:p w14:paraId="07DD13A9" w14:textId="77777777" w:rsidR="00AE727E" w:rsidRDefault="00AE727E">
            <w:pPr>
              <w:rPr>
                <w:rFonts w:ascii="宋体"/>
              </w:rPr>
            </w:pPr>
          </w:p>
        </w:tc>
        <w:tc>
          <w:tcPr>
            <w:tcW w:w="551" w:type="pct"/>
            <w:shd w:val="clear" w:color="auto" w:fill="auto"/>
            <w:vAlign w:val="bottom"/>
          </w:tcPr>
          <w:p w14:paraId="07DD13AA" w14:textId="77777777" w:rsidR="00AE727E" w:rsidRDefault="00AE727E">
            <w:pPr>
              <w:rPr>
                <w:rFonts w:ascii="宋体"/>
              </w:rPr>
            </w:pPr>
          </w:p>
        </w:tc>
        <w:tc>
          <w:tcPr>
            <w:tcW w:w="5" w:type="pct"/>
            <w:shd w:val="clear" w:color="auto" w:fill="auto"/>
            <w:vAlign w:val="bottom"/>
          </w:tcPr>
          <w:p w14:paraId="07DD13AB" w14:textId="77777777" w:rsidR="00AE727E" w:rsidRDefault="00AE727E">
            <w:pPr>
              <w:rPr>
                <w:rFonts w:ascii="宋体"/>
              </w:rPr>
            </w:pPr>
          </w:p>
        </w:tc>
        <w:tc>
          <w:tcPr>
            <w:tcW w:w="5" w:type="pct"/>
            <w:shd w:val="clear" w:color="auto" w:fill="auto"/>
            <w:vAlign w:val="bottom"/>
          </w:tcPr>
          <w:p w14:paraId="07DD13AC" w14:textId="77777777" w:rsidR="00AE727E" w:rsidRDefault="00AE727E">
            <w:pPr>
              <w:rPr>
                <w:rFonts w:ascii="宋体"/>
              </w:rPr>
            </w:pPr>
          </w:p>
        </w:tc>
        <w:tc>
          <w:tcPr>
            <w:tcW w:w="19" w:type="pct"/>
            <w:shd w:val="clear" w:color="auto" w:fill="auto"/>
            <w:vAlign w:val="bottom"/>
          </w:tcPr>
          <w:p w14:paraId="07DD13AD" w14:textId="77777777" w:rsidR="00AE727E" w:rsidRDefault="00AE727E">
            <w:pPr>
              <w:rPr>
                <w:rFonts w:ascii="宋体"/>
              </w:rPr>
            </w:pPr>
          </w:p>
        </w:tc>
        <w:tc>
          <w:tcPr>
            <w:tcW w:w="5" w:type="pct"/>
            <w:shd w:val="clear" w:color="auto" w:fill="auto"/>
            <w:vAlign w:val="bottom"/>
          </w:tcPr>
          <w:p w14:paraId="07DD13AE" w14:textId="77777777" w:rsidR="00AE727E" w:rsidRDefault="00AE727E">
            <w:pPr>
              <w:rPr>
                <w:rFonts w:ascii="宋体"/>
              </w:rPr>
            </w:pPr>
          </w:p>
        </w:tc>
        <w:tc>
          <w:tcPr>
            <w:tcW w:w="50" w:type="pct"/>
            <w:shd w:val="clear" w:color="auto" w:fill="auto"/>
            <w:vAlign w:val="bottom"/>
          </w:tcPr>
          <w:p w14:paraId="07DD13AF" w14:textId="77777777" w:rsidR="00AE727E" w:rsidRDefault="00AE727E">
            <w:pPr>
              <w:rPr>
                <w:rFonts w:ascii="宋体"/>
              </w:rPr>
            </w:pPr>
          </w:p>
        </w:tc>
        <w:tc>
          <w:tcPr>
            <w:tcW w:w="551" w:type="pct"/>
            <w:shd w:val="clear" w:color="auto" w:fill="auto"/>
            <w:vAlign w:val="bottom"/>
          </w:tcPr>
          <w:p w14:paraId="07DD13B0" w14:textId="77777777" w:rsidR="00AE727E" w:rsidRDefault="00AE727E">
            <w:pPr>
              <w:rPr>
                <w:rFonts w:ascii="宋体"/>
              </w:rPr>
            </w:pPr>
          </w:p>
        </w:tc>
        <w:tc>
          <w:tcPr>
            <w:tcW w:w="5" w:type="pct"/>
            <w:shd w:val="clear" w:color="auto" w:fill="auto"/>
            <w:vAlign w:val="bottom"/>
          </w:tcPr>
          <w:p w14:paraId="07DD13B1" w14:textId="77777777" w:rsidR="00AE727E" w:rsidRDefault="00AE727E">
            <w:pPr>
              <w:rPr>
                <w:rFonts w:ascii="宋体"/>
              </w:rPr>
            </w:pPr>
          </w:p>
        </w:tc>
        <w:tc>
          <w:tcPr>
            <w:tcW w:w="5" w:type="pct"/>
            <w:shd w:val="clear" w:color="auto" w:fill="auto"/>
            <w:vAlign w:val="bottom"/>
          </w:tcPr>
          <w:p w14:paraId="07DD13B2" w14:textId="77777777" w:rsidR="00AE727E" w:rsidRDefault="00AE727E">
            <w:pPr>
              <w:rPr>
                <w:rFonts w:ascii="宋体"/>
              </w:rPr>
            </w:pPr>
          </w:p>
        </w:tc>
        <w:tc>
          <w:tcPr>
            <w:tcW w:w="19" w:type="pct"/>
            <w:shd w:val="clear" w:color="auto" w:fill="auto"/>
            <w:vAlign w:val="bottom"/>
          </w:tcPr>
          <w:p w14:paraId="07DD13B3" w14:textId="77777777" w:rsidR="00AE727E" w:rsidRDefault="00AE727E">
            <w:pPr>
              <w:rPr>
                <w:rFonts w:ascii="宋体"/>
              </w:rPr>
            </w:pPr>
          </w:p>
        </w:tc>
        <w:tc>
          <w:tcPr>
            <w:tcW w:w="5" w:type="pct"/>
            <w:shd w:val="clear" w:color="auto" w:fill="auto"/>
            <w:vAlign w:val="bottom"/>
          </w:tcPr>
          <w:p w14:paraId="07DD13B4" w14:textId="77777777" w:rsidR="00AE727E" w:rsidRDefault="00AE727E">
            <w:pPr>
              <w:rPr>
                <w:rFonts w:ascii="宋体"/>
              </w:rPr>
            </w:pPr>
          </w:p>
        </w:tc>
        <w:tc>
          <w:tcPr>
            <w:tcW w:w="50" w:type="pct"/>
            <w:shd w:val="clear" w:color="auto" w:fill="auto"/>
            <w:vAlign w:val="bottom"/>
          </w:tcPr>
          <w:p w14:paraId="07DD13B5" w14:textId="77777777" w:rsidR="00AE727E" w:rsidRDefault="00AE727E">
            <w:pPr>
              <w:rPr>
                <w:rFonts w:ascii="宋体"/>
              </w:rPr>
            </w:pPr>
          </w:p>
        </w:tc>
        <w:tc>
          <w:tcPr>
            <w:tcW w:w="551" w:type="pct"/>
            <w:shd w:val="clear" w:color="auto" w:fill="auto"/>
            <w:vAlign w:val="bottom"/>
          </w:tcPr>
          <w:p w14:paraId="07DD13B6" w14:textId="77777777" w:rsidR="00AE727E" w:rsidRDefault="00AE727E">
            <w:pPr>
              <w:rPr>
                <w:rFonts w:ascii="宋体"/>
              </w:rPr>
            </w:pPr>
          </w:p>
        </w:tc>
        <w:tc>
          <w:tcPr>
            <w:tcW w:w="5" w:type="pct"/>
            <w:shd w:val="clear" w:color="auto" w:fill="auto"/>
            <w:vAlign w:val="bottom"/>
          </w:tcPr>
          <w:p w14:paraId="07DD13B7" w14:textId="77777777" w:rsidR="00AE727E" w:rsidRDefault="00AE727E">
            <w:pPr>
              <w:rPr>
                <w:rFonts w:ascii="宋体"/>
              </w:rPr>
            </w:pPr>
          </w:p>
        </w:tc>
        <w:tc>
          <w:tcPr>
            <w:tcW w:w="5" w:type="pct"/>
            <w:shd w:val="clear" w:color="auto" w:fill="auto"/>
            <w:vAlign w:val="bottom"/>
          </w:tcPr>
          <w:p w14:paraId="07DD13B8" w14:textId="77777777" w:rsidR="00AE727E" w:rsidRDefault="00AE727E">
            <w:pPr>
              <w:rPr>
                <w:rFonts w:ascii="宋体"/>
              </w:rPr>
            </w:pPr>
          </w:p>
        </w:tc>
        <w:tc>
          <w:tcPr>
            <w:tcW w:w="19" w:type="pct"/>
            <w:shd w:val="clear" w:color="auto" w:fill="auto"/>
            <w:vAlign w:val="bottom"/>
          </w:tcPr>
          <w:p w14:paraId="07DD13B9" w14:textId="77777777" w:rsidR="00AE727E" w:rsidRDefault="00AE727E">
            <w:pPr>
              <w:rPr>
                <w:rFonts w:ascii="宋体"/>
              </w:rPr>
            </w:pPr>
          </w:p>
        </w:tc>
        <w:tc>
          <w:tcPr>
            <w:tcW w:w="5" w:type="pct"/>
            <w:shd w:val="clear" w:color="auto" w:fill="auto"/>
            <w:vAlign w:val="bottom"/>
          </w:tcPr>
          <w:p w14:paraId="07DD13BA" w14:textId="77777777" w:rsidR="00AE727E" w:rsidRDefault="00AE727E">
            <w:pPr>
              <w:rPr>
                <w:rFonts w:ascii="宋体"/>
              </w:rPr>
            </w:pPr>
          </w:p>
        </w:tc>
        <w:tc>
          <w:tcPr>
            <w:tcW w:w="50" w:type="pct"/>
            <w:shd w:val="clear" w:color="auto" w:fill="auto"/>
            <w:vAlign w:val="bottom"/>
          </w:tcPr>
          <w:p w14:paraId="07DD13BB" w14:textId="77777777" w:rsidR="00AE727E" w:rsidRDefault="00AE727E">
            <w:pPr>
              <w:rPr>
                <w:rFonts w:ascii="宋体"/>
              </w:rPr>
            </w:pPr>
          </w:p>
        </w:tc>
        <w:tc>
          <w:tcPr>
            <w:tcW w:w="551" w:type="pct"/>
            <w:shd w:val="clear" w:color="auto" w:fill="auto"/>
            <w:vAlign w:val="bottom"/>
          </w:tcPr>
          <w:p w14:paraId="07DD13BC" w14:textId="77777777" w:rsidR="00AE727E" w:rsidRDefault="00AE727E">
            <w:pPr>
              <w:rPr>
                <w:rFonts w:ascii="宋体"/>
              </w:rPr>
            </w:pPr>
          </w:p>
        </w:tc>
        <w:tc>
          <w:tcPr>
            <w:tcW w:w="5" w:type="pct"/>
            <w:shd w:val="clear" w:color="auto" w:fill="auto"/>
            <w:vAlign w:val="bottom"/>
          </w:tcPr>
          <w:p w14:paraId="07DD13BD" w14:textId="77777777" w:rsidR="00AE727E" w:rsidRDefault="00AE727E">
            <w:pPr>
              <w:rPr>
                <w:rFonts w:ascii="宋体"/>
              </w:rPr>
            </w:pPr>
          </w:p>
        </w:tc>
        <w:tc>
          <w:tcPr>
            <w:tcW w:w="5" w:type="pct"/>
            <w:shd w:val="clear" w:color="auto" w:fill="auto"/>
            <w:vAlign w:val="bottom"/>
          </w:tcPr>
          <w:p w14:paraId="07DD13BE" w14:textId="77777777" w:rsidR="00AE727E" w:rsidRDefault="00AE727E">
            <w:pPr>
              <w:rPr>
                <w:rFonts w:ascii="宋体"/>
              </w:rPr>
            </w:pPr>
          </w:p>
        </w:tc>
        <w:tc>
          <w:tcPr>
            <w:tcW w:w="19" w:type="pct"/>
            <w:shd w:val="clear" w:color="auto" w:fill="auto"/>
            <w:vAlign w:val="bottom"/>
          </w:tcPr>
          <w:p w14:paraId="07DD13BF" w14:textId="77777777" w:rsidR="00AE727E" w:rsidRDefault="00AE727E">
            <w:pPr>
              <w:rPr>
                <w:rFonts w:ascii="宋体"/>
              </w:rPr>
            </w:pPr>
          </w:p>
        </w:tc>
        <w:tc>
          <w:tcPr>
            <w:tcW w:w="5" w:type="pct"/>
            <w:shd w:val="clear" w:color="auto" w:fill="auto"/>
            <w:vAlign w:val="bottom"/>
          </w:tcPr>
          <w:p w14:paraId="07DD13C0" w14:textId="77777777" w:rsidR="00AE727E" w:rsidRDefault="00AE727E">
            <w:pPr>
              <w:rPr>
                <w:rFonts w:ascii="宋体"/>
              </w:rPr>
            </w:pPr>
          </w:p>
        </w:tc>
        <w:tc>
          <w:tcPr>
            <w:tcW w:w="50" w:type="pct"/>
            <w:shd w:val="clear" w:color="auto" w:fill="auto"/>
            <w:vAlign w:val="bottom"/>
          </w:tcPr>
          <w:p w14:paraId="07DD13C1" w14:textId="77777777" w:rsidR="00AE727E" w:rsidRDefault="00AE727E">
            <w:pPr>
              <w:rPr>
                <w:rFonts w:ascii="宋体"/>
              </w:rPr>
            </w:pPr>
          </w:p>
        </w:tc>
        <w:tc>
          <w:tcPr>
            <w:tcW w:w="544" w:type="pct"/>
            <w:shd w:val="clear" w:color="auto" w:fill="auto"/>
            <w:vAlign w:val="bottom"/>
          </w:tcPr>
          <w:p w14:paraId="07DD13C2" w14:textId="77777777" w:rsidR="00AE727E" w:rsidRDefault="00AE727E">
            <w:pPr>
              <w:rPr>
                <w:rFonts w:ascii="宋体"/>
              </w:rPr>
            </w:pPr>
          </w:p>
        </w:tc>
        <w:tc>
          <w:tcPr>
            <w:tcW w:w="5" w:type="pct"/>
            <w:shd w:val="clear" w:color="auto" w:fill="auto"/>
            <w:vAlign w:val="bottom"/>
          </w:tcPr>
          <w:p w14:paraId="07DD13C3" w14:textId="77777777" w:rsidR="00AE727E" w:rsidRDefault="00AE727E">
            <w:pPr>
              <w:rPr>
                <w:rFonts w:ascii="宋体"/>
              </w:rPr>
            </w:pPr>
          </w:p>
        </w:tc>
        <w:tc>
          <w:tcPr>
            <w:tcW w:w="5" w:type="pct"/>
            <w:shd w:val="clear" w:color="auto" w:fill="auto"/>
            <w:vAlign w:val="bottom"/>
          </w:tcPr>
          <w:p w14:paraId="07DD13C4" w14:textId="77777777" w:rsidR="00AE727E" w:rsidRDefault="00AE727E">
            <w:pPr>
              <w:rPr>
                <w:rFonts w:ascii="宋体"/>
              </w:rPr>
            </w:pPr>
          </w:p>
        </w:tc>
        <w:tc>
          <w:tcPr>
            <w:tcW w:w="19" w:type="pct"/>
            <w:shd w:val="clear" w:color="auto" w:fill="auto"/>
            <w:vAlign w:val="bottom"/>
          </w:tcPr>
          <w:p w14:paraId="07DD13C5" w14:textId="77777777" w:rsidR="00AE727E" w:rsidRDefault="00AE727E">
            <w:pPr>
              <w:rPr>
                <w:rFonts w:ascii="宋体"/>
              </w:rPr>
            </w:pPr>
          </w:p>
        </w:tc>
        <w:tc>
          <w:tcPr>
            <w:tcW w:w="5" w:type="pct"/>
            <w:shd w:val="clear" w:color="auto" w:fill="auto"/>
            <w:vAlign w:val="bottom"/>
          </w:tcPr>
          <w:p w14:paraId="07DD13C6" w14:textId="77777777" w:rsidR="00AE727E" w:rsidRDefault="00AE727E">
            <w:pPr>
              <w:rPr>
                <w:rFonts w:ascii="宋体"/>
              </w:rPr>
            </w:pPr>
          </w:p>
        </w:tc>
        <w:tc>
          <w:tcPr>
            <w:tcW w:w="50" w:type="pct"/>
            <w:shd w:val="clear" w:color="auto" w:fill="auto"/>
            <w:vAlign w:val="bottom"/>
          </w:tcPr>
          <w:p w14:paraId="07DD13C7" w14:textId="77777777" w:rsidR="00AE727E" w:rsidRDefault="00AE727E">
            <w:pPr>
              <w:rPr>
                <w:rFonts w:ascii="宋体"/>
              </w:rPr>
            </w:pPr>
          </w:p>
        </w:tc>
        <w:tc>
          <w:tcPr>
            <w:tcW w:w="552" w:type="pct"/>
            <w:shd w:val="clear" w:color="auto" w:fill="auto"/>
            <w:vAlign w:val="bottom"/>
          </w:tcPr>
          <w:p w14:paraId="07DD13C8" w14:textId="77777777" w:rsidR="00AE727E" w:rsidRDefault="00AE727E">
            <w:pPr>
              <w:rPr>
                <w:rFonts w:ascii="宋体"/>
              </w:rPr>
            </w:pPr>
          </w:p>
        </w:tc>
        <w:tc>
          <w:tcPr>
            <w:tcW w:w="5" w:type="pct"/>
            <w:shd w:val="clear" w:color="auto" w:fill="auto"/>
            <w:vAlign w:val="bottom"/>
          </w:tcPr>
          <w:p w14:paraId="07DD13C9" w14:textId="77777777" w:rsidR="00AE727E" w:rsidRDefault="00AE727E">
            <w:pPr>
              <w:rPr>
                <w:rFonts w:ascii="宋体"/>
              </w:rPr>
            </w:pPr>
          </w:p>
        </w:tc>
      </w:tr>
      <w:tr w:rsidR="00AE727E" w14:paraId="07DD13CF" w14:textId="77777777">
        <w:tc>
          <w:tcPr>
            <w:tcW w:w="0" w:type="auto"/>
            <w:gridSpan w:val="3"/>
            <w:shd w:val="clear" w:color="auto" w:fill="auto"/>
            <w:tcMar>
              <w:top w:w="0" w:type="dxa"/>
              <w:left w:w="20" w:type="dxa"/>
              <w:bottom w:w="0" w:type="dxa"/>
              <w:right w:w="20" w:type="dxa"/>
            </w:tcMar>
            <w:vAlign w:val="bottom"/>
          </w:tcPr>
          <w:p w14:paraId="07DD13CB"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3CC" w14:textId="77777777" w:rsidR="00AE727E" w:rsidRDefault="008433E0">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DD13CD" w14:textId="77777777" w:rsidR="00AE727E" w:rsidRDefault="00AE727E">
            <w:pPr>
              <w:rPr>
                <w:rFonts w:ascii="宋体"/>
              </w:rPr>
            </w:pPr>
          </w:p>
        </w:tc>
        <w:tc>
          <w:tcPr>
            <w:tcW w:w="0" w:type="auto"/>
            <w:gridSpan w:val="15"/>
            <w:shd w:val="clear" w:color="auto" w:fill="auto"/>
            <w:tcMar>
              <w:top w:w="40" w:type="dxa"/>
              <w:left w:w="20" w:type="dxa"/>
              <w:bottom w:w="40" w:type="dxa"/>
              <w:right w:w="20" w:type="dxa"/>
            </w:tcMar>
            <w:vAlign w:val="bottom"/>
          </w:tcPr>
          <w:p w14:paraId="07DD13CE"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3DC" w14:textId="77777777">
        <w:tc>
          <w:tcPr>
            <w:tcW w:w="0" w:type="auto"/>
            <w:gridSpan w:val="3"/>
            <w:shd w:val="clear" w:color="auto" w:fill="auto"/>
            <w:tcMar>
              <w:top w:w="0" w:type="dxa"/>
              <w:left w:w="20" w:type="dxa"/>
              <w:bottom w:w="0" w:type="dxa"/>
              <w:right w:w="20" w:type="dxa"/>
            </w:tcMar>
            <w:vAlign w:val="bottom"/>
          </w:tcPr>
          <w:p w14:paraId="07DD13D0"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3D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D2"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D3"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D4"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D5" w14:textId="77777777" w:rsidR="00AE727E" w:rsidRDefault="008433E0">
            <w:pPr>
              <w:jc w:val="center"/>
              <w:textAlignment w:val="bottom"/>
            </w:pPr>
            <w:r>
              <w:rPr>
                <w:rFonts w:ascii="Times New Roman" w:eastAsia="宋体" w:hAnsi="Times New Roman"/>
                <w:b/>
                <w:bCs/>
                <w:color w:val="000000"/>
                <w:sz w:val="20"/>
                <w:szCs w:val="20"/>
              </w:rPr>
              <w:t>October 30, 2020</w:t>
            </w:r>
          </w:p>
        </w:tc>
        <w:tc>
          <w:tcPr>
            <w:tcW w:w="0" w:type="auto"/>
            <w:gridSpan w:val="3"/>
            <w:shd w:val="clear" w:color="auto" w:fill="auto"/>
            <w:tcMar>
              <w:top w:w="0" w:type="dxa"/>
              <w:left w:w="20" w:type="dxa"/>
              <w:bottom w:w="0" w:type="dxa"/>
              <w:right w:w="20" w:type="dxa"/>
            </w:tcMar>
            <w:vAlign w:val="bottom"/>
          </w:tcPr>
          <w:p w14:paraId="07DD13D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D7"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D8"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D9" w14:textId="77777777" w:rsidR="00AE727E" w:rsidRDefault="008433E0">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3DA"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3DB"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3DF" w14:textId="77777777">
        <w:tc>
          <w:tcPr>
            <w:tcW w:w="0" w:type="auto"/>
            <w:gridSpan w:val="3"/>
            <w:shd w:val="clear" w:color="auto" w:fill="auto"/>
            <w:tcMar>
              <w:top w:w="0" w:type="dxa"/>
              <w:left w:w="20" w:type="dxa"/>
              <w:bottom w:w="0" w:type="dxa"/>
              <w:right w:w="20" w:type="dxa"/>
            </w:tcMar>
            <w:vAlign w:val="bottom"/>
          </w:tcPr>
          <w:p w14:paraId="07DD13DD" w14:textId="77777777" w:rsidR="00AE727E" w:rsidRDefault="00AE727E">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07DD13DE" w14:textId="77777777" w:rsidR="00AE727E" w:rsidRDefault="008433E0">
            <w:pPr>
              <w:jc w:val="center"/>
              <w:textAlignment w:val="center"/>
            </w:pPr>
            <w:r>
              <w:rPr>
                <w:rFonts w:ascii="Times New Roman" w:eastAsia="宋体" w:hAnsi="Times New Roman"/>
                <w:color w:val="000000"/>
                <w:sz w:val="20"/>
                <w:szCs w:val="20"/>
              </w:rPr>
              <w:t>(in millions, except percentages)</w:t>
            </w:r>
          </w:p>
        </w:tc>
      </w:tr>
      <w:tr w:rsidR="00AE727E" w14:paraId="07DD13EC" w14:textId="77777777">
        <w:tc>
          <w:tcPr>
            <w:tcW w:w="0" w:type="auto"/>
            <w:gridSpan w:val="3"/>
            <w:shd w:val="clear" w:color="auto" w:fill="CCEEFF"/>
            <w:tcMar>
              <w:top w:w="40" w:type="dxa"/>
              <w:left w:w="20" w:type="dxa"/>
              <w:bottom w:w="40" w:type="dxa"/>
              <w:right w:w="20" w:type="dxa"/>
            </w:tcMar>
            <w:vAlign w:val="center"/>
          </w:tcPr>
          <w:p w14:paraId="07DD13E0" w14:textId="77777777" w:rsidR="00AE727E" w:rsidRDefault="008433E0">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DD13E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6"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3EB" w14:textId="77777777" w:rsidR="00AE727E" w:rsidRDefault="00AE727E">
            <w:pPr>
              <w:rPr>
                <w:rFonts w:ascii="宋体"/>
              </w:rPr>
            </w:pPr>
          </w:p>
        </w:tc>
      </w:tr>
      <w:tr w:rsidR="00AE727E" w14:paraId="07DD1401" w14:textId="77777777">
        <w:tc>
          <w:tcPr>
            <w:tcW w:w="0" w:type="auto"/>
            <w:gridSpan w:val="3"/>
            <w:shd w:val="clear" w:color="auto" w:fill="FFFFFF"/>
            <w:tcMar>
              <w:top w:w="40" w:type="dxa"/>
              <w:left w:w="155" w:type="dxa"/>
              <w:bottom w:w="40" w:type="dxa"/>
              <w:right w:w="20" w:type="dxa"/>
            </w:tcMar>
            <w:vAlign w:val="center"/>
          </w:tcPr>
          <w:p w14:paraId="07DD13ED" w14:textId="77777777" w:rsidR="00AE727E" w:rsidRDefault="008433E0">
            <w:pPr>
              <w:textAlignment w:val="center"/>
            </w:pPr>
            <w:r>
              <w:rPr>
                <w:rFonts w:ascii="Times New Roman" w:eastAsia="宋体" w:hAnsi="Times New Roman"/>
                <w:color w:val="000000"/>
                <w:sz w:val="20"/>
                <w:szCs w:val="20"/>
              </w:rPr>
              <w:t>VMware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07DD13EE"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3EF" w14:textId="77777777" w:rsidR="00AE727E" w:rsidRDefault="008433E0">
            <w:pPr>
              <w:jc w:val="right"/>
              <w:textAlignment w:val="center"/>
            </w:pPr>
            <w:r>
              <w:rPr>
                <w:rFonts w:ascii="Times New Roman" w:eastAsia="宋体" w:hAnsi="Times New Roman"/>
                <w:color w:val="000000"/>
                <w:sz w:val="20"/>
                <w:szCs w:val="20"/>
              </w:rPr>
              <w:t>3,178</w:t>
            </w:r>
          </w:p>
        </w:tc>
        <w:tc>
          <w:tcPr>
            <w:tcW w:w="0" w:type="auto"/>
            <w:gridSpan w:val="3"/>
            <w:shd w:val="clear" w:color="auto" w:fill="FFFFFF"/>
            <w:tcMar>
              <w:top w:w="0" w:type="dxa"/>
              <w:left w:w="20" w:type="dxa"/>
              <w:bottom w:w="0" w:type="dxa"/>
              <w:right w:w="20" w:type="dxa"/>
            </w:tcMar>
            <w:vAlign w:val="bottom"/>
          </w:tcPr>
          <w:p w14:paraId="07DD13F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F1" w14:textId="77777777" w:rsidR="00AE727E" w:rsidRDefault="008433E0">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D13F2"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F3"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F4"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07DD13F5" w14:textId="77777777" w:rsidR="00AE727E" w:rsidRDefault="008433E0">
            <w:pPr>
              <w:jc w:val="right"/>
              <w:textAlignment w:val="center"/>
            </w:pPr>
            <w:r>
              <w:rPr>
                <w:rFonts w:ascii="Times New Roman" w:eastAsia="宋体" w:hAnsi="Times New Roman"/>
                <w:color w:val="000000"/>
                <w:sz w:val="20"/>
                <w:szCs w:val="20"/>
              </w:rPr>
              <w:t>2,893</w:t>
            </w:r>
          </w:p>
        </w:tc>
        <w:tc>
          <w:tcPr>
            <w:tcW w:w="0" w:type="auto"/>
            <w:gridSpan w:val="3"/>
            <w:shd w:val="clear" w:color="auto" w:fill="FFFFFF"/>
            <w:tcMar>
              <w:top w:w="0" w:type="dxa"/>
              <w:left w:w="20" w:type="dxa"/>
              <w:bottom w:w="0" w:type="dxa"/>
              <w:right w:w="20" w:type="dxa"/>
            </w:tcMar>
            <w:vAlign w:val="bottom"/>
          </w:tcPr>
          <w:p w14:paraId="07DD13F6"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F7"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13F8" w14:textId="77777777" w:rsidR="00AE727E" w:rsidRDefault="008433E0">
            <w:pPr>
              <w:jc w:val="right"/>
              <w:textAlignment w:val="center"/>
            </w:pPr>
            <w:r>
              <w:rPr>
                <w:rFonts w:ascii="Times New Roman" w:eastAsia="宋体" w:hAnsi="Times New Roman"/>
                <w:color w:val="000000"/>
                <w:sz w:val="20"/>
                <w:szCs w:val="20"/>
              </w:rPr>
              <w:t>9,317 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3F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3F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3FB" w14:textId="77777777" w:rsidR="00AE727E" w:rsidRDefault="008433E0">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07DD13FC"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3FD" w14:textId="77777777" w:rsidR="00AE727E" w:rsidRDefault="00AE727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7DD13F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07DD13FF" w14:textId="77777777" w:rsidR="00AE727E" w:rsidRDefault="008433E0">
            <w:pPr>
              <w:jc w:val="right"/>
              <w:textAlignment w:val="center"/>
            </w:pPr>
            <w:r>
              <w:rPr>
                <w:rFonts w:ascii="Times New Roman" w:eastAsia="宋体" w:hAnsi="Times New Roman"/>
                <w:color w:val="000000"/>
                <w:sz w:val="20"/>
                <w:szCs w:val="20"/>
              </w:rPr>
              <w:t>8,556 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400" w14:textId="77777777" w:rsidR="00AE727E" w:rsidRDefault="00AE727E">
            <w:pPr>
              <w:jc w:val="right"/>
              <w:rPr>
                <w:rFonts w:ascii="宋体"/>
              </w:rPr>
            </w:pPr>
          </w:p>
        </w:tc>
      </w:tr>
      <w:tr w:rsidR="00AE727E" w14:paraId="07DD140E" w14:textId="77777777">
        <w:trPr>
          <w:trHeight w:val="300"/>
        </w:trPr>
        <w:tc>
          <w:tcPr>
            <w:tcW w:w="0" w:type="auto"/>
            <w:gridSpan w:val="3"/>
            <w:shd w:val="clear" w:color="auto" w:fill="CCEEFF"/>
            <w:tcMar>
              <w:top w:w="0" w:type="dxa"/>
              <w:left w:w="20" w:type="dxa"/>
              <w:bottom w:w="0" w:type="dxa"/>
              <w:right w:w="20" w:type="dxa"/>
            </w:tcMar>
            <w:vAlign w:val="bottom"/>
          </w:tcPr>
          <w:p w14:paraId="07DD1402"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40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4"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5"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6"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40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8"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40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0C"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40D" w14:textId="77777777" w:rsidR="00AE727E" w:rsidRDefault="00AE727E">
            <w:pPr>
              <w:rPr>
                <w:rFonts w:ascii="宋体"/>
              </w:rPr>
            </w:pPr>
          </w:p>
        </w:tc>
      </w:tr>
      <w:tr w:rsidR="00AE727E" w14:paraId="07DD141B" w14:textId="77777777">
        <w:tc>
          <w:tcPr>
            <w:tcW w:w="0" w:type="auto"/>
            <w:gridSpan w:val="3"/>
            <w:shd w:val="clear" w:color="auto" w:fill="FFFFFF"/>
            <w:tcMar>
              <w:top w:w="40" w:type="dxa"/>
              <w:left w:w="20" w:type="dxa"/>
              <w:bottom w:w="40" w:type="dxa"/>
              <w:right w:w="20" w:type="dxa"/>
            </w:tcMar>
            <w:vAlign w:val="center"/>
          </w:tcPr>
          <w:p w14:paraId="07DD140F" w14:textId="77777777" w:rsidR="00AE727E" w:rsidRDefault="008433E0">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07DD141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8"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9"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1A" w14:textId="77777777" w:rsidR="00AE727E" w:rsidRDefault="00AE727E">
            <w:pPr>
              <w:rPr>
                <w:rFonts w:ascii="宋体"/>
              </w:rPr>
            </w:pPr>
          </w:p>
        </w:tc>
      </w:tr>
      <w:tr w:rsidR="00AE727E" w14:paraId="07DD1430" w14:textId="77777777">
        <w:tc>
          <w:tcPr>
            <w:tcW w:w="0" w:type="auto"/>
            <w:gridSpan w:val="3"/>
            <w:shd w:val="clear" w:color="auto" w:fill="CCEEFF"/>
            <w:tcMar>
              <w:top w:w="40" w:type="dxa"/>
              <w:left w:w="155" w:type="dxa"/>
              <w:bottom w:w="40" w:type="dxa"/>
              <w:right w:w="20" w:type="dxa"/>
            </w:tcMar>
            <w:vAlign w:val="center"/>
          </w:tcPr>
          <w:p w14:paraId="07DD141C" w14:textId="77777777" w:rsidR="00AE727E" w:rsidRDefault="008433E0">
            <w:pPr>
              <w:textAlignment w:val="center"/>
            </w:pPr>
            <w:r>
              <w:rPr>
                <w:rFonts w:ascii="Times New Roman" w:eastAsia="宋体" w:hAnsi="Times New Roman"/>
                <w:color w:val="000000"/>
                <w:sz w:val="20"/>
                <w:szCs w:val="20"/>
              </w:rPr>
              <w:t>VMware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07DD141D"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41E" w14:textId="77777777" w:rsidR="00AE727E" w:rsidRDefault="008433E0">
            <w:pPr>
              <w:jc w:val="right"/>
              <w:textAlignment w:val="center"/>
            </w:pPr>
            <w:r>
              <w:rPr>
                <w:rFonts w:ascii="Times New Roman" w:eastAsia="宋体" w:hAnsi="Times New Roman"/>
                <w:color w:val="000000"/>
                <w:sz w:val="20"/>
                <w:szCs w:val="20"/>
              </w:rPr>
              <w:t>837</w:t>
            </w:r>
          </w:p>
        </w:tc>
        <w:tc>
          <w:tcPr>
            <w:tcW w:w="0" w:type="auto"/>
            <w:gridSpan w:val="3"/>
            <w:shd w:val="clear" w:color="auto" w:fill="CCEEFF"/>
            <w:tcMar>
              <w:top w:w="0" w:type="dxa"/>
              <w:left w:w="20" w:type="dxa"/>
              <w:bottom w:w="0" w:type="dxa"/>
              <w:right w:w="20" w:type="dxa"/>
            </w:tcMar>
            <w:vAlign w:val="bottom"/>
          </w:tcPr>
          <w:p w14:paraId="07DD141F"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420"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D1421"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422"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423" w14:textId="77777777" w:rsidR="00AE727E" w:rsidRDefault="008433E0">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07DD1424" w14:textId="77777777" w:rsidR="00AE727E" w:rsidRDefault="008433E0">
            <w:pPr>
              <w:jc w:val="right"/>
              <w:textAlignment w:val="center"/>
            </w:pPr>
            <w:r>
              <w:rPr>
                <w:rFonts w:ascii="Times New Roman" w:eastAsia="宋体" w:hAnsi="Times New Roman"/>
                <w:color w:val="000000"/>
                <w:sz w:val="20"/>
                <w:szCs w:val="20"/>
              </w:rPr>
              <w:t>837</w:t>
            </w:r>
          </w:p>
        </w:tc>
        <w:tc>
          <w:tcPr>
            <w:tcW w:w="0" w:type="auto"/>
            <w:gridSpan w:val="3"/>
            <w:shd w:val="clear" w:color="auto" w:fill="CCEEFF"/>
            <w:tcMar>
              <w:top w:w="0" w:type="dxa"/>
              <w:left w:w="20" w:type="dxa"/>
              <w:bottom w:w="0" w:type="dxa"/>
              <w:right w:w="20" w:type="dxa"/>
            </w:tcMar>
            <w:vAlign w:val="bottom"/>
          </w:tcPr>
          <w:p w14:paraId="07DD1425"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426"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1427" w14:textId="77777777" w:rsidR="00AE727E" w:rsidRDefault="008433E0">
            <w:pPr>
              <w:jc w:val="right"/>
              <w:textAlignment w:val="center"/>
            </w:pPr>
            <w:r>
              <w:rPr>
                <w:rFonts w:ascii="Times New Roman" w:eastAsia="宋体" w:hAnsi="Times New Roman"/>
                <w:color w:val="000000"/>
                <w:sz w:val="20"/>
                <w:szCs w:val="20"/>
              </w:rPr>
              <w:t>2,527 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42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42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42A" w14:textId="77777777" w:rsidR="00AE727E" w:rsidRDefault="008433E0">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07DD142B" w14:textId="77777777" w:rsidR="00AE727E" w:rsidRDefault="008433E0">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DD142C" w14:textId="77777777" w:rsidR="00AE727E" w:rsidRDefault="00AE727E">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7DD142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7DD142E" w14:textId="77777777" w:rsidR="00AE727E" w:rsidRDefault="008433E0">
            <w:pPr>
              <w:jc w:val="right"/>
              <w:textAlignment w:val="center"/>
            </w:pPr>
            <w:r>
              <w:rPr>
                <w:rFonts w:ascii="Times New Roman" w:eastAsia="宋体" w:hAnsi="Times New Roman"/>
                <w:color w:val="000000"/>
                <w:sz w:val="20"/>
                <w:szCs w:val="20"/>
              </w:rPr>
              <w:t>2,504 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42F" w14:textId="77777777" w:rsidR="00AE727E" w:rsidRDefault="00AE727E">
            <w:pPr>
              <w:jc w:val="right"/>
              <w:rPr>
                <w:rFonts w:ascii="宋体"/>
              </w:rPr>
            </w:pPr>
          </w:p>
        </w:tc>
      </w:tr>
      <w:tr w:rsidR="00AE727E" w14:paraId="07DD1441" w14:textId="77777777">
        <w:tc>
          <w:tcPr>
            <w:tcW w:w="0" w:type="auto"/>
            <w:gridSpan w:val="3"/>
            <w:shd w:val="clear" w:color="auto" w:fill="FFFFFF"/>
            <w:tcMar>
              <w:top w:w="40" w:type="dxa"/>
              <w:left w:w="155" w:type="dxa"/>
              <w:bottom w:w="40" w:type="dxa"/>
              <w:right w:w="20" w:type="dxa"/>
            </w:tcMar>
            <w:vAlign w:val="center"/>
          </w:tcPr>
          <w:p w14:paraId="07DD1431" w14:textId="77777777" w:rsidR="00AE727E" w:rsidRDefault="008433E0">
            <w:pPr>
              <w:textAlignment w:val="center"/>
            </w:pPr>
            <w:r>
              <w:rPr>
                <w:rFonts w:ascii="Times New Roman" w:eastAsia="宋体" w:hAnsi="Times New Roman"/>
                <w:i/>
                <w:iCs/>
                <w:color w:val="000000"/>
                <w:sz w:val="20"/>
                <w:szCs w:val="20"/>
              </w:rPr>
              <w:t>% of segment net r</w:t>
            </w:r>
            <w:r>
              <w:rPr>
                <w:rFonts w:ascii="Times New Roman" w:eastAsia="宋体" w:hAnsi="Times New Roman"/>
                <w:i/>
                <w:iCs/>
                <w:color w:val="000000"/>
                <w:sz w:val="20"/>
                <w:szCs w:val="20"/>
              </w:rPr>
              <w:t>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432" w14:textId="77777777" w:rsidR="00AE727E" w:rsidRDefault="008433E0">
            <w:pPr>
              <w:jc w:val="right"/>
              <w:textAlignment w:val="center"/>
            </w:pPr>
            <w:r>
              <w:rPr>
                <w:rFonts w:ascii="Times New Roman" w:eastAsia="宋体" w:hAnsi="Times New Roman"/>
                <w:i/>
                <w:iCs/>
                <w:color w:val="000000"/>
                <w:sz w:val="20"/>
                <w:szCs w:val="20"/>
              </w:rPr>
              <w:t>26.3 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433"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43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3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36"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437" w14:textId="77777777" w:rsidR="00AE727E" w:rsidRDefault="008433E0">
            <w:pPr>
              <w:jc w:val="right"/>
              <w:textAlignment w:val="center"/>
            </w:pPr>
            <w:r>
              <w:rPr>
                <w:rFonts w:ascii="Times New Roman" w:eastAsia="宋体" w:hAnsi="Times New Roman"/>
                <w:i/>
                <w:iCs/>
                <w:color w:val="000000"/>
                <w:sz w:val="20"/>
                <w:szCs w:val="20"/>
              </w:rPr>
              <w:t>28.9 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438"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439"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D143A" w14:textId="77777777" w:rsidR="00AE727E" w:rsidRDefault="008433E0">
            <w:pPr>
              <w:jc w:val="right"/>
              <w:textAlignment w:val="center"/>
            </w:pPr>
            <w:r>
              <w:rPr>
                <w:rFonts w:ascii="Times New Roman" w:eastAsia="宋体" w:hAnsi="Times New Roman"/>
                <w:i/>
                <w:iCs/>
                <w:color w:val="000000"/>
                <w:sz w:val="20"/>
                <w:szCs w:val="20"/>
              </w:rPr>
              <w:t>27.1 </w:t>
            </w:r>
          </w:p>
        </w:tc>
        <w:tc>
          <w:tcPr>
            <w:tcW w:w="0" w:type="auto"/>
            <w:tcBorders>
              <w:top w:val="single" w:sz="8" w:space="0" w:color="000000"/>
            </w:tcBorders>
            <w:shd w:val="clear" w:color="auto" w:fill="auto"/>
            <w:tcMar>
              <w:top w:w="40" w:type="dxa"/>
              <w:left w:w="0" w:type="dxa"/>
              <w:bottom w:w="40" w:type="dxa"/>
              <w:right w:w="20" w:type="dxa"/>
            </w:tcMar>
            <w:vAlign w:val="center"/>
          </w:tcPr>
          <w:p w14:paraId="07DD143B" w14:textId="77777777" w:rsidR="00AE727E" w:rsidRDefault="008433E0">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D143C"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3D"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43E" w14:textId="77777777" w:rsidR="00AE727E" w:rsidRDefault="00AE727E">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center"/>
          </w:tcPr>
          <w:p w14:paraId="07DD143F" w14:textId="77777777" w:rsidR="00AE727E" w:rsidRDefault="008433E0">
            <w:pPr>
              <w:jc w:val="right"/>
              <w:textAlignment w:val="center"/>
            </w:pPr>
            <w:r>
              <w:rPr>
                <w:rFonts w:ascii="Times New Roman" w:eastAsia="宋体" w:hAnsi="Times New Roman"/>
                <w:i/>
                <w:iCs/>
                <w:color w:val="000000"/>
                <w:sz w:val="20"/>
                <w:szCs w:val="20"/>
              </w:rPr>
              <w:t>29.3 </w:t>
            </w:r>
          </w:p>
        </w:tc>
        <w:tc>
          <w:tcPr>
            <w:tcW w:w="0" w:type="auto"/>
            <w:tcBorders>
              <w:top w:val="single" w:sz="8" w:space="0" w:color="000000"/>
            </w:tcBorders>
            <w:shd w:val="clear" w:color="auto" w:fill="auto"/>
            <w:tcMar>
              <w:top w:w="40" w:type="dxa"/>
              <w:left w:w="0" w:type="dxa"/>
              <w:bottom w:w="40" w:type="dxa"/>
              <w:right w:w="20" w:type="dxa"/>
            </w:tcMar>
            <w:vAlign w:val="center"/>
          </w:tcPr>
          <w:p w14:paraId="07DD1440" w14:textId="77777777" w:rsidR="00AE727E" w:rsidRDefault="008433E0">
            <w:pPr>
              <w:jc w:val="right"/>
              <w:textAlignment w:val="center"/>
            </w:pPr>
            <w:r>
              <w:rPr>
                <w:rFonts w:ascii="Times New Roman" w:eastAsia="宋体" w:hAnsi="Times New Roman"/>
                <w:i/>
                <w:iCs/>
                <w:color w:val="000000"/>
                <w:sz w:val="20"/>
                <w:szCs w:val="20"/>
              </w:rPr>
              <w:t>%</w:t>
            </w:r>
          </w:p>
        </w:tc>
      </w:tr>
    </w:tbl>
    <w:p w14:paraId="07DD1442" w14:textId="77777777" w:rsidR="00AE727E" w:rsidRDefault="00AE727E"/>
    <w:p w14:paraId="07DD1443" w14:textId="77777777" w:rsidR="00AE727E" w:rsidRDefault="008433E0">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VMware net revenue primarily consists of revenue from the sale of software licenses under perpetual licenses and subscription and SaaS of</w:t>
      </w:r>
      <w:r>
        <w:rPr>
          <w:rFonts w:ascii="Times New Roman" w:eastAsia="宋体" w:hAnsi="Times New Roman"/>
          <w:color w:val="000000"/>
          <w:sz w:val="20"/>
          <w:szCs w:val="20"/>
        </w:rPr>
        <w:t>ferings, as well as related software maintenance services, support, training, consulting services, and hosted services. VMware net revenue for the third quarter and first nine months of Fiscal 2022 increased 10% and 9%, respectively, primarily due to growt</w:t>
      </w:r>
      <w:r>
        <w:rPr>
          <w:rFonts w:ascii="Times New Roman" w:eastAsia="宋体" w:hAnsi="Times New Roman"/>
          <w:color w:val="000000"/>
          <w:sz w:val="20"/>
          <w:szCs w:val="20"/>
        </w:rPr>
        <w:t>h in sales of subscription and SaaS offerings, driven by increased demand for cloud offerings. Both license revenue and software maintenance revenue also increased to a lesser extent, with the latter continuing to benefit from maintenance contracts sold in</w:t>
      </w:r>
      <w:r>
        <w:rPr>
          <w:rFonts w:ascii="Times New Roman" w:eastAsia="宋体" w:hAnsi="Times New Roman"/>
          <w:color w:val="000000"/>
          <w:sz w:val="20"/>
          <w:szCs w:val="20"/>
        </w:rPr>
        <w:t xml:space="preserve"> previous periods.</w:t>
      </w:r>
    </w:p>
    <w:p w14:paraId="07DD1444" w14:textId="77777777" w:rsidR="00AE727E" w:rsidRDefault="00AE727E"/>
    <w:p w14:paraId="07DD1445" w14:textId="77777777" w:rsidR="00AE727E" w:rsidRDefault="008433E0">
      <w:r>
        <w:rPr>
          <w:rFonts w:ascii="Times New Roman" w:eastAsia="宋体" w:hAnsi="Times New Roman"/>
          <w:color w:val="000000"/>
          <w:sz w:val="20"/>
          <w:szCs w:val="20"/>
        </w:rPr>
        <w:t xml:space="preserve">VMware net revenue for the third quarter and first nine months of Fiscal 2022 increased in both the United States and internationally. </w:t>
      </w:r>
    </w:p>
    <w:p w14:paraId="07DD1446" w14:textId="77777777" w:rsidR="00AE727E" w:rsidRDefault="00AE727E"/>
    <w:p w14:paraId="07DD1447" w14:textId="77777777" w:rsidR="00AE727E" w:rsidRDefault="008433E0">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third quarter and first nine months of Fiscal 2022, VMware operating </w:t>
      </w:r>
      <w:r>
        <w:rPr>
          <w:rFonts w:ascii="Times New Roman" w:eastAsia="宋体" w:hAnsi="Times New Roman"/>
          <w:color w:val="000000"/>
          <w:sz w:val="20"/>
          <w:szCs w:val="20"/>
        </w:rPr>
        <w:t>income as a percentage of net revenue decreased 260 basis points to 26.3% and 220 basis points to 27.1%, respectively. These decreases were due to a decline in VMware gross margin percentage and an increase in operating expense as a percentage of net reven</w:t>
      </w:r>
      <w:r>
        <w:rPr>
          <w:rFonts w:ascii="Times New Roman" w:eastAsia="宋体" w:hAnsi="Times New Roman"/>
          <w:color w:val="000000"/>
          <w:sz w:val="20"/>
          <w:szCs w:val="20"/>
        </w:rPr>
        <w:t xml:space="preserve">ue. VMware gross margin percentage declined in part due to a transition towards subscription and SaaS offerings. Operating expenses increased as a result of higher employee compensation expense primarily attributable to investments in key R&amp;D initiatives, </w:t>
      </w:r>
      <w:r>
        <w:rPr>
          <w:rFonts w:ascii="Times New Roman" w:eastAsia="宋体" w:hAnsi="Times New Roman"/>
          <w:color w:val="000000"/>
          <w:sz w:val="20"/>
          <w:szCs w:val="20"/>
        </w:rPr>
        <w:t>coupled with the reintroduction of expenses that were temporarily reduced in Fiscal 2021.</w:t>
      </w:r>
    </w:p>
    <w:p w14:paraId="07DD1448" w14:textId="77777777" w:rsidR="00AE727E" w:rsidRDefault="00AE727E">
      <w:pPr>
        <w:jc w:val="center"/>
      </w:pPr>
    </w:p>
    <w:p w14:paraId="07DD1449" w14:textId="77777777" w:rsidR="00AE727E" w:rsidRDefault="008433E0">
      <w:pPr>
        <w:jc w:val="center"/>
      </w:pPr>
      <w:r>
        <w:rPr>
          <w:rFonts w:ascii="Times New Roman" w:eastAsia="宋体" w:hAnsi="Times New Roman"/>
          <w:color w:val="000000"/>
          <w:sz w:val="20"/>
          <w:szCs w:val="20"/>
        </w:rPr>
        <w:t>83</w:t>
      </w:r>
    </w:p>
    <w:p w14:paraId="07DD144A" w14:textId="77777777" w:rsidR="00AE727E" w:rsidRDefault="00AE727E">
      <w:pPr>
        <w:jc w:val="center"/>
      </w:pPr>
    </w:p>
    <w:p w14:paraId="07DD144B" w14:textId="77777777" w:rsidR="00AE727E" w:rsidRDefault="008433E0">
      <w:r>
        <w:pict w14:anchorId="07DD1923">
          <v:rect id="_x0000_i1107" style="width:415.3pt;height:1.5pt" o:hralign="center" o:hrstd="t" o:hr="t" fillcolor="#a0a0a0" stroked="f"/>
        </w:pict>
      </w:r>
    </w:p>
    <w:p w14:paraId="07DD144C" w14:textId="77777777" w:rsidR="00AE727E" w:rsidRDefault="008433E0">
      <w:hyperlink r:id="rId208" w:anchor="i1c8279be622a460ea19600488436f115_10" w:history="1">
        <w:r>
          <w:rPr>
            <w:rStyle w:val="a5"/>
            <w:rFonts w:ascii="Times New Roman" w:eastAsia="宋体" w:hAnsi="Times New Roman"/>
            <w:sz w:val="20"/>
            <w:szCs w:val="20"/>
          </w:rPr>
          <w:t>Table of Contents</w:t>
        </w:r>
      </w:hyperlink>
    </w:p>
    <w:p w14:paraId="07DD144D" w14:textId="77777777" w:rsidR="00AE727E" w:rsidRDefault="008433E0">
      <w:r>
        <w:rPr>
          <w:rFonts w:ascii="Times New Roman" w:eastAsia="宋体" w:hAnsi="Times New Roman"/>
          <w:b/>
          <w:bCs/>
          <w:color w:val="000000"/>
          <w:sz w:val="20"/>
          <w:szCs w:val="20"/>
        </w:rPr>
        <w:t>OTHER BALANCE SHEET ITEMS</w:t>
      </w:r>
    </w:p>
    <w:p w14:paraId="07DD144E" w14:textId="77777777" w:rsidR="00AE727E" w:rsidRDefault="00AE727E"/>
    <w:p w14:paraId="07DD144F" w14:textId="77777777" w:rsidR="00AE727E" w:rsidRDefault="008433E0">
      <w:r>
        <w:rPr>
          <w:rFonts w:ascii="Times New Roman" w:eastAsia="宋体" w:hAnsi="Times New Roman"/>
          <w:b/>
          <w:bCs/>
          <w:color w:val="000000"/>
          <w:sz w:val="20"/>
          <w:szCs w:val="20"/>
        </w:rPr>
        <w:t xml:space="preserve">Accounts Receivable </w:t>
      </w:r>
    </w:p>
    <w:p w14:paraId="07DD1450" w14:textId="77777777" w:rsidR="00AE727E" w:rsidRDefault="00AE727E"/>
    <w:p w14:paraId="07DD1451" w14:textId="77777777" w:rsidR="00AE727E" w:rsidRDefault="008433E0">
      <w:r>
        <w:rPr>
          <w:rFonts w:ascii="Times New Roman" w:eastAsia="宋体" w:hAnsi="Times New Roman"/>
          <w:color w:val="000000"/>
          <w:sz w:val="20"/>
          <w:szCs w:val="20"/>
        </w:rPr>
        <w:t xml:space="preserve">We sell products and </w:t>
      </w:r>
      <w:r>
        <w:rPr>
          <w:rFonts w:ascii="Times New Roman" w:eastAsia="宋体" w:hAnsi="Times New Roman"/>
          <w:color w:val="000000"/>
          <w:sz w:val="20"/>
          <w:szCs w:val="20"/>
        </w:rPr>
        <w:t>services directly to customers and through a variety of sales channels, including retail distribution. Our accounts receivable, net, was $14.2 billion and $12.8 billion as of October 29, 2021 and January 29, 2021, respectively. We maintain an allowance for</w:t>
      </w:r>
      <w:r>
        <w:rPr>
          <w:rFonts w:ascii="Times New Roman" w:eastAsia="宋体" w:hAnsi="Times New Roman"/>
          <w:color w:val="000000"/>
          <w:sz w:val="20"/>
          <w:szCs w:val="20"/>
        </w:rPr>
        <w:t xml:space="preserve"> expected credit losses to cover receivables that may be deemed uncollectible. The allowance for expected credit losses is an estimate based on an analysis of historical loss experience, current receivables aging, management’s assessment of current conditi</w:t>
      </w:r>
      <w:r>
        <w:rPr>
          <w:rFonts w:ascii="Times New Roman" w:eastAsia="宋体" w:hAnsi="Times New Roman"/>
          <w:color w:val="000000"/>
          <w:sz w:val="20"/>
          <w:szCs w:val="20"/>
        </w:rPr>
        <w:t>ons and reasonable and supportable expectation of future conditions, and specific identifiable customer accounts that are deemed at risk. Given this uncertainty, our allowance for expected credit losses in future periods may vary from our current estimates</w:t>
      </w:r>
      <w:r>
        <w:rPr>
          <w:rFonts w:ascii="Times New Roman" w:eastAsia="宋体" w:hAnsi="Times New Roman"/>
          <w:color w:val="000000"/>
          <w:sz w:val="20"/>
          <w:szCs w:val="20"/>
        </w:rPr>
        <w:t>. As of October 29, 2021 and January 29, 2021, the allowance for expected credit losses was $100 million and $104 million, respectively. Based on our assessment, we believe that we are adequately reserved for expected credit losses. We will continue to mon</w:t>
      </w:r>
      <w:r>
        <w:rPr>
          <w:rFonts w:ascii="Times New Roman" w:eastAsia="宋体" w:hAnsi="Times New Roman"/>
          <w:color w:val="000000"/>
          <w:sz w:val="20"/>
          <w:szCs w:val="20"/>
        </w:rPr>
        <w:t>itor the aging of our accounts receivable and take actions, where necessary, to reduce our exposure to credit losses.</w:t>
      </w:r>
    </w:p>
    <w:p w14:paraId="07DD1452" w14:textId="77777777" w:rsidR="00AE727E" w:rsidRDefault="00AE727E"/>
    <w:p w14:paraId="07DD1453" w14:textId="77777777" w:rsidR="00AE727E" w:rsidRDefault="008433E0">
      <w:r>
        <w:rPr>
          <w:rFonts w:ascii="Times New Roman" w:eastAsia="宋体" w:hAnsi="Times New Roman"/>
          <w:b/>
          <w:bCs/>
          <w:color w:val="000000"/>
          <w:sz w:val="20"/>
          <w:szCs w:val="20"/>
        </w:rPr>
        <w:t>Dell Financial Services</w:t>
      </w:r>
    </w:p>
    <w:p w14:paraId="07DD1454" w14:textId="77777777" w:rsidR="00AE727E" w:rsidRDefault="00AE727E"/>
    <w:p w14:paraId="07DD1455" w14:textId="77777777" w:rsidR="00AE727E" w:rsidRDefault="008433E0">
      <w:r>
        <w:rPr>
          <w:rFonts w:ascii="Times New Roman" w:eastAsia="宋体" w:hAnsi="Times New Roman"/>
          <w:color w:val="000000"/>
          <w:sz w:val="20"/>
          <w:szCs w:val="20"/>
        </w:rPr>
        <w:t>DFS supports Dell Technologies by offering and arranging various financing options and services for our customer</w:t>
      </w:r>
      <w:r>
        <w:rPr>
          <w:rFonts w:ascii="Times New Roman" w:eastAsia="宋体" w:hAnsi="Times New Roman"/>
          <w:color w:val="000000"/>
          <w:sz w:val="20"/>
          <w:szCs w:val="20"/>
        </w:rPr>
        <w:t xml:space="preserve">s globally, including through captive financing operations in North America, Europe, Australia, and New Zealand. DFS originates, collects, and services customer receivables primarily related to the purchase of our product, software, and service solutions. </w:t>
      </w:r>
      <w:r>
        <w:rPr>
          <w:rFonts w:ascii="Times New Roman" w:eastAsia="宋体" w:hAnsi="Times New Roman"/>
          <w:color w:val="000000"/>
          <w:sz w:val="20"/>
          <w:szCs w:val="20"/>
        </w:rPr>
        <w:t>DFS further strengthens our customer relationships through its flexible consumption models, provided through APEX, which enable us to offer our customers the option to pay over time and, in certain cases, based on utilization, to provide them with financia</w:t>
      </w:r>
      <w:r>
        <w:rPr>
          <w:rFonts w:ascii="Times New Roman" w:eastAsia="宋体" w:hAnsi="Times New Roman"/>
          <w:color w:val="000000"/>
          <w:sz w:val="20"/>
          <w:szCs w:val="20"/>
        </w:rPr>
        <w:t>l flexibility to meet their changing technological requirements. New financing originations were $2.0 billion and $2.1 billion for the third quarter of Fiscal 2022 and Fiscal 2021, respectively, and $5.8 billion and $6.5 billion for the first nine months o</w:t>
      </w:r>
      <w:r>
        <w:rPr>
          <w:rFonts w:ascii="Times New Roman" w:eastAsia="宋体" w:hAnsi="Times New Roman"/>
          <w:color w:val="000000"/>
          <w:sz w:val="20"/>
          <w:szCs w:val="20"/>
        </w:rPr>
        <w:t>f Fiscal 2022 and Fiscal 2021, respectively. We experienced a decline in new financing originations during Fiscal 2022 as more customers leveraged financing during Fiscal 2021 in the early stages of the COVID-19 pandemic.</w:t>
      </w:r>
    </w:p>
    <w:p w14:paraId="07DD1456" w14:textId="77777777" w:rsidR="00AE727E" w:rsidRDefault="00AE727E"/>
    <w:p w14:paraId="07DD1457" w14:textId="77777777" w:rsidR="00AE727E" w:rsidRDefault="008433E0">
      <w:r>
        <w:rPr>
          <w:rFonts w:ascii="Times New Roman" w:eastAsia="宋体" w:hAnsi="Times New Roman"/>
          <w:color w:val="000000"/>
          <w:sz w:val="20"/>
          <w:szCs w:val="20"/>
        </w:rPr>
        <w:t>DFS leases are classified as sale</w:t>
      </w:r>
      <w:r>
        <w:rPr>
          <w:rFonts w:ascii="Times New Roman" w:eastAsia="宋体" w:hAnsi="Times New Roman"/>
          <w:color w:val="000000"/>
          <w:sz w:val="20"/>
          <w:szCs w:val="20"/>
        </w:rPr>
        <w:t xml:space="preserve">s-type leases, direct financing leases, or operating leases. Amounts due from lessees under sales-type leases or direct financing leases are recorded as part of financing receivables, with interest income recognized over the contract term. On commencement </w:t>
      </w:r>
      <w:r>
        <w:rPr>
          <w:rFonts w:ascii="Times New Roman" w:eastAsia="宋体" w:hAnsi="Times New Roman"/>
          <w:color w:val="000000"/>
          <w:sz w:val="20"/>
          <w:szCs w:val="20"/>
        </w:rPr>
        <w:t>of sales-type leases, we typically qualify for up-front revenue recognition. On originations of operating leases, we record equipment under operating leases, classified as property, plant, and equipment, and recognize rental revenue and depreciation expens</w:t>
      </w:r>
      <w:r>
        <w:rPr>
          <w:rFonts w:ascii="Times New Roman" w:eastAsia="宋体" w:hAnsi="Times New Roman"/>
          <w:color w:val="000000"/>
          <w:sz w:val="20"/>
          <w:szCs w:val="20"/>
        </w:rPr>
        <w:t>e, classified as cost of net revenue, over the contract term. Direct financing leases are immaterial. Leases that commenced prior to the effective date of the current lease accounting standard continue to be accounted for under previous lease accounting gu</w:t>
      </w:r>
      <w:r>
        <w:rPr>
          <w:rFonts w:ascii="Times New Roman" w:eastAsia="宋体" w:hAnsi="Times New Roman"/>
          <w:color w:val="000000"/>
          <w:sz w:val="20"/>
          <w:szCs w:val="20"/>
        </w:rPr>
        <w:t>idance.</w:t>
      </w:r>
    </w:p>
    <w:p w14:paraId="07DD1458" w14:textId="77777777" w:rsidR="00AE727E" w:rsidRDefault="00AE727E"/>
    <w:p w14:paraId="07DD1459" w14:textId="77777777" w:rsidR="00AE727E" w:rsidRDefault="008433E0">
      <w:r>
        <w:rPr>
          <w:rFonts w:ascii="Times New Roman" w:eastAsia="宋体" w:hAnsi="Times New Roman"/>
          <w:color w:val="000000"/>
          <w:sz w:val="20"/>
          <w:szCs w:val="20"/>
        </w:rPr>
        <w:t>As of October 29, 2021 and January 29, 2021, our financing receivables, net were $10.2 billion and $10.5 billion, respectively. We maintain an allowance to cover expected financing receivable credit losses and evaluate credit loss expectations bas</w:t>
      </w:r>
      <w:r>
        <w:rPr>
          <w:rFonts w:ascii="Times New Roman" w:eastAsia="宋体" w:hAnsi="Times New Roman"/>
          <w:color w:val="000000"/>
          <w:sz w:val="20"/>
          <w:szCs w:val="20"/>
        </w:rPr>
        <w:t xml:space="preserve">ed on our total portfolio. Our allowance for expected credit losses in future periods may vary from our current estimates. For the third quarter of Fiscal 2022 and Fiscal 2021, the principal charge-off rate for our financing receivables portfolio was 1.1% </w:t>
      </w:r>
      <w:r>
        <w:rPr>
          <w:rFonts w:ascii="Times New Roman" w:eastAsia="宋体" w:hAnsi="Times New Roman"/>
          <w:color w:val="000000"/>
          <w:sz w:val="20"/>
          <w:szCs w:val="20"/>
        </w:rPr>
        <w:t xml:space="preserve">and 0.7%, respectively. For the first nine months of Fiscal 2022 and Fiscal 2021, the principal charge-off rate for our total portfolio was 0.7% and 0.9%, respectively. The credit quality of our financing receivables has improved in recent years due to an </w:t>
      </w:r>
      <w:r>
        <w:rPr>
          <w:rFonts w:ascii="Times New Roman" w:eastAsia="宋体" w:hAnsi="Times New Roman"/>
          <w:color w:val="000000"/>
          <w:sz w:val="20"/>
          <w:szCs w:val="20"/>
        </w:rPr>
        <w:t>overall improvement in the credit environment and as the mix of high-quality commercial accounts in our portfolio has continued to increase. We continue to monitor broader economic indicators and their potential impact on future loss performance. We have a</w:t>
      </w:r>
      <w:r>
        <w:rPr>
          <w:rFonts w:ascii="Times New Roman" w:eastAsia="宋体" w:hAnsi="Times New Roman"/>
          <w:color w:val="000000"/>
          <w:sz w:val="20"/>
          <w:szCs w:val="20"/>
        </w:rPr>
        <w:t xml:space="preserve">n extensive process to manage our exposure to customer credit risk, including active management of credit lines and our collection activities. We also sell selected fixed-term financing receivables without recourse to unrelated third parties on a periodic </w:t>
      </w:r>
      <w:r>
        <w:rPr>
          <w:rFonts w:ascii="Times New Roman" w:eastAsia="宋体" w:hAnsi="Times New Roman"/>
          <w:color w:val="000000"/>
          <w:sz w:val="20"/>
          <w:szCs w:val="20"/>
        </w:rPr>
        <w:t xml:space="preserve">basis, primarily to manage certain concentrations of customer credit exposure.  Based on our assessment of the customer financing receivables, we believe that we are adequately reserved. </w:t>
      </w:r>
    </w:p>
    <w:p w14:paraId="07DD145A" w14:textId="77777777" w:rsidR="00AE727E" w:rsidRDefault="00AE727E"/>
    <w:p w14:paraId="07DD145B" w14:textId="77777777" w:rsidR="00AE727E" w:rsidRDefault="00AE727E">
      <w:pPr>
        <w:jc w:val="center"/>
      </w:pPr>
    </w:p>
    <w:p w14:paraId="07DD145C" w14:textId="77777777" w:rsidR="00AE727E" w:rsidRDefault="008433E0">
      <w:pPr>
        <w:jc w:val="center"/>
      </w:pPr>
      <w:r>
        <w:rPr>
          <w:rFonts w:ascii="Times New Roman" w:eastAsia="宋体" w:hAnsi="Times New Roman"/>
          <w:color w:val="000000"/>
          <w:sz w:val="20"/>
          <w:szCs w:val="20"/>
        </w:rPr>
        <w:t>84</w:t>
      </w:r>
    </w:p>
    <w:p w14:paraId="07DD145D" w14:textId="77777777" w:rsidR="00AE727E" w:rsidRDefault="00AE727E">
      <w:pPr>
        <w:jc w:val="center"/>
      </w:pPr>
    </w:p>
    <w:p w14:paraId="07DD145E" w14:textId="77777777" w:rsidR="00AE727E" w:rsidRDefault="008433E0">
      <w:r>
        <w:pict w14:anchorId="07DD1924">
          <v:rect id="_x0000_i1108" style="width:415.3pt;height:1.5pt" o:hralign="center" o:hrstd="t" o:hr="t" fillcolor="#a0a0a0" stroked="f"/>
        </w:pict>
      </w:r>
    </w:p>
    <w:p w14:paraId="07DD145F" w14:textId="77777777" w:rsidR="00AE727E" w:rsidRDefault="008433E0">
      <w:hyperlink r:id="rId209" w:anchor="i1c8279be622a460ea19600488436f115_10" w:history="1">
        <w:r>
          <w:rPr>
            <w:rStyle w:val="a5"/>
            <w:rFonts w:ascii="Times New Roman" w:eastAsia="宋体" w:hAnsi="Times New Roman"/>
            <w:sz w:val="20"/>
            <w:szCs w:val="20"/>
          </w:rPr>
          <w:t>Table of Contents</w:t>
        </w:r>
      </w:hyperlink>
    </w:p>
    <w:p w14:paraId="07DD1460" w14:textId="77777777" w:rsidR="00AE727E" w:rsidRDefault="008433E0">
      <w:r>
        <w:rPr>
          <w:rFonts w:ascii="Times New Roman" w:eastAsia="宋体" w:hAnsi="Times New Roman"/>
          <w:color w:val="000000"/>
          <w:sz w:val="20"/>
          <w:szCs w:val="20"/>
        </w:rPr>
        <w:t>We retain a residual interest in equipment leased under our fixed-term lease programs. As of October 29, 2021 and January 29, 2021, the residual</w:t>
      </w:r>
      <w:r>
        <w:rPr>
          <w:rFonts w:ascii="Times New Roman" w:eastAsia="宋体" w:hAnsi="Times New Roman"/>
          <w:color w:val="000000"/>
          <w:sz w:val="20"/>
          <w:szCs w:val="20"/>
        </w:rPr>
        <w:t xml:space="preserve"> interest recorded as part of financing receivables was $265 million and $424 million, respectively. The amount of the residual interest is established at the inception of the lease based upon estimates of the value of the equipment at the end of the lease</w:t>
      </w:r>
      <w:r>
        <w:rPr>
          <w:rFonts w:ascii="Times New Roman" w:eastAsia="宋体" w:hAnsi="Times New Roman"/>
          <w:color w:val="000000"/>
          <w:sz w:val="20"/>
          <w:szCs w:val="20"/>
        </w:rPr>
        <w:t xml:space="preserve"> term using historical studies, industry data, and future value-at-risk demand valuation methods. We assess the carrying amount of our recorded residual values for expected losses. Generally, expected losses as a result of residual value risk on equipment </w:t>
      </w:r>
      <w:r>
        <w:rPr>
          <w:rFonts w:ascii="Times New Roman" w:eastAsia="宋体" w:hAnsi="Times New Roman"/>
          <w:color w:val="000000"/>
          <w:sz w:val="20"/>
          <w:szCs w:val="20"/>
        </w:rPr>
        <w:t>under lease are not considered to be significant primarily because of the existence of a secondary market with respect to the equipment. The lease agreement also clearly defines applicable return conditions and remedies for non-compliance to ensure that th</w:t>
      </w:r>
      <w:r>
        <w:rPr>
          <w:rFonts w:ascii="Times New Roman" w:eastAsia="宋体" w:hAnsi="Times New Roman"/>
          <w:color w:val="000000"/>
          <w:sz w:val="20"/>
          <w:szCs w:val="20"/>
        </w:rPr>
        <w:t>e leased equipment will be in good operating condition upon return. Model changes and updates, as well as market strength and product acceptance, are monitored, and adjustments are made to residual values in accordance with the significance of any such cha</w:t>
      </w:r>
      <w:r>
        <w:rPr>
          <w:rFonts w:ascii="Times New Roman" w:eastAsia="宋体" w:hAnsi="Times New Roman"/>
          <w:color w:val="000000"/>
          <w:sz w:val="20"/>
          <w:szCs w:val="20"/>
        </w:rPr>
        <w:t xml:space="preserve">nges. To mitigate our exposure, we work closely with customers and dealers to manage the sale of returned assets. No material expected losses were recorded related to residual assets during the third quarter and first nine months of Fiscal 2022 and Fiscal </w:t>
      </w:r>
      <w:r>
        <w:rPr>
          <w:rFonts w:ascii="Times New Roman" w:eastAsia="宋体" w:hAnsi="Times New Roman"/>
          <w:color w:val="000000"/>
          <w:sz w:val="20"/>
          <w:szCs w:val="20"/>
        </w:rPr>
        <w:t>2021.</w:t>
      </w:r>
    </w:p>
    <w:p w14:paraId="07DD1461" w14:textId="77777777" w:rsidR="00AE727E" w:rsidRDefault="00AE727E"/>
    <w:p w14:paraId="07DD1462" w14:textId="77777777" w:rsidR="00AE727E" w:rsidRDefault="008433E0">
      <w:r>
        <w:rPr>
          <w:rFonts w:ascii="Times New Roman" w:eastAsia="宋体" w:hAnsi="Times New Roman"/>
          <w:color w:val="000000"/>
          <w:sz w:val="20"/>
          <w:szCs w:val="20"/>
        </w:rPr>
        <w:t>As of October 29, 2021 and January 29, 2021, equipment under operating leases, net was $1.6 billion and $1.3 billion, respectively. Based on triggering events, we assess the carrying amount of the equipment under operating leases recorded for impair</w:t>
      </w:r>
      <w:r>
        <w:rPr>
          <w:rFonts w:ascii="Times New Roman" w:eastAsia="宋体" w:hAnsi="Times New Roman"/>
          <w:color w:val="000000"/>
          <w:sz w:val="20"/>
          <w:szCs w:val="20"/>
        </w:rPr>
        <w:t>ment. No material impairment losses were recorded related to such equipment during the third quarter and first nine months of Fiscal 2022 and Fiscal 2021.</w:t>
      </w:r>
    </w:p>
    <w:p w14:paraId="07DD1463" w14:textId="77777777" w:rsidR="00AE727E" w:rsidRDefault="00AE727E"/>
    <w:p w14:paraId="07DD1464" w14:textId="77777777" w:rsidR="00AE727E" w:rsidRDefault="008433E0">
      <w:r>
        <w:rPr>
          <w:rFonts w:ascii="Times New Roman" w:eastAsia="宋体" w:hAnsi="Times New Roman"/>
          <w:color w:val="000000"/>
          <w:sz w:val="20"/>
          <w:szCs w:val="20"/>
        </w:rPr>
        <w:t>DFS offerings are initially funded through cash on hand at the time of origination, most of which is</w:t>
      </w:r>
      <w:r>
        <w:rPr>
          <w:rFonts w:ascii="Times New Roman" w:eastAsia="宋体" w:hAnsi="Times New Roman"/>
          <w:color w:val="000000"/>
          <w:sz w:val="20"/>
          <w:szCs w:val="20"/>
        </w:rPr>
        <w:t xml:space="preserve"> subsequently replaced with third-party financing. For DFS offerings which qualify as sales-type leases, the initial funding of financing receivables is reflected as an impact to cash flows from operations, and is largely subsequently offset by cash procee</w:t>
      </w:r>
      <w:r>
        <w:rPr>
          <w:rFonts w:ascii="Times New Roman" w:eastAsia="宋体" w:hAnsi="Times New Roman"/>
          <w:color w:val="000000"/>
          <w:sz w:val="20"/>
          <w:szCs w:val="20"/>
        </w:rPr>
        <w:t>ds from financing. For DFS operating leases, which have increased under the current lease standard, the initial funding is classified as a capital expenditure and reflected as an impact to cash flows used in investing activities.</w:t>
      </w:r>
    </w:p>
    <w:p w14:paraId="07DD1465" w14:textId="77777777" w:rsidR="00AE727E" w:rsidRDefault="00AE727E"/>
    <w:p w14:paraId="07DD1466" w14:textId="77777777" w:rsidR="00AE727E" w:rsidRDefault="008433E0">
      <w:r>
        <w:rPr>
          <w:rFonts w:ascii="Times New Roman" w:eastAsia="宋体" w:hAnsi="Times New Roman"/>
          <w:color w:val="000000"/>
          <w:sz w:val="20"/>
          <w:szCs w:val="20"/>
        </w:rPr>
        <w:t>See Note 3 of the Notes t</w:t>
      </w:r>
      <w:r>
        <w:rPr>
          <w:rFonts w:ascii="Times New Roman" w:eastAsia="宋体" w:hAnsi="Times New Roman"/>
          <w:color w:val="000000"/>
          <w:sz w:val="20"/>
          <w:szCs w:val="20"/>
        </w:rPr>
        <w:t>o the Condensed Consolidated Financial Statements included in this report for additional information about our financing receivables and the associated allowances, and the equipment under operating leases.</w:t>
      </w:r>
    </w:p>
    <w:p w14:paraId="07DD1467" w14:textId="77777777" w:rsidR="00AE727E" w:rsidRDefault="00AE727E"/>
    <w:p w14:paraId="07DD1468" w14:textId="77777777" w:rsidR="00AE727E" w:rsidRDefault="008433E0">
      <w:r>
        <w:rPr>
          <w:rFonts w:ascii="Times New Roman" w:eastAsia="宋体" w:hAnsi="Times New Roman"/>
          <w:b/>
          <w:bCs/>
          <w:color w:val="000000"/>
          <w:sz w:val="20"/>
          <w:szCs w:val="20"/>
        </w:rPr>
        <w:t>Off-Balance Sheet Arrangements</w:t>
      </w:r>
    </w:p>
    <w:p w14:paraId="07DD1469" w14:textId="77777777" w:rsidR="00AE727E" w:rsidRDefault="00AE727E"/>
    <w:p w14:paraId="07DD146A" w14:textId="77777777" w:rsidR="00AE727E" w:rsidRDefault="008433E0">
      <w:r>
        <w:rPr>
          <w:rFonts w:ascii="Times New Roman" w:eastAsia="宋体" w:hAnsi="Times New Roman"/>
          <w:color w:val="000000"/>
          <w:sz w:val="20"/>
          <w:szCs w:val="20"/>
        </w:rPr>
        <w:t xml:space="preserve">As of </w:t>
      </w:r>
      <w:r>
        <w:rPr>
          <w:rFonts w:ascii="Times New Roman" w:eastAsia="宋体" w:hAnsi="Times New Roman"/>
          <w:color w:val="000000"/>
          <w:sz w:val="20"/>
          <w:szCs w:val="20"/>
        </w:rPr>
        <w:t>October 29, 2021, we had no off-balance sheet arrangements that have or are reasonably likely to have a current or future material effect on our financial condition or results of operations.</w:t>
      </w:r>
    </w:p>
    <w:p w14:paraId="07DD146B" w14:textId="77777777" w:rsidR="00AE727E" w:rsidRDefault="00AE727E">
      <w:pPr>
        <w:jc w:val="center"/>
      </w:pPr>
    </w:p>
    <w:p w14:paraId="07DD146C" w14:textId="77777777" w:rsidR="00AE727E" w:rsidRDefault="008433E0">
      <w:pPr>
        <w:jc w:val="center"/>
      </w:pPr>
      <w:r>
        <w:rPr>
          <w:rFonts w:ascii="Times New Roman" w:eastAsia="宋体" w:hAnsi="Times New Roman"/>
          <w:color w:val="000000"/>
          <w:sz w:val="20"/>
          <w:szCs w:val="20"/>
        </w:rPr>
        <w:t>85</w:t>
      </w:r>
    </w:p>
    <w:p w14:paraId="07DD146D" w14:textId="77777777" w:rsidR="00AE727E" w:rsidRDefault="00AE727E">
      <w:pPr>
        <w:jc w:val="center"/>
      </w:pPr>
    </w:p>
    <w:p w14:paraId="07DD146E" w14:textId="77777777" w:rsidR="00AE727E" w:rsidRDefault="008433E0">
      <w:r>
        <w:pict w14:anchorId="07DD1925">
          <v:rect id="_x0000_i1109" style="width:415.3pt;height:1.5pt" o:hralign="center" o:hrstd="t" o:hr="t" fillcolor="#a0a0a0" stroked="f"/>
        </w:pict>
      </w:r>
    </w:p>
    <w:p w14:paraId="07DD146F" w14:textId="77777777" w:rsidR="00AE727E" w:rsidRDefault="008433E0">
      <w:hyperlink r:id="rId210" w:anchor="i1c8279be622a460ea19600488436f115_10" w:history="1">
        <w:r>
          <w:rPr>
            <w:rStyle w:val="a5"/>
            <w:rFonts w:ascii="Times New Roman" w:eastAsia="宋体" w:hAnsi="Times New Roman"/>
            <w:sz w:val="20"/>
            <w:szCs w:val="20"/>
          </w:rPr>
          <w:t>Table of Contents</w:t>
        </w:r>
      </w:hyperlink>
    </w:p>
    <w:p w14:paraId="07DD1470" w14:textId="77777777" w:rsidR="00AE727E" w:rsidRDefault="008433E0">
      <w:r>
        <w:rPr>
          <w:rFonts w:ascii="Times New Roman" w:eastAsia="宋体" w:hAnsi="Times New Roman"/>
          <w:b/>
          <w:bCs/>
          <w:color w:val="000000"/>
          <w:sz w:val="20"/>
          <w:szCs w:val="20"/>
        </w:rPr>
        <w:t>MARKET CONDITIONS, LIQUIDITY, AND CAPITAL COMMITMENTS</w:t>
      </w:r>
    </w:p>
    <w:p w14:paraId="07DD1471" w14:textId="77777777" w:rsidR="00AE727E" w:rsidRDefault="00AE727E"/>
    <w:p w14:paraId="07DD1472" w14:textId="77777777" w:rsidR="00AE727E" w:rsidRDefault="008433E0">
      <w:r>
        <w:rPr>
          <w:rFonts w:ascii="Times New Roman" w:eastAsia="宋体" w:hAnsi="Times New Roman"/>
          <w:b/>
          <w:bCs/>
          <w:color w:val="000000"/>
          <w:sz w:val="20"/>
          <w:szCs w:val="20"/>
        </w:rPr>
        <w:t>Market Conditions</w:t>
      </w:r>
    </w:p>
    <w:p w14:paraId="07DD1473" w14:textId="77777777" w:rsidR="00AE727E" w:rsidRDefault="00AE727E"/>
    <w:p w14:paraId="07DD1474" w14:textId="77777777" w:rsidR="00AE727E" w:rsidRDefault="008433E0">
      <w:r>
        <w:rPr>
          <w:rFonts w:ascii="Times New Roman" w:eastAsia="宋体" w:hAnsi="Times New Roman"/>
          <w:color w:val="000000"/>
          <w:sz w:val="20"/>
          <w:szCs w:val="20"/>
        </w:rPr>
        <w:t>We regularly monitor economic conditions and associated impacts on t</w:t>
      </w:r>
      <w:r>
        <w:rPr>
          <w:rFonts w:ascii="Times New Roman" w:eastAsia="宋体" w:hAnsi="Times New Roman"/>
          <w:color w:val="000000"/>
          <w:sz w:val="20"/>
          <w:szCs w:val="20"/>
        </w:rPr>
        <w:t>he financial markets and our business. We consistently evaluate the financial health of our supplier base, carefully manage customer credit, diversify counterparty risk, and monitor the concentration risk of our cash and cash equivalents balances globally.</w:t>
      </w:r>
      <w:r>
        <w:rPr>
          <w:rFonts w:ascii="Times New Roman" w:eastAsia="宋体" w:hAnsi="Times New Roman"/>
          <w:color w:val="000000"/>
          <w:sz w:val="20"/>
          <w:szCs w:val="20"/>
        </w:rPr>
        <w:t xml:space="preserve"> We routinely monitor our financial exposure to borrowers and counterparties.</w:t>
      </w:r>
    </w:p>
    <w:p w14:paraId="07DD1475" w14:textId="77777777" w:rsidR="00AE727E" w:rsidRDefault="00AE727E"/>
    <w:p w14:paraId="07DD1476" w14:textId="77777777" w:rsidR="00AE727E" w:rsidRDefault="008433E0">
      <w:r>
        <w:rPr>
          <w:rFonts w:ascii="Times New Roman" w:eastAsia="宋体" w:hAnsi="Times New Roman"/>
          <w:color w:val="000000"/>
          <w:sz w:val="20"/>
          <w:szCs w:val="20"/>
        </w:rPr>
        <w:t>We monitor credit risk associated with our financial counterparties using various market credit risk indicators such as credit ratings issued by nationally recognized credit rat</w:t>
      </w:r>
      <w:r>
        <w:rPr>
          <w:rFonts w:ascii="Times New Roman" w:eastAsia="宋体" w:hAnsi="Times New Roman"/>
          <w:color w:val="000000"/>
          <w:sz w:val="20"/>
          <w:szCs w:val="20"/>
        </w:rPr>
        <w:t>ing agencies and changes in market credit default swap levels. We perform periodic evaluations of our positions with these counterparties and may limit exposure to any one counterparty in accordance with our policies. We monitor and manage these activities</w:t>
      </w:r>
      <w:r>
        <w:rPr>
          <w:rFonts w:ascii="Times New Roman" w:eastAsia="宋体" w:hAnsi="Times New Roman"/>
          <w:color w:val="000000"/>
          <w:sz w:val="20"/>
          <w:szCs w:val="20"/>
        </w:rPr>
        <w:t xml:space="preserve"> depending on current and expected market developments. </w:t>
      </w:r>
    </w:p>
    <w:p w14:paraId="07DD1477" w14:textId="77777777" w:rsidR="00AE727E" w:rsidRDefault="00AE727E"/>
    <w:p w14:paraId="07DD1478" w14:textId="77777777" w:rsidR="00AE727E" w:rsidRDefault="008433E0">
      <w:r>
        <w:rPr>
          <w:rFonts w:ascii="Times New Roman" w:eastAsia="宋体" w:hAnsi="Times New Roman"/>
          <w:color w:val="000000"/>
          <w:sz w:val="20"/>
          <w:szCs w:val="20"/>
        </w:rPr>
        <w:t>We use derivative instruments to hedge certain foreign currency exposures. We use forward contracts and purchased options designated as cash flow hedges to protect against the foreign currency excha</w:t>
      </w:r>
      <w:r>
        <w:rPr>
          <w:rFonts w:ascii="Times New Roman" w:eastAsia="宋体" w:hAnsi="Times New Roman"/>
          <w:color w:val="000000"/>
          <w:sz w:val="20"/>
          <w:szCs w:val="20"/>
        </w:rPr>
        <w:t>nge rate risks inherent in our forecasted transactions denominated in currencies other than the U.S. dollar.  In addition, we primarily use forward contracts and may use purchased options to hedge monetary assets and liabilities denominated in a foreign cu</w:t>
      </w:r>
      <w:r>
        <w:rPr>
          <w:rFonts w:ascii="Times New Roman" w:eastAsia="宋体" w:hAnsi="Times New Roman"/>
          <w:color w:val="000000"/>
          <w:sz w:val="20"/>
          <w:szCs w:val="20"/>
        </w:rPr>
        <w:t>rrency.  See Note 6 of the Notes to the Condensed Consolidated Financial Statements included in this report for more information about our use of derivative instruments.</w:t>
      </w:r>
    </w:p>
    <w:p w14:paraId="07DD1479" w14:textId="77777777" w:rsidR="00AE727E" w:rsidRDefault="00AE727E"/>
    <w:p w14:paraId="07DD147A" w14:textId="77777777" w:rsidR="00AE727E" w:rsidRDefault="008433E0">
      <w:r>
        <w:rPr>
          <w:rFonts w:ascii="Times New Roman" w:eastAsia="宋体" w:hAnsi="Times New Roman"/>
          <w:color w:val="000000"/>
          <w:sz w:val="20"/>
          <w:szCs w:val="20"/>
        </w:rPr>
        <w:t xml:space="preserve">We are exposed to interest rate risk related to our variable-rate debt portfolio. In </w:t>
      </w:r>
      <w:r>
        <w:rPr>
          <w:rFonts w:ascii="Times New Roman" w:eastAsia="宋体" w:hAnsi="Times New Roman"/>
          <w:color w:val="000000"/>
          <w:sz w:val="20"/>
          <w:szCs w:val="20"/>
        </w:rPr>
        <w:t>the normal course of business, we follow established policies and procedures to manage this risk, including monitoring of our asset and liability mix. As a result, we do not anticipate any material losses from interest rate risk.</w:t>
      </w:r>
    </w:p>
    <w:p w14:paraId="07DD147B" w14:textId="77777777" w:rsidR="00AE727E" w:rsidRDefault="00AE727E"/>
    <w:p w14:paraId="07DD147C" w14:textId="77777777" w:rsidR="00AE727E" w:rsidRDefault="008433E0">
      <w:r>
        <w:rPr>
          <w:rFonts w:ascii="Times New Roman" w:eastAsia="宋体" w:hAnsi="Times New Roman"/>
          <w:color w:val="000000"/>
          <w:sz w:val="20"/>
          <w:szCs w:val="20"/>
        </w:rPr>
        <w:t xml:space="preserve">The impact of any credit </w:t>
      </w:r>
      <w:r>
        <w:rPr>
          <w:rFonts w:ascii="Times New Roman" w:eastAsia="宋体" w:hAnsi="Times New Roman"/>
          <w:color w:val="000000"/>
          <w:sz w:val="20"/>
          <w:szCs w:val="20"/>
        </w:rPr>
        <w:t>adjustments related to our use of counterparties on our Condensed Consolidated Financial Statements included in this report has been immaterial.</w:t>
      </w:r>
    </w:p>
    <w:p w14:paraId="07DD147D" w14:textId="77777777" w:rsidR="00AE727E" w:rsidRDefault="00AE727E"/>
    <w:p w14:paraId="07DD147E" w14:textId="77777777" w:rsidR="00AE727E" w:rsidRDefault="008433E0">
      <w:r>
        <w:rPr>
          <w:rFonts w:ascii="Times New Roman" w:eastAsia="宋体" w:hAnsi="Times New Roman"/>
          <w:b/>
          <w:bCs/>
          <w:color w:val="000000"/>
          <w:sz w:val="20"/>
          <w:szCs w:val="20"/>
        </w:rPr>
        <w:t>Liquidity and Capital Resources</w:t>
      </w:r>
    </w:p>
    <w:p w14:paraId="07DD147F" w14:textId="77777777" w:rsidR="00AE727E" w:rsidRDefault="00AE727E"/>
    <w:p w14:paraId="07DD1480" w14:textId="77777777" w:rsidR="00AE727E" w:rsidRDefault="008433E0">
      <w:r>
        <w:rPr>
          <w:rFonts w:ascii="Times New Roman" w:eastAsia="宋体" w:hAnsi="Times New Roman"/>
          <w:color w:val="000000"/>
          <w:sz w:val="20"/>
          <w:szCs w:val="20"/>
        </w:rPr>
        <w:t xml:space="preserve">To support our ongoing business operations, we rely on operating cash </w:t>
      </w:r>
      <w:r>
        <w:rPr>
          <w:rFonts w:ascii="Times New Roman" w:eastAsia="宋体" w:hAnsi="Times New Roman"/>
          <w:color w:val="000000"/>
          <w:sz w:val="20"/>
          <w:szCs w:val="20"/>
        </w:rPr>
        <w:t>flows as our primary source of liquidity. We monitor the efficiency of our balance sheet to ensure that we have adequate liquidity to support our business and strategic initiatives. In addition to internally generated cash, we have access to othe</w:t>
      </w:r>
      <w:r>
        <w:rPr>
          <w:rFonts w:ascii="Times New Roman" w:eastAsia="宋体" w:hAnsi="Times New Roman"/>
          <w:color w:val="000000"/>
          <w:sz w:val="20"/>
          <w:szCs w:val="20"/>
          <w:shd w:val="clear" w:color="auto" w:fill="FFFFFF"/>
        </w:rPr>
        <w:t xml:space="preserve">r capital </w:t>
      </w:r>
      <w:r>
        <w:rPr>
          <w:rFonts w:ascii="Times New Roman" w:eastAsia="宋体" w:hAnsi="Times New Roman"/>
          <w:color w:val="000000"/>
          <w:sz w:val="20"/>
          <w:szCs w:val="20"/>
          <w:shd w:val="clear" w:color="auto" w:fill="FFFFFF"/>
        </w:rPr>
        <w:t xml:space="preserve">sources to finance our strategic initiatives and fund growth in our financing operations. </w:t>
      </w:r>
      <w:r>
        <w:rPr>
          <w:rFonts w:ascii="Times New Roman" w:eastAsia="宋体" w:hAnsi="Times New Roman"/>
          <w:color w:val="000000"/>
          <w:sz w:val="20"/>
          <w:szCs w:val="20"/>
        </w:rPr>
        <w:t>Our strategy is to deploy capital from any potential source, whether internally generated cash or debt, depending on the adequacy and availability of that source of c</w:t>
      </w:r>
      <w:r>
        <w:rPr>
          <w:rFonts w:ascii="Times New Roman" w:eastAsia="宋体" w:hAnsi="Times New Roman"/>
          <w:color w:val="000000"/>
          <w:sz w:val="20"/>
          <w:szCs w:val="20"/>
        </w:rPr>
        <w:t>apital and whether it can be accessed in a cost-effective manner.</w:t>
      </w:r>
    </w:p>
    <w:p w14:paraId="07DD1481" w14:textId="77777777" w:rsidR="00AE727E" w:rsidRDefault="00AE727E"/>
    <w:p w14:paraId="07DD1482" w14:textId="77777777" w:rsidR="00AE727E" w:rsidRDefault="008433E0">
      <w:pPr>
        <w:spacing w:after="60"/>
      </w:pPr>
      <w:r>
        <w:rPr>
          <w:rFonts w:ascii="Times New Roman" w:eastAsia="宋体" w:hAnsi="Times New Roman"/>
          <w:color w:val="000000"/>
          <w:sz w:val="20"/>
          <w:szCs w:val="20"/>
        </w:rPr>
        <w:t xml:space="preserve">The following 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8"/>
        <w:gridCol w:w="120"/>
        <w:gridCol w:w="1218"/>
        <w:gridCol w:w="36"/>
        <w:gridCol w:w="36"/>
        <w:gridCol w:w="36"/>
        <w:gridCol w:w="36"/>
        <w:gridCol w:w="120"/>
        <w:gridCol w:w="1183"/>
        <w:gridCol w:w="36"/>
      </w:tblGrid>
      <w:tr w:rsidR="00AE727E" w14:paraId="07DD148F" w14:textId="77777777">
        <w:tc>
          <w:tcPr>
            <w:tcW w:w="50" w:type="pct"/>
            <w:shd w:val="clear" w:color="auto" w:fill="auto"/>
            <w:vAlign w:val="bottom"/>
          </w:tcPr>
          <w:p w14:paraId="07DD1483" w14:textId="77777777" w:rsidR="00AE727E" w:rsidRDefault="00AE727E">
            <w:pPr>
              <w:rPr>
                <w:rFonts w:ascii="宋体"/>
              </w:rPr>
            </w:pPr>
          </w:p>
        </w:tc>
        <w:tc>
          <w:tcPr>
            <w:tcW w:w="3285" w:type="pct"/>
            <w:shd w:val="clear" w:color="auto" w:fill="auto"/>
            <w:vAlign w:val="bottom"/>
          </w:tcPr>
          <w:p w14:paraId="07DD1484" w14:textId="77777777" w:rsidR="00AE727E" w:rsidRDefault="00AE727E">
            <w:pPr>
              <w:rPr>
                <w:rFonts w:ascii="宋体"/>
              </w:rPr>
            </w:pPr>
          </w:p>
        </w:tc>
        <w:tc>
          <w:tcPr>
            <w:tcW w:w="5" w:type="pct"/>
            <w:shd w:val="clear" w:color="auto" w:fill="auto"/>
            <w:vAlign w:val="bottom"/>
          </w:tcPr>
          <w:p w14:paraId="07DD1485" w14:textId="77777777" w:rsidR="00AE727E" w:rsidRDefault="00AE727E">
            <w:pPr>
              <w:rPr>
                <w:rFonts w:ascii="宋体"/>
              </w:rPr>
            </w:pPr>
          </w:p>
        </w:tc>
        <w:tc>
          <w:tcPr>
            <w:tcW w:w="50" w:type="pct"/>
            <w:shd w:val="clear" w:color="auto" w:fill="auto"/>
            <w:vAlign w:val="bottom"/>
          </w:tcPr>
          <w:p w14:paraId="07DD1486" w14:textId="77777777" w:rsidR="00AE727E" w:rsidRDefault="00AE727E">
            <w:pPr>
              <w:rPr>
                <w:rFonts w:ascii="宋体"/>
              </w:rPr>
            </w:pPr>
          </w:p>
        </w:tc>
        <w:tc>
          <w:tcPr>
            <w:tcW w:w="756" w:type="pct"/>
            <w:shd w:val="clear" w:color="auto" w:fill="auto"/>
            <w:vAlign w:val="bottom"/>
          </w:tcPr>
          <w:p w14:paraId="07DD1487" w14:textId="77777777" w:rsidR="00AE727E" w:rsidRDefault="00AE727E">
            <w:pPr>
              <w:rPr>
                <w:rFonts w:ascii="宋体"/>
              </w:rPr>
            </w:pPr>
          </w:p>
        </w:tc>
        <w:tc>
          <w:tcPr>
            <w:tcW w:w="5" w:type="pct"/>
            <w:shd w:val="clear" w:color="auto" w:fill="auto"/>
            <w:vAlign w:val="bottom"/>
          </w:tcPr>
          <w:p w14:paraId="07DD1488" w14:textId="77777777" w:rsidR="00AE727E" w:rsidRDefault="00AE727E">
            <w:pPr>
              <w:rPr>
                <w:rFonts w:ascii="宋体"/>
              </w:rPr>
            </w:pPr>
          </w:p>
        </w:tc>
        <w:tc>
          <w:tcPr>
            <w:tcW w:w="5" w:type="pct"/>
            <w:shd w:val="clear" w:color="auto" w:fill="auto"/>
            <w:vAlign w:val="bottom"/>
          </w:tcPr>
          <w:p w14:paraId="07DD1489" w14:textId="77777777" w:rsidR="00AE727E" w:rsidRDefault="00AE727E">
            <w:pPr>
              <w:rPr>
                <w:rFonts w:ascii="宋体"/>
              </w:rPr>
            </w:pPr>
          </w:p>
        </w:tc>
        <w:tc>
          <w:tcPr>
            <w:tcW w:w="26" w:type="pct"/>
            <w:shd w:val="clear" w:color="auto" w:fill="auto"/>
            <w:vAlign w:val="bottom"/>
          </w:tcPr>
          <w:p w14:paraId="07DD148A" w14:textId="77777777" w:rsidR="00AE727E" w:rsidRDefault="00AE727E">
            <w:pPr>
              <w:rPr>
                <w:rFonts w:ascii="宋体"/>
              </w:rPr>
            </w:pPr>
          </w:p>
        </w:tc>
        <w:tc>
          <w:tcPr>
            <w:tcW w:w="5" w:type="pct"/>
            <w:shd w:val="clear" w:color="auto" w:fill="auto"/>
            <w:vAlign w:val="bottom"/>
          </w:tcPr>
          <w:p w14:paraId="07DD148B" w14:textId="77777777" w:rsidR="00AE727E" w:rsidRDefault="00AE727E">
            <w:pPr>
              <w:rPr>
                <w:rFonts w:ascii="宋体"/>
              </w:rPr>
            </w:pPr>
          </w:p>
        </w:tc>
        <w:tc>
          <w:tcPr>
            <w:tcW w:w="50" w:type="pct"/>
            <w:shd w:val="clear" w:color="auto" w:fill="auto"/>
            <w:vAlign w:val="bottom"/>
          </w:tcPr>
          <w:p w14:paraId="07DD148C" w14:textId="77777777" w:rsidR="00AE727E" w:rsidRDefault="00AE727E">
            <w:pPr>
              <w:rPr>
                <w:rFonts w:ascii="宋体"/>
              </w:rPr>
            </w:pPr>
          </w:p>
        </w:tc>
        <w:tc>
          <w:tcPr>
            <w:tcW w:w="756" w:type="pct"/>
            <w:shd w:val="clear" w:color="auto" w:fill="auto"/>
            <w:vAlign w:val="bottom"/>
          </w:tcPr>
          <w:p w14:paraId="07DD148D" w14:textId="77777777" w:rsidR="00AE727E" w:rsidRDefault="00AE727E">
            <w:pPr>
              <w:rPr>
                <w:rFonts w:ascii="宋体"/>
              </w:rPr>
            </w:pPr>
          </w:p>
        </w:tc>
        <w:tc>
          <w:tcPr>
            <w:tcW w:w="5" w:type="pct"/>
            <w:shd w:val="clear" w:color="auto" w:fill="auto"/>
            <w:vAlign w:val="bottom"/>
          </w:tcPr>
          <w:p w14:paraId="07DD148E" w14:textId="77777777" w:rsidR="00AE727E" w:rsidRDefault="00AE727E">
            <w:pPr>
              <w:rPr>
                <w:rFonts w:ascii="宋体"/>
              </w:rPr>
            </w:pPr>
          </w:p>
        </w:tc>
      </w:tr>
      <w:tr w:rsidR="00AE727E" w14:paraId="07DD1494" w14:textId="77777777">
        <w:tc>
          <w:tcPr>
            <w:tcW w:w="0" w:type="auto"/>
            <w:gridSpan w:val="3"/>
            <w:shd w:val="clear" w:color="auto" w:fill="auto"/>
            <w:tcMar>
              <w:top w:w="0" w:type="dxa"/>
              <w:left w:w="20" w:type="dxa"/>
              <w:bottom w:w="0" w:type="dxa"/>
              <w:right w:w="20" w:type="dxa"/>
            </w:tcMar>
            <w:vAlign w:val="bottom"/>
          </w:tcPr>
          <w:p w14:paraId="07DD1490"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491"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D1492"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493"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D1497" w14:textId="77777777">
        <w:tc>
          <w:tcPr>
            <w:tcW w:w="0" w:type="auto"/>
            <w:gridSpan w:val="3"/>
            <w:shd w:val="clear" w:color="auto" w:fill="auto"/>
            <w:tcMar>
              <w:top w:w="0" w:type="dxa"/>
              <w:left w:w="20" w:type="dxa"/>
              <w:bottom w:w="0" w:type="dxa"/>
              <w:right w:w="20" w:type="dxa"/>
            </w:tcMar>
            <w:vAlign w:val="bottom"/>
          </w:tcPr>
          <w:p w14:paraId="07DD1495"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D1496" w14:textId="77777777" w:rsidR="00AE727E" w:rsidRDefault="008433E0">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AE727E" w14:paraId="07DD149C" w14:textId="77777777">
        <w:tc>
          <w:tcPr>
            <w:tcW w:w="0" w:type="auto"/>
            <w:gridSpan w:val="3"/>
            <w:shd w:val="clear" w:color="auto" w:fill="CCEEFF"/>
            <w:tcMar>
              <w:top w:w="40" w:type="dxa"/>
              <w:left w:w="20" w:type="dxa"/>
              <w:bottom w:w="40" w:type="dxa"/>
              <w:right w:w="20" w:type="dxa"/>
            </w:tcMar>
            <w:vAlign w:val="center"/>
          </w:tcPr>
          <w:p w14:paraId="07DD1498" w14:textId="77777777" w:rsidR="00AE727E" w:rsidRDefault="008433E0">
            <w:pPr>
              <w:textAlignment w:val="center"/>
            </w:pPr>
            <w:r>
              <w:rPr>
                <w:rFonts w:ascii="Times New Roman" w:eastAsia="宋体" w:hAnsi="Times New Roman"/>
                <w:i/>
                <w:iCs/>
                <w:color w:val="000000"/>
                <w:sz w:val="20"/>
                <w:szCs w:val="20"/>
              </w:rPr>
              <w:t>Cash and cash equivalents, and available borrowings:</w:t>
            </w:r>
          </w:p>
        </w:tc>
        <w:tc>
          <w:tcPr>
            <w:tcW w:w="0" w:type="auto"/>
            <w:gridSpan w:val="3"/>
            <w:shd w:val="clear" w:color="auto" w:fill="CCEEFF"/>
            <w:tcMar>
              <w:top w:w="0" w:type="dxa"/>
              <w:left w:w="20" w:type="dxa"/>
              <w:bottom w:w="0" w:type="dxa"/>
              <w:right w:w="20" w:type="dxa"/>
            </w:tcMar>
            <w:vAlign w:val="bottom"/>
          </w:tcPr>
          <w:p w14:paraId="07DD149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9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9B" w14:textId="77777777" w:rsidR="00AE727E" w:rsidRDefault="00AE727E">
            <w:pPr>
              <w:rPr>
                <w:rFonts w:ascii="宋体"/>
              </w:rPr>
            </w:pPr>
          </w:p>
        </w:tc>
      </w:tr>
      <w:tr w:rsidR="00AE727E" w14:paraId="07DD14A5" w14:textId="77777777">
        <w:tc>
          <w:tcPr>
            <w:tcW w:w="0" w:type="auto"/>
            <w:gridSpan w:val="3"/>
            <w:shd w:val="clear" w:color="auto" w:fill="FFFFFF"/>
            <w:tcMar>
              <w:top w:w="40" w:type="dxa"/>
              <w:left w:w="245" w:type="dxa"/>
              <w:bottom w:w="40" w:type="dxa"/>
              <w:right w:w="20" w:type="dxa"/>
            </w:tcMar>
            <w:vAlign w:val="center"/>
          </w:tcPr>
          <w:p w14:paraId="07DD149D" w14:textId="77777777" w:rsidR="00AE727E" w:rsidRDefault="008433E0">
            <w:pPr>
              <w:textAlignment w:val="center"/>
            </w:pPr>
            <w:r>
              <w:rPr>
                <w:rFonts w:ascii="Times New Roman" w:eastAsia="宋体" w:hAnsi="Times New Roman"/>
                <w:color w:val="000000"/>
                <w:sz w:val="20"/>
                <w:szCs w:val="20"/>
              </w:rPr>
              <w:t>Cash and cash equivalents (a)</w:t>
            </w:r>
          </w:p>
        </w:tc>
        <w:tc>
          <w:tcPr>
            <w:tcW w:w="0" w:type="auto"/>
            <w:shd w:val="clear" w:color="auto" w:fill="FFFFFF"/>
            <w:tcMar>
              <w:top w:w="40" w:type="dxa"/>
              <w:left w:w="20" w:type="dxa"/>
              <w:bottom w:w="40" w:type="dxa"/>
              <w:right w:w="0" w:type="dxa"/>
            </w:tcMar>
            <w:vAlign w:val="center"/>
          </w:tcPr>
          <w:p w14:paraId="07DD149E"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49F" w14:textId="77777777" w:rsidR="00AE727E" w:rsidRDefault="008433E0">
            <w:pPr>
              <w:jc w:val="right"/>
              <w:textAlignment w:val="center"/>
            </w:pPr>
            <w:r>
              <w:rPr>
                <w:rFonts w:ascii="Times New Roman" w:eastAsia="宋体" w:hAnsi="Times New Roman"/>
                <w:color w:val="000000"/>
                <w:sz w:val="20"/>
                <w:szCs w:val="20"/>
              </w:rPr>
              <w:t>22,406 </w:t>
            </w:r>
          </w:p>
        </w:tc>
        <w:tc>
          <w:tcPr>
            <w:tcW w:w="0" w:type="auto"/>
            <w:shd w:val="clear" w:color="auto" w:fill="FFFFFF"/>
            <w:tcMar>
              <w:top w:w="40" w:type="dxa"/>
              <w:left w:w="0" w:type="dxa"/>
              <w:bottom w:w="40" w:type="dxa"/>
              <w:right w:w="20" w:type="dxa"/>
            </w:tcMar>
            <w:vAlign w:val="center"/>
          </w:tcPr>
          <w:p w14:paraId="07DD14A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4A1"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4A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4A3" w14:textId="77777777" w:rsidR="00AE727E" w:rsidRDefault="008433E0">
            <w:pPr>
              <w:jc w:val="right"/>
              <w:textAlignment w:val="center"/>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center"/>
          </w:tcPr>
          <w:p w14:paraId="07DD14A4" w14:textId="77777777" w:rsidR="00AE727E" w:rsidRDefault="00AE727E">
            <w:pPr>
              <w:jc w:val="right"/>
              <w:rPr>
                <w:rFonts w:ascii="宋体"/>
              </w:rPr>
            </w:pPr>
          </w:p>
        </w:tc>
      </w:tr>
      <w:tr w:rsidR="00AE727E" w14:paraId="07DD14AC" w14:textId="77777777">
        <w:tc>
          <w:tcPr>
            <w:tcW w:w="0" w:type="auto"/>
            <w:gridSpan w:val="3"/>
            <w:shd w:val="clear" w:color="auto" w:fill="CCEEFF"/>
            <w:tcMar>
              <w:top w:w="40" w:type="dxa"/>
              <w:left w:w="245" w:type="dxa"/>
              <w:bottom w:w="40" w:type="dxa"/>
              <w:right w:w="20" w:type="dxa"/>
            </w:tcMar>
            <w:vAlign w:val="center"/>
          </w:tcPr>
          <w:p w14:paraId="07DD14A6" w14:textId="77777777" w:rsidR="00AE727E" w:rsidRDefault="008433E0">
            <w:pPr>
              <w:textAlignment w:val="center"/>
            </w:pPr>
            <w:r>
              <w:rPr>
                <w:rFonts w:ascii="Times New Roman" w:eastAsia="宋体" w:hAnsi="Times New Roman"/>
                <w:color w:val="000000"/>
                <w:sz w:val="20"/>
                <w:szCs w:val="20"/>
              </w:rPr>
              <w:t>Remaining available borrowings under revolving credit facilities (b)</w:t>
            </w:r>
          </w:p>
        </w:tc>
        <w:tc>
          <w:tcPr>
            <w:tcW w:w="0" w:type="auto"/>
            <w:gridSpan w:val="2"/>
            <w:shd w:val="clear" w:color="auto" w:fill="CCEEFF"/>
            <w:tcMar>
              <w:top w:w="40" w:type="dxa"/>
              <w:left w:w="20" w:type="dxa"/>
              <w:bottom w:w="40" w:type="dxa"/>
              <w:right w:w="0" w:type="dxa"/>
            </w:tcMar>
            <w:vAlign w:val="center"/>
          </w:tcPr>
          <w:p w14:paraId="07DD14A7" w14:textId="77777777" w:rsidR="00AE727E" w:rsidRDefault="008433E0">
            <w:pPr>
              <w:jc w:val="right"/>
              <w:textAlignment w:val="center"/>
            </w:pPr>
            <w:r>
              <w:rPr>
                <w:rFonts w:ascii="Times New Roman" w:eastAsia="宋体" w:hAnsi="Times New Roman"/>
                <w:color w:val="000000"/>
                <w:sz w:val="20"/>
                <w:szCs w:val="20"/>
              </w:rPr>
              <w:t>5,969 </w:t>
            </w:r>
          </w:p>
        </w:tc>
        <w:tc>
          <w:tcPr>
            <w:tcW w:w="0" w:type="auto"/>
            <w:shd w:val="clear" w:color="auto" w:fill="CCEEFF"/>
            <w:tcMar>
              <w:top w:w="40" w:type="dxa"/>
              <w:left w:w="0" w:type="dxa"/>
              <w:bottom w:w="40" w:type="dxa"/>
              <w:right w:w="20" w:type="dxa"/>
            </w:tcMar>
            <w:vAlign w:val="center"/>
          </w:tcPr>
          <w:p w14:paraId="07DD14A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4A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4AA" w14:textId="77777777" w:rsidR="00AE727E" w:rsidRDefault="008433E0">
            <w:pPr>
              <w:jc w:val="right"/>
              <w:textAlignment w:val="center"/>
            </w:pPr>
            <w:r>
              <w:rPr>
                <w:rFonts w:ascii="Times New Roman" w:eastAsia="宋体" w:hAnsi="Times New Roman"/>
                <w:color w:val="000000"/>
                <w:sz w:val="20"/>
                <w:szCs w:val="20"/>
              </w:rPr>
              <w:t>5,467 </w:t>
            </w:r>
          </w:p>
        </w:tc>
        <w:tc>
          <w:tcPr>
            <w:tcW w:w="0" w:type="auto"/>
            <w:shd w:val="clear" w:color="auto" w:fill="CCEEFF"/>
            <w:tcMar>
              <w:top w:w="40" w:type="dxa"/>
              <w:left w:w="0" w:type="dxa"/>
              <w:bottom w:w="40" w:type="dxa"/>
              <w:right w:w="20" w:type="dxa"/>
            </w:tcMar>
            <w:vAlign w:val="center"/>
          </w:tcPr>
          <w:p w14:paraId="07DD14AB" w14:textId="77777777" w:rsidR="00AE727E" w:rsidRDefault="00AE727E">
            <w:pPr>
              <w:jc w:val="right"/>
              <w:rPr>
                <w:rFonts w:ascii="宋体"/>
              </w:rPr>
            </w:pPr>
          </w:p>
        </w:tc>
      </w:tr>
      <w:tr w:rsidR="00AE727E" w14:paraId="07DD14B5" w14:textId="77777777">
        <w:tc>
          <w:tcPr>
            <w:tcW w:w="0" w:type="auto"/>
            <w:gridSpan w:val="3"/>
            <w:shd w:val="clear" w:color="auto" w:fill="FFFFFF"/>
            <w:tcMar>
              <w:top w:w="40" w:type="dxa"/>
              <w:left w:w="380" w:type="dxa"/>
              <w:bottom w:w="40" w:type="dxa"/>
              <w:right w:w="20" w:type="dxa"/>
            </w:tcMar>
            <w:vAlign w:val="center"/>
          </w:tcPr>
          <w:p w14:paraId="07DD14AD" w14:textId="77777777" w:rsidR="00AE727E" w:rsidRDefault="008433E0">
            <w:pPr>
              <w:textAlignment w:val="center"/>
            </w:pPr>
            <w:r>
              <w:rPr>
                <w:rFonts w:ascii="Times New Roman" w:eastAsia="宋体" w:hAnsi="Times New Roman"/>
                <w:color w:val="000000"/>
                <w:sz w:val="20"/>
                <w:szCs w:val="20"/>
              </w:rPr>
              <w:t xml:space="preserve">Total cash, cash equivalents, and </w:t>
            </w:r>
            <w:r>
              <w:rPr>
                <w:rFonts w:ascii="Times New Roman" w:eastAsia="宋体" w:hAnsi="Times New Roman"/>
                <w:color w:val="000000"/>
                <w:sz w:val="20"/>
                <w:szCs w:val="20"/>
              </w:rPr>
              <w:t>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4AE"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4AF" w14:textId="77777777" w:rsidR="00AE727E" w:rsidRDefault="008433E0">
            <w:pPr>
              <w:jc w:val="right"/>
              <w:textAlignment w:val="center"/>
            </w:pPr>
            <w:r>
              <w:rPr>
                <w:rFonts w:ascii="Times New Roman" w:eastAsia="宋体" w:hAnsi="Times New Roman"/>
                <w:color w:val="000000"/>
                <w:sz w:val="20"/>
                <w:szCs w:val="20"/>
              </w:rPr>
              <w:t>28,375 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4B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4B1"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4B2"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4B3" w14:textId="77777777" w:rsidR="00AE727E" w:rsidRDefault="008433E0">
            <w:pPr>
              <w:jc w:val="right"/>
              <w:textAlignment w:val="center"/>
            </w:pPr>
            <w:r>
              <w:rPr>
                <w:rFonts w:ascii="Times New Roman" w:eastAsia="宋体" w:hAnsi="Times New Roman"/>
                <w:color w:val="000000"/>
                <w:sz w:val="20"/>
                <w:szCs w:val="20"/>
              </w:rPr>
              <w:t>19,668 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4B4" w14:textId="77777777" w:rsidR="00AE727E" w:rsidRDefault="00AE727E">
            <w:pPr>
              <w:jc w:val="right"/>
              <w:rPr>
                <w:rFonts w:ascii="宋体"/>
              </w:rPr>
            </w:pPr>
          </w:p>
        </w:tc>
      </w:tr>
    </w:tbl>
    <w:p w14:paraId="07DD14B6" w14:textId="77777777" w:rsidR="00AE727E" w:rsidRDefault="008433E0">
      <w:r>
        <w:rPr>
          <w:rFonts w:ascii="Times New Roman" w:eastAsia="宋体" w:hAnsi="Times New Roman"/>
          <w:color w:val="000000"/>
          <w:sz w:val="20"/>
          <w:szCs w:val="20"/>
        </w:rPr>
        <w:t>____________________</w:t>
      </w:r>
    </w:p>
    <w:p w14:paraId="07DD14B7" w14:textId="77777777" w:rsidR="00AE727E" w:rsidRDefault="008433E0">
      <w:pPr>
        <w:ind w:hanging="360"/>
      </w:pPr>
      <w:r>
        <w:rPr>
          <w:rFonts w:ascii="Times New Roman" w:eastAsia="宋体" w:hAnsi="Times New Roman"/>
          <w:color w:val="000000"/>
          <w:sz w:val="20"/>
          <w:szCs w:val="20"/>
        </w:rPr>
        <w:t>(a)    Of the $22.4 billion of cash and cash equivalents as of October 29, 2021, $12.5 billion was held by VMware, Inc.</w:t>
      </w:r>
    </w:p>
    <w:p w14:paraId="07DD14B8" w14:textId="77777777" w:rsidR="00AE727E" w:rsidRDefault="008433E0">
      <w:pPr>
        <w:ind w:hanging="360"/>
      </w:pPr>
      <w:r>
        <w:rPr>
          <w:rFonts w:ascii="Times New Roman" w:eastAsia="宋体" w:hAnsi="Times New Roman"/>
          <w:color w:val="000000"/>
          <w:sz w:val="20"/>
          <w:szCs w:val="20"/>
        </w:rPr>
        <w:t xml:space="preserve">(b)    Of the $6.0 billion of remaining available borrowings </w:t>
      </w:r>
      <w:r>
        <w:rPr>
          <w:rFonts w:ascii="Times New Roman" w:eastAsia="宋体" w:hAnsi="Times New Roman"/>
          <w:color w:val="000000"/>
          <w:sz w:val="20"/>
          <w:szCs w:val="20"/>
        </w:rPr>
        <w:t>under revolving credit facilities, $1.5 billion was attributable to the VMware Revolving Credit Facility.</w:t>
      </w:r>
    </w:p>
    <w:p w14:paraId="07DD14B9" w14:textId="77777777" w:rsidR="00AE727E" w:rsidRDefault="00AE727E">
      <w:pPr>
        <w:ind w:hanging="360"/>
      </w:pPr>
    </w:p>
    <w:p w14:paraId="07DD14BA" w14:textId="77777777" w:rsidR="00AE727E" w:rsidRDefault="008433E0">
      <w:r>
        <w:rPr>
          <w:rFonts w:ascii="Times New Roman" w:eastAsia="宋体" w:hAnsi="Times New Roman"/>
          <w:color w:val="000000"/>
          <w:sz w:val="20"/>
          <w:szCs w:val="20"/>
        </w:rPr>
        <w:t>Our revolving credit facilities as of October 29, 2021 consist of the Revolving Credit Facility and the VMware Revolving Credit Facility. The Revolving Credit Facility has a maximum aggregate borrowing capacity of $4.5 billion, and available borrowings und</w:t>
      </w:r>
      <w:r>
        <w:rPr>
          <w:rFonts w:ascii="Times New Roman" w:eastAsia="宋体" w:hAnsi="Times New Roman"/>
          <w:color w:val="000000"/>
          <w:sz w:val="20"/>
          <w:szCs w:val="20"/>
        </w:rPr>
        <w:t>er this facility are reduced by draws on the facility and outstanding letters of credit. As of October 29, 2021, there were no borrowings outstanding under the facility. Borrowings under the Revolving Credit Facility are used for general corporate purposes</w:t>
      </w:r>
      <w:r>
        <w:rPr>
          <w:rFonts w:ascii="Times New Roman" w:eastAsia="宋体" w:hAnsi="Times New Roman"/>
          <w:color w:val="000000"/>
          <w:sz w:val="20"/>
          <w:szCs w:val="20"/>
        </w:rPr>
        <w:t xml:space="preserve"> on a short-term basis. </w:t>
      </w:r>
    </w:p>
    <w:p w14:paraId="07DD14BB" w14:textId="77777777" w:rsidR="00AE727E" w:rsidRDefault="00AE727E"/>
    <w:p w14:paraId="07DD14BC" w14:textId="77777777" w:rsidR="00AE727E" w:rsidRDefault="00AE727E">
      <w:pPr>
        <w:jc w:val="center"/>
      </w:pPr>
    </w:p>
    <w:p w14:paraId="07DD14BD" w14:textId="77777777" w:rsidR="00AE727E" w:rsidRDefault="008433E0">
      <w:pPr>
        <w:jc w:val="center"/>
      </w:pPr>
      <w:r>
        <w:rPr>
          <w:rFonts w:ascii="Times New Roman" w:eastAsia="宋体" w:hAnsi="Times New Roman"/>
          <w:color w:val="000000"/>
          <w:sz w:val="20"/>
          <w:szCs w:val="20"/>
        </w:rPr>
        <w:t>86</w:t>
      </w:r>
    </w:p>
    <w:p w14:paraId="07DD14BE" w14:textId="77777777" w:rsidR="00AE727E" w:rsidRDefault="00AE727E">
      <w:pPr>
        <w:jc w:val="center"/>
      </w:pPr>
    </w:p>
    <w:p w14:paraId="07DD14BF" w14:textId="77777777" w:rsidR="00AE727E" w:rsidRDefault="008433E0">
      <w:r>
        <w:pict w14:anchorId="07DD1926">
          <v:rect id="_x0000_i1110" style="width:415.3pt;height:1.5pt" o:hralign="center" o:hrstd="t" o:hr="t" fillcolor="#a0a0a0" stroked="f"/>
        </w:pict>
      </w:r>
    </w:p>
    <w:p w14:paraId="07DD14C0" w14:textId="77777777" w:rsidR="00AE727E" w:rsidRDefault="008433E0">
      <w:hyperlink r:id="rId211" w:anchor="i1c8279be622a460ea19600488436f115_10" w:history="1">
        <w:r>
          <w:rPr>
            <w:rStyle w:val="a5"/>
            <w:rFonts w:ascii="Times New Roman" w:eastAsia="宋体" w:hAnsi="Times New Roman"/>
            <w:sz w:val="20"/>
            <w:szCs w:val="20"/>
          </w:rPr>
          <w:t>Table of Contents</w:t>
        </w:r>
      </w:hyperlink>
    </w:p>
    <w:p w14:paraId="07DD14C1" w14:textId="77777777" w:rsidR="00AE727E" w:rsidRDefault="008433E0">
      <w:r>
        <w:rPr>
          <w:rFonts w:ascii="Times New Roman" w:eastAsia="宋体" w:hAnsi="Times New Roman"/>
          <w:color w:val="000000"/>
          <w:sz w:val="20"/>
          <w:szCs w:val="20"/>
        </w:rPr>
        <w:t>On November 1, 2021, we entered into a new senior s</w:t>
      </w:r>
      <w:r>
        <w:rPr>
          <w:rFonts w:ascii="Times New Roman" w:eastAsia="宋体" w:hAnsi="Times New Roman"/>
          <w:color w:val="000000"/>
          <w:sz w:val="20"/>
          <w:szCs w:val="20"/>
        </w:rPr>
        <w:t>ecured Revolving Credit Facility (the “2021 Revolving Credit Facility”) to replace the old senior secured Revolving Credit Facility under the Existing Credit Agreement. The 2021 Revolving Credit Facility, which matures on November 1, 2026, provides us with</w:t>
      </w:r>
      <w:r>
        <w:rPr>
          <w:rFonts w:ascii="Times New Roman" w:eastAsia="宋体" w:hAnsi="Times New Roman"/>
          <w:color w:val="000000"/>
          <w:sz w:val="20"/>
          <w:szCs w:val="20"/>
        </w:rPr>
        <w:t xml:space="preserve"> revolving commitments in an aggregate principal amount of $5.0 billion for general corporate purposes and includes a letter of credit sub-facility of up to $500 million and a swing-line loan sub-facility of up to $500 million. See Note 18 of the Notes to </w:t>
      </w:r>
      <w:r>
        <w:rPr>
          <w:rFonts w:ascii="Times New Roman" w:eastAsia="宋体" w:hAnsi="Times New Roman"/>
          <w:color w:val="000000"/>
          <w:sz w:val="20"/>
          <w:szCs w:val="20"/>
        </w:rPr>
        <w:t>the Condensed Consolidated Financial Statements included in this report for more information.</w:t>
      </w:r>
    </w:p>
    <w:p w14:paraId="07DD14C2" w14:textId="77777777" w:rsidR="00AE727E" w:rsidRDefault="00AE727E"/>
    <w:p w14:paraId="07DD14C3" w14:textId="77777777" w:rsidR="00AE727E" w:rsidRDefault="008433E0">
      <w:r>
        <w:rPr>
          <w:rFonts w:ascii="Times New Roman" w:eastAsia="宋体" w:hAnsi="Times New Roman"/>
          <w:color w:val="000000"/>
          <w:sz w:val="20"/>
          <w:szCs w:val="20"/>
        </w:rPr>
        <w:t>The VMware Revolving Credit Facility has a maximum capacity of $1.5 billion. As of October 29, 2021, there were no outstanding borrowings under the facility. Non</w:t>
      </w:r>
      <w:r>
        <w:rPr>
          <w:rFonts w:ascii="Times New Roman" w:eastAsia="宋体" w:hAnsi="Times New Roman"/>
          <w:color w:val="000000"/>
          <w:sz w:val="20"/>
          <w:szCs w:val="20"/>
        </w:rPr>
        <w:t>e of the net proceeds of borrowings under the VMware Revolving Credit Facility will be made available to support the operations or satisfy any corporate purposes of Dell Technologies, other than the operations and corporate purposes of VMware, Inc. and VMw</w:t>
      </w:r>
      <w:r>
        <w:rPr>
          <w:rFonts w:ascii="Times New Roman" w:eastAsia="宋体" w:hAnsi="Times New Roman"/>
          <w:color w:val="000000"/>
          <w:sz w:val="20"/>
          <w:szCs w:val="20"/>
        </w:rPr>
        <w:t>are, Inc.’s subsidiaries.</w:t>
      </w:r>
    </w:p>
    <w:p w14:paraId="07DD14C4" w14:textId="77777777" w:rsidR="00AE727E" w:rsidRDefault="00AE727E"/>
    <w:p w14:paraId="07DD14C5" w14:textId="77777777" w:rsidR="00AE727E" w:rsidRDefault="008433E0">
      <w:r>
        <w:rPr>
          <w:rFonts w:ascii="Times New Roman" w:eastAsia="宋体" w:hAnsi="Times New Roman"/>
          <w:color w:val="000000"/>
          <w:sz w:val="20"/>
          <w:szCs w:val="20"/>
        </w:rPr>
        <w:t>See Note 5 of the Notes to the Condensed Consolidated Financial Statements included in this report for additional information about each of the foregoing revolving credit facilities.</w:t>
      </w:r>
    </w:p>
    <w:p w14:paraId="07DD14C6" w14:textId="77777777" w:rsidR="00AE727E" w:rsidRDefault="00AE727E"/>
    <w:p w14:paraId="07DD14C7" w14:textId="77777777" w:rsidR="00AE727E" w:rsidRDefault="008433E0">
      <w:r>
        <w:rPr>
          <w:rFonts w:ascii="Times New Roman" w:eastAsia="宋体" w:hAnsi="Times New Roman"/>
          <w:color w:val="000000"/>
          <w:sz w:val="20"/>
          <w:szCs w:val="20"/>
        </w:rPr>
        <w:t>We believe that our current cash and cash equ</w:t>
      </w:r>
      <w:r>
        <w:rPr>
          <w:rFonts w:ascii="Times New Roman" w:eastAsia="宋体" w:hAnsi="Times New Roman"/>
          <w:color w:val="000000"/>
          <w:sz w:val="20"/>
          <w:szCs w:val="20"/>
        </w:rPr>
        <w:t>ivalents, together with cash that will be provided by future operations and borrowings expected to be available under our revolving credit facilities, will be sufficient over at least the next twelve months and for the foreseeable future thereafter to fund</w:t>
      </w:r>
      <w:r>
        <w:rPr>
          <w:rFonts w:ascii="Times New Roman" w:eastAsia="宋体" w:hAnsi="Times New Roman"/>
          <w:color w:val="000000"/>
          <w:sz w:val="20"/>
          <w:szCs w:val="20"/>
        </w:rPr>
        <w:t xml:space="preserve"> our operations, debt service requirements and maturities, capital expenditures, share repurchases, dividend payments, and other corporate needs.</w:t>
      </w:r>
    </w:p>
    <w:p w14:paraId="07DD14C8" w14:textId="77777777" w:rsidR="00AE727E" w:rsidRDefault="00AE727E"/>
    <w:p w14:paraId="07DD14C9" w14:textId="77777777" w:rsidR="00AE727E" w:rsidRDefault="008433E0">
      <w:r>
        <w:rPr>
          <w:rFonts w:ascii="Times New Roman" w:eastAsia="宋体" w:hAnsi="Times New Roman"/>
          <w:i/>
          <w:iCs/>
          <w:color w:val="000000"/>
          <w:sz w:val="20"/>
          <w:szCs w:val="20"/>
          <w:u w:val="single"/>
        </w:rPr>
        <w:t>Debt</w:t>
      </w:r>
    </w:p>
    <w:p w14:paraId="07DD14CA" w14:textId="77777777" w:rsidR="00AE727E" w:rsidRDefault="00AE727E"/>
    <w:p w14:paraId="07DD14CB" w14:textId="77777777" w:rsidR="00AE727E" w:rsidRDefault="008433E0">
      <w:pPr>
        <w:spacing w:after="60"/>
      </w:pPr>
      <w:r>
        <w:rPr>
          <w:rFonts w:ascii="Times New Roman" w:eastAsia="宋体" w:hAnsi="Times New Roman"/>
          <w:color w:val="000000"/>
          <w:sz w:val="20"/>
          <w:szCs w:val="20"/>
        </w:rPr>
        <w:t>The following table summarizes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41"/>
        <w:gridCol w:w="39"/>
        <w:gridCol w:w="120"/>
        <w:gridCol w:w="1143"/>
        <w:gridCol w:w="36"/>
        <w:gridCol w:w="36"/>
        <w:gridCol w:w="36"/>
        <w:gridCol w:w="36"/>
        <w:gridCol w:w="121"/>
        <w:gridCol w:w="1144"/>
        <w:gridCol w:w="36"/>
        <w:gridCol w:w="36"/>
        <w:gridCol w:w="36"/>
        <w:gridCol w:w="36"/>
        <w:gridCol w:w="120"/>
        <w:gridCol w:w="1144"/>
        <w:gridCol w:w="36"/>
      </w:tblGrid>
      <w:tr w:rsidR="00AE727E" w14:paraId="07DD14DE" w14:textId="77777777">
        <w:trPr>
          <w:jc w:val="center"/>
        </w:trPr>
        <w:tc>
          <w:tcPr>
            <w:tcW w:w="50" w:type="pct"/>
            <w:shd w:val="clear" w:color="auto" w:fill="auto"/>
            <w:vAlign w:val="bottom"/>
          </w:tcPr>
          <w:p w14:paraId="07DD14CC" w14:textId="77777777" w:rsidR="00AE727E" w:rsidRDefault="00AE727E">
            <w:pPr>
              <w:rPr>
                <w:rFonts w:ascii="宋体"/>
              </w:rPr>
            </w:pPr>
          </w:p>
        </w:tc>
        <w:tc>
          <w:tcPr>
            <w:tcW w:w="2540" w:type="pct"/>
            <w:shd w:val="clear" w:color="auto" w:fill="auto"/>
            <w:vAlign w:val="bottom"/>
          </w:tcPr>
          <w:p w14:paraId="07DD14CD" w14:textId="77777777" w:rsidR="00AE727E" w:rsidRDefault="00AE727E">
            <w:pPr>
              <w:rPr>
                <w:rFonts w:ascii="宋体"/>
              </w:rPr>
            </w:pPr>
          </w:p>
        </w:tc>
        <w:tc>
          <w:tcPr>
            <w:tcW w:w="5" w:type="pct"/>
            <w:shd w:val="clear" w:color="auto" w:fill="auto"/>
            <w:vAlign w:val="bottom"/>
          </w:tcPr>
          <w:p w14:paraId="07DD14CE" w14:textId="77777777" w:rsidR="00AE727E" w:rsidRDefault="00AE727E">
            <w:pPr>
              <w:rPr>
                <w:rFonts w:ascii="宋体"/>
              </w:rPr>
            </w:pPr>
          </w:p>
        </w:tc>
        <w:tc>
          <w:tcPr>
            <w:tcW w:w="50" w:type="pct"/>
            <w:shd w:val="clear" w:color="auto" w:fill="auto"/>
            <w:vAlign w:val="bottom"/>
          </w:tcPr>
          <w:p w14:paraId="07DD14CF" w14:textId="77777777" w:rsidR="00AE727E" w:rsidRDefault="00AE727E">
            <w:pPr>
              <w:rPr>
                <w:rFonts w:ascii="宋体"/>
              </w:rPr>
            </w:pPr>
          </w:p>
        </w:tc>
        <w:tc>
          <w:tcPr>
            <w:tcW w:w="727" w:type="pct"/>
            <w:shd w:val="clear" w:color="auto" w:fill="auto"/>
            <w:vAlign w:val="bottom"/>
          </w:tcPr>
          <w:p w14:paraId="07DD14D0" w14:textId="77777777" w:rsidR="00AE727E" w:rsidRDefault="00AE727E">
            <w:pPr>
              <w:rPr>
                <w:rFonts w:ascii="宋体"/>
              </w:rPr>
            </w:pPr>
          </w:p>
        </w:tc>
        <w:tc>
          <w:tcPr>
            <w:tcW w:w="5" w:type="pct"/>
            <w:shd w:val="clear" w:color="auto" w:fill="auto"/>
            <w:vAlign w:val="bottom"/>
          </w:tcPr>
          <w:p w14:paraId="07DD14D1" w14:textId="77777777" w:rsidR="00AE727E" w:rsidRDefault="00AE727E">
            <w:pPr>
              <w:rPr>
                <w:rFonts w:ascii="宋体"/>
              </w:rPr>
            </w:pPr>
          </w:p>
        </w:tc>
        <w:tc>
          <w:tcPr>
            <w:tcW w:w="5" w:type="pct"/>
            <w:shd w:val="clear" w:color="auto" w:fill="auto"/>
            <w:vAlign w:val="bottom"/>
          </w:tcPr>
          <w:p w14:paraId="07DD14D2" w14:textId="77777777" w:rsidR="00AE727E" w:rsidRDefault="00AE727E">
            <w:pPr>
              <w:rPr>
                <w:rFonts w:ascii="宋体"/>
              </w:rPr>
            </w:pPr>
          </w:p>
        </w:tc>
        <w:tc>
          <w:tcPr>
            <w:tcW w:w="19" w:type="pct"/>
            <w:shd w:val="clear" w:color="auto" w:fill="auto"/>
            <w:vAlign w:val="bottom"/>
          </w:tcPr>
          <w:p w14:paraId="07DD14D3" w14:textId="77777777" w:rsidR="00AE727E" w:rsidRDefault="00AE727E">
            <w:pPr>
              <w:rPr>
                <w:rFonts w:ascii="宋体"/>
              </w:rPr>
            </w:pPr>
          </w:p>
        </w:tc>
        <w:tc>
          <w:tcPr>
            <w:tcW w:w="5" w:type="pct"/>
            <w:shd w:val="clear" w:color="auto" w:fill="auto"/>
            <w:vAlign w:val="bottom"/>
          </w:tcPr>
          <w:p w14:paraId="07DD14D4" w14:textId="77777777" w:rsidR="00AE727E" w:rsidRDefault="00AE727E">
            <w:pPr>
              <w:rPr>
                <w:rFonts w:ascii="宋体"/>
              </w:rPr>
            </w:pPr>
          </w:p>
        </w:tc>
        <w:tc>
          <w:tcPr>
            <w:tcW w:w="50" w:type="pct"/>
            <w:shd w:val="clear" w:color="auto" w:fill="auto"/>
            <w:vAlign w:val="bottom"/>
          </w:tcPr>
          <w:p w14:paraId="07DD14D5" w14:textId="77777777" w:rsidR="00AE727E" w:rsidRDefault="00AE727E">
            <w:pPr>
              <w:rPr>
                <w:rFonts w:ascii="宋体"/>
              </w:rPr>
            </w:pPr>
          </w:p>
        </w:tc>
        <w:tc>
          <w:tcPr>
            <w:tcW w:w="727" w:type="pct"/>
            <w:shd w:val="clear" w:color="auto" w:fill="auto"/>
            <w:vAlign w:val="bottom"/>
          </w:tcPr>
          <w:p w14:paraId="07DD14D6" w14:textId="77777777" w:rsidR="00AE727E" w:rsidRDefault="00AE727E">
            <w:pPr>
              <w:rPr>
                <w:rFonts w:ascii="宋体"/>
              </w:rPr>
            </w:pPr>
          </w:p>
        </w:tc>
        <w:tc>
          <w:tcPr>
            <w:tcW w:w="5" w:type="pct"/>
            <w:shd w:val="clear" w:color="auto" w:fill="auto"/>
            <w:vAlign w:val="bottom"/>
          </w:tcPr>
          <w:p w14:paraId="07DD14D7" w14:textId="77777777" w:rsidR="00AE727E" w:rsidRDefault="00AE727E">
            <w:pPr>
              <w:rPr>
                <w:rFonts w:ascii="宋体"/>
              </w:rPr>
            </w:pPr>
          </w:p>
        </w:tc>
        <w:tc>
          <w:tcPr>
            <w:tcW w:w="5" w:type="pct"/>
            <w:shd w:val="clear" w:color="auto" w:fill="auto"/>
            <w:vAlign w:val="bottom"/>
          </w:tcPr>
          <w:p w14:paraId="07DD14D8" w14:textId="77777777" w:rsidR="00AE727E" w:rsidRDefault="00AE727E">
            <w:pPr>
              <w:rPr>
                <w:rFonts w:ascii="宋体"/>
              </w:rPr>
            </w:pPr>
          </w:p>
        </w:tc>
        <w:tc>
          <w:tcPr>
            <w:tcW w:w="19" w:type="pct"/>
            <w:shd w:val="clear" w:color="auto" w:fill="auto"/>
            <w:vAlign w:val="bottom"/>
          </w:tcPr>
          <w:p w14:paraId="07DD14D9" w14:textId="77777777" w:rsidR="00AE727E" w:rsidRDefault="00AE727E">
            <w:pPr>
              <w:rPr>
                <w:rFonts w:ascii="宋体"/>
              </w:rPr>
            </w:pPr>
          </w:p>
        </w:tc>
        <w:tc>
          <w:tcPr>
            <w:tcW w:w="5" w:type="pct"/>
            <w:shd w:val="clear" w:color="auto" w:fill="auto"/>
            <w:vAlign w:val="bottom"/>
          </w:tcPr>
          <w:p w14:paraId="07DD14DA" w14:textId="77777777" w:rsidR="00AE727E" w:rsidRDefault="00AE727E">
            <w:pPr>
              <w:rPr>
                <w:rFonts w:ascii="宋体"/>
              </w:rPr>
            </w:pPr>
          </w:p>
        </w:tc>
        <w:tc>
          <w:tcPr>
            <w:tcW w:w="50" w:type="pct"/>
            <w:shd w:val="clear" w:color="auto" w:fill="auto"/>
            <w:vAlign w:val="bottom"/>
          </w:tcPr>
          <w:p w14:paraId="07DD14DB" w14:textId="77777777" w:rsidR="00AE727E" w:rsidRDefault="00AE727E">
            <w:pPr>
              <w:rPr>
                <w:rFonts w:ascii="宋体"/>
              </w:rPr>
            </w:pPr>
          </w:p>
        </w:tc>
        <w:tc>
          <w:tcPr>
            <w:tcW w:w="727" w:type="pct"/>
            <w:shd w:val="clear" w:color="auto" w:fill="auto"/>
            <w:vAlign w:val="bottom"/>
          </w:tcPr>
          <w:p w14:paraId="07DD14DC" w14:textId="77777777" w:rsidR="00AE727E" w:rsidRDefault="00AE727E">
            <w:pPr>
              <w:rPr>
                <w:rFonts w:ascii="宋体"/>
              </w:rPr>
            </w:pPr>
          </w:p>
        </w:tc>
        <w:tc>
          <w:tcPr>
            <w:tcW w:w="5" w:type="pct"/>
            <w:shd w:val="clear" w:color="auto" w:fill="auto"/>
            <w:vAlign w:val="bottom"/>
          </w:tcPr>
          <w:p w14:paraId="07DD14DD" w14:textId="77777777" w:rsidR="00AE727E" w:rsidRDefault="00AE727E">
            <w:pPr>
              <w:rPr>
                <w:rFonts w:ascii="宋体"/>
              </w:rPr>
            </w:pPr>
          </w:p>
        </w:tc>
      </w:tr>
      <w:tr w:rsidR="00AE727E" w14:paraId="07DD14E5" w14:textId="77777777">
        <w:trPr>
          <w:jc w:val="center"/>
        </w:trPr>
        <w:tc>
          <w:tcPr>
            <w:tcW w:w="0" w:type="auto"/>
            <w:gridSpan w:val="3"/>
            <w:shd w:val="clear" w:color="auto" w:fill="auto"/>
            <w:tcMar>
              <w:top w:w="0" w:type="dxa"/>
              <w:left w:w="20" w:type="dxa"/>
              <w:bottom w:w="0" w:type="dxa"/>
              <w:right w:w="20" w:type="dxa"/>
            </w:tcMar>
            <w:vAlign w:val="bottom"/>
          </w:tcPr>
          <w:p w14:paraId="07DD14DF"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4E0"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DD14E1"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4E2" w14:textId="77777777" w:rsidR="00AE727E" w:rsidRDefault="008433E0">
            <w:pPr>
              <w:jc w:val="center"/>
              <w:textAlignment w:val="bottom"/>
            </w:pPr>
            <w:r>
              <w:rPr>
                <w:rFonts w:ascii="Times New Roman" w:eastAsia="宋体" w:hAnsi="Times New Roman"/>
                <w:b/>
                <w:bCs/>
                <w:color w:val="000000"/>
                <w:sz w:val="20"/>
                <w:szCs w:val="20"/>
              </w:rPr>
              <w:t>Increase (decrease)</w:t>
            </w:r>
          </w:p>
        </w:tc>
        <w:tc>
          <w:tcPr>
            <w:tcW w:w="0" w:type="auto"/>
            <w:gridSpan w:val="3"/>
            <w:shd w:val="clear" w:color="auto" w:fill="auto"/>
            <w:tcMar>
              <w:top w:w="0" w:type="dxa"/>
              <w:left w:w="20" w:type="dxa"/>
              <w:bottom w:w="0" w:type="dxa"/>
              <w:right w:w="20" w:type="dxa"/>
            </w:tcMar>
            <w:vAlign w:val="bottom"/>
          </w:tcPr>
          <w:p w14:paraId="07DD14E3"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4E4" w14:textId="77777777" w:rsidR="00AE727E" w:rsidRDefault="008433E0">
            <w:pPr>
              <w:jc w:val="center"/>
              <w:textAlignment w:val="bottom"/>
            </w:pPr>
            <w:r>
              <w:rPr>
                <w:rFonts w:ascii="Times New Roman" w:eastAsia="宋体" w:hAnsi="Times New Roman"/>
                <w:b/>
                <w:bCs/>
                <w:color w:val="000000"/>
                <w:sz w:val="20"/>
                <w:szCs w:val="20"/>
              </w:rPr>
              <w:t>January 29, 2021</w:t>
            </w:r>
          </w:p>
        </w:tc>
      </w:tr>
      <w:tr w:rsidR="00AE727E" w14:paraId="07DD14E8" w14:textId="77777777">
        <w:trPr>
          <w:jc w:val="center"/>
        </w:trPr>
        <w:tc>
          <w:tcPr>
            <w:tcW w:w="0" w:type="auto"/>
            <w:gridSpan w:val="3"/>
            <w:shd w:val="clear" w:color="auto" w:fill="auto"/>
            <w:tcMar>
              <w:top w:w="0" w:type="dxa"/>
              <w:left w:w="20" w:type="dxa"/>
              <w:bottom w:w="0" w:type="dxa"/>
              <w:right w:w="20" w:type="dxa"/>
            </w:tcMar>
            <w:vAlign w:val="bottom"/>
          </w:tcPr>
          <w:p w14:paraId="07DD14E6" w14:textId="77777777" w:rsidR="00AE727E" w:rsidRDefault="00AE727E">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DD14E7"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D14EF" w14:textId="77777777">
        <w:trPr>
          <w:jc w:val="center"/>
        </w:trPr>
        <w:tc>
          <w:tcPr>
            <w:tcW w:w="0" w:type="auto"/>
            <w:gridSpan w:val="3"/>
            <w:shd w:val="clear" w:color="auto" w:fill="CCEEFF"/>
            <w:tcMar>
              <w:top w:w="40" w:type="dxa"/>
              <w:left w:w="20" w:type="dxa"/>
              <w:bottom w:w="40" w:type="dxa"/>
              <w:right w:w="20" w:type="dxa"/>
            </w:tcMar>
            <w:vAlign w:val="center"/>
          </w:tcPr>
          <w:p w14:paraId="07DD14E9" w14:textId="77777777" w:rsidR="00AE727E" w:rsidRDefault="008433E0">
            <w:pPr>
              <w:textAlignment w:val="center"/>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vAlign w:val="bottom"/>
          </w:tcPr>
          <w:p w14:paraId="07DD14E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E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E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E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4EE" w14:textId="77777777" w:rsidR="00AE727E" w:rsidRDefault="00AE727E">
            <w:pPr>
              <w:rPr>
                <w:rFonts w:ascii="宋体"/>
              </w:rPr>
            </w:pPr>
          </w:p>
        </w:tc>
      </w:tr>
      <w:tr w:rsidR="00AE727E" w14:paraId="07DD14FC" w14:textId="77777777">
        <w:trPr>
          <w:jc w:val="center"/>
        </w:trPr>
        <w:tc>
          <w:tcPr>
            <w:tcW w:w="0" w:type="auto"/>
            <w:gridSpan w:val="3"/>
            <w:shd w:val="clear" w:color="auto" w:fill="FFFFFF"/>
            <w:tcMar>
              <w:top w:w="40" w:type="dxa"/>
              <w:left w:w="140" w:type="dxa"/>
              <w:bottom w:w="40" w:type="dxa"/>
              <w:right w:w="20" w:type="dxa"/>
            </w:tcMar>
            <w:vAlign w:val="center"/>
          </w:tcPr>
          <w:p w14:paraId="07DD14F0" w14:textId="77777777" w:rsidR="00AE727E" w:rsidRDefault="008433E0">
            <w:pPr>
              <w:textAlignment w:val="center"/>
            </w:pPr>
            <w:r>
              <w:rPr>
                <w:rFonts w:ascii="Times New Roman" w:eastAsia="宋体" w:hAnsi="Times New Roman"/>
                <w:color w:val="000000"/>
                <w:sz w:val="20"/>
                <w:szCs w:val="20"/>
              </w:rPr>
              <w:t>Senior Secured Credit Facilities and First Lien Notes</w:t>
            </w:r>
          </w:p>
        </w:tc>
        <w:tc>
          <w:tcPr>
            <w:tcW w:w="0" w:type="auto"/>
            <w:shd w:val="clear" w:color="auto" w:fill="FFFFFF"/>
            <w:tcMar>
              <w:top w:w="40" w:type="dxa"/>
              <w:left w:w="20" w:type="dxa"/>
              <w:bottom w:w="40" w:type="dxa"/>
              <w:right w:w="0" w:type="dxa"/>
            </w:tcMar>
            <w:vAlign w:val="center"/>
          </w:tcPr>
          <w:p w14:paraId="07DD14F1"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4F2" w14:textId="77777777" w:rsidR="00AE727E" w:rsidRDefault="008433E0">
            <w:pPr>
              <w:jc w:val="right"/>
              <w:textAlignment w:val="center"/>
            </w:pPr>
            <w:r>
              <w:rPr>
                <w:rFonts w:ascii="Times New Roman" w:eastAsia="宋体" w:hAnsi="Times New Roman"/>
                <w:color w:val="000000"/>
                <w:sz w:val="20"/>
                <w:szCs w:val="20"/>
              </w:rPr>
              <w:t>24,754 </w:t>
            </w:r>
          </w:p>
        </w:tc>
        <w:tc>
          <w:tcPr>
            <w:tcW w:w="0" w:type="auto"/>
            <w:shd w:val="clear" w:color="auto" w:fill="FFFFFF"/>
            <w:tcMar>
              <w:top w:w="40" w:type="dxa"/>
              <w:left w:w="0" w:type="dxa"/>
              <w:bottom w:w="40" w:type="dxa"/>
              <w:right w:w="20" w:type="dxa"/>
            </w:tcMar>
            <w:vAlign w:val="center"/>
          </w:tcPr>
          <w:p w14:paraId="07DD14F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4F4"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4F5"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4F6" w14:textId="77777777" w:rsidR="00AE727E" w:rsidRDefault="008433E0">
            <w:pPr>
              <w:jc w:val="right"/>
              <w:textAlignment w:val="center"/>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center"/>
          </w:tcPr>
          <w:p w14:paraId="07DD14F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4F8"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4F9"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4FA" w14:textId="77777777" w:rsidR="00AE727E" w:rsidRDefault="008433E0">
            <w:pPr>
              <w:jc w:val="right"/>
              <w:textAlignment w:val="center"/>
            </w:pPr>
            <w:r>
              <w:rPr>
                <w:rFonts w:ascii="Times New Roman" w:eastAsia="宋体" w:hAnsi="Times New Roman"/>
                <w:color w:val="000000"/>
                <w:sz w:val="20"/>
                <w:szCs w:val="20"/>
              </w:rPr>
              <w:t>24,777 </w:t>
            </w:r>
          </w:p>
        </w:tc>
        <w:tc>
          <w:tcPr>
            <w:tcW w:w="0" w:type="auto"/>
            <w:shd w:val="clear" w:color="auto" w:fill="FFFFFF"/>
            <w:tcMar>
              <w:top w:w="40" w:type="dxa"/>
              <w:left w:w="0" w:type="dxa"/>
              <w:bottom w:w="40" w:type="dxa"/>
              <w:right w:w="20" w:type="dxa"/>
            </w:tcMar>
            <w:vAlign w:val="center"/>
          </w:tcPr>
          <w:p w14:paraId="07DD14FB" w14:textId="77777777" w:rsidR="00AE727E" w:rsidRDefault="00AE727E">
            <w:pPr>
              <w:jc w:val="right"/>
              <w:rPr>
                <w:rFonts w:ascii="宋体"/>
              </w:rPr>
            </w:pPr>
          </w:p>
        </w:tc>
      </w:tr>
      <w:tr w:rsidR="00AE727E" w14:paraId="07DD1506" w14:textId="77777777">
        <w:trPr>
          <w:jc w:val="center"/>
        </w:trPr>
        <w:tc>
          <w:tcPr>
            <w:tcW w:w="0" w:type="auto"/>
            <w:gridSpan w:val="3"/>
            <w:shd w:val="clear" w:color="auto" w:fill="CCEEFF"/>
            <w:tcMar>
              <w:top w:w="40" w:type="dxa"/>
              <w:left w:w="140" w:type="dxa"/>
              <w:bottom w:w="40" w:type="dxa"/>
              <w:right w:w="20" w:type="dxa"/>
            </w:tcMar>
            <w:vAlign w:val="center"/>
          </w:tcPr>
          <w:p w14:paraId="07DD14FD" w14:textId="77777777" w:rsidR="00AE727E" w:rsidRDefault="008433E0">
            <w:pPr>
              <w:textAlignment w:val="center"/>
            </w:pPr>
            <w:r>
              <w:rPr>
                <w:rFonts w:ascii="Times New Roman" w:eastAsia="宋体" w:hAnsi="Times New Roman"/>
                <w:color w:val="000000"/>
                <w:sz w:val="20"/>
                <w:szCs w:val="20"/>
              </w:rPr>
              <w:t xml:space="preserve">Unsecured Notes and Debentures </w:t>
            </w:r>
          </w:p>
        </w:tc>
        <w:tc>
          <w:tcPr>
            <w:tcW w:w="0" w:type="auto"/>
            <w:gridSpan w:val="2"/>
            <w:shd w:val="clear" w:color="auto" w:fill="CCEEFF"/>
            <w:tcMar>
              <w:top w:w="40" w:type="dxa"/>
              <w:left w:w="20" w:type="dxa"/>
              <w:bottom w:w="40" w:type="dxa"/>
              <w:right w:w="0" w:type="dxa"/>
            </w:tcMar>
            <w:vAlign w:val="center"/>
          </w:tcPr>
          <w:p w14:paraId="07DD14FE" w14:textId="77777777" w:rsidR="00AE727E" w:rsidRDefault="008433E0">
            <w:pPr>
              <w:jc w:val="right"/>
              <w:textAlignment w:val="center"/>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center"/>
          </w:tcPr>
          <w:p w14:paraId="07DD14F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0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01" w14:textId="77777777" w:rsidR="00AE727E" w:rsidRDefault="008433E0">
            <w:pPr>
              <w:jc w:val="right"/>
              <w:textAlignment w:val="center"/>
            </w:pPr>
            <w:r>
              <w:rPr>
                <w:rFonts w:ascii="Times New Roman" w:eastAsia="宋体" w:hAnsi="Times New Roman"/>
                <w:color w:val="000000"/>
                <w:sz w:val="20"/>
                <w:szCs w:val="20"/>
              </w:rPr>
              <w:t>(400)</w:t>
            </w:r>
          </w:p>
        </w:tc>
        <w:tc>
          <w:tcPr>
            <w:tcW w:w="0" w:type="auto"/>
            <w:shd w:val="clear" w:color="auto" w:fill="CCEEFF"/>
            <w:tcMar>
              <w:top w:w="40" w:type="dxa"/>
              <w:left w:w="0" w:type="dxa"/>
              <w:bottom w:w="40" w:type="dxa"/>
              <w:right w:w="20" w:type="dxa"/>
            </w:tcMar>
            <w:vAlign w:val="center"/>
          </w:tcPr>
          <w:p w14:paraId="07DD1502"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03"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04" w14:textId="77777777" w:rsidR="00AE727E" w:rsidRDefault="008433E0">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center"/>
          </w:tcPr>
          <w:p w14:paraId="07DD1505" w14:textId="77777777" w:rsidR="00AE727E" w:rsidRDefault="00AE727E">
            <w:pPr>
              <w:jc w:val="right"/>
              <w:rPr>
                <w:rFonts w:ascii="宋体"/>
              </w:rPr>
            </w:pPr>
          </w:p>
        </w:tc>
      </w:tr>
      <w:tr w:rsidR="00AE727E" w14:paraId="07DD1510" w14:textId="77777777">
        <w:trPr>
          <w:jc w:val="center"/>
        </w:trPr>
        <w:tc>
          <w:tcPr>
            <w:tcW w:w="0" w:type="auto"/>
            <w:gridSpan w:val="3"/>
            <w:shd w:val="clear" w:color="auto" w:fill="FFFFFF"/>
            <w:tcMar>
              <w:top w:w="40" w:type="dxa"/>
              <w:left w:w="140" w:type="dxa"/>
              <w:bottom w:w="40" w:type="dxa"/>
              <w:right w:w="20" w:type="dxa"/>
            </w:tcMar>
            <w:vAlign w:val="center"/>
          </w:tcPr>
          <w:p w14:paraId="07DD1507" w14:textId="77777777" w:rsidR="00AE727E" w:rsidRDefault="008433E0">
            <w:pPr>
              <w:textAlignment w:val="center"/>
            </w:pPr>
            <w:r>
              <w:rPr>
                <w:rFonts w:ascii="Times New Roman" w:eastAsia="宋体" w:hAnsi="Times New Roman"/>
                <w:color w:val="000000"/>
                <w:sz w:val="20"/>
                <w:szCs w:val="20"/>
              </w:rPr>
              <w:t xml:space="preserve">Senior Notes </w:t>
            </w:r>
          </w:p>
        </w:tc>
        <w:tc>
          <w:tcPr>
            <w:tcW w:w="0" w:type="auto"/>
            <w:gridSpan w:val="2"/>
            <w:shd w:val="clear" w:color="auto" w:fill="FFFFFF"/>
            <w:tcMar>
              <w:top w:w="40" w:type="dxa"/>
              <w:left w:w="20" w:type="dxa"/>
              <w:bottom w:w="40" w:type="dxa"/>
              <w:right w:w="0" w:type="dxa"/>
            </w:tcMar>
            <w:vAlign w:val="center"/>
          </w:tcPr>
          <w:p w14:paraId="07DD1508" w14:textId="77777777" w:rsidR="00AE727E" w:rsidRDefault="008433E0">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center"/>
          </w:tcPr>
          <w:p w14:paraId="07DD150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0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0B" w14:textId="77777777" w:rsidR="00AE727E" w:rsidRDefault="008433E0">
            <w:pPr>
              <w:jc w:val="right"/>
              <w:textAlignment w:val="center"/>
            </w:pPr>
            <w:r>
              <w:rPr>
                <w:rFonts w:ascii="Times New Roman" w:eastAsia="宋体" w:hAnsi="Times New Roman"/>
                <w:color w:val="000000"/>
                <w:sz w:val="20"/>
                <w:szCs w:val="20"/>
              </w:rPr>
              <w:t>(1,075)</w:t>
            </w:r>
          </w:p>
        </w:tc>
        <w:tc>
          <w:tcPr>
            <w:tcW w:w="0" w:type="auto"/>
            <w:shd w:val="clear" w:color="auto" w:fill="FFFFFF"/>
            <w:tcMar>
              <w:top w:w="40" w:type="dxa"/>
              <w:left w:w="0" w:type="dxa"/>
              <w:bottom w:w="40" w:type="dxa"/>
              <w:right w:w="20" w:type="dxa"/>
            </w:tcMar>
            <w:vAlign w:val="center"/>
          </w:tcPr>
          <w:p w14:paraId="07DD150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0D"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0E" w14:textId="77777777" w:rsidR="00AE727E" w:rsidRDefault="008433E0">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center"/>
          </w:tcPr>
          <w:p w14:paraId="07DD150F" w14:textId="77777777" w:rsidR="00AE727E" w:rsidRDefault="00AE727E">
            <w:pPr>
              <w:jc w:val="right"/>
              <w:rPr>
                <w:rFonts w:ascii="宋体"/>
              </w:rPr>
            </w:pPr>
          </w:p>
        </w:tc>
      </w:tr>
      <w:tr w:rsidR="00AE727E" w14:paraId="07DD151A" w14:textId="77777777">
        <w:trPr>
          <w:jc w:val="center"/>
        </w:trPr>
        <w:tc>
          <w:tcPr>
            <w:tcW w:w="0" w:type="auto"/>
            <w:gridSpan w:val="3"/>
            <w:shd w:val="clear" w:color="auto" w:fill="CCEEFF"/>
            <w:tcMar>
              <w:top w:w="40" w:type="dxa"/>
              <w:left w:w="140" w:type="dxa"/>
              <w:bottom w:w="40" w:type="dxa"/>
              <w:right w:w="20" w:type="dxa"/>
            </w:tcMar>
            <w:vAlign w:val="center"/>
          </w:tcPr>
          <w:p w14:paraId="07DD1511" w14:textId="77777777" w:rsidR="00AE727E" w:rsidRDefault="008433E0">
            <w:pPr>
              <w:textAlignment w:val="center"/>
            </w:pPr>
            <w:r>
              <w:rPr>
                <w:rFonts w:ascii="Times New Roman" w:eastAsia="宋体" w:hAnsi="Times New Roman"/>
                <w:color w:val="000000"/>
                <w:sz w:val="20"/>
                <w:szCs w:val="20"/>
              </w:rPr>
              <w:t>EMC Notes</w:t>
            </w:r>
          </w:p>
        </w:tc>
        <w:tc>
          <w:tcPr>
            <w:tcW w:w="0" w:type="auto"/>
            <w:gridSpan w:val="2"/>
            <w:shd w:val="clear" w:color="auto" w:fill="CCEEFF"/>
            <w:tcMar>
              <w:top w:w="40" w:type="dxa"/>
              <w:left w:w="20" w:type="dxa"/>
              <w:bottom w:w="40" w:type="dxa"/>
              <w:right w:w="0" w:type="dxa"/>
            </w:tcMar>
            <w:vAlign w:val="center"/>
          </w:tcPr>
          <w:p w14:paraId="07DD1512" w14:textId="77777777" w:rsidR="00AE727E" w:rsidRDefault="008433E0">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DD151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14"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15" w14:textId="77777777" w:rsidR="00AE727E" w:rsidRDefault="008433E0">
            <w:pPr>
              <w:jc w:val="right"/>
              <w:textAlignment w:val="center"/>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center"/>
          </w:tcPr>
          <w:p w14:paraId="07DD151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1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18" w14:textId="77777777" w:rsidR="00AE727E" w:rsidRDefault="008433E0">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07DD1519" w14:textId="77777777" w:rsidR="00AE727E" w:rsidRDefault="00AE727E">
            <w:pPr>
              <w:jc w:val="right"/>
              <w:rPr>
                <w:rFonts w:ascii="宋体"/>
              </w:rPr>
            </w:pPr>
          </w:p>
        </w:tc>
      </w:tr>
      <w:tr w:rsidR="00AE727E" w14:paraId="07DD1524" w14:textId="77777777">
        <w:trPr>
          <w:jc w:val="center"/>
        </w:trPr>
        <w:tc>
          <w:tcPr>
            <w:tcW w:w="0" w:type="auto"/>
            <w:gridSpan w:val="3"/>
            <w:shd w:val="clear" w:color="auto" w:fill="FFFFFF"/>
            <w:tcMar>
              <w:top w:w="40" w:type="dxa"/>
              <w:left w:w="140" w:type="dxa"/>
              <w:bottom w:w="40" w:type="dxa"/>
              <w:right w:w="20" w:type="dxa"/>
            </w:tcMar>
            <w:vAlign w:val="center"/>
          </w:tcPr>
          <w:p w14:paraId="07DD151B" w14:textId="77777777" w:rsidR="00AE727E" w:rsidRDefault="008433E0">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07DD151C" w14:textId="77777777" w:rsidR="00AE727E" w:rsidRDefault="008433E0">
            <w:pPr>
              <w:jc w:val="right"/>
              <w:textAlignment w:val="center"/>
            </w:pPr>
            <w:r>
              <w:rPr>
                <w:rFonts w:ascii="Times New Roman" w:eastAsia="宋体" w:hAnsi="Times New Roman"/>
                <w:color w:val="000000"/>
                <w:sz w:val="20"/>
                <w:szCs w:val="20"/>
              </w:rPr>
              <w:t>(366)</w:t>
            </w:r>
          </w:p>
        </w:tc>
        <w:tc>
          <w:tcPr>
            <w:tcW w:w="0" w:type="auto"/>
            <w:shd w:val="clear" w:color="auto" w:fill="FFFFFF"/>
            <w:tcMar>
              <w:top w:w="40" w:type="dxa"/>
              <w:left w:w="0" w:type="dxa"/>
              <w:bottom w:w="40" w:type="dxa"/>
              <w:right w:w="20" w:type="dxa"/>
            </w:tcMar>
            <w:vAlign w:val="center"/>
          </w:tcPr>
          <w:p w14:paraId="07DD151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1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1F" w14:textId="77777777" w:rsidR="00AE727E" w:rsidRDefault="008433E0">
            <w:pPr>
              <w:jc w:val="right"/>
              <w:textAlignment w:val="center"/>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center"/>
          </w:tcPr>
          <w:p w14:paraId="07DD152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21"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22" w14:textId="77777777" w:rsidR="00AE727E" w:rsidRDefault="008433E0">
            <w:pPr>
              <w:jc w:val="right"/>
              <w:textAlignment w:val="center"/>
            </w:pPr>
            <w:r>
              <w:rPr>
                <w:rFonts w:ascii="Times New Roman" w:eastAsia="宋体" w:hAnsi="Times New Roman"/>
                <w:color w:val="000000"/>
                <w:sz w:val="20"/>
                <w:szCs w:val="20"/>
              </w:rPr>
              <w:t>(666)</w:t>
            </w:r>
          </w:p>
        </w:tc>
        <w:tc>
          <w:tcPr>
            <w:tcW w:w="0" w:type="auto"/>
            <w:shd w:val="clear" w:color="auto" w:fill="FFFFFF"/>
            <w:tcMar>
              <w:top w:w="40" w:type="dxa"/>
              <w:left w:w="0" w:type="dxa"/>
              <w:bottom w:w="40" w:type="dxa"/>
              <w:right w:w="20" w:type="dxa"/>
            </w:tcMar>
            <w:vAlign w:val="center"/>
          </w:tcPr>
          <w:p w14:paraId="07DD1523" w14:textId="77777777" w:rsidR="00AE727E" w:rsidRDefault="00AE727E">
            <w:pPr>
              <w:jc w:val="right"/>
              <w:rPr>
                <w:rFonts w:ascii="宋体"/>
              </w:rPr>
            </w:pPr>
          </w:p>
        </w:tc>
      </w:tr>
      <w:tr w:rsidR="00AE727E" w14:paraId="07DD152E" w14:textId="77777777">
        <w:trPr>
          <w:jc w:val="center"/>
        </w:trPr>
        <w:tc>
          <w:tcPr>
            <w:tcW w:w="0" w:type="auto"/>
            <w:gridSpan w:val="3"/>
            <w:shd w:val="clear" w:color="auto" w:fill="CCEEFF"/>
            <w:tcMar>
              <w:top w:w="40" w:type="dxa"/>
              <w:left w:w="260" w:type="dxa"/>
              <w:bottom w:w="40" w:type="dxa"/>
              <w:right w:w="20" w:type="dxa"/>
            </w:tcMar>
            <w:vAlign w:val="center"/>
          </w:tcPr>
          <w:p w14:paraId="07DD1525" w14:textId="77777777" w:rsidR="00AE727E" w:rsidRDefault="008433E0">
            <w:pPr>
              <w:textAlignment w:val="center"/>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26" w14:textId="77777777" w:rsidR="00AE727E" w:rsidRDefault="008433E0">
            <w:pPr>
              <w:jc w:val="right"/>
              <w:textAlignment w:val="center"/>
            </w:pPr>
            <w:r>
              <w:rPr>
                <w:rFonts w:ascii="Times New Roman" w:eastAsia="宋体" w:hAnsi="Times New Roman"/>
                <w:color w:val="000000"/>
                <w:sz w:val="20"/>
                <w:szCs w:val="20"/>
              </w:rPr>
              <w:t>26,965 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2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28"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29" w14:textId="77777777" w:rsidR="00AE727E" w:rsidRDefault="008433E0">
            <w:pPr>
              <w:jc w:val="right"/>
              <w:textAlignment w:val="center"/>
            </w:pPr>
            <w:r>
              <w:rPr>
                <w:rFonts w:ascii="Times New Roman" w:eastAsia="宋体" w:hAnsi="Times New Roman"/>
                <w:color w:val="000000"/>
                <w:sz w:val="20"/>
                <w:szCs w:val="20"/>
              </w:rPr>
              <w:t>(2,198)</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2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2B"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2C" w14:textId="77777777" w:rsidR="00AE727E" w:rsidRDefault="008433E0">
            <w:pPr>
              <w:jc w:val="right"/>
              <w:textAlignment w:val="center"/>
            </w:pPr>
            <w:r>
              <w:rPr>
                <w:rFonts w:ascii="Times New Roman" w:eastAsia="宋体" w:hAnsi="Times New Roman"/>
                <w:color w:val="000000"/>
                <w:sz w:val="20"/>
                <w:szCs w:val="20"/>
              </w:rPr>
              <w:t>29,163 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2D" w14:textId="77777777" w:rsidR="00AE727E" w:rsidRDefault="00AE727E">
            <w:pPr>
              <w:jc w:val="right"/>
              <w:rPr>
                <w:rFonts w:ascii="宋体"/>
              </w:rPr>
            </w:pPr>
          </w:p>
        </w:tc>
      </w:tr>
      <w:tr w:rsidR="00AE727E" w14:paraId="07DD1535" w14:textId="77777777">
        <w:trPr>
          <w:jc w:val="center"/>
        </w:trPr>
        <w:tc>
          <w:tcPr>
            <w:tcW w:w="0" w:type="auto"/>
            <w:gridSpan w:val="3"/>
            <w:shd w:val="clear" w:color="auto" w:fill="FFFFFF"/>
            <w:tcMar>
              <w:top w:w="40" w:type="dxa"/>
              <w:left w:w="20" w:type="dxa"/>
              <w:bottom w:w="40" w:type="dxa"/>
              <w:right w:w="20" w:type="dxa"/>
            </w:tcMar>
            <w:vAlign w:val="center"/>
          </w:tcPr>
          <w:p w14:paraId="07DD152F" w14:textId="77777777" w:rsidR="00AE727E" w:rsidRDefault="008433E0">
            <w:pPr>
              <w:textAlignment w:val="center"/>
            </w:pPr>
            <w:r>
              <w:rPr>
                <w:rFonts w:ascii="Times New Roman" w:eastAsia="宋体" w:hAnsi="Times New Roman"/>
                <w:b/>
                <w:bCs/>
                <w:color w:val="000000"/>
                <w:sz w:val="20"/>
                <w:szCs w:val="20"/>
              </w:rPr>
              <w:t>DFS related debt</w:t>
            </w:r>
          </w:p>
        </w:tc>
        <w:tc>
          <w:tcPr>
            <w:tcW w:w="0" w:type="auto"/>
            <w:gridSpan w:val="3"/>
            <w:shd w:val="clear" w:color="auto" w:fill="FFFFFF"/>
            <w:tcMar>
              <w:top w:w="0" w:type="dxa"/>
              <w:left w:w="20" w:type="dxa"/>
              <w:bottom w:w="0" w:type="dxa"/>
              <w:right w:w="20" w:type="dxa"/>
            </w:tcMar>
            <w:vAlign w:val="bottom"/>
          </w:tcPr>
          <w:p w14:paraId="07DD1530"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531"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53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53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534" w14:textId="77777777" w:rsidR="00AE727E" w:rsidRDefault="00AE727E">
            <w:pPr>
              <w:rPr>
                <w:rFonts w:ascii="宋体"/>
              </w:rPr>
            </w:pPr>
          </w:p>
        </w:tc>
      </w:tr>
      <w:tr w:rsidR="00AE727E" w14:paraId="07DD153F" w14:textId="77777777">
        <w:trPr>
          <w:jc w:val="center"/>
        </w:trPr>
        <w:tc>
          <w:tcPr>
            <w:tcW w:w="0" w:type="auto"/>
            <w:gridSpan w:val="3"/>
            <w:shd w:val="clear" w:color="auto" w:fill="CCEEFF"/>
            <w:tcMar>
              <w:top w:w="40" w:type="dxa"/>
              <w:left w:w="140" w:type="dxa"/>
              <w:bottom w:w="40" w:type="dxa"/>
              <w:right w:w="20" w:type="dxa"/>
            </w:tcMar>
            <w:vAlign w:val="center"/>
          </w:tcPr>
          <w:p w14:paraId="07DD1536" w14:textId="77777777" w:rsidR="00AE727E" w:rsidRDefault="008433E0">
            <w:pPr>
              <w:textAlignment w:val="center"/>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center"/>
          </w:tcPr>
          <w:p w14:paraId="07DD1537" w14:textId="77777777" w:rsidR="00AE727E" w:rsidRDefault="008433E0">
            <w:pPr>
              <w:jc w:val="right"/>
              <w:textAlignment w:val="center"/>
            </w:pPr>
            <w:r>
              <w:rPr>
                <w:rFonts w:ascii="Times New Roman" w:eastAsia="宋体" w:hAnsi="Times New Roman"/>
                <w:color w:val="000000"/>
                <w:sz w:val="20"/>
                <w:szCs w:val="20"/>
              </w:rPr>
              <w:t>9,977 </w:t>
            </w:r>
          </w:p>
        </w:tc>
        <w:tc>
          <w:tcPr>
            <w:tcW w:w="0" w:type="auto"/>
            <w:shd w:val="clear" w:color="auto" w:fill="CCEEFF"/>
            <w:tcMar>
              <w:top w:w="40" w:type="dxa"/>
              <w:left w:w="0" w:type="dxa"/>
              <w:bottom w:w="40" w:type="dxa"/>
              <w:right w:w="20" w:type="dxa"/>
            </w:tcMar>
            <w:vAlign w:val="center"/>
          </w:tcPr>
          <w:p w14:paraId="07DD153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39"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3A" w14:textId="77777777" w:rsidR="00AE727E" w:rsidRDefault="008433E0">
            <w:pPr>
              <w:jc w:val="right"/>
              <w:textAlignment w:val="center"/>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center"/>
          </w:tcPr>
          <w:p w14:paraId="07DD153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3C"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3D" w14:textId="77777777" w:rsidR="00AE727E" w:rsidRDefault="008433E0">
            <w:pPr>
              <w:jc w:val="right"/>
              <w:textAlignment w:val="center"/>
            </w:pPr>
            <w:r>
              <w:rPr>
                <w:rFonts w:ascii="Times New Roman" w:eastAsia="宋体" w:hAnsi="Times New Roman"/>
                <w:color w:val="000000"/>
                <w:sz w:val="20"/>
                <w:szCs w:val="20"/>
              </w:rPr>
              <w:t>9,666 </w:t>
            </w:r>
          </w:p>
        </w:tc>
        <w:tc>
          <w:tcPr>
            <w:tcW w:w="0" w:type="auto"/>
            <w:shd w:val="clear" w:color="auto" w:fill="CCEEFF"/>
            <w:tcMar>
              <w:top w:w="40" w:type="dxa"/>
              <w:left w:w="0" w:type="dxa"/>
              <w:bottom w:w="40" w:type="dxa"/>
              <w:right w:w="20" w:type="dxa"/>
            </w:tcMar>
            <w:vAlign w:val="center"/>
          </w:tcPr>
          <w:p w14:paraId="07DD153E" w14:textId="77777777" w:rsidR="00AE727E" w:rsidRDefault="00AE727E">
            <w:pPr>
              <w:jc w:val="right"/>
              <w:rPr>
                <w:rFonts w:ascii="宋体"/>
              </w:rPr>
            </w:pPr>
          </w:p>
        </w:tc>
      </w:tr>
      <w:tr w:rsidR="00AE727E" w14:paraId="07DD1549" w14:textId="77777777">
        <w:trPr>
          <w:jc w:val="center"/>
        </w:trPr>
        <w:tc>
          <w:tcPr>
            <w:tcW w:w="0" w:type="auto"/>
            <w:gridSpan w:val="3"/>
            <w:shd w:val="clear" w:color="auto" w:fill="FFFFFF"/>
            <w:tcMar>
              <w:top w:w="40" w:type="dxa"/>
              <w:left w:w="140" w:type="dxa"/>
              <w:bottom w:w="40" w:type="dxa"/>
              <w:right w:w="20" w:type="dxa"/>
            </w:tcMar>
            <w:vAlign w:val="center"/>
          </w:tcPr>
          <w:p w14:paraId="07DD1540" w14:textId="77777777" w:rsidR="00AE727E" w:rsidRDefault="008433E0">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07DD1541" w14:textId="77777777" w:rsidR="00AE727E" w:rsidRDefault="008433E0">
            <w:pPr>
              <w:jc w:val="right"/>
              <w:textAlignment w:val="center"/>
            </w:pPr>
            <w:r>
              <w:rPr>
                <w:rFonts w:ascii="Times New Roman" w:eastAsia="宋体" w:hAnsi="Times New Roman"/>
                <w:color w:val="000000"/>
                <w:sz w:val="20"/>
                <w:szCs w:val="20"/>
              </w:rPr>
              <w:t>366 </w:t>
            </w:r>
          </w:p>
        </w:tc>
        <w:tc>
          <w:tcPr>
            <w:tcW w:w="0" w:type="auto"/>
            <w:shd w:val="clear" w:color="auto" w:fill="FFFFFF"/>
            <w:tcMar>
              <w:top w:w="40" w:type="dxa"/>
              <w:left w:w="0" w:type="dxa"/>
              <w:bottom w:w="40" w:type="dxa"/>
              <w:right w:w="20" w:type="dxa"/>
            </w:tcMar>
            <w:vAlign w:val="center"/>
          </w:tcPr>
          <w:p w14:paraId="07DD154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43"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44" w14:textId="77777777" w:rsidR="00AE727E" w:rsidRDefault="008433E0">
            <w:pPr>
              <w:jc w:val="right"/>
              <w:textAlignment w:val="center"/>
            </w:pPr>
            <w:r>
              <w:rPr>
                <w:rFonts w:ascii="Times New Roman" w:eastAsia="宋体" w:hAnsi="Times New Roman"/>
                <w:color w:val="000000"/>
                <w:sz w:val="20"/>
                <w:szCs w:val="20"/>
              </w:rPr>
              <w:t>(300)</w:t>
            </w:r>
          </w:p>
        </w:tc>
        <w:tc>
          <w:tcPr>
            <w:tcW w:w="0" w:type="auto"/>
            <w:shd w:val="clear" w:color="auto" w:fill="FFFFFF"/>
            <w:tcMar>
              <w:top w:w="40" w:type="dxa"/>
              <w:left w:w="0" w:type="dxa"/>
              <w:bottom w:w="40" w:type="dxa"/>
              <w:right w:w="20" w:type="dxa"/>
            </w:tcMar>
            <w:vAlign w:val="center"/>
          </w:tcPr>
          <w:p w14:paraId="07DD154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4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47" w14:textId="77777777" w:rsidR="00AE727E" w:rsidRDefault="008433E0">
            <w:pPr>
              <w:jc w:val="right"/>
              <w:textAlignment w:val="center"/>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center"/>
          </w:tcPr>
          <w:p w14:paraId="07DD1548" w14:textId="77777777" w:rsidR="00AE727E" w:rsidRDefault="00AE727E">
            <w:pPr>
              <w:jc w:val="right"/>
              <w:rPr>
                <w:rFonts w:ascii="宋体"/>
              </w:rPr>
            </w:pPr>
          </w:p>
        </w:tc>
      </w:tr>
      <w:tr w:rsidR="00AE727E" w14:paraId="07DD1553" w14:textId="77777777">
        <w:trPr>
          <w:jc w:val="center"/>
        </w:trPr>
        <w:tc>
          <w:tcPr>
            <w:tcW w:w="0" w:type="auto"/>
            <w:gridSpan w:val="3"/>
            <w:shd w:val="clear" w:color="auto" w:fill="CCEEFF"/>
            <w:tcMar>
              <w:top w:w="40" w:type="dxa"/>
              <w:left w:w="260" w:type="dxa"/>
              <w:bottom w:w="40" w:type="dxa"/>
              <w:right w:w="20" w:type="dxa"/>
            </w:tcMar>
            <w:vAlign w:val="center"/>
          </w:tcPr>
          <w:p w14:paraId="07DD154A" w14:textId="77777777" w:rsidR="00AE727E" w:rsidRDefault="008433E0">
            <w:pPr>
              <w:textAlignment w:val="center"/>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4B" w14:textId="77777777" w:rsidR="00AE727E" w:rsidRDefault="008433E0">
            <w:pPr>
              <w:jc w:val="right"/>
              <w:textAlignment w:val="center"/>
            </w:pPr>
            <w:r>
              <w:rPr>
                <w:rFonts w:ascii="Times New Roman" w:eastAsia="宋体" w:hAnsi="Times New Roman"/>
                <w:color w:val="000000"/>
                <w:sz w:val="20"/>
                <w:szCs w:val="20"/>
              </w:rPr>
              <w:t>10,343 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4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4D"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4E" w14:textId="77777777" w:rsidR="00AE727E" w:rsidRDefault="008433E0">
            <w:pPr>
              <w:jc w:val="right"/>
              <w:textAlignment w:val="center"/>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4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50"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51" w14:textId="77777777" w:rsidR="00AE727E" w:rsidRDefault="008433E0">
            <w:pPr>
              <w:jc w:val="right"/>
              <w:textAlignment w:val="center"/>
            </w:pPr>
            <w:r>
              <w:rPr>
                <w:rFonts w:ascii="Times New Roman" w:eastAsia="宋体" w:hAnsi="Times New Roman"/>
                <w:color w:val="000000"/>
                <w:sz w:val="20"/>
                <w:szCs w:val="20"/>
              </w:rPr>
              <w:t>10,332 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52" w14:textId="77777777" w:rsidR="00AE727E" w:rsidRDefault="00AE727E">
            <w:pPr>
              <w:jc w:val="right"/>
              <w:rPr>
                <w:rFonts w:ascii="宋体"/>
              </w:rPr>
            </w:pPr>
          </w:p>
        </w:tc>
      </w:tr>
      <w:tr w:rsidR="00AE727E" w14:paraId="07DD155D" w14:textId="77777777">
        <w:trPr>
          <w:jc w:val="center"/>
        </w:trPr>
        <w:tc>
          <w:tcPr>
            <w:tcW w:w="0" w:type="auto"/>
            <w:gridSpan w:val="3"/>
            <w:shd w:val="clear" w:color="auto" w:fill="FFFFFF"/>
            <w:tcMar>
              <w:top w:w="40" w:type="dxa"/>
              <w:left w:w="20" w:type="dxa"/>
              <w:bottom w:w="40" w:type="dxa"/>
              <w:right w:w="20" w:type="dxa"/>
            </w:tcMar>
            <w:vAlign w:val="center"/>
          </w:tcPr>
          <w:p w14:paraId="07DD1554" w14:textId="77777777" w:rsidR="00AE727E" w:rsidRDefault="008433E0">
            <w:pPr>
              <w:textAlignment w:val="center"/>
            </w:pPr>
            <w:r>
              <w:rPr>
                <w:rFonts w:ascii="Times New Roman" w:eastAsia="宋体" w:hAnsi="Times New Roman"/>
                <w:b/>
                <w:bCs/>
                <w:color w:val="000000"/>
                <w:sz w:val="20"/>
                <w:szCs w:val="20"/>
              </w:rPr>
              <w:t>Margin Loan Facility and other</w:t>
            </w:r>
          </w:p>
        </w:tc>
        <w:tc>
          <w:tcPr>
            <w:tcW w:w="0" w:type="auto"/>
            <w:gridSpan w:val="2"/>
            <w:shd w:val="clear" w:color="auto" w:fill="FFFFFF"/>
            <w:tcMar>
              <w:top w:w="40" w:type="dxa"/>
              <w:left w:w="20" w:type="dxa"/>
              <w:bottom w:w="40" w:type="dxa"/>
              <w:right w:w="0" w:type="dxa"/>
            </w:tcMar>
            <w:vAlign w:val="center"/>
          </w:tcPr>
          <w:p w14:paraId="07DD1555" w14:textId="77777777" w:rsidR="00AE727E" w:rsidRDefault="008433E0">
            <w:pPr>
              <w:jc w:val="right"/>
              <w:textAlignment w:val="center"/>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center"/>
          </w:tcPr>
          <w:p w14:paraId="07DD155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57"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58" w14:textId="77777777" w:rsidR="00AE727E" w:rsidRDefault="008433E0">
            <w:pPr>
              <w:jc w:val="right"/>
              <w:textAlignment w:val="center"/>
            </w:pPr>
            <w:r>
              <w:rPr>
                <w:rFonts w:ascii="Times New Roman" w:eastAsia="宋体" w:hAnsi="Times New Roman"/>
                <w:color w:val="000000"/>
                <w:sz w:val="20"/>
                <w:szCs w:val="20"/>
              </w:rPr>
              <w:t>(3,835)</w:t>
            </w:r>
          </w:p>
        </w:tc>
        <w:tc>
          <w:tcPr>
            <w:tcW w:w="0" w:type="auto"/>
            <w:shd w:val="clear" w:color="auto" w:fill="FFFFFF"/>
            <w:tcMar>
              <w:top w:w="40" w:type="dxa"/>
              <w:left w:w="0" w:type="dxa"/>
              <w:bottom w:w="40" w:type="dxa"/>
              <w:right w:w="20" w:type="dxa"/>
            </w:tcMar>
            <w:vAlign w:val="center"/>
          </w:tcPr>
          <w:p w14:paraId="07DD155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5A"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5B" w14:textId="77777777" w:rsidR="00AE727E" w:rsidRDefault="008433E0">
            <w:pPr>
              <w:jc w:val="right"/>
              <w:textAlignment w:val="center"/>
            </w:pPr>
            <w:r>
              <w:rPr>
                <w:rFonts w:ascii="Times New Roman" w:eastAsia="宋体" w:hAnsi="Times New Roman"/>
                <w:color w:val="000000"/>
                <w:sz w:val="20"/>
                <w:szCs w:val="20"/>
              </w:rPr>
              <w:t>4,235 </w:t>
            </w:r>
          </w:p>
        </w:tc>
        <w:tc>
          <w:tcPr>
            <w:tcW w:w="0" w:type="auto"/>
            <w:shd w:val="clear" w:color="auto" w:fill="FFFFFF"/>
            <w:tcMar>
              <w:top w:w="40" w:type="dxa"/>
              <w:left w:w="0" w:type="dxa"/>
              <w:bottom w:w="40" w:type="dxa"/>
              <w:right w:w="20" w:type="dxa"/>
            </w:tcMar>
            <w:vAlign w:val="center"/>
          </w:tcPr>
          <w:p w14:paraId="07DD155C" w14:textId="77777777" w:rsidR="00AE727E" w:rsidRDefault="00AE727E">
            <w:pPr>
              <w:jc w:val="right"/>
              <w:rPr>
                <w:rFonts w:ascii="宋体"/>
              </w:rPr>
            </w:pPr>
          </w:p>
        </w:tc>
      </w:tr>
      <w:tr w:rsidR="00AE727E" w14:paraId="07DD1564" w14:textId="77777777">
        <w:trPr>
          <w:jc w:val="center"/>
        </w:trPr>
        <w:tc>
          <w:tcPr>
            <w:tcW w:w="0" w:type="auto"/>
            <w:gridSpan w:val="3"/>
            <w:shd w:val="clear" w:color="auto" w:fill="CCEEFF"/>
            <w:tcMar>
              <w:top w:w="40" w:type="dxa"/>
              <w:left w:w="20" w:type="dxa"/>
              <w:bottom w:w="40" w:type="dxa"/>
              <w:right w:w="20" w:type="dxa"/>
            </w:tcMar>
            <w:vAlign w:val="center"/>
          </w:tcPr>
          <w:p w14:paraId="07DD155E" w14:textId="77777777" w:rsidR="00AE727E" w:rsidRDefault="008433E0">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CCEEFF"/>
            <w:tcMar>
              <w:top w:w="0" w:type="dxa"/>
              <w:left w:w="20" w:type="dxa"/>
              <w:bottom w:w="0" w:type="dxa"/>
              <w:right w:w="20" w:type="dxa"/>
            </w:tcMar>
            <w:vAlign w:val="bottom"/>
          </w:tcPr>
          <w:p w14:paraId="07DD15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60"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6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62"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63" w14:textId="77777777" w:rsidR="00AE727E" w:rsidRDefault="00AE727E">
            <w:pPr>
              <w:rPr>
                <w:rFonts w:ascii="宋体"/>
              </w:rPr>
            </w:pPr>
          </w:p>
        </w:tc>
      </w:tr>
      <w:tr w:rsidR="00AE727E" w14:paraId="07DD156E" w14:textId="77777777">
        <w:trPr>
          <w:jc w:val="center"/>
        </w:trPr>
        <w:tc>
          <w:tcPr>
            <w:tcW w:w="0" w:type="auto"/>
            <w:gridSpan w:val="3"/>
            <w:shd w:val="clear" w:color="auto" w:fill="FFFFFF"/>
            <w:tcMar>
              <w:top w:w="40" w:type="dxa"/>
              <w:left w:w="140" w:type="dxa"/>
              <w:bottom w:w="40" w:type="dxa"/>
              <w:right w:w="20" w:type="dxa"/>
            </w:tcMar>
            <w:vAlign w:val="center"/>
          </w:tcPr>
          <w:p w14:paraId="07DD1565" w14:textId="77777777" w:rsidR="00AE727E" w:rsidRDefault="008433E0">
            <w:pPr>
              <w:textAlignment w:val="center"/>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center"/>
          </w:tcPr>
          <w:p w14:paraId="07DD1566" w14:textId="77777777" w:rsidR="00AE727E" w:rsidRDefault="008433E0">
            <w:pPr>
              <w:jc w:val="right"/>
              <w:textAlignment w:val="center"/>
            </w:pPr>
            <w:r>
              <w:rPr>
                <w:rFonts w:ascii="Times New Roman" w:eastAsia="宋体" w:hAnsi="Times New Roman"/>
                <w:color w:val="000000"/>
                <w:sz w:val="20"/>
                <w:szCs w:val="20"/>
              </w:rPr>
              <w:t>10,750 </w:t>
            </w:r>
          </w:p>
        </w:tc>
        <w:tc>
          <w:tcPr>
            <w:tcW w:w="0" w:type="auto"/>
            <w:shd w:val="clear" w:color="auto" w:fill="FFFFFF"/>
            <w:tcMar>
              <w:top w:w="40" w:type="dxa"/>
              <w:left w:w="0" w:type="dxa"/>
              <w:bottom w:w="40" w:type="dxa"/>
              <w:right w:w="20" w:type="dxa"/>
            </w:tcMar>
            <w:vAlign w:val="center"/>
          </w:tcPr>
          <w:p w14:paraId="07DD156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68"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69" w14:textId="77777777" w:rsidR="00AE727E" w:rsidRDefault="008433E0">
            <w:pPr>
              <w:jc w:val="right"/>
              <w:textAlignment w:val="center"/>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center"/>
          </w:tcPr>
          <w:p w14:paraId="07DD156A"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6B"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6C" w14:textId="77777777" w:rsidR="00AE727E" w:rsidRDefault="008433E0">
            <w:pPr>
              <w:jc w:val="right"/>
              <w:textAlignment w:val="center"/>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center"/>
          </w:tcPr>
          <w:p w14:paraId="07DD156D" w14:textId="77777777" w:rsidR="00AE727E" w:rsidRDefault="00AE727E">
            <w:pPr>
              <w:jc w:val="right"/>
              <w:rPr>
                <w:rFonts w:ascii="宋体"/>
              </w:rPr>
            </w:pPr>
          </w:p>
        </w:tc>
      </w:tr>
      <w:tr w:rsidR="00AE727E" w14:paraId="07DD1575" w14:textId="77777777">
        <w:trPr>
          <w:jc w:val="center"/>
          <w:hidden/>
        </w:trPr>
        <w:tc>
          <w:tcPr>
            <w:tcW w:w="0" w:type="auto"/>
            <w:gridSpan w:val="3"/>
            <w:shd w:val="clear" w:color="auto" w:fill="auto"/>
            <w:vAlign w:val="bottom"/>
          </w:tcPr>
          <w:p w14:paraId="07DD156F" w14:textId="77777777" w:rsidR="00AE727E" w:rsidRDefault="00AE727E">
            <w:pPr>
              <w:rPr>
                <w:rFonts w:ascii="宋体"/>
                <w:vanish/>
              </w:rPr>
            </w:pPr>
          </w:p>
        </w:tc>
        <w:tc>
          <w:tcPr>
            <w:tcW w:w="0" w:type="auto"/>
            <w:gridSpan w:val="3"/>
            <w:shd w:val="clear" w:color="auto" w:fill="auto"/>
            <w:vAlign w:val="bottom"/>
          </w:tcPr>
          <w:p w14:paraId="07DD1570" w14:textId="77777777" w:rsidR="00AE727E" w:rsidRDefault="00AE727E">
            <w:pPr>
              <w:rPr>
                <w:rFonts w:ascii="宋体"/>
                <w:vanish/>
              </w:rPr>
            </w:pPr>
          </w:p>
        </w:tc>
        <w:tc>
          <w:tcPr>
            <w:tcW w:w="0" w:type="auto"/>
            <w:gridSpan w:val="3"/>
            <w:shd w:val="clear" w:color="auto" w:fill="auto"/>
            <w:vAlign w:val="bottom"/>
          </w:tcPr>
          <w:p w14:paraId="07DD1571" w14:textId="77777777" w:rsidR="00AE727E" w:rsidRDefault="00AE727E">
            <w:pPr>
              <w:rPr>
                <w:rFonts w:ascii="宋体"/>
                <w:vanish/>
              </w:rPr>
            </w:pPr>
          </w:p>
        </w:tc>
        <w:tc>
          <w:tcPr>
            <w:tcW w:w="0" w:type="auto"/>
            <w:gridSpan w:val="3"/>
            <w:shd w:val="clear" w:color="auto" w:fill="auto"/>
            <w:vAlign w:val="bottom"/>
          </w:tcPr>
          <w:p w14:paraId="07DD1572" w14:textId="77777777" w:rsidR="00AE727E" w:rsidRDefault="00AE727E">
            <w:pPr>
              <w:rPr>
                <w:rFonts w:ascii="宋体"/>
                <w:vanish/>
              </w:rPr>
            </w:pPr>
          </w:p>
        </w:tc>
        <w:tc>
          <w:tcPr>
            <w:tcW w:w="0" w:type="auto"/>
            <w:gridSpan w:val="3"/>
            <w:shd w:val="clear" w:color="auto" w:fill="auto"/>
            <w:vAlign w:val="bottom"/>
          </w:tcPr>
          <w:p w14:paraId="07DD1573" w14:textId="77777777" w:rsidR="00AE727E" w:rsidRDefault="00AE727E">
            <w:pPr>
              <w:rPr>
                <w:rFonts w:ascii="宋体"/>
                <w:vanish/>
              </w:rPr>
            </w:pPr>
          </w:p>
        </w:tc>
        <w:tc>
          <w:tcPr>
            <w:tcW w:w="0" w:type="auto"/>
            <w:gridSpan w:val="3"/>
            <w:shd w:val="clear" w:color="auto" w:fill="auto"/>
            <w:vAlign w:val="bottom"/>
          </w:tcPr>
          <w:p w14:paraId="07DD1574" w14:textId="77777777" w:rsidR="00AE727E" w:rsidRDefault="00AE727E">
            <w:pPr>
              <w:rPr>
                <w:rFonts w:ascii="宋体"/>
                <w:vanish/>
              </w:rPr>
            </w:pPr>
          </w:p>
        </w:tc>
      </w:tr>
      <w:tr w:rsidR="00AE727E" w14:paraId="07DD157F" w14:textId="77777777">
        <w:trPr>
          <w:jc w:val="center"/>
        </w:trPr>
        <w:tc>
          <w:tcPr>
            <w:tcW w:w="0" w:type="auto"/>
            <w:gridSpan w:val="3"/>
            <w:shd w:val="clear" w:color="auto" w:fill="CCEEFF"/>
            <w:tcMar>
              <w:top w:w="40" w:type="dxa"/>
              <w:left w:w="260" w:type="dxa"/>
              <w:bottom w:w="40" w:type="dxa"/>
              <w:right w:w="20" w:type="dxa"/>
            </w:tcMar>
            <w:vAlign w:val="center"/>
          </w:tcPr>
          <w:p w14:paraId="07DD1576" w14:textId="77777777" w:rsidR="00AE727E" w:rsidRDefault="008433E0">
            <w:pPr>
              <w:textAlignment w:val="center"/>
            </w:pPr>
            <w:r>
              <w:rPr>
                <w:rFonts w:ascii="Times New Roman" w:eastAsia="宋体" w:hAnsi="Times New Roman"/>
                <w:color w:val="000000"/>
                <w:sz w:val="20"/>
                <w:szCs w:val="20"/>
              </w:rPr>
              <w:t>Total public subsidiary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77" w14:textId="77777777" w:rsidR="00AE727E" w:rsidRDefault="008433E0">
            <w:pPr>
              <w:jc w:val="right"/>
              <w:textAlignment w:val="center"/>
            </w:pPr>
            <w:r>
              <w:rPr>
                <w:rFonts w:ascii="Times New Roman" w:eastAsia="宋体" w:hAnsi="Times New Roman"/>
                <w:color w:val="000000"/>
                <w:sz w:val="20"/>
                <w:szCs w:val="20"/>
              </w:rPr>
              <w:t>10,750 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78"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79"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7A" w14:textId="77777777" w:rsidR="00AE727E" w:rsidRDefault="008433E0">
            <w:pPr>
              <w:jc w:val="right"/>
              <w:textAlignment w:val="center"/>
            </w:pPr>
            <w:r>
              <w:rPr>
                <w:rFonts w:ascii="Times New Roman" w:eastAsia="宋体" w:hAnsi="Times New Roman"/>
                <w:color w:val="000000"/>
                <w:sz w:val="20"/>
                <w:szCs w:val="20"/>
              </w:rPr>
              <w:t>6,000 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7B"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7C" w14:textId="77777777" w:rsidR="00AE727E" w:rsidRDefault="00AE727E">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7DD157D" w14:textId="77777777" w:rsidR="00AE727E" w:rsidRDefault="008433E0">
            <w:pPr>
              <w:jc w:val="right"/>
              <w:textAlignment w:val="center"/>
            </w:pPr>
            <w:r>
              <w:rPr>
                <w:rFonts w:ascii="Times New Roman" w:eastAsia="宋体" w:hAnsi="Times New Roman"/>
                <w:color w:val="000000"/>
                <w:sz w:val="20"/>
                <w:szCs w:val="20"/>
              </w:rPr>
              <w:t>4,750 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7DD157E" w14:textId="77777777" w:rsidR="00AE727E" w:rsidRDefault="00AE727E">
            <w:pPr>
              <w:jc w:val="right"/>
              <w:rPr>
                <w:rFonts w:ascii="宋体"/>
              </w:rPr>
            </w:pPr>
          </w:p>
        </w:tc>
      </w:tr>
      <w:tr w:rsidR="00AE727E" w14:paraId="07DD1589" w14:textId="77777777">
        <w:trPr>
          <w:jc w:val="center"/>
        </w:trPr>
        <w:tc>
          <w:tcPr>
            <w:tcW w:w="0" w:type="auto"/>
            <w:gridSpan w:val="3"/>
            <w:shd w:val="clear" w:color="auto" w:fill="FFFFFF"/>
            <w:tcMar>
              <w:top w:w="40" w:type="dxa"/>
              <w:left w:w="380" w:type="dxa"/>
              <w:bottom w:w="40" w:type="dxa"/>
              <w:right w:w="20" w:type="dxa"/>
            </w:tcMar>
            <w:vAlign w:val="center"/>
          </w:tcPr>
          <w:p w14:paraId="07DD1580" w14:textId="77777777" w:rsidR="00AE727E" w:rsidRDefault="008433E0">
            <w:pPr>
              <w:textAlignment w:val="center"/>
            </w:pPr>
            <w:r>
              <w:rPr>
                <w:rFonts w:ascii="Times New Roman" w:eastAsia="宋体" w:hAnsi="Times New Roman"/>
                <w:color w:val="000000"/>
                <w:sz w:val="20"/>
                <w:szCs w:val="20"/>
              </w:rPr>
              <w:t>Total debt,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581" w14:textId="77777777" w:rsidR="00AE727E" w:rsidRDefault="008433E0">
            <w:pPr>
              <w:jc w:val="right"/>
              <w:textAlignment w:val="center"/>
            </w:pPr>
            <w:r>
              <w:rPr>
                <w:rFonts w:ascii="Times New Roman" w:eastAsia="宋体" w:hAnsi="Times New Roman"/>
                <w:color w:val="000000"/>
                <w:sz w:val="20"/>
                <w:szCs w:val="20"/>
              </w:rPr>
              <w:t>48,458 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58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83"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584" w14:textId="77777777" w:rsidR="00AE727E" w:rsidRDefault="008433E0">
            <w:pPr>
              <w:jc w:val="right"/>
              <w:textAlignment w:val="center"/>
            </w:pPr>
            <w:r>
              <w:rPr>
                <w:rFonts w:ascii="Times New Roman" w:eastAsia="宋体" w:hAnsi="Times New Roman"/>
                <w:color w:val="000000"/>
                <w:sz w:val="20"/>
                <w:szCs w:val="20"/>
              </w:rPr>
              <w:t>(22)</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58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86"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D1587" w14:textId="77777777" w:rsidR="00AE727E" w:rsidRDefault="008433E0">
            <w:pPr>
              <w:jc w:val="right"/>
              <w:textAlignment w:val="center"/>
            </w:pPr>
            <w:r>
              <w:rPr>
                <w:rFonts w:ascii="Times New Roman" w:eastAsia="宋体" w:hAnsi="Times New Roman"/>
                <w:color w:val="000000"/>
                <w:sz w:val="20"/>
                <w:szCs w:val="20"/>
              </w:rPr>
              <w:t>48,480 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D1588" w14:textId="77777777" w:rsidR="00AE727E" w:rsidRDefault="00AE727E">
            <w:pPr>
              <w:jc w:val="right"/>
              <w:rPr>
                <w:rFonts w:ascii="宋体"/>
              </w:rPr>
            </w:pPr>
          </w:p>
        </w:tc>
      </w:tr>
      <w:tr w:rsidR="00AE727E" w14:paraId="07DD1593" w14:textId="77777777">
        <w:trPr>
          <w:jc w:val="center"/>
        </w:trPr>
        <w:tc>
          <w:tcPr>
            <w:tcW w:w="0" w:type="auto"/>
            <w:gridSpan w:val="3"/>
            <w:shd w:val="clear" w:color="auto" w:fill="CCEEFF"/>
            <w:tcMar>
              <w:top w:w="40" w:type="dxa"/>
              <w:left w:w="500" w:type="dxa"/>
              <w:bottom w:w="40" w:type="dxa"/>
              <w:right w:w="20" w:type="dxa"/>
            </w:tcMar>
            <w:vAlign w:val="center"/>
          </w:tcPr>
          <w:p w14:paraId="07DD158A" w14:textId="77777777" w:rsidR="00AE727E" w:rsidRDefault="008433E0">
            <w:pPr>
              <w:textAlignment w:val="center"/>
            </w:pPr>
            <w:r>
              <w:rPr>
                <w:rFonts w:ascii="Times New Roman" w:eastAsia="宋体" w:hAnsi="Times New Roman"/>
                <w:color w:val="000000"/>
                <w:sz w:val="20"/>
                <w:szCs w:val="20"/>
              </w:rPr>
              <w:t>Carrying value adjustments</w:t>
            </w:r>
          </w:p>
        </w:tc>
        <w:tc>
          <w:tcPr>
            <w:tcW w:w="0" w:type="auto"/>
            <w:gridSpan w:val="2"/>
            <w:shd w:val="clear" w:color="auto" w:fill="CCEEFF"/>
            <w:tcMar>
              <w:top w:w="40" w:type="dxa"/>
              <w:left w:w="20" w:type="dxa"/>
              <w:bottom w:w="40" w:type="dxa"/>
              <w:right w:w="0" w:type="dxa"/>
            </w:tcMar>
            <w:vAlign w:val="center"/>
          </w:tcPr>
          <w:p w14:paraId="07DD158B" w14:textId="77777777" w:rsidR="00AE727E" w:rsidRDefault="008433E0">
            <w:pPr>
              <w:jc w:val="right"/>
              <w:textAlignment w:val="center"/>
            </w:pPr>
            <w:r>
              <w:rPr>
                <w:rFonts w:ascii="Times New Roman" w:eastAsia="宋体" w:hAnsi="Times New Roman"/>
                <w:color w:val="000000"/>
                <w:sz w:val="20"/>
                <w:szCs w:val="20"/>
              </w:rPr>
              <w:t>(479)</w:t>
            </w:r>
          </w:p>
        </w:tc>
        <w:tc>
          <w:tcPr>
            <w:tcW w:w="0" w:type="auto"/>
            <w:shd w:val="clear" w:color="auto" w:fill="CCEEFF"/>
            <w:tcMar>
              <w:top w:w="40" w:type="dxa"/>
              <w:left w:w="0" w:type="dxa"/>
              <w:bottom w:w="40" w:type="dxa"/>
              <w:right w:w="20" w:type="dxa"/>
            </w:tcMar>
            <w:vAlign w:val="center"/>
          </w:tcPr>
          <w:p w14:paraId="07DD158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8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8E" w14:textId="77777777" w:rsidR="00AE727E" w:rsidRDefault="008433E0">
            <w:pPr>
              <w:jc w:val="right"/>
              <w:textAlignment w:val="center"/>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center"/>
          </w:tcPr>
          <w:p w14:paraId="07DD158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9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91" w14:textId="77777777" w:rsidR="00AE727E" w:rsidRDefault="008433E0">
            <w:pPr>
              <w:jc w:val="right"/>
              <w:textAlignment w:val="center"/>
            </w:pPr>
            <w:r>
              <w:rPr>
                <w:rFonts w:ascii="Times New Roman" w:eastAsia="宋体" w:hAnsi="Times New Roman"/>
                <w:color w:val="000000"/>
                <w:sz w:val="20"/>
                <w:szCs w:val="20"/>
              </w:rPr>
              <w:t>(496)</w:t>
            </w:r>
          </w:p>
        </w:tc>
        <w:tc>
          <w:tcPr>
            <w:tcW w:w="0" w:type="auto"/>
            <w:shd w:val="clear" w:color="auto" w:fill="CCEEFF"/>
            <w:tcMar>
              <w:top w:w="40" w:type="dxa"/>
              <w:left w:w="0" w:type="dxa"/>
              <w:bottom w:w="40" w:type="dxa"/>
              <w:right w:w="20" w:type="dxa"/>
            </w:tcMar>
            <w:vAlign w:val="center"/>
          </w:tcPr>
          <w:p w14:paraId="07DD1592" w14:textId="77777777" w:rsidR="00AE727E" w:rsidRDefault="00AE727E">
            <w:pPr>
              <w:jc w:val="right"/>
              <w:rPr>
                <w:rFonts w:ascii="宋体"/>
              </w:rPr>
            </w:pPr>
          </w:p>
        </w:tc>
      </w:tr>
      <w:tr w:rsidR="00AE727E" w14:paraId="07DD15A0" w14:textId="77777777">
        <w:trPr>
          <w:jc w:val="center"/>
        </w:trPr>
        <w:tc>
          <w:tcPr>
            <w:tcW w:w="0" w:type="auto"/>
            <w:gridSpan w:val="3"/>
            <w:shd w:val="clear" w:color="auto" w:fill="FFFFFF"/>
            <w:tcMar>
              <w:top w:w="40" w:type="dxa"/>
              <w:left w:w="380" w:type="dxa"/>
              <w:bottom w:w="40" w:type="dxa"/>
              <w:right w:w="20" w:type="dxa"/>
            </w:tcMar>
            <w:vAlign w:val="center"/>
          </w:tcPr>
          <w:p w14:paraId="07DD1594" w14:textId="77777777" w:rsidR="00AE727E" w:rsidRDefault="008433E0">
            <w:pPr>
              <w:textAlignment w:val="center"/>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595"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596" w14:textId="77777777" w:rsidR="00AE727E" w:rsidRDefault="008433E0">
            <w:pPr>
              <w:jc w:val="right"/>
              <w:textAlignment w:val="center"/>
            </w:pPr>
            <w:r>
              <w:rPr>
                <w:rFonts w:ascii="Times New Roman" w:eastAsia="宋体" w:hAnsi="Times New Roman"/>
                <w:color w:val="000000"/>
                <w:sz w:val="20"/>
                <w:szCs w:val="20"/>
              </w:rPr>
              <w:t>47,979 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59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98"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599"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59A" w14:textId="77777777" w:rsidR="00AE727E" w:rsidRDefault="008433E0">
            <w:pPr>
              <w:jc w:val="right"/>
              <w:textAlignment w:val="center"/>
            </w:pPr>
            <w:r>
              <w:rPr>
                <w:rFonts w:ascii="Times New Roman" w:eastAsia="宋体" w:hAnsi="Times New Roman"/>
                <w:color w:val="000000"/>
                <w:sz w:val="20"/>
                <w:szCs w:val="20"/>
              </w:rPr>
              <w:t>(5)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5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9C"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59D"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59E" w14:textId="77777777" w:rsidR="00AE727E" w:rsidRDefault="008433E0">
            <w:pPr>
              <w:jc w:val="right"/>
              <w:textAlignment w:val="center"/>
            </w:pPr>
            <w:r>
              <w:rPr>
                <w:rFonts w:ascii="Times New Roman" w:eastAsia="宋体" w:hAnsi="Times New Roman"/>
                <w:color w:val="000000"/>
                <w:sz w:val="20"/>
                <w:szCs w:val="20"/>
              </w:rPr>
              <w:t>47,984 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59F" w14:textId="77777777" w:rsidR="00AE727E" w:rsidRDefault="00AE727E">
            <w:pPr>
              <w:jc w:val="right"/>
              <w:rPr>
                <w:rFonts w:ascii="宋体"/>
              </w:rPr>
            </w:pPr>
          </w:p>
        </w:tc>
      </w:tr>
    </w:tbl>
    <w:p w14:paraId="07DD15A1" w14:textId="77777777" w:rsidR="00AE727E" w:rsidRDefault="00AE727E"/>
    <w:p w14:paraId="07DD15A2" w14:textId="77777777" w:rsidR="00AE727E" w:rsidRDefault="008433E0">
      <w:r>
        <w:rPr>
          <w:rFonts w:ascii="Times New Roman" w:eastAsia="宋体" w:hAnsi="Times New Roman"/>
          <w:color w:val="000000"/>
          <w:sz w:val="20"/>
          <w:szCs w:val="20"/>
        </w:rPr>
        <w:t>During the first nine months of Fiscal 2022, the outstanding principal amount of our debt</w:t>
      </w:r>
      <w:r>
        <w:rPr>
          <w:rFonts w:ascii="Times New Roman" w:eastAsia="宋体" w:hAnsi="Times New Roman"/>
          <w:color w:val="000000"/>
          <w:sz w:val="20"/>
          <w:szCs w:val="20"/>
          <w:shd w:val="clear" w:color="auto" w:fill="FFFFFF"/>
        </w:rPr>
        <w:t xml:space="preserve"> remained relatively flat</w:t>
      </w:r>
      <w:r>
        <w:rPr>
          <w:rFonts w:ascii="Times New Roman" w:eastAsia="宋体" w:hAnsi="Times New Roman"/>
          <w:color w:val="000000"/>
          <w:sz w:val="20"/>
          <w:szCs w:val="20"/>
        </w:rPr>
        <w:t>, primarily as a result of principal repayments of $6.5 billion offs</w:t>
      </w:r>
      <w:r>
        <w:rPr>
          <w:rFonts w:ascii="Times New Roman" w:eastAsia="宋体" w:hAnsi="Times New Roman"/>
          <w:color w:val="000000"/>
          <w:sz w:val="20"/>
          <w:szCs w:val="20"/>
        </w:rPr>
        <w:t xml:space="preserve">et by the issuance of $6.0 billion of VMware Notes and $0.4 billion of net DFS debt activity. </w:t>
      </w:r>
    </w:p>
    <w:p w14:paraId="07DD15A3" w14:textId="77777777" w:rsidR="00AE727E" w:rsidRDefault="00AE727E"/>
    <w:p w14:paraId="07DD15A4" w14:textId="77777777" w:rsidR="00AE727E" w:rsidRDefault="00AE727E">
      <w:pPr>
        <w:jc w:val="center"/>
      </w:pPr>
    </w:p>
    <w:p w14:paraId="07DD15A5" w14:textId="77777777" w:rsidR="00AE727E" w:rsidRDefault="008433E0">
      <w:pPr>
        <w:jc w:val="center"/>
      </w:pPr>
      <w:r>
        <w:rPr>
          <w:rFonts w:ascii="Times New Roman" w:eastAsia="宋体" w:hAnsi="Times New Roman"/>
          <w:color w:val="000000"/>
          <w:sz w:val="20"/>
          <w:szCs w:val="20"/>
        </w:rPr>
        <w:t>87</w:t>
      </w:r>
    </w:p>
    <w:p w14:paraId="07DD15A6" w14:textId="77777777" w:rsidR="00AE727E" w:rsidRDefault="00AE727E">
      <w:pPr>
        <w:jc w:val="center"/>
      </w:pPr>
    </w:p>
    <w:p w14:paraId="07DD15A7" w14:textId="77777777" w:rsidR="00AE727E" w:rsidRDefault="008433E0">
      <w:r>
        <w:pict w14:anchorId="07DD1927">
          <v:rect id="_x0000_i1111" style="width:415.3pt;height:1.5pt" o:hralign="center" o:hrstd="t" o:hr="t" fillcolor="#a0a0a0" stroked="f"/>
        </w:pict>
      </w:r>
    </w:p>
    <w:p w14:paraId="07DD15A8" w14:textId="77777777" w:rsidR="00AE727E" w:rsidRDefault="008433E0">
      <w:hyperlink r:id="rId212" w:anchor="i1c8279be622a460ea19600488436f115_10"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07DD15A9" w14:textId="77777777" w:rsidR="00AE727E" w:rsidRDefault="008433E0">
      <w:r>
        <w:rPr>
          <w:rFonts w:ascii="Times New Roman" w:eastAsia="宋体" w:hAnsi="Times New Roman"/>
          <w:color w:val="000000"/>
          <w:sz w:val="20"/>
          <w:szCs w:val="20"/>
        </w:rPr>
        <w:t>We define core debt as the total principal amount of our debt, less DFS related debt, our Margin Loan Facility and other debt, and public subsidiary debt. Our core debt was $27.0 billion as of October 29, 2021. During the first nine mont</w:t>
      </w:r>
      <w:r>
        <w:rPr>
          <w:rFonts w:ascii="Times New Roman" w:eastAsia="宋体" w:hAnsi="Times New Roman"/>
          <w:color w:val="000000"/>
          <w:sz w:val="20"/>
          <w:szCs w:val="20"/>
        </w:rPr>
        <w:t>hs of Fiscal 2022, the decrease in our core debt was driven by principal repayments, including $1.1 billion principal amount of our 5.875% Senior Notes due June 2021, $1.0 billion principal amount of our 3.375% EMC Notes due June 2023, and $0.4 billion pri</w:t>
      </w:r>
      <w:r>
        <w:rPr>
          <w:rFonts w:ascii="Times New Roman" w:eastAsia="宋体" w:hAnsi="Times New Roman"/>
          <w:color w:val="000000"/>
          <w:sz w:val="20"/>
          <w:szCs w:val="20"/>
        </w:rPr>
        <w:t xml:space="preserve">ncipal amount of our 4.625% Unsecured Notes due April 2021. </w:t>
      </w:r>
    </w:p>
    <w:p w14:paraId="07DD15AA" w14:textId="77777777" w:rsidR="00AE727E" w:rsidRDefault="00AE727E"/>
    <w:p w14:paraId="07DD15AB" w14:textId="77777777" w:rsidR="00AE727E" w:rsidRDefault="008433E0">
      <w:r>
        <w:rPr>
          <w:rFonts w:ascii="Times New Roman" w:eastAsia="宋体" w:hAnsi="Times New Roman"/>
          <w:color w:val="000000"/>
          <w:sz w:val="20"/>
          <w:szCs w:val="20"/>
        </w:rPr>
        <w:t>In connection with the VMware Spin-off executed on November 1, 2021, VMware, Inc. paid a cash dividend, pro rata, to each of the holders of VMware, Inc. common stock in an aggregate amount equal to $11.5 billion, of which Dell Technologies received $9.3 bi</w:t>
      </w:r>
      <w:r>
        <w:rPr>
          <w:rFonts w:ascii="Times New Roman" w:eastAsia="宋体" w:hAnsi="Times New Roman"/>
          <w:color w:val="000000"/>
          <w:sz w:val="20"/>
          <w:szCs w:val="20"/>
        </w:rPr>
        <w:t xml:space="preserve">llion. Subsequent to October 29, 2021 and the completion of the transaction, the Company utilized the net proceeds from its pro rata share, as well as cash on hand, to repay $9.4 billion in outstanding principal amount of core debt. Further, in connection </w:t>
      </w:r>
      <w:r>
        <w:rPr>
          <w:rFonts w:ascii="Times New Roman" w:eastAsia="宋体" w:hAnsi="Times New Roman"/>
          <w:color w:val="000000"/>
          <w:sz w:val="20"/>
          <w:szCs w:val="20"/>
        </w:rPr>
        <w:t>with the termination of the Existing Credit Agreement, which governed the Senior Secured Credit Facilities, the tangible and intangible assets that secured the First Lien Notes were released as collateral and, as such, our remaining core debt became unsecu</w:t>
      </w:r>
      <w:r>
        <w:rPr>
          <w:rFonts w:ascii="Times New Roman" w:eastAsia="宋体" w:hAnsi="Times New Roman"/>
          <w:color w:val="000000"/>
          <w:sz w:val="20"/>
          <w:szCs w:val="20"/>
        </w:rPr>
        <w:t xml:space="preserve">red. Additionally, on November 19, 2021, the Company issued a partial redemption notice of $1.25 billion principal amount of the 5.45% First Lien Notes due June 2023 with the repayment expected to occur on December 6, 2021. </w:t>
      </w:r>
    </w:p>
    <w:p w14:paraId="07DD15AC" w14:textId="77777777" w:rsidR="00AE727E" w:rsidRDefault="00AE727E"/>
    <w:p w14:paraId="07DD15AD" w14:textId="77777777" w:rsidR="00AE727E" w:rsidRDefault="008433E0">
      <w:r>
        <w:rPr>
          <w:rFonts w:ascii="Times New Roman" w:eastAsia="宋体" w:hAnsi="Times New Roman"/>
          <w:color w:val="000000"/>
          <w:sz w:val="20"/>
          <w:szCs w:val="20"/>
        </w:rPr>
        <w:t xml:space="preserve">See </w:t>
      </w:r>
      <w:r>
        <w:rPr>
          <w:rFonts w:ascii="Times New Roman" w:eastAsia="宋体" w:hAnsi="Times New Roman"/>
          <w:color w:val="000000"/>
          <w:sz w:val="20"/>
          <w:szCs w:val="20"/>
          <w:shd w:val="clear" w:color="auto" w:fill="FFFFFF"/>
        </w:rPr>
        <w:t>Note 18</w:t>
      </w:r>
      <w:r>
        <w:rPr>
          <w:rFonts w:ascii="Times New Roman" w:eastAsia="宋体" w:hAnsi="Times New Roman"/>
          <w:color w:val="000000"/>
          <w:sz w:val="20"/>
          <w:szCs w:val="20"/>
        </w:rPr>
        <w:t xml:space="preserve"> of the Notes to the Condensed Consolidated Financial Statements included in this report for more information about VMware Spin-off and debt-related activity subsequent to October 29, 2021.</w:t>
      </w:r>
    </w:p>
    <w:p w14:paraId="07DD15AE" w14:textId="77777777" w:rsidR="00AE727E" w:rsidRDefault="00AE727E"/>
    <w:p w14:paraId="07DD15AF" w14:textId="77777777" w:rsidR="00AE727E" w:rsidRDefault="008433E0">
      <w:r>
        <w:rPr>
          <w:rFonts w:ascii="Times New Roman" w:eastAsia="宋体" w:hAnsi="Times New Roman"/>
          <w:color w:val="000000"/>
          <w:sz w:val="20"/>
          <w:szCs w:val="20"/>
        </w:rPr>
        <w:t>As of October 29, 2021, our Margin Loan Facility and other debt w</w:t>
      </w:r>
      <w:r>
        <w:rPr>
          <w:rFonts w:ascii="Times New Roman" w:eastAsia="宋体" w:hAnsi="Times New Roman"/>
          <w:color w:val="000000"/>
          <w:sz w:val="20"/>
          <w:szCs w:val="20"/>
        </w:rPr>
        <w:t xml:space="preserve">as $0.4 billion and consisted only of other debt. During the first nine months of Fiscal 2022, we fully repaid the Margin Loan Facility in the principal amount of $4.0 billion. </w:t>
      </w:r>
    </w:p>
    <w:p w14:paraId="07DD15B0" w14:textId="77777777" w:rsidR="00AE727E" w:rsidRDefault="00AE727E"/>
    <w:p w14:paraId="07DD15B1" w14:textId="77777777" w:rsidR="00AE727E" w:rsidRDefault="008433E0">
      <w:r>
        <w:rPr>
          <w:rFonts w:ascii="Times New Roman" w:eastAsia="宋体" w:hAnsi="Times New Roman"/>
          <w:color w:val="000000"/>
          <w:sz w:val="20"/>
          <w:szCs w:val="20"/>
        </w:rPr>
        <w:t>DFS related debt primarily represents debt from our securitization and struct</w:t>
      </w:r>
      <w:r>
        <w:rPr>
          <w:rFonts w:ascii="Times New Roman" w:eastAsia="宋体" w:hAnsi="Times New Roman"/>
          <w:color w:val="000000"/>
          <w:sz w:val="20"/>
          <w:szCs w:val="20"/>
        </w:rPr>
        <w:t>ured financing programs. The majority of DFS debt is non-recourse to Dell Technologies and represents borrowings under securitization programs and structured financing programs, for which our risk of loss is limited to transferred lease and loan payments a</w:t>
      </w:r>
      <w:r>
        <w:rPr>
          <w:rFonts w:ascii="Times New Roman" w:eastAsia="宋体" w:hAnsi="Times New Roman"/>
          <w:color w:val="000000"/>
          <w:sz w:val="20"/>
          <w:szCs w:val="20"/>
        </w:rPr>
        <w:t xml:space="preserve">nd associated equipment, and under which the credit holders have no recourse to Dell Technologies. </w:t>
      </w:r>
    </w:p>
    <w:p w14:paraId="07DD15B2" w14:textId="77777777" w:rsidR="00AE727E" w:rsidRDefault="00AE727E"/>
    <w:p w14:paraId="07DD15B3" w14:textId="77777777" w:rsidR="00AE727E" w:rsidRDefault="008433E0">
      <w:r>
        <w:rPr>
          <w:rFonts w:ascii="Times New Roman" w:eastAsia="宋体" w:hAnsi="Times New Roman"/>
          <w:color w:val="000000"/>
          <w:sz w:val="20"/>
          <w:szCs w:val="20"/>
        </w:rPr>
        <w:t>To fund expansion of the DFS business, we balance the use of the securitization and structured financing programs with other sources of liquidity. We appro</w:t>
      </w:r>
      <w:r>
        <w:rPr>
          <w:rFonts w:ascii="Times New Roman" w:eastAsia="宋体" w:hAnsi="Times New Roman"/>
          <w:color w:val="000000"/>
          <w:sz w:val="20"/>
          <w:szCs w:val="20"/>
        </w:rPr>
        <w:t>ximate the amount of our debt used to fund the DFS business by applying a 7:1 debt to equity ratio to the sum of our financing receivables balance and equipment under our DFS operating leases, net. The debt to equity ratio used is based on the underlying c</w:t>
      </w:r>
      <w:r>
        <w:rPr>
          <w:rFonts w:ascii="Times New Roman" w:eastAsia="宋体" w:hAnsi="Times New Roman"/>
          <w:color w:val="000000"/>
          <w:sz w:val="20"/>
          <w:szCs w:val="20"/>
        </w:rPr>
        <w:t>redit quality of the assets. See Note 3 of the Notes to the Condensed Consolidated Financial Statements included in this report for more information about our DFS debt.</w:t>
      </w:r>
    </w:p>
    <w:p w14:paraId="07DD15B4" w14:textId="77777777" w:rsidR="00AE727E" w:rsidRDefault="00AE727E"/>
    <w:p w14:paraId="07DD15B5" w14:textId="77777777" w:rsidR="00AE727E" w:rsidRDefault="008433E0">
      <w:r>
        <w:rPr>
          <w:rFonts w:ascii="Times New Roman" w:eastAsia="宋体" w:hAnsi="Times New Roman"/>
          <w:color w:val="000000"/>
          <w:sz w:val="20"/>
          <w:szCs w:val="20"/>
        </w:rPr>
        <w:t>Public subsidiary debt represents VMware, Inc. indebtedness. VMware, Inc. and its resp</w:t>
      </w:r>
      <w:r>
        <w:rPr>
          <w:rFonts w:ascii="Times New Roman" w:eastAsia="宋体" w:hAnsi="Times New Roman"/>
          <w:color w:val="000000"/>
          <w:sz w:val="20"/>
          <w:szCs w:val="20"/>
        </w:rPr>
        <w:t>ective subsidiaries are unrestricted subsidiaries for purposes of the core debt of Dell Technologies.  Neither Dell Technologies nor any of its subsidiaries, other than VMware, Inc., is obligated to make payment on the VMware Notes.  None of the net procee</w:t>
      </w:r>
      <w:r>
        <w:rPr>
          <w:rFonts w:ascii="Times New Roman" w:eastAsia="宋体" w:hAnsi="Times New Roman"/>
          <w:color w:val="000000"/>
          <w:sz w:val="20"/>
          <w:szCs w:val="20"/>
        </w:rPr>
        <w:t xml:space="preserve">ds of the VMware Notes will be made available to support the operations or satisfy any corporate purposes of Dell Technologies, other than the operations and corporate purposes of VMware, Inc. and its subsidiaries. </w:t>
      </w:r>
    </w:p>
    <w:p w14:paraId="07DD15B6" w14:textId="77777777" w:rsidR="00AE727E" w:rsidRDefault="00AE727E"/>
    <w:p w14:paraId="07DD15B7" w14:textId="77777777" w:rsidR="00AE727E" w:rsidRDefault="008433E0">
      <w:r>
        <w:rPr>
          <w:rFonts w:ascii="Times New Roman" w:eastAsia="宋体" w:hAnsi="Times New Roman"/>
          <w:color w:val="000000"/>
          <w:sz w:val="20"/>
          <w:szCs w:val="20"/>
        </w:rPr>
        <w:t>See Note 5 of the Notes to the Condense</w:t>
      </w:r>
      <w:r>
        <w:rPr>
          <w:rFonts w:ascii="Times New Roman" w:eastAsia="宋体" w:hAnsi="Times New Roman"/>
          <w:color w:val="000000"/>
          <w:sz w:val="20"/>
          <w:szCs w:val="20"/>
        </w:rPr>
        <w:t xml:space="preserve">d Consolidated Financial Statements included in this report for more information about our debt and VMware, Inc. debt. </w:t>
      </w:r>
    </w:p>
    <w:p w14:paraId="07DD15B8" w14:textId="77777777" w:rsidR="00AE727E" w:rsidRDefault="00AE727E"/>
    <w:p w14:paraId="07DD15B9" w14:textId="77777777" w:rsidR="00AE727E" w:rsidRDefault="008433E0">
      <w:r>
        <w:rPr>
          <w:rFonts w:ascii="Times New Roman" w:eastAsia="宋体" w:hAnsi="Times New Roman"/>
          <w:color w:val="000000"/>
          <w:sz w:val="20"/>
          <w:szCs w:val="20"/>
        </w:rPr>
        <w:t xml:space="preserve">We have made steady progress in paying down debt and we will continue to include deleveraging as an important component of our overall </w:t>
      </w:r>
      <w:r>
        <w:rPr>
          <w:rFonts w:ascii="Times New Roman" w:eastAsia="宋体" w:hAnsi="Times New Roman"/>
          <w:color w:val="000000"/>
          <w:sz w:val="20"/>
          <w:szCs w:val="20"/>
        </w:rPr>
        <w:t xml:space="preserve">strategy. We have achieved an investment grade corporate family rating from three major credit rating agencies, with the final upgrade occurring subsequent to October 29, 2021. </w:t>
      </w:r>
    </w:p>
    <w:p w14:paraId="07DD15BA" w14:textId="77777777" w:rsidR="00AE727E" w:rsidRDefault="00AE727E"/>
    <w:p w14:paraId="07DD15BB" w14:textId="77777777" w:rsidR="00AE727E" w:rsidRDefault="008433E0">
      <w:r>
        <w:rPr>
          <w:rFonts w:ascii="Times New Roman" w:eastAsia="宋体" w:hAnsi="Times New Roman"/>
          <w:color w:val="000000"/>
          <w:sz w:val="20"/>
          <w:szCs w:val="20"/>
        </w:rPr>
        <w:t>We believe we will continue to be able to make our debt principal and interes</w:t>
      </w:r>
      <w:r>
        <w:rPr>
          <w:rFonts w:ascii="Times New Roman" w:eastAsia="宋体" w:hAnsi="Times New Roman"/>
          <w:color w:val="000000"/>
          <w:sz w:val="20"/>
          <w:szCs w:val="20"/>
        </w:rPr>
        <w:t>t payments, including the short-term maturities, from existing and expected sources of cash, primarily from operating cash flows. Cash used for debt principal and interest payments may also include short-term borrowings under our revolving credit facilitie</w:t>
      </w:r>
      <w:r>
        <w:rPr>
          <w:rFonts w:ascii="Times New Roman" w:eastAsia="宋体" w:hAnsi="Times New Roman"/>
          <w:color w:val="000000"/>
          <w:sz w:val="20"/>
          <w:szCs w:val="20"/>
        </w:rPr>
        <w:t>s. Under our variable-rate debt, we could experience variations in our future interest expense from potential fluctuations in applicable reference rates, or from possible fluctuations in the level of DFS debt required to meet future demand for customer fin</w:t>
      </w:r>
      <w:r>
        <w:rPr>
          <w:rFonts w:ascii="Times New Roman" w:eastAsia="宋体" w:hAnsi="Times New Roman"/>
          <w:color w:val="000000"/>
          <w:sz w:val="20"/>
          <w:szCs w:val="20"/>
        </w:rPr>
        <w:t>ancing. We or our affiliates or their related persons, at our or their sole discretion and without public announcement, may purchase, redeem, prepay, refinance, or otherwise retire any amount of our outstanding indebtedness under the terms of such indebted</w:t>
      </w:r>
      <w:r>
        <w:rPr>
          <w:rFonts w:ascii="Times New Roman" w:eastAsia="宋体" w:hAnsi="Times New Roman"/>
          <w:color w:val="000000"/>
          <w:sz w:val="20"/>
          <w:szCs w:val="20"/>
        </w:rPr>
        <w:t>ness at any time and from time to time, in open market or negotiated transactions with the holders of such indebtedness or otherwise, as appropriate market conditions exist.</w:t>
      </w:r>
    </w:p>
    <w:p w14:paraId="07DD15BC" w14:textId="77777777" w:rsidR="00AE727E" w:rsidRDefault="00AE727E">
      <w:pPr>
        <w:jc w:val="center"/>
      </w:pPr>
    </w:p>
    <w:p w14:paraId="07DD15BD" w14:textId="77777777" w:rsidR="00AE727E" w:rsidRDefault="008433E0">
      <w:pPr>
        <w:jc w:val="center"/>
      </w:pPr>
      <w:r>
        <w:rPr>
          <w:rFonts w:ascii="Times New Roman" w:eastAsia="宋体" w:hAnsi="Times New Roman"/>
          <w:color w:val="000000"/>
          <w:sz w:val="20"/>
          <w:szCs w:val="20"/>
        </w:rPr>
        <w:t>88</w:t>
      </w:r>
    </w:p>
    <w:p w14:paraId="07DD15BE" w14:textId="77777777" w:rsidR="00AE727E" w:rsidRDefault="00AE727E">
      <w:pPr>
        <w:jc w:val="center"/>
      </w:pPr>
    </w:p>
    <w:p w14:paraId="07DD15BF" w14:textId="77777777" w:rsidR="00AE727E" w:rsidRDefault="008433E0">
      <w:r>
        <w:pict w14:anchorId="07DD1928">
          <v:rect id="_x0000_i1112" style="width:415.3pt;height:1.5pt" o:hralign="center" o:hrstd="t" o:hr="t" fillcolor="#a0a0a0" stroked="f"/>
        </w:pict>
      </w:r>
    </w:p>
    <w:p w14:paraId="07DD15C0" w14:textId="77777777" w:rsidR="00AE727E" w:rsidRDefault="008433E0">
      <w:hyperlink r:id="rId213" w:anchor="i1c8279be622a460ea19600488436f115_10" w:history="1">
        <w:r>
          <w:rPr>
            <w:rStyle w:val="a5"/>
            <w:rFonts w:ascii="Times New Roman" w:eastAsia="宋体" w:hAnsi="Times New Roman"/>
            <w:sz w:val="20"/>
            <w:szCs w:val="20"/>
          </w:rPr>
          <w:t>Table of Contents</w:t>
        </w:r>
      </w:hyperlink>
    </w:p>
    <w:p w14:paraId="07DD15C1" w14:textId="77777777" w:rsidR="00AE727E" w:rsidRDefault="008433E0">
      <w:r>
        <w:rPr>
          <w:rFonts w:ascii="Times New Roman" w:eastAsia="宋体" w:hAnsi="Times New Roman"/>
          <w:b/>
          <w:bCs/>
          <w:color w:val="000000"/>
          <w:sz w:val="20"/>
          <w:szCs w:val="20"/>
          <w:shd w:val="clear" w:color="auto" w:fill="FFFFFF"/>
        </w:rPr>
        <w:t>Cash Flows</w:t>
      </w:r>
    </w:p>
    <w:p w14:paraId="07DD15C2" w14:textId="77777777" w:rsidR="00AE727E" w:rsidRDefault="00AE727E"/>
    <w:p w14:paraId="07DD15C3" w14:textId="77777777" w:rsidR="00AE727E" w:rsidRDefault="008433E0">
      <w:pPr>
        <w:spacing w:after="60"/>
      </w:pPr>
      <w:r>
        <w:rPr>
          <w:rFonts w:ascii="Times New Roman" w:eastAsia="宋体" w:hAnsi="Times New Roman"/>
          <w:color w:val="000000"/>
          <w:sz w:val="20"/>
          <w:szCs w:val="20"/>
          <w:shd w:val="clear" w:color="auto" w:fill="FFFFFF"/>
        </w:rPr>
        <w:t xml:space="preserve">The following table presents a summary of our </w:t>
      </w:r>
      <w:r>
        <w:rPr>
          <w:rFonts w:ascii="Times New Roman" w:eastAsia="宋体" w:hAnsi="Times New Roman"/>
          <w:color w:val="000000"/>
          <w:sz w:val="20"/>
          <w:szCs w:val="20"/>
        </w:rPr>
        <w:t>Condensed Consolidated Statements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3"/>
        <w:gridCol w:w="39"/>
        <w:gridCol w:w="121"/>
        <w:gridCol w:w="1230"/>
        <w:gridCol w:w="37"/>
        <w:gridCol w:w="36"/>
        <w:gridCol w:w="36"/>
        <w:gridCol w:w="36"/>
        <w:gridCol w:w="121"/>
        <w:gridCol w:w="1230"/>
        <w:gridCol w:w="37"/>
      </w:tblGrid>
      <w:tr w:rsidR="00AE727E" w14:paraId="07DD15D0" w14:textId="77777777">
        <w:tc>
          <w:tcPr>
            <w:tcW w:w="50" w:type="pct"/>
            <w:shd w:val="clear" w:color="auto" w:fill="auto"/>
            <w:vAlign w:val="bottom"/>
          </w:tcPr>
          <w:p w14:paraId="07DD15C4" w14:textId="77777777" w:rsidR="00AE727E" w:rsidRDefault="00AE727E">
            <w:pPr>
              <w:rPr>
                <w:rFonts w:ascii="宋体"/>
              </w:rPr>
            </w:pPr>
          </w:p>
        </w:tc>
        <w:tc>
          <w:tcPr>
            <w:tcW w:w="3263" w:type="pct"/>
            <w:shd w:val="clear" w:color="auto" w:fill="auto"/>
            <w:vAlign w:val="bottom"/>
          </w:tcPr>
          <w:p w14:paraId="07DD15C5" w14:textId="77777777" w:rsidR="00AE727E" w:rsidRDefault="00AE727E">
            <w:pPr>
              <w:rPr>
                <w:rFonts w:ascii="宋体"/>
              </w:rPr>
            </w:pPr>
          </w:p>
        </w:tc>
        <w:tc>
          <w:tcPr>
            <w:tcW w:w="5" w:type="pct"/>
            <w:shd w:val="clear" w:color="auto" w:fill="auto"/>
            <w:vAlign w:val="bottom"/>
          </w:tcPr>
          <w:p w14:paraId="07DD15C6" w14:textId="77777777" w:rsidR="00AE727E" w:rsidRDefault="00AE727E">
            <w:pPr>
              <w:rPr>
                <w:rFonts w:ascii="宋体"/>
              </w:rPr>
            </w:pPr>
          </w:p>
        </w:tc>
        <w:tc>
          <w:tcPr>
            <w:tcW w:w="50" w:type="pct"/>
            <w:shd w:val="clear" w:color="auto" w:fill="auto"/>
            <w:vAlign w:val="bottom"/>
          </w:tcPr>
          <w:p w14:paraId="07DD15C7" w14:textId="77777777" w:rsidR="00AE727E" w:rsidRDefault="00AE727E">
            <w:pPr>
              <w:rPr>
                <w:rFonts w:ascii="宋体"/>
              </w:rPr>
            </w:pPr>
          </w:p>
        </w:tc>
        <w:tc>
          <w:tcPr>
            <w:tcW w:w="771" w:type="pct"/>
            <w:shd w:val="clear" w:color="auto" w:fill="auto"/>
            <w:vAlign w:val="bottom"/>
          </w:tcPr>
          <w:p w14:paraId="07DD15C8" w14:textId="77777777" w:rsidR="00AE727E" w:rsidRDefault="00AE727E">
            <w:pPr>
              <w:rPr>
                <w:rFonts w:ascii="宋体"/>
              </w:rPr>
            </w:pPr>
          </w:p>
        </w:tc>
        <w:tc>
          <w:tcPr>
            <w:tcW w:w="5" w:type="pct"/>
            <w:shd w:val="clear" w:color="auto" w:fill="auto"/>
            <w:vAlign w:val="bottom"/>
          </w:tcPr>
          <w:p w14:paraId="07DD15C9" w14:textId="77777777" w:rsidR="00AE727E" w:rsidRDefault="00AE727E">
            <w:pPr>
              <w:rPr>
                <w:rFonts w:ascii="宋体"/>
              </w:rPr>
            </w:pPr>
          </w:p>
        </w:tc>
        <w:tc>
          <w:tcPr>
            <w:tcW w:w="5" w:type="pct"/>
            <w:shd w:val="clear" w:color="auto" w:fill="auto"/>
            <w:vAlign w:val="bottom"/>
          </w:tcPr>
          <w:p w14:paraId="07DD15CA" w14:textId="77777777" w:rsidR="00AE727E" w:rsidRDefault="00AE727E">
            <w:pPr>
              <w:rPr>
                <w:rFonts w:ascii="宋体"/>
              </w:rPr>
            </w:pPr>
          </w:p>
        </w:tc>
        <w:tc>
          <w:tcPr>
            <w:tcW w:w="19" w:type="pct"/>
            <w:shd w:val="clear" w:color="auto" w:fill="auto"/>
            <w:vAlign w:val="bottom"/>
          </w:tcPr>
          <w:p w14:paraId="07DD15CB" w14:textId="77777777" w:rsidR="00AE727E" w:rsidRDefault="00AE727E">
            <w:pPr>
              <w:rPr>
                <w:rFonts w:ascii="宋体"/>
              </w:rPr>
            </w:pPr>
          </w:p>
        </w:tc>
        <w:tc>
          <w:tcPr>
            <w:tcW w:w="5" w:type="pct"/>
            <w:shd w:val="clear" w:color="auto" w:fill="auto"/>
            <w:vAlign w:val="bottom"/>
          </w:tcPr>
          <w:p w14:paraId="07DD15CC" w14:textId="77777777" w:rsidR="00AE727E" w:rsidRDefault="00AE727E">
            <w:pPr>
              <w:rPr>
                <w:rFonts w:ascii="宋体"/>
              </w:rPr>
            </w:pPr>
          </w:p>
        </w:tc>
        <w:tc>
          <w:tcPr>
            <w:tcW w:w="50" w:type="pct"/>
            <w:shd w:val="clear" w:color="auto" w:fill="auto"/>
            <w:vAlign w:val="bottom"/>
          </w:tcPr>
          <w:p w14:paraId="07DD15CD" w14:textId="77777777" w:rsidR="00AE727E" w:rsidRDefault="00AE727E">
            <w:pPr>
              <w:rPr>
                <w:rFonts w:ascii="宋体"/>
              </w:rPr>
            </w:pPr>
          </w:p>
        </w:tc>
        <w:tc>
          <w:tcPr>
            <w:tcW w:w="771" w:type="pct"/>
            <w:shd w:val="clear" w:color="auto" w:fill="auto"/>
            <w:vAlign w:val="bottom"/>
          </w:tcPr>
          <w:p w14:paraId="07DD15CE" w14:textId="77777777" w:rsidR="00AE727E" w:rsidRDefault="00AE727E">
            <w:pPr>
              <w:rPr>
                <w:rFonts w:ascii="宋体"/>
              </w:rPr>
            </w:pPr>
          </w:p>
        </w:tc>
        <w:tc>
          <w:tcPr>
            <w:tcW w:w="5" w:type="pct"/>
            <w:shd w:val="clear" w:color="auto" w:fill="auto"/>
            <w:vAlign w:val="bottom"/>
          </w:tcPr>
          <w:p w14:paraId="07DD15CF" w14:textId="77777777" w:rsidR="00AE727E" w:rsidRDefault="00AE727E">
            <w:pPr>
              <w:rPr>
                <w:rFonts w:ascii="宋体"/>
              </w:rPr>
            </w:pPr>
          </w:p>
        </w:tc>
      </w:tr>
      <w:tr w:rsidR="00AE727E" w14:paraId="07DD15D3" w14:textId="77777777">
        <w:tc>
          <w:tcPr>
            <w:tcW w:w="0" w:type="auto"/>
            <w:gridSpan w:val="3"/>
            <w:shd w:val="clear" w:color="auto" w:fill="auto"/>
            <w:tcMar>
              <w:top w:w="0" w:type="dxa"/>
              <w:left w:w="20" w:type="dxa"/>
              <w:bottom w:w="0" w:type="dxa"/>
              <w:right w:w="20" w:type="dxa"/>
            </w:tcMar>
            <w:vAlign w:val="bottom"/>
          </w:tcPr>
          <w:p w14:paraId="07DD15D1" w14:textId="77777777" w:rsidR="00AE727E" w:rsidRDefault="00AE727E">
            <w:pPr>
              <w:rPr>
                <w:rFonts w:ascii="宋体"/>
              </w:rPr>
            </w:pPr>
          </w:p>
        </w:tc>
        <w:tc>
          <w:tcPr>
            <w:tcW w:w="0" w:type="auto"/>
            <w:gridSpan w:val="9"/>
            <w:shd w:val="clear" w:color="auto" w:fill="auto"/>
            <w:tcMar>
              <w:top w:w="40" w:type="dxa"/>
              <w:left w:w="20" w:type="dxa"/>
              <w:bottom w:w="40" w:type="dxa"/>
              <w:right w:w="20" w:type="dxa"/>
            </w:tcMar>
            <w:vAlign w:val="bottom"/>
          </w:tcPr>
          <w:p w14:paraId="07DD15D2" w14:textId="77777777" w:rsidR="00AE727E" w:rsidRDefault="008433E0">
            <w:pPr>
              <w:jc w:val="center"/>
              <w:textAlignment w:val="bottom"/>
            </w:pPr>
            <w:r>
              <w:rPr>
                <w:rFonts w:ascii="Times New Roman" w:eastAsia="宋体" w:hAnsi="Times New Roman"/>
                <w:b/>
                <w:bCs/>
                <w:color w:val="000000"/>
                <w:sz w:val="20"/>
                <w:szCs w:val="20"/>
              </w:rPr>
              <w:t xml:space="preserve">Nine </w:t>
            </w:r>
            <w:r>
              <w:rPr>
                <w:rFonts w:ascii="Times New Roman" w:eastAsia="宋体" w:hAnsi="Times New Roman"/>
                <w:b/>
                <w:bCs/>
                <w:color w:val="000000"/>
                <w:sz w:val="20"/>
                <w:szCs w:val="20"/>
              </w:rPr>
              <w:t>Months Ended</w:t>
            </w:r>
          </w:p>
        </w:tc>
      </w:tr>
      <w:tr w:rsidR="00AE727E" w14:paraId="07DD15D8" w14:textId="77777777">
        <w:tc>
          <w:tcPr>
            <w:tcW w:w="0" w:type="auto"/>
            <w:gridSpan w:val="3"/>
            <w:shd w:val="clear" w:color="auto" w:fill="auto"/>
            <w:tcMar>
              <w:top w:w="40" w:type="dxa"/>
              <w:left w:w="20" w:type="dxa"/>
              <w:bottom w:w="40" w:type="dxa"/>
              <w:right w:w="20" w:type="dxa"/>
            </w:tcMar>
            <w:vAlign w:val="bottom"/>
          </w:tcPr>
          <w:p w14:paraId="07DD15D4" w14:textId="77777777" w:rsidR="00AE727E" w:rsidRDefault="008433E0">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5D5" w14:textId="77777777" w:rsidR="00AE727E" w:rsidRDefault="008433E0">
            <w:pPr>
              <w:jc w:val="center"/>
              <w:textAlignment w:val="bottom"/>
            </w:pPr>
            <w:r>
              <w:rPr>
                <w:rFonts w:ascii="Times New Roman" w:eastAsia="宋体" w:hAnsi="Times New Roman"/>
                <w:b/>
                <w:bCs/>
                <w:color w:val="000000"/>
                <w:sz w:val="20"/>
                <w:szCs w:val="20"/>
              </w:rPr>
              <w:t>October 29,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D15D6" w14:textId="77777777" w:rsidR="00AE727E" w:rsidRDefault="00AE727E">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DD15D7" w14:textId="77777777" w:rsidR="00AE727E" w:rsidRDefault="008433E0">
            <w:pPr>
              <w:jc w:val="center"/>
              <w:textAlignment w:val="bottom"/>
            </w:pPr>
            <w:r>
              <w:rPr>
                <w:rFonts w:ascii="Times New Roman" w:eastAsia="宋体" w:hAnsi="Times New Roman"/>
                <w:b/>
                <w:bCs/>
                <w:color w:val="000000"/>
                <w:sz w:val="20"/>
                <w:szCs w:val="20"/>
              </w:rPr>
              <w:t>October 30, 2020</w:t>
            </w:r>
          </w:p>
        </w:tc>
      </w:tr>
      <w:tr w:rsidR="00AE727E" w14:paraId="07DD15DB" w14:textId="77777777">
        <w:tc>
          <w:tcPr>
            <w:tcW w:w="0" w:type="auto"/>
            <w:gridSpan w:val="3"/>
            <w:shd w:val="clear" w:color="auto" w:fill="auto"/>
            <w:tcMar>
              <w:top w:w="0" w:type="dxa"/>
              <w:left w:w="20" w:type="dxa"/>
              <w:bottom w:w="0" w:type="dxa"/>
              <w:right w:w="20" w:type="dxa"/>
            </w:tcMar>
            <w:vAlign w:val="bottom"/>
          </w:tcPr>
          <w:p w14:paraId="07DD15D9"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7DD15DA" w14:textId="77777777" w:rsidR="00AE727E" w:rsidRDefault="008433E0">
            <w:pPr>
              <w:jc w:val="center"/>
              <w:textAlignment w:val="center"/>
            </w:pPr>
            <w:r>
              <w:rPr>
                <w:rFonts w:ascii="Times New Roman" w:eastAsia="宋体" w:hAnsi="Times New Roman"/>
                <w:color w:val="000000"/>
                <w:sz w:val="20"/>
                <w:szCs w:val="20"/>
              </w:rPr>
              <w:t>(in millions)</w:t>
            </w:r>
          </w:p>
        </w:tc>
      </w:tr>
      <w:tr w:rsidR="00AE727E" w14:paraId="07DD15E0" w14:textId="77777777">
        <w:tc>
          <w:tcPr>
            <w:tcW w:w="0" w:type="auto"/>
            <w:gridSpan w:val="3"/>
            <w:shd w:val="clear" w:color="auto" w:fill="CCEEFF"/>
            <w:tcMar>
              <w:top w:w="40" w:type="dxa"/>
              <w:left w:w="20" w:type="dxa"/>
              <w:bottom w:w="40" w:type="dxa"/>
              <w:right w:w="20" w:type="dxa"/>
            </w:tcMar>
            <w:vAlign w:val="center"/>
          </w:tcPr>
          <w:p w14:paraId="07DD15DC" w14:textId="77777777" w:rsidR="00AE727E" w:rsidRDefault="008433E0">
            <w:pPr>
              <w:textAlignment w:val="center"/>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vAlign w:val="bottom"/>
          </w:tcPr>
          <w:p w14:paraId="07DD15DD"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DE"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5DF" w14:textId="77777777" w:rsidR="00AE727E" w:rsidRDefault="00AE727E">
            <w:pPr>
              <w:rPr>
                <w:rFonts w:ascii="宋体"/>
              </w:rPr>
            </w:pPr>
          </w:p>
        </w:tc>
      </w:tr>
      <w:tr w:rsidR="00AE727E" w14:paraId="07DD15E9" w14:textId="77777777">
        <w:tc>
          <w:tcPr>
            <w:tcW w:w="0" w:type="auto"/>
            <w:gridSpan w:val="3"/>
            <w:shd w:val="clear" w:color="auto" w:fill="FFFFFF"/>
            <w:tcMar>
              <w:top w:w="40" w:type="dxa"/>
              <w:left w:w="245" w:type="dxa"/>
              <w:bottom w:w="40" w:type="dxa"/>
              <w:right w:w="20" w:type="dxa"/>
            </w:tcMar>
            <w:vAlign w:val="center"/>
          </w:tcPr>
          <w:p w14:paraId="07DD15E1" w14:textId="77777777" w:rsidR="00AE727E" w:rsidRDefault="008433E0">
            <w:pPr>
              <w:textAlignment w:val="center"/>
            </w:pPr>
            <w:r>
              <w:rPr>
                <w:rFonts w:ascii="Times New Roman" w:eastAsia="宋体" w:hAnsi="Times New Roman"/>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07DD15E2"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5E3" w14:textId="77777777" w:rsidR="00AE727E" w:rsidRDefault="008433E0">
            <w:pPr>
              <w:jc w:val="right"/>
              <w:textAlignment w:val="center"/>
            </w:pPr>
            <w:r>
              <w:rPr>
                <w:rFonts w:ascii="Times New Roman" w:eastAsia="宋体" w:hAnsi="Times New Roman"/>
                <w:color w:val="000000"/>
                <w:sz w:val="20"/>
                <w:szCs w:val="20"/>
              </w:rPr>
              <w:t>7,214 </w:t>
            </w:r>
          </w:p>
        </w:tc>
        <w:tc>
          <w:tcPr>
            <w:tcW w:w="0" w:type="auto"/>
            <w:shd w:val="clear" w:color="auto" w:fill="FFFFFF"/>
            <w:tcMar>
              <w:top w:w="40" w:type="dxa"/>
              <w:left w:w="0" w:type="dxa"/>
              <w:bottom w:w="40" w:type="dxa"/>
              <w:right w:w="20" w:type="dxa"/>
            </w:tcMar>
            <w:vAlign w:val="center"/>
          </w:tcPr>
          <w:p w14:paraId="07DD15E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E5" w14:textId="77777777" w:rsidR="00AE727E" w:rsidRDefault="00AE727E">
            <w:pPr>
              <w:rPr>
                <w:rFonts w:ascii="宋体"/>
              </w:rPr>
            </w:pPr>
          </w:p>
        </w:tc>
        <w:tc>
          <w:tcPr>
            <w:tcW w:w="0" w:type="auto"/>
            <w:shd w:val="clear" w:color="auto" w:fill="FFFFFF"/>
            <w:tcMar>
              <w:top w:w="40" w:type="dxa"/>
              <w:left w:w="20" w:type="dxa"/>
              <w:bottom w:w="40" w:type="dxa"/>
              <w:right w:w="0" w:type="dxa"/>
            </w:tcMar>
            <w:vAlign w:val="center"/>
          </w:tcPr>
          <w:p w14:paraId="07DD15E6" w14:textId="77777777" w:rsidR="00AE727E" w:rsidRDefault="008433E0">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D15E7" w14:textId="77777777" w:rsidR="00AE727E" w:rsidRDefault="008433E0">
            <w:pPr>
              <w:jc w:val="right"/>
              <w:textAlignment w:val="center"/>
            </w:pPr>
            <w:r>
              <w:rPr>
                <w:rFonts w:ascii="Times New Roman" w:eastAsia="宋体" w:hAnsi="Times New Roman"/>
                <w:color w:val="000000"/>
                <w:sz w:val="20"/>
                <w:szCs w:val="20"/>
              </w:rPr>
              <w:t>5,530 </w:t>
            </w:r>
          </w:p>
        </w:tc>
        <w:tc>
          <w:tcPr>
            <w:tcW w:w="0" w:type="auto"/>
            <w:shd w:val="clear" w:color="auto" w:fill="FFFFFF"/>
            <w:tcMar>
              <w:top w:w="40" w:type="dxa"/>
              <w:left w:w="0" w:type="dxa"/>
              <w:bottom w:w="40" w:type="dxa"/>
              <w:right w:w="20" w:type="dxa"/>
            </w:tcMar>
            <w:vAlign w:val="center"/>
          </w:tcPr>
          <w:p w14:paraId="07DD15E8" w14:textId="77777777" w:rsidR="00AE727E" w:rsidRDefault="00AE727E">
            <w:pPr>
              <w:jc w:val="right"/>
              <w:rPr>
                <w:rFonts w:ascii="宋体"/>
              </w:rPr>
            </w:pPr>
          </w:p>
        </w:tc>
      </w:tr>
      <w:tr w:rsidR="00AE727E" w14:paraId="07DD15F0" w14:textId="77777777">
        <w:tc>
          <w:tcPr>
            <w:tcW w:w="0" w:type="auto"/>
            <w:gridSpan w:val="3"/>
            <w:shd w:val="clear" w:color="auto" w:fill="CCEEFF"/>
            <w:tcMar>
              <w:top w:w="40" w:type="dxa"/>
              <w:left w:w="245" w:type="dxa"/>
              <w:bottom w:w="40" w:type="dxa"/>
              <w:right w:w="20" w:type="dxa"/>
            </w:tcMar>
            <w:vAlign w:val="center"/>
          </w:tcPr>
          <w:p w14:paraId="07DD15EA" w14:textId="77777777" w:rsidR="00AE727E" w:rsidRDefault="008433E0">
            <w:pPr>
              <w:textAlignment w:val="center"/>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07DD15EB" w14:textId="77777777" w:rsidR="00AE727E" w:rsidRDefault="008433E0">
            <w:pPr>
              <w:jc w:val="right"/>
              <w:textAlignment w:val="center"/>
            </w:pPr>
            <w:r>
              <w:rPr>
                <w:rFonts w:ascii="Times New Roman" w:eastAsia="宋体" w:hAnsi="Times New Roman"/>
                <w:color w:val="000000"/>
                <w:sz w:val="20"/>
                <w:szCs w:val="20"/>
              </w:rPr>
              <w:t>2,053 </w:t>
            </w:r>
          </w:p>
        </w:tc>
        <w:tc>
          <w:tcPr>
            <w:tcW w:w="0" w:type="auto"/>
            <w:shd w:val="clear" w:color="auto" w:fill="CCEEFF"/>
            <w:tcMar>
              <w:top w:w="40" w:type="dxa"/>
              <w:left w:w="0" w:type="dxa"/>
              <w:bottom w:w="40" w:type="dxa"/>
              <w:right w:w="20" w:type="dxa"/>
            </w:tcMar>
            <w:vAlign w:val="center"/>
          </w:tcPr>
          <w:p w14:paraId="07DD15E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ED"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EE" w14:textId="77777777" w:rsidR="00AE727E" w:rsidRDefault="008433E0">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07DD15EF" w14:textId="77777777" w:rsidR="00AE727E" w:rsidRDefault="00AE727E">
            <w:pPr>
              <w:jc w:val="right"/>
              <w:rPr>
                <w:rFonts w:ascii="宋体"/>
              </w:rPr>
            </w:pPr>
          </w:p>
        </w:tc>
      </w:tr>
      <w:tr w:rsidR="00AE727E" w14:paraId="07DD15F7" w14:textId="77777777">
        <w:tc>
          <w:tcPr>
            <w:tcW w:w="0" w:type="auto"/>
            <w:gridSpan w:val="3"/>
            <w:shd w:val="clear" w:color="auto" w:fill="FFFFFF"/>
            <w:tcMar>
              <w:top w:w="40" w:type="dxa"/>
              <w:left w:w="245" w:type="dxa"/>
              <w:bottom w:w="40" w:type="dxa"/>
              <w:right w:w="20" w:type="dxa"/>
            </w:tcMar>
            <w:vAlign w:val="center"/>
          </w:tcPr>
          <w:p w14:paraId="07DD15F1" w14:textId="77777777" w:rsidR="00AE727E" w:rsidRDefault="008433E0">
            <w:pPr>
              <w:textAlignment w:val="center"/>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07DD15F2" w14:textId="77777777" w:rsidR="00AE727E" w:rsidRDefault="008433E0">
            <w:pPr>
              <w:jc w:val="right"/>
              <w:textAlignment w:val="center"/>
            </w:pPr>
            <w:r>
              <w:rPr>
                <w:rFonts w:ascii="Times New Roman" w:eastAsia="宋体" w:hAnsi="Times New Roman"/>
                <w:color w:val="000000"/>
                <w:sz w:val="20"/>
                <w:szCs w:val="20"/>
              </w:rPr>
              <w:t>(1,028)</w:t>
            </w:r>
          </w:p>
        </w:tc>
        <w:tc>
          <w:tcPr>
            <w:tcW w:w="0" w:type="auto"/>
            <w:shd w:val="clear" w:color="auto" w:fill="FFFFFF"/>
            <w:tcMar>
              <w:top w:w="40" w:type="dxa"/>
              <w:left w:w="0" w:type="dxa"/>
              <w:bottom w:w="40" w:type="dxa"/>
              <w:right w:w="20" w:type="dxa"/>
            </w:tcMar>
            <w:vAlign w:val="center"/>
          </w:tcPr>
          <w:p w14:paraId="07DD15F3"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5F4"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center"/>
          </w:tcPr>
          <w:p w14:paraId="07DD15F5" w14:textId="77777777" w:rsidR="00AE727E" w:rsidRDefault="008433E0">
            <w:pPr>
              <w:jc w:val="right"/>
              <w:textAlignment w:val="center"/>
            </w:pPr>
            <w:r>
              <w:rPr>
                <w:rFonts w:ascii="Times New Roman" w:eastAsia="宋体" w:hAnsi="Times New Roman"/>
                <w:color w:val="000000"/>
                <w:sz w:val="20"/>
                <w:szCs w:val="20"/>
              </w:rPr>
              <w:t>(3,483)</w:t>
            </w:r>
          </w:p>
        </w:tc>
        <w:tc>
          <w:tcPr>
            <w:tcW w:w="0" w:type="auto"/>
            <w:shd w:val="clear" w:color="auto" w:fill="FFFFFF"/>
            <w:tcMar>
              <w:top w:w="40" w:type="dxa"/>
              <w:left w:w="0" w:type="dxa"/>
              <w:bottom w:w="40" w:type="dxa"/>
              <w:right w:w="20" w:type="dxa"/>
            </w:tcMar>
            <w:vAlign w:val="center"/>
          </w:tcPr>
          <w:p w14:paraId="07DD15F6" w14:textId="77777777" w:rsidR="00AE727E" w:rsidRDefault="00AE727E">
            <w:pPr>
              <w:jc w:val="right"/>
              <w:rPr>
                <w:rFonts w:ascii="宋体"/>
              </w:rPr>
            </w:pPr>
          </w:p>
        </w:tc>
      </w:tr>
      <w:tr w:rsidR="00AE727E" w14:paraId="07DD15FE" w14:textId="77777777">
        <w:tc>
          <w:tcPr>
            <w:tcW w:w="0" w:type="auto"/>
            <w:gridSpan w:val="3"/>
            <w:shd w:val="clear" w:color="auto" w:fill="CCEEFF"/>
            <w:tcMar>
              <w:top w:w="40" w:type="dxa"/>
              <w:left w:w="245" w:type="dxa"/>
              <w:bottom w:w="40" w:type="dxa"/>
              <w:right w:w="20" w:type="dxa"/>
            </w:tcMar>
            <w:vAlign w:val="center"/>
          </w:tcPr>
          <w:p w14:paraId="07DD15F8" w14:textId="77777777" w:rsidR="00AE727E" w:rsidRDefault="008433E0">
            <w:pPr>
              <w:textAlignment w:val="center"/>
            </w:pPr>
            <w:r>
              <w:rPr>
                <w:rFonts w:ascii="Times New Roman" w:eastAsia="宋体" w:hAnsi="Times New Roman"/>
                <w:color w:val="000000"/>
                <w:sz w:val="20"/>
                <w:szCs w:val="20"/>
              </w:rPr>
              <w:t xml:space="preserve">Effect of exchange rate changes on </w:t>
            </w:r>
            <w:r>
              <w:rPr>
                <w:rFonts w:ascii="Times New Roman" w:eastAsia="宋体" w:hAnsi="Times New Roman"/>
                <w:color w:val="000000"/>
                <w:sz w:val="20"/>
                <w:szCs w:val="20"/>
              </w:rPr>
              <w:t>cash, cash equivalents, and restricted cash</w:t>
            </w:r>
          </w:p>
        </w:tc>
        <w:tc>
          <w:tcPr>
            <w:tcW w:w="0" w:type="auto"/>
            <w:gridSpan w:val="2"/>
            <w:shd w:val="clear" w:color="auto" w:fill="CCEEFF"/>
            <w:tcMar>
              <w:top w:w="40" w:type="dxa"/>
              <w:left w:w="20" w:type="dxa"/>
              <w:bottom w:w="40" w:type="dxa"/>
              <w:right w:w="0" w:type="dxa"/>
            </w:tcMar>
            <w:vAlign w:val="center"/>
          </w:tcPr>
          <w:p w14:paraId="07DD15F9" w14:textId="77777777" w:rsidR="00AE727E" w:rsidRDefault="008433E0">
            <w:pPr>
              <w:jc w:val="right"/>
              <w:textAlignment w:val="center"/>
            </w:pPr>
            <w:r>
              <w:rPr>
                <w:rFonts w:ascii="Times New Roman" w:eastAsia="宋体" w:hAnsi="Times New Roman"/>
                <w:color w:val="000000"/>
                <w:sz w:val="20"/>
                <w:szCs w:val="20"/>
              </w:rPr>
              <w:t>(54)</w:t>
            </w:r>
          </w:p>
        </w:tc>
        <w:tc>
          <w:tcPr>
            <w:tcW w:w="0" w:type="auto"/>
            <w:shd w:val="clear" w:color="auto" w:fill="CCEEFF"/>
            <w:tcMar>
              <w:top w:w="40" w:type="dxa"/>
              <w:left w:w="0" w:type="dxa"/>
              <w:bottom w:w="40" w:type="dxa"/>
              <w:right w:w="20" w:type="dxa"/>
            </w:tcMar>
            <w:vAlign w:val="center"/>
          </w:tcPr>
          <w:p w14:paraId="07DD15F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5F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center"/>
          </w:tcPr>
          <w:p w14:paraId="07DD15FC" w14:textId="77777777" w:rsidR="00AE727E" w:rsidRDefault="008433E0">
            <w:pPr>
              <w:jc w:val="right"/>
              <w:textAlignment w:val="center"/>
            </w:pPr>
            <w:r>
              <w:rPr>
                <w:rFonts w:ascii="Times New Roman" w:eastAsia="宋体" w:hAnsi="Times New Roman"/>
                <w:color w:val="000000"/>
                <w:sz w:val="20"/>
                <w:szCs w:val="20"/>
              </w:rPr>
              <w:t>(67)</w:t>
            </w:r>
          </w:p>
        </w:tc>
        <w:tc>
          <w:tcPr>
            <w:tcW w:w="0" w:type="auto"/>
            <w:shd w:val="clear" w:color="auto" w:fill="CCEEFF"/>
            <w:tcMar>
              <w:top w:w="40" w:type="dxa"/>
              <w:left w:w="0" w:type="dxa"/>
              <w:bottom w:w="40" w:type="dxa"/>
              <w:right w:w="20" w:type="dxa"/>
            </w:tcMar>
            <w:vAlign w:val="center"/>
          </w:tcPr>
          <w:p w14:paraId="07DD15FD" w14:textId="77777777" w:rsidR="00AE727E" w:rsidRDefault="00AE727E">
            <w:pPr>
              <w:jc w:val="right"/>
              <w:rPr>
                <w:rFonts w:ascii="宋体"/>
              </w:rPr>
            </w:pPr>
          </w:p>
        </w:tc>
      </w:tr>
      <w:tr w:rsidR="00AE727E" w14:paraId="07DD1607" w14:textId="77777777">
        <w:tc>
          <w:tcPr>
            <w:tcW w:w="0" w:type="auto"/>
            <w:gridSpan w:val="3"/>
            <w:shd w:val="clear" w:color="auto" w:fill="FFFFFF"/>
            <w:tcMar>
              <w:top w:w="40" w:type="dxa"/>
              <w:left w:w="380" w:type="dxa"/>
              <w:bottom w:w="40" w:type="dxa"/>
              <w:right w:w="20" w:type="dxa"/>
            </w:tcMar>
            <w:vAlign w:val="center"/>
          </w:tcPr>
          <w:p w14:paraId="07DD15FF" w14:textId="77777777" w:rsidR="00AE727E" w:rsidRDefault="008433E0">
            <w:pPr>
              <w:textAlignment w:val="center"/>
            </w:pPr>
            <w:r>
              <w:rPr>
                <w:rFonts w:ascii="Times New Roman" w:eastAsia="宋体" w:hAnsi="Times New Roman"/>
                <w:color w:val="00000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600"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601" w14:textId="77777777" w:rsidR="00AE727E" w:rsidRDefault="008433E0">
            <w:pPr>
              <w:jc w:val="right"/>
              <w:textAlignment w:val="center"/>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60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03"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D1604" w14:textId="77777777" w:rsidR="00AE727E" w:rsidRDefault="008433E0">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D1605" w14:textId="77777777" w:rsidR="00AE727E" w:rsidRDefault="008433E0">
            <w:pPr>
              <w:jc w:val="right"/>
              <w:textAlignment w:val="center"/>
            </w:pPr>
            <w:r>
              <w:rPr>
                <w:rFonts w:ascii="Times New Roman" w:eastAsia="宋体" w:hAnsi="Times New Roman"/>
                <w:color w:val="000000"/>
                <w:sz w:val="20"/>
                <w:szCs w:val="20"/>
              </w:rPr>
              <w:t>2,006 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D1606" w14:textId="77777777" w:rsidR="00AE727E" w:rsidRDefault="00AE727E">
            <w:pPr>
              <w:jc w:val="right"/>
              <w:rPr>
                <w:rFonts w:ascii="宋体"/>
              </w:rPr>
            </w:pPr>
          </w:p>
        </w:tc>
      </w:tr>
    </w:tbl>
    <w:p w14:paraId="07DD1608" w14:textId="77777777" w:rsidR="00AE727E" w:rsidRDefault="00AE727E"/>
    <w:p w14:paraId="07DD1609" w14:textId="77777777" w:rsidR="00AE727E" w:rsidRDefault="008433E0">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xml:space="preserve"> — Cash provided by operating activities was $7.2 billion for the first nine months of Fiscal </w:t>
      </w:r>
      <w:r>
        <w:rPr>
          <w:rFonts w:ascii="Times New Roman" w:eastAsia="宋体" w:hAnsi="Times New Roman"/>
          <w:color w:val="000000"/>
          <w:sz w:val="20"/>
          <w:szCs w:val="20"/>
        </w:rPr>
        <w:t>2022 compared to cash provided by operating activities of $5.5 billion for the first nine months of Fiscal 2021. The increase in operating cash flows during the first nine months of Fiscal 2022 was primarily driven by strong growth. Additionally, working c</w:t>
      </w:r>
      <w:r>
        <w:rPr>
          <w:rFonts w:ascii="Times New Roman" w:eastAsia="宋体" w:hAnsi="Times New Roman"/>
          <w:color w:val="000000"/>
          <w:sz w:val="20"/>
          <w:szCs w:val="20"/>
        </w:rPr>
        <w:t>apital dynamics were favorable for the period primarily due to timing of purchases and payments to vendors, partially offset by higher end of quarter shipments and increased inventory as we continue to navigate the current supply chain environment. In comp</w:t>
      </w:r>
      <w:r>
        <w:rPr>
          <w:rFonts w:ascii="Times New Roman" w:eastAsia="宋体" w:hAnsi="Times New Roman"/>
          <w:color w:val="000000"/>
          <w:sz w:val="20"/>
          <w:szCs w:val="20"/>
        </w:rPr>
        <w:t>arison, during the first nine months of Fiscal 2021 we experienced unfavorable working capital impacts.</w:t>
      </w:r>
    </w:p>
    <w:p w14:paraId="07DD160A" w14:textId="77777777" w:rsidR="00AE727E" w:rsidRDefault="00AE727E"/>
    <w:p w14:paraId="07DD160B" w14:textId="77777777" w:rsidR="00AE727E" w:rsidRDefault="008433E0">
      <w:r>
        <w:rPr>
          <w:rFonts w:ascii="Times New Roman" w:eastAsia="宋体" w:hAnsi="Times New Roman"/>
          <w:color w:val="000000"/>
          <w:sz w:val="20"/>
          <w:szCs w:val="20"/>
        </w:rPr>
        <w:t xml:space="preserve">DFS offerings are initially funded through cash on hand at the time of origination, most of which is subsequently replaced with third-party financing. </w:t>
      </w:r>
      <w:r>
        <w:rPr>
          <w:rFonts w:ascii="Times New Roman" w:eastAsia="宋体" w:hAnsi="Times New Roman"/>
          <w:color w:val="000000"/>
          <w:sz w:val="20"/>
          <w:szCs w:val="20"/>
        </w:rPr>
        <w:t>For DFS offerings which qualify as sales-type leases, the initial funding of financing receivables is reflected as an impact to cash flows from operations, and is largely subsequently offset by cash proceeds from financing activities. For DFS operating lea</w:t>
      </w:r>
      <w:r>
        <w:rPr>
          <w:rFonts w:ascii="Times New Roman" w:eastAsia="宋体" w:hAnsi="Times New Roman"/>
          <w:color w:val="000000"/>
          <w:sz w:val="20"/>
          <w:szCs w:val="20"/>
        </w:rPr>
        <w:t xml:space="preserve">ses, which have increased under the current leasing standard, the initial funding is classified as a capital expenditure and reflected as cash flows used in investing activities. DFS new financing originations were $5.8 billion and $6.5 billion during the </w:t>
      </w:r>
      <w:r>
        <w:rPr>
          <w:rFonts w:ascii="Times New Roman" w:eastAsia="宋体" w:hAnsi="Times New Roman"/>
          <w:color w:val="000000"/>
          <w:sz w:val="20"/>
          <w:szCs w:val="20"/>
        </w:rPr>
        <w:t xml:space="preserve">first nine months of Fiscal 2022 and Fiscal 2021, respectively. As of October 29, 2021, DFS had $10.2 billion of financing receivables, net and $1.6 billion of equipment under operating leases, net. </w:t>
      </w:r>
    </w:p>
    <w:p w14:paraId="07DD160C" w14:textId="77777777" w:rsidR="00AE727E" w:rsidRDefault="00AE727E"/>
    <w:p w14:paraId="07DD160D" w14:textId="77777777" w:rsidR="00AE727E" w:rsidRDefault="008433E0">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w:t>
      </w:r>
      <w:r>
        <w:rPr>
          <w:rFonts w:ascii="Times New Roman" w:eastAsia="宋体" w:hAnsi="Times New Roman"/>
          <w:color w:val="000000"/>
          <w:sz w:val="20"/>
          <w:szCs w:val="20"/>
        </w:rPr>
        <w:t>onsist of cash used to fund capital expenditures for property, plant, and equipment, which includes equipment under operating leases, as well as capitalized software development costs, acquisitions and divestitures, strategic investments, and the maturitie</w:t>
      </w:r>
      <w:r>
        <w:rPr>
          <w:rFonts w:ascii="Times New Roman" w:eastAsia="宋体" w:hAnsi="Times New Roman"/>
          <w:color w:val="000000"/>
          <w:sz w:val="20"/>
          <w:szCs w:val="20"/>
        </w:rPr>
        <w:t>s, sales, and purchases of investments. During the first nine months of Fiscal 2022, cash provided by investing activities was $2.1 billion and was primarily driven by net cash proceeds related to the divestiture of Boomi, partially offset by capital expen</w:t>
      </w:r>
      <w:r>
        <w:rPr>
          <w:rFonts w:ascii="Times New Roman" w:eastAsia="宋体" w:hAnsi="Times New Roman"/>
          <w:color w:val="000000"/>
          <w:sz w:val="20"/>
          <w:szCs w:val="20"/>
        </w:rPr>
        <w:t>ditures and capitalized software development costs. In comparison, cash provided by investing activities was $26 million during the first nine months of Fiscal 2021, which was primarily attributable to net cash proceeds from the divestiture of RSA Security</w:t>
      </w:r>
      <w:r>
        <w:rPr>
          <w:rFonts w:ascii="Times New Roman" w:eastAsia="宋体" w:hAnsi="Times New Roman"/>
          <w:color w:val="000000"/>
          <w:sz w:val="20"/>
          <w:szCs w:val="20"/>
        </w:rPr>
        <w:t xml:space="preserve"> during the the third quarter of Fiscal 2021, largely offset by capital expenditures and acquisitions of businesses. </w:t>
      </w:r>
    </w:p>
    <w:p w14:paraId="07DD160E" w14:textId="77777777" w:rsidR="00AE727E" w:rsidRDefault="00AE727E"/>
    <w:p w14:paraId="07DD160F" w14:textId="77777777" w:rsidR="00AE727E" w:rsidRDefault="008433E0">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 Financing activities primarily consist of the proceeds and repayments of debt, cash used to repurchase common stoc</w:t>
      </w:r>
      <w:r>
        <w:rPr>
          <w:rFonts w:ascii="Times New Roman" w:eastAsia="宋体" w:hAnsi="Times New Roman"/>
          <w:color w:val="000000"/>
          <w:sz w:val="20"/>
          <w:szCs w:val="20"/>
        </w:rPr>
        <w:t>k, and proceeds from the issuance of common stock. Cash used in financing activities was $1.0 billion during the first nine months of Fiscal 2022 and primarily consisted of debt repayments and repurchases of common stock by our public subsidiaries, partial</w:t>
      </w:r>
      <w:r>
        <w:rPr>
          <w:rFonts w:ascii="Times New Roman" w:eastAsia="宋体" w:hAnsi="Times New Roman"/>
          <w:color w:val="000000"/>
          <w:sz w:val="20"/>
          <w:szCs w:val="20"/>
        </w:rPr>
        <w:t>ly offset by net cash proceeds from the issuance of VMware Notes and DFS debt. In comparison, cash used in financing activities of $3.5 billion during the first nine months of Fiscal 2021 primarily consisted of debt repayments and repurchases of common sto</w:t>
      </w:r>
      <w:r>
        <w:rPr>
          <w:rFonts w:ascii="Times New Roman" w:eastAsia="宋体" w:hAnsi="Times New Roman"/>
          <w:color w:val="000000"/>
          <w:sz w:val="20"/>
          <w:szCs w:val="20"/>
        </w:rPr>
        <w:t>ck by our public subsidiaries, partially offset by cash proceeds from the issuances of multiple series of First Lien Notes and VMware Notes.</w:t>
      </w:r>
    </w:p>
    <w:p w14:paraId="07DD1610" w14:textId="77777777" w:rsidR="00AE727E" w:rsidRDefault="00AE727E"/>
    <w:p w14:paraId="07DD1611" w14:textId="77777777" w:rsidR="00AE727E" w:rsidRDefault="008433E0">
      <w:r>
        <w:rPr>
          <w:rFonts w:ascii="Times New Roman" w:eastAsia="宋体" w:hAnsi="Times New Roman"/>
          <w:b/>
          <w:bCs/>
          <w:color w:val="000000"/>
          <w:sz w:val="20"/>
          <w:szCs w:val="20"/>
        </w:rPr>
        <w:t>Capital Commitments</w:t>
      </w:r>
    </w:p>
    <w:p w14:paraId="07DD1612" w14:textId="77777777" w:rsidR="00AE727E" w:rsidRDefault="00AE727E"/>
    <w:p w14:paraId="07DD1613" w14:textId="77777777" w:rsidR="00AE727E" w:rsidRDefault="008433E0">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During the first nine months of Fiscal 2022 and Fiscal 2021, we spent </w:t>
      </w:r>
      <w:r>
        <w:rPr>
          <w:rFonts w:ascii="Times New Roman" w:eastAsia="宋体" w:hAnsi="Times New Roman"/>
          <w:color w:val="000000"/>
          <w:sz w:val="20"/>
          <w:szCs w:val="20"/>
        </w:rPr>
        <w:t>$2.1 billion and $1.6 billion, respectively, on property, plant, and equipment and capitalized software development costs. Product demand, product mix, and the use of contract manufacturers, as well as ongoing investments in operating and IT infrastructure</w:t>
      </w:r>
      <w:r>
        <w:rPr>
          <w:rFonts w:ascii="Times New Roman" w:eastAsia="宋体" w:hAnsi="Times New Roman"/>
          <w:color w:val="000000"/>
          <w:sz w:val="20"/>
          <w:szCs w:val="20"/>
        </w:rPr>
        <w:t xml:space="preserve"> and software development, influence the level and prioritization of our capital expenditures. Aggregate capital expenditures for Fiscal 2022 are currently expected to total $2.9 billion, of which approximately $1.0 billion is expected to be expended for e</w:t>
      </w:r>
      <w:r>
        <w:rPr>
          <w:rFonts w:ascii="Times New Roman" w:eastAsia="宋体" w:hAnsi="Times New Roman"/>
          <w:color w:val="000000"/>
          <w:sz w:val="20"/>
          <w:szCs w:val="20"/>
        </w:rPr>
        <w:t xml:space="preserve">quipment under operating leases and approximately $0.3 billion for capitalized software development costs. </w:t>
      </w:r>
    </w:p>
    <w:p w14:paraId="07DD1614" w14:textId="77777777" w:rsidR="00AE727E" w:rsidRDefault="00AE727E">
      <w:pPr>
        <w:jc w:val="center"/>
      </w:pPr>
    </w:p>
    <w:p w14:paraId="07DD1615" w14:textId="77777777" w:rsidR="00AE727E" w:rsidRDefault="008433E0">
      <w:pPr>
        <w:jc w:val="center"/>
      </w:pPr>
      <w:r>
        <w:rPr>
          <w:rFonts w:ascii="Times New Roman" w:eastAsia="宋体" w:hAnsi="Times New Roman"/>
          <w:color w:val="000000"/>
          <w:sz w:val="20"/>
          <w:szCs w:val="20"/>
        </w:rPr>
        <w:t>89</w:t>
      </w:r>
    </w:p>
    <w:p w14:paraId="07DD1616" w14:textId="77777777" w:rsidR="00AE727E" w:rsidRDefault="00AE727E">
      <w:pPr>
        <w:jc w:val="center"/>
      </w:pPr>
    </w:p>
    <w:p w14:paraId="07DD1617" w14:textId="77777777" w:rsidR="00AE727E" w:rsidRDefault="008433E0">
      <w:r>
        <w:pict w14:anchorId="07DD1929">
          <v:rect id="_x0000_i1113" style="width:415.3pt;height:1.5pt" o:hralign="center" o:hrstd="t" o:hr="t" fillcolor="#a0a0a0" stroked="f"/>
        </w:pict>
      </w:r>
    </w:p>
    <w:p w14:paraId="07DD1618" w14:textId="77777777" w:rsidR="00AE727E" w:rsidRDefault="008433E0">
      <w:hyperlink r:id="rId214" w:anchor="i1c8279be622a460ea19600488436f115_10" w:history="1">
        <w:r>
          <w:rPr>
            <w:rStyle w:val="a5"/>
            <w:rFonts w:ascii="Times New Roman" w:eastAsia="宋体" w:hAnsi="Times New Roman"/>
            <w:sz w:val="20"/>
            <w:szCs w:val="20"/>
          </w:rPr>
          <w:t>Table of Contents</w:t>
        </w:r>
      </w:hyperlink>
    </w:p>
    <w:p w14:paraId="07DD1619" w14:textId="77777777" w:rsidR="00AE727E" w:rsidRDefault="008433E0">
      <w:r>
        <w:rPr>
          <w:rFonts w:ascii="Times New Roman" w:eastAsia="宋体" w:hAnsi="Times New Roman"/>
          <w:i/>
          <w:iCs/>
          <w:color w:val="000000"/>
          <w:sz w:val="20"/>
          <w:szCs w:val="20"/>
          <w:u w:val="single"/>
        </w:rPr>
        <w:t>Repurchases of Common Stock</w:t>
      </w:r>
      <w:r>
        <w:rPr>
          <w:rFonts w:ascii="Times New Roman" w:eastAsia="宋体" w:hAnsi="Times New Roman"/>
          <w:color w:val="000000"/>
          <w:sz w:val="20"/>
          <w:szCs w:val="20"/>
        </w:rPr>
        <w:t> —Effective as of September 23, 2021, our board of directors approved a stock repurchase program (the “2021 Stock Repurchase Program”) under which we are authorized to use assets to repurchase up to</w:t>
      </w:r>
      <w:r>
        <w:rPr>
          <w:rFonts w:ascii="Times New Roman" w:eastAsia="宋体" w:hAnsi="Times New Roman"/>
          <w:color w:val="000000"/>
          <w:sz w:val="20"/>
          <w:szCs w:val="20"/>
        </w:rPr>
        <w:t xml:space="preserve"> $5 billion of shares of our Class C Common Stock with no established expiration date. As of October 29, 2021, the cumulative authorized amount remaining for stock repurchases was $5 billion. Subsequent to the third quarter of Fiscal 2022 through November </w:t>
      </w:r>
      <w:r>
        <w:rPr>
          <w:rFonts w:ascii="Times New Roman" w:eastAsia="宋体" w:hAnsi="Times New Roman"/>
          <w:color w:val="000000"/>
          <w:sz w:val="20"/>
          <w:szCs w:val="20"/>
        </w:rPr>
        <w:t>30, 2021, we repurchased approximately 3.1 million shares for approximately $173 million.</w:t>
      </w:r>
    </w:p>
    <w:p w14:paraId="07DD161A" w14:textId="77777777" w:rsidR="00AE727E" w:rsidRDefault="00AE727E"/>
    <w:p w14:paraId="07DD161B" w14:textId="77777777" w:rsidR="00AE727E" w:rsidRDefault="008433E0">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 Purchase obligations are defined as contractual obligations to purchase goods or services that are enforceable and legally binding on us. Thes</w:t>
      </w:r>
      <w:r>
        <w:rPr>
          <w:rFonts w:ascii="Times New Roman" w:eastAsia="宋体" w:hAnsi="Times New Roman"/>
          <w:color w:val="000000"/>
          <w:sz w:val="20"/>
          <w:szCs w:val="20"/>
        </w:rPr>
        <w:t>e obligations specify all significant terms, including fixed or minimum quantities to be purchased; fixed, minimum, or variable price provisions; and the approximate timing of the transaction. Purchase obligations do not include contracts that may be cance</w:t>
      </w:r>
      <w:r>
        <w:rPr>
          <w:rFonts w:ascii="Times New Roman" w:eastAsia="宋体" w:hAnsi="Times New Roman"/>
          <w:color w:val="000000"/>
          <w:sz w:val="20"/>
          <w:szCs w:val="20"/>
        </w:rPr>
        <w:t xml:space="preserve">led without penalty. </w:t>
      </w:r>
    </w:p>
    <w:p w14:paraId="07DD161C" w14:textId="77777777" w:rsidR="00AE727E" w:rsidRDefault="00AE727E"/>
    <w:p w14:paraId="07DD161D" w14:textId="77777777" w:rsidR="00AE727E" w:rsidRDefault="008433E0">
      <w:r>
        <w:rPr>
          <w:rFonts w:ascii="Times New Roman" w:eastAsia="宋体" w:hAnsi="Times New Roman"/>
          <w:color w:val="000000"/>
          <w:sz w:val="20"/>
          <w:szCs w:val="20"/>
        </w:rPr>
        <w:t>We utilize several suppliers to manufacture sub-assemblies for our products. Our efficient supply chain management allows us to enter into flexible and mutually beneficial purchase arrangements with our suppliers in order to minimize</w:t>
      </w:r>
      <w:r>
        <w:rPr>
          <w:rFonts w:ascii="Times New Roman" w:eastAsia="宋体" w:hAnsi="Times New Roman"/>
          <w:color w:val="000000"/>
          <w:sz w:val="20"/>
          <w:szCs w:val="20"/>
        </w:rPr>
        <w:t xml:space="preserve"> inventory risk. Consistent with industry practice, we acquire raw materials or other goods and services, including product components, by issuing to suppliers authorizations to purchase based on our projected demand and manufacturing needs. These purchase</w:t>
      </w:r>
      <w:r>
        <w:rPr>
          <w:rFonts w:ascii="Times New Roman" w:eastAsia="宋体" w:hAnsi="Times New Roman"/>
          <w:color w:val="000000"/>
          <w:sz w:val="20"/>
          <w:szCs w:val="20"/>
        </w:rPr>
        <w:t xml:space="preserve"> orders are typically fulfilled within 30 days and are entered into during the ordinary course of business in order to establish best pricing and continuity of supply for our production.</w:t>
      </w:r>
    </w:p>
    <w:p w14:paraId="07DD161E" w14:textId="77777777" w:rsidR="00AE727E" w:rsidRDefault="00AE727E"/>
    <w:p w14:paraId="07DD161F" w14:textId="77777777" w:rsidR="00AE727E" w:rsidRDefault="008433E0">
      <w:r>
        <w:rPr>
          <w:rFonts w:ascii="Times New Roman" w:eastAsia="宋体" w:hAnsi="Times New Roman"/>
          <w:color w:val="000000"/>
          <w:sz w:val="20"/>
          <w:szCs w:val="20"/>
        </w:rPr>
        <w:t>As of October 29, 2021, purchase obligations were $5.2 billion, $0.7</w:t>
      </w:r>
      <w:r>
        <w:rPr>
          <w:rFonts w:ascii="Times New Roman" w:eastAsia="宋体" w:hAnsi="Times New Roman"/>
          <w:color w:val="000000"/>
          <w:sz w:val="20"/>
          <w:szCs w:val="20"/>
        </w:rPr>
        <w:t> billion, and $0.8 billion for the remaining three months of Fiscal 2022, and for Fiscal 2023 and Fiscal 2024 and thereafter, respectively.</w:t>
      </w:r>
    </w:p>
    <w:p w14:paraId="07DD1620" w14:textId="77777777" w:rsidR="00AE727E" w:rsidRDefault="00AE727E">
      <w:pPr>
        <w:jc w:val="center"/>
      </w:pPr>
    </w:p>
    <w:p w14:paraId="07DD1621" w14:textId="77777777" w:rsidR="00AE727E" w:rsidRDefault="008433E0">
      <w:pPr>
        <w:jc w:val="center"/>
      </w:pPr>
      <w:r>
        <w:rPr>
          <w:rFonts w:ascii="Times New Roman" w:eastAsia="宋体" w:hAnsi="Times New Roman"/>
          <w:color w:val="000000"/>
          <w:sz w:val="20"/>
          <w:szCs w:val="20"/>
        </w:rPr>
        <w:t>90</w:t>
      </w:r>
    </w:p>
    <w:p w14:paraId="07DD1622" w14:textId="77777777" w:rsidR="00AE727E" w:rsidRDefault="00AE727E">
      <w:pPr>
        <w:jc w:val="center"/>
      </w:pPr>
    </w:p>
    <w:p w14:paraId="07DD1623" w14:textId="77777777" w:rsidR="00AE727E" w:rsidRDefault="008433E0">
      <w:r>
        <w:pict w14:anchorId="07DD192A">
          <v:rect id="_x0000_i1114" style="width:415.3pt;height:1.5pt" o:hralign="center" o:hrstd="t" o:hr="t" fillcolor="#a0a0a0" stroked="f"/>
        </w:pict>
      </w:r>
    </w:p>
    <w:p w14:paraId="07DD1624" w14:textId="77777777" w:rsidR="00AE727E" w:rsidRDefault="008433E0">
      <w:hyperlink r:id="rId215" w:anchor="i1c8279be622a460ea19600488436f115_10" w:history="1">
        <w:r>
          <w:rPr>
            <w:rStyle w:val="a5"/>
            <w:rFonts w:ascii="Times New Roman" w:eastAsia="宋体" w:hAnsi="Times New Roman"/>
            <w:sz w:val="20"/>
            <w:szCs w:val="20"/>
          </w:rPr>
          <w:t>Table of Contents</w:t>
        </w:r>
      </w:hyperlink>
    </w:p>
    <w:p w14:paraId="07DD1625" w14:textId="77777777" w:rsidR="00AE727E" w:rsidRDefault="008433E0">
      <w:r>
        <w:rPr>
          <w:rFonts w:ascii="Times New Roman" w:eastAsia="宋体" w:hAnsi="Times New Roman"/>
          <w:b/>
          <w:bCs/>
          <w:color w:val="000000"/>
          <w:sz w:val="20"/>
          <w:szCs w:val="20"/>
        </w:rPr>
        <w:t>Summarized Guarantor Financial Information</w:t>
      </w:r>
    </w:p>
    <w:p w14:paraId="07DD1626" w14:textId="77777777" w:rsidR="00AE727E" w:rsidRDefault="00AE727E"/>
    <w:p w14:paraId="07DD1627" w14:textId="77777777" w:rsidR="00AE727E" w:rsidRDefault="008433E0">
      <w:r>
        <w:rPr>
          <w:rFonts w:ascii="Times New Roman" w:eastAsia="宋体" w:hAnsi="Times New Roman"/>
          <w:color w:val="000000"/>
          <w:sz w:val="20"/>
          <w:szCs w:val="20"/>
        </w:rPr>
        <w:t>As discussed in Note 5 of the Notes to the Condensed Consolidated Financial Statements included in this report, Dell International L.L.C. and EMC Corporation (the “Issuers”), both of which are wholly-owned subsidiaries of Dell Technologies, completed priva</w:t>
      </w:r>
      <w:r>
        <w:rPr>
          <w:rFonts w:ascii="Times New Roman" w:eastAsia="宋体" w:hAnsi="Times New Roman"/>
          <w:color w:val="000000"/>
          <w:sz w:val="20"/>
          <w:szCs w:val="20"/>
        </w:rPr>
        <w:t>te offerings of multiple series of senior secured notes issued on June 1, 2016, March 20, 2019, and April 9, 2020 (collectively, the “First Lien Notes”). On May 17, 2021, the Issuers launched an exchange offer of the outstanding First Lien Notes for regist</w:t>
      </w:r>
      <w:r>
        <w:rPr>
          <w:rFonts w:ascii="Times New Roman" w:eastAsia="宋体" w:hAnsi="Times New Roman"/>
          <w:color w:val="000000"/>
          <w:sz w:val="20"/>
          <w:szCs w:val="20"/>
        </w:rPr>
        <w:t xml:space="preserve">ered senior secured notes with substantially similar terms (the “Exchange Notes”). In June 2021, the Issuers completed the exchange offer and issued an aggregate of $18.4 billion principal amount of Exchange Notes in exchange for the same principal amount </w:t>
      </w:r>
      <w:r>
        <w:rPr>
          <w:rFonts w:ascii="Times New Roman" w:eastAsia="宋体" w:hAnsi="Times New Roman"/>
          <w:color w:val="000000"/>
          <w:sz w:val="20"/>
          <w:szCs w:val="20"/>
        </w:rPr>
        <w:t xml:space="preserve">of First Lien Notes. As of October 29, 2021, the aggregate principal amount of unregistered First Lien Notes remaining outstanding following the settlement of the exchange offer was approximately $0.1 billion. </w:t>
      </w:r>
    </w:p>
    <w:p w14:paraId="07DD1628" w14:textId="77777777" w:rsidR="00AE727E" w:rsidRDefault="00AE727E"/>
    <w:p w14:paraId="07DD1629" w14:textId="77777777" w:rsidR="00AE727E" w:rsidRDefault="008433E0">
      <w:r>
        <w:rPr>
          <w:rFonts w:ascii="Times New Roman" w:eastAsia="宋体" w:hAnsi="Times New Roman"/>
          <w:i/>
          <w:iCs/>
          <w:color w:val="000000"/>
          <w:sz w:val="20"/>
          <w:szCs w:val="20"/>
        </w:rPr>
        <w:t>Guarantees</w:t>
      </w:r>
      <w:r>
        <w:rPr>
          <w:rFonts w:ascii="Times New Roman" w:eastAsia="宋体" w:hAnsi="Times New Roman"/>
          <w:color w:val="000000"/>
          <w:sz w:val="20"/>
          <w:szCs w:val="20"/>
        </w:rPr>
        <w:t xml:space="preserve"> — The Exchange Notes are guarante</w:t>
      </w:r>
      <w:r>
        <w:rPr>
          <w:rFonts w:ascii="Times New Roman" w:eastAsia="宋体" w:hAnsi="Times New Roman"/>
          <w:color w:val="000000"/>
          <w:sz w:val="20"/>
          <w:szCs w:val="20"/>
        </w:rPr>
        <w:t>ed on a joint and several unsecured basis by Dell Technologies and on a joint and several secured basis by Denali Intermediate, Inc. (“Denali Intermediate”), Dell and each of Denali Intermediate’s wholly-owned domestic subsidiaries that guarantees the Issu</w:t>
      </w:r>
      <w:r>
        <w:rPr>
          <w:rFonts w:ascii="Times New Roman" w:eastAsia="宋体" w:hAnsi="Times New Roman"/>
          <w:color w:val="000000"/>
          <w:sz w:val="20"/>
          <w:szCs w:val="20"/>
        </w:rPr>
        <w:t>ers’ Senior Credit Facility obligations (collectively, the “Guarantors”). Not all of Denali Intermediate’s subsidiaries guarantee the Exchange Notes, including none of Denali Intermediate’s non-wholly-owned subsidiaries, foreign subsidiaries, receivables s</w:t>
      </w:r>
      <w:r>
        <w:rPr>
          <w:rFonts w:ascii="Times New Roman" w:eastAsia="宋体" w:hAnsi="Times New Roman"/>
          <w:color w:val="000000"/>
          <w:sz w:val="20"/>
          <w:szCs w:val="20"/>
        </w:rPr>
        <w:t>ubsidiaries and subsidiaries designated as unrestricted subsidiaries under the Senior Credit Facility (such non-guarantor subsidiaries, collectively, the “Non-Guarantor Subsidiaries”). SecureWorks Corp., Virtustream, Inc., VMware, Inc., EMC Equity Assets L</w:t>
      </w:r>
      <w:r>
        <w:rPr>
          <w:rFonts w:ascii="Times New Roman" w:eastAsia="宋体" w:hAnsi="Times New Roman"/>
          <w:color w:val="000000"/>
          <w:sz w:val="20"/>
          <w:szCs w:val="20"/>
        </w:rPr>
        <w:t>LC and VMW Holdco L.L.C. (collectively, the “Unrestricted Subsidiaries”) have been designated as unrestricted subsidiaries under the Senior Credit Facility and therefore do not guarantee the Exchange Notes or the Senior Credit Facility obligations. See Exh</w:t>
      </w:r>
      <w:r>
        <w:rPr>
          <w:rFonts w:ascii="Times New Roman" w:eastAsia="宋体" w:hAnsi="Times New Roman"/>
          <w:color w:val="000000"/>
          <w:sz w:val="20"/>
          <w:szCs w:val="20"/>
        </w:rPr>
        <w:t xml:space="preserve">ibit 22.1 filed with this report for a list of subsidiary guarantors and issuers of guaranteed securities. </w:t>
      </w:r>
    </w:p>
    <w:p w14:paraId="07DD162A" w14:textId="77777777" w:rsidR="00AE727E" w:rsidRDefault="00AE727E"/>
    <w:p w14:paraId="07DD162B" w14:textId="77777777" w:rsidR="00AE727E" w:rsidRDefault="008433E0">
      <w:r>
        <w:rPr>
          <w:rFonts w:ascii="Times New Roman" w:eastAsia="宋体" w:hAnsi="Times New Roman"/>
          <w:color w:val="000000"/>
          <w:sz w:val="20"/>
          <w:szCs w:val="20"/>
        </w:rPr>
        <w:t>The guarantees are full and unconditional, subject to certain customary release provisions. The indentures that govern the Exchange Notes provide t</w:t>
      </w:r>
      <w:r>
        <w:rPr>
          <w:rFonts w:ascii="Times New Roman" w:eastAsia="宋体" w:hAnsi="Times New Roman"/>
          <w:color w:val="000000"/>
          <w:sz w:val="20"/>
          <w:szCs w:val="20"/>
        </w:rPr>
        <w:t>hat guarantees by subsidiaries of Denali Intermediate may be released in the event, among other things, (1) such Guarantor is sold or sells all of its assets in compliance with the applicable provisions of the indentures; (2) such Guarantor is released fro</w:t>
      </w:r>
      <w:r>
        <w:rPr>
          <w:rFonts w:ascii="Times New Roman" w:eastAsia="宋体" w:hAnsi="Times New Roman"/>
          <w:color w:val="000000"/>
          <w:sz w:val="20"/>
          <w:szCs w:val="20"/>
        </w:rPr>
        <w:t>m its guaranty under the Senior Credit Facility, including the declaration of such subsidiary as “unrestricted” under the Senior Credit Facility; (3) the merger, amalgamation or consolidation, or liquidation, of such Guarantor; or (4) the achievement of in</w:t>
      </w:r>
      <w:r>
        <w:rPr>
          <w:rFonts w:ascii="Times New Roman" w:eastAsia="宋体" w:hAnsi="Times New Roman"/>
          <w:color w:val="000000"/>
          <w:sz w:val="20"/>
          <w:szCs w:val="20"/>
        </w:rPr>
        <w:t>vestment grade ratings with respect to the Issuers and the Exchange Notes. In addition, all Guarantors will be released from their guarantees if the requirements for legal defeasance or covenant defeasance or to discharge the indentures have been satisfied</w:t>
      </w:r>
      <w:r>
        <w:rPr>
          <w:rFonts w:ascii="Times New Roman" w:eastAsia="宋体" w:hAnsi="Times New Roman"/>
          <w:color w:val="000000"/>
          <w:sz w:val="20"/>
          <w:szCs w:val="20"/>
        </w:rPr>
        <w:t>.</w:t>
      </w:r>
    </w:p>
    <w:p w14:paraId="07DD162C" w14:textId="77777777" w:rsidR="00AE727E" w:rsidRDefault="00AE727E"/>
    <w:p w14:paraId="07DD162D" w14:textId="77777777" w:rsidR="00AE727E" w:rsidRDefault="008433E0">
      <w:r>
        <w:rPr>
          <w:rFonts w:ascii="Times New Roman" w:eastAsia="宋体" w:hAnsi="Times New Roman"/>
          <w:i/>
          <w:iCs/>
          <w:color w:val="000000"/>
          <w:sz w:val="20"/>
          <w:szCs w:val="20"/>
        </w:rPr>
        <w:t>Basis of Preparation of the Summarized Financial Information</w:t>
      </w:r>
      <w:r>
        <w:rPr>
          <w:rFonts w:ascii="Times New Roman" w:eastAsia="宋体" w:hAnsi="Times New Roman"/>
          <w:color w:val="000000"/>
          <w:sz w:val="20"/>
          <w:szCs w:val="20"/>
        </w:rPr>
        <w:t xml:space="preserve"> — The tables below are summarized financial information provided in conformity with Rule 13-01 of the SEC’s Regulation S-X. The summarized financial information of the Issuers and Guarantors (</w:t>
      </w:r>
      <w:r>
        <w:rPr>
          <w:rFonts w:ascii="Times New Roman" w:eastAsia="宋体" w:hAnsi="Times New Roman"/>
          <w:color w:val="000000"/>
          <w:sz w:val="20"/>
          <w:szCs w:val="20"/>
        </w:rPr>
        <w:t xml:space="preserve">collectively, the “Obligor Group”) is presented on a combined basis, excluding intercompany balances and transactions between entities in the Obligor Group. To the extent material, the Obligor Group’s amounts due from, amounts due to and transactions with </w:t>
      </w:r>
      <w:r>
        <w:rPr>
          <w:rFonts w:ascii="Times New Roman" w:eastAsia="宋体" w:hAnsi="Times New Roman"/>
          <w:color w:val="000000"/>
          <w:sz w:val="20"/>
          <w:szCs w:val="20"/>
        </w:rPr>
        <w:t>Non-Guarantor Subsidiaries have been presented separately. The Obligor Group’s investment balances in Non-Guarantor Subsidiaries have been excluded.</w:t>
      </w:r>
    </w:p>
    <w:p w14:paraId="07DD162E" w14:textId="77777777" w:rsidR="00AE727E" w:rsidRDefault="00AE727E"/>
    <w:p w14:paraId="07DD162F" w14:textId="77777777" w:rsidR="00AE727E" w:rsidRDefault="008433E0">
      <w:pPr>
        <w:spacing w:after="60"/>
      </w:pPr>
      <w:r>
        <w:rPr>
          <w:rFonts w:ascii="Times New Roman" w:eastAsia="宋体" w:hAnsi="Times New Roman"/>
          <w:color w:val="000000"/>
          <w:sz w:val="20"/>
          <w:szCs w:val="20"/>
        </w:rPr>
        <w:t>The following table presents summarized results of operations information for the Obligor Group for the pe</w:t>
      </w:r>
      <w:r>
        <w:rPr>
          <w:rFonts w:ascii="Times New Roman" w:eastAsia="宋体" w:hAnsi="Times New Roman"/>
          <w:color w:val="000000"/>
          <w:sz w:val="20"/>
          <w:szCs w:val="20"/>
        </w:rPr>
        <w:t>riod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7"/>
        <w:gridCol w:w="37"/>
      </w:tblGrid>
      <w:tr w:rsidR="00AE727E" w14:paraId="07DD1636" w14:textId="77777777">
        <w:tc>
          <w:tcPr>
            <w:tcW w:w="50" w:type="pct"/>
            <w:shd w:val="clear" w:color="auto" w:fill="auto"/>
            <w:vAlign w:val="bottom"/>
          </w:tcPr>
          <w:p w14:paraId="07DD1630" w14:textId="77777777" w:rsidR="00AE727E" w:rsidRDefault="00AE727E">
            <w:pPr>
              <w:rPr>
                <w:rFonts w:ascii="宋体"/>
              </w:rPr>
            </w:pPr>
          </w:p>
        </w:tc>
        <w:tc>
          <w:tcPr>
            <w:tcW w:w="3972" w:type="pct"/>
            <w:shd w:val="clear" w:color="auto" w:fill="auto"/>
            <w:vAlign w:val="bottom"/>
          </w:tcPr>
          <w:p w14:paraId="07DD1631" w14:textId="77777777" w:rsidR="00AE727E" w:rsidRDefault="00AE727E">
            <w:pPr>
              <w:rPr>
                <w:rFonts w:ascii="宋体"/>
              </w:rPr>
            </w:pPr>
          </w:p>
        </w:tc>
        <w:tc>
          <w:tcPr>
            <w:tcW w:w="5" w:type="pct"/>
            <w:shd w:val="clear" w:color="auto" w:fill="auto"/>
            <w:vAlign w:val="bottom"/>
          </w:tcPr>
          <w:p w14:paraId="07DD1632" w14:textId="77777777" w:rsidR="00AE727E" w:rsidRDefault="00AE727E">
            <w:pPr>
              <w:rPr>
                <w:rFonts w:ascii="宋体"/>
              </w:rPr>
            </w:pPr>
          </w:p>
        </w:tc>
        <w:tc>
          <w:tcPr>
            <w:tcW w:w="50" w:type="pct"/>
            <w:shd w:val="clear" w:color="auto" w:fill="auto"/>
            <w:vAlign w:val="bottom"/>
          </w:tcPr>
          <w:p w14:paraId="07DD1633" w14:textId="77777777" w:rsidR="00AE727E" w:rsidRDefault="00AE727E">
            <w:pPr>
              <w:rPr>
                <w:rFonts w:ascii="宋体"/>
              </w:rPr>
            </w:pPr>
          </w:p>
        </w:tc>
        <w:tc>
          <w:tcPr>
            <w:tcW w:w="917" w:type="pct"/>
            <w:shd w:val="clear" w:color="auto" w:fill="auto"/>
            <w:vAlign w:val="bottom"/>
          </w:tcPr>
          <w:p w14:paraId="07DD1634" w14:textId="77777777" w:rsidR="00AE727E" w:rsidRDefault="00AE727E">
            <w:pPr>
              <w:rPr>
                <w:rFonts w:ascii="宋体"/>
              </w:rPr>
            </w:pPr>
          </w:p>
        </w:tc>
        <w:tc>
          <w:tcPr>
            <w:tcW w:w="5" w:type="pct"/>
            <w:shd w:val="clear" w:color="auto" w:fill="auto"/>
            <w:vAlign w:val="bottom"/>
          </w:tcPr>
          <w:p w14:paraId="07DD1635" w14:textId="77777777" w:rsidR="00AE727E" w:rsidRDefault="00AE727E">
            <w:pPr>
              <w:rPr>
                <w:rFonts w:ascii="宋体"/>
              </w:rPr>
            </w:pPr>
          </w:p>
        </w:tc>
      </w:tr>
      <w:tr w:rsidR="00AE727E" w14:paraId="07DD1639" w14:textId="77777777">
        <w:tc>
          <w:tcPr>
            <w:tcW w:w="0" w:type="auto"/>
            <w:gridSpan w:val="3"/>
            <w:shd w:val="clear" w:color="auto" w:fill="auto"/>
            <w:tcMar>
              <w:top w:w="0" w:type="dxa"/>
              <w:left w:w="20" w:type="dxa"/>
              <w:bottom w:w="0" w:type="dxa"/>
              <w:right w:w="20" w:type="dxa"/>
            </w:tcMar>
            <w:vAlign w:val="bottom"/>
          </w:tcPr>
          <w:p w14:paraId="07DD163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638" w14:textId="77777777" w:rsidR="00AE727E" w:rsidRDefault="008433E0">
            <w:pPr>
              <w:jc w:val="center"/>
              <w:textAlignment w:val="bottom"/>
            </w:pPr>
            <w:r>
              <w:rPr>
                <w:rFonts w:ascii="Times New Roman" w:eastAsia="宋体" w:hAnsi="Times New Roman"/>
                <w:b/>
                <w:bCs/>
                <w:color w:val="000000"/>
                <w:sz w:val="20"/>
                <w:szCs w:val="20"/>
              </w:rPr>
              <w:t>Nine Months Ended</w:t>
            </w:r>
          </w:p>
        </w:tc>
      </w:tr>
      <w:tr w:rsidR="00AE727E" w14:paraId="07DD163C" w14:textId="77777777">
        <w:tc>
          <w:tcPr>
            <w:tcW w:w="0" w:type="auto"/>
            <w:gridSpan w:val="3"/>
            <w:shd w:val="clear" w:color="auto" w:fill="auto"/>
            <w:tcMar>
              <w:top w:w="0" w:type="dxa"/>
              <w:left w:w="20" w:type="dxa"/>
              <w:bottom w:w="0" w:type="dxa"/>
              <w:right w:w="20" w:type="dxa"/>
            </w:tcMar>
            <w:vAlign w:val="bottom"/>
          </w:tcPr>
          <w:p w14:paraId="07DD163A"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63B" w14:textId="77777777" w:rsidR="00AE727E" w:rsidRDefault="008433E0">
            <w:pPr>
              <w:jc w:val="center"/>
              <w:textAlignment w:val="bottom"/>
            </w:pPr>
            <w:r>
              <w:rPr>
                <w:rFonts w:ascii="Times New Roman" w:eastAsia="宋体" w:hAnsi="Times New Roman"/>
                <w:b/>
                <w:bCs/>
                <w:color w:val="000000"/>
                <w:sz w:val="20"/>
                <w:szCs w:val="20"/>
              </w:rPr>
              <w:t>October 29, 2021</w:t>
            </w:r>
          </w:p>
        </w:tc>
      </w:tr>
      <w:tr w:rsidR="00AE727E" w14:paraId="07DD163F" w14:textId="77777777">
        <w:tc>
          <w:tcPr>
            <w:tcW w:w="0" w:type="auto"/>
            <w:gridSpan w:val="3"/>
            <w:shd w:val="clear" w:color="auto" w:fill="auto"/>
            <w:tcMar>
              <w:top w:w="0" w:type="dxa"/>
              <w:left w:w="20" w:type="dxa"/>
              <w:bottom w:w="0" w:type="dxa"/>
              <w:right w:w="20" w:type="dxa"/>
            </w:tcMar>
            <w:vAlign w:val="bottom"/>
          </w:tcPr>
          <w:p w14:paraId="07DD163D"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63E"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D1644" w14:textId="77777777">
        <w:tc>
          <w:tcPr>
            <w:tcW w:w="0" w:type="auto"/>
            <w:gridSpan w:val="3"/>
            <w:shd w:val="clear" w:color="auto" w:fill="CCEEFF"/>
            <w:tcMar>
              <w:top w:w="40" w:type="dxa"/>
              <w:left w:w="20" w:type="dxa"/>
              <w:bottom w:w="40" w:type="dxa"/>
              <w:right w:w="20" w:type="dxa"/>
            </w:tcMar>
            <w:vAlign w:val="bottom"/>
          </w:tcPr>
          <w:p w14:paraId="07DD1640" w14:textId="77777777" w:rsidR="00AE727E" w:rsidRDefault="008433E0">
            <w:pPr>
              <w:textAlignment w:val="bottom"/>
            </w:pPr>
            <w:r>
              <w:rPr>
                <w:rFonts w:ascii="Times New Roman" w:eastAsia="宋体" w:hAnsi="Times New Roman"/>
                <w:color w:val="000000"/>
                <w:sz w:val="20"/>
                <w:szCs w:val="20"/>
              </w:rPr>
              <w:t>Net revenue (a)</w:t>
            </w:r>
          </w:p>
        </w:tc>
        <w:tc>
          <w:tcPr>
            <w:tcW w:w="0" w:type="auto"/>
            <w:shd w:val="clear" w:color="auto" w:fill="CCEEFF"/>
            <w:tcMar>
              <w:top w:w="40" w:type="dxa"/>
              <w:left w:w="20" w:type="dxa"/>
              <w:bottom w:w="40" w:type="dxa"/>
              <w:right w:w="0" w:type="dxa"/>
            </w:tcMar>
            <w:vAlign w:val="bottom"/>
          </w:tcPr>
          <w:p w14:paraId="07DD1641"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642" w14:textId="77777777" w:rsidR="00AE727E" w:rsidRDefault="008433E0">
            <w:pPr>
              <w:jc w:val="right"/>
              <w:textAlignment w:val="bottom"/>
            </w:pPr>
            <w:r>
              <w:rPr>
                <w:rFonts w:ascii="Times New Roman" w:eastAsia="宋体" w:hAnsi="Times New Roman"/>
                <w:color w:val="000000"/>
                <w:sz w:val="20"/>
                <w:szCs w:val="20"/>
              </w:rPr>
              <w:t>18,608 </w:t>
            </w:r>
          </w:p>
        </w:tc>
        <w:tc>
          <w:tcPr>
            <w:tcW w:w="0" w:type="auto"/>
            <w:shd w:val="clear" w:color="auto" w:fill="CCEEFF"/>
            <w:tcMar>
              <w:top w:w="40" w:type="dxa"/>
              <w:left w:w="0" w:type="dxa"/>
              <w:bottom w:w="40" w:type="dxa"/>
              <w:right w:w="20" w:type="dxa"/>
            </w:tcMar>
            <w:vAlign w:val="bottom"/>
          </w:tcPr>
          <w:p w14:paraId="07DD1643" w14:textId="77777777" w:rsidR="00AE727E" w:rsidRDefault="00AE727E">
            <w:pPr>
              <w:jc w:val="right"/>
              <w:rPr>
                <w:rFonts w:ascii="宋体"/>
              </w:rPr>
            </w:pPr>
          </w:p>
        </w:tc>
      </w:tr>
      <w:tr w:rsidR="00AE727E" w14:paraId="07DD1649" w14:textId="77777777">
        <w:tc>
          <w:tcPr>
            <w:tcW w:w="0" w:type="auto"/>
            <w:gridSpan w:val="3"/>
            <w:shd w:val="clear" w:color="auto" w:fill="FFFFFF"/>
            <w:tcMar>
              <w:top w:w="40" w:type="dxa"/>
              <w:left w:w="20" w:type="dxa"/>
              <w:bottom w:w="40" w:type="dxa"/>
              <w:right w:w="20" w:type="dxa"/>
            </w:tcMar>
            <w:vAlign w:val="bottom"/>
          </w:tcPr>
          <w:p w14:paraId="07DD1645" w14:textId="77777777" w:rsidR="00AE727E" w:rsidRDefault="008433E0">
            <w:pPr>
              <w:textAlignment w:val="bottom"/>
            </w:pPr>
            <w:r>
              <w:rPr>
                <w:rFonts w:ascii="Times New Roman" w:eastAsia="宋体" w:hAnsi="Times New Roman"/>
                <w:color w:val="000000"/>
                <w:sz w:val="20"/>
                <w:szCs w:val="20"/>
              </w:rPr>
              <w:t>Gross margin (b)</w:t>
            </w:r>
          </w:p>
        </w:tc>
        <w:tc>
          <w:tcPr>
            <w:tcW w:w="0" w:type="auto"/>
            <w:shd w:val="clear" w:color="auto" w:fill="FFFFFF"/>
            <w:tcMar>
              <w:top w:w="40" w:type="dxa"/>
              <w:left w:w="20" w:type="dxa"/>
              <w:bottom w:w="40" w:type="dxa"/>
              <w:right w:w="0" w:type="dxa"/>
            </w:tcMar>
            <w:vAlign w:val="bottom"/>
          </w:tcPr>
          <w:p w14:paraId="07DD1646"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47" w14:textId="77777777" w:rsidR="00AE727E" w:rsidRDefault="008433E0">
            <w:pPr>
              <w:jc w:val="right"/>
              <w:textAlignment w:val="bottom"/>
            </w:pPr>
            <w:r>
              <w:rPr>
                <w:rFonts w:ascii="Times New Roman" w:eastAsia="宋体" w:hAnsi="Times New Roman"/>
                <w:color w:val="000000"/>
                <w:sz w:val="20"/>
                <w:szCs w:val="20"/>
              </w:rPr>
              <w:t>6,492 </w:t>
            </w:r>
          </w:p>
        </w:tc>
        <w:tc>
          <w:tcPr>
            <w:tcW w:w="0" w:type="auto"/>
            <w:shd w:val="clear" w:color="auto" w:fill="FFFFFF"/>
            <w:tcMar>
              <w:top w:w="40" w:type="dxa"/>
              <w:left w:w="0" w:type="dxa"/>
              <w:bottom w:w="40" w:type="dxa"/>
              <w:right w:w="20" w:type="dxa"/>
            </w:tcMar>
            <w:vAlign w:val="bottom"/>
          </w:tcPr>
          <w:p w14:paraId="07DD1648" w14:textId="77777777" w:rsidR="00AE727E" w:rsidRDefault="00AE727E">
            <w:pPr>
              <w:jc w:val="right"/>
              <w:rPr>
                <w:rFonts w:ascii="宋体"/>
              </w:rPr>
            </w:pPr>
          </w:p>
        </w:tc>
      </w:tr>
      <w:tr w:rsidR="00AE727E" w14:paraId="07DD164E" w14:textId="77777777">
        <w:tc>
          <w:tcPr>
            <w:tcW w:w="0" w:type="auto"/>
            <w:gridSpan w:val="3"/>
            <w:shd w:val="clear" w:color="auto" w:fill="CCEEFF"/>
            <w:tcMar>
              <w:top w:w="40" w:type="dxa"/>
              <w:left w:w="20" w:type="dxa"/>
              <w:bottom w:w="40" w:type="dxa"/>
              <w:right w:w="20" w:type="dxa"/>
            </w:tcMar>
            <w:vAlign w:val="bottom"/>
          </w:tcPr>
          <w:p w14:paraId="07DD164A" w14:textId="77777777" w:rsidR="00AE727E" w:rsidRDefault="008433E0">
            <w:pPr>
              <w:textAlignment w:val="bottom"/>
            </w:pPr>
            <w:r>
              <w:rPr>
                <w:rFonts w:ascii="Times New Roman" w:eastAsia="宋体" w:hAnsi="Times New Roman"/>
                <w:color w:val="000000"/>
                <w:sz w:val="20"/>
                <w:szCs w:val="20"/>
              </w:rPr>
              <w:t>Operating loss (c)</w:t>
            </w:r>
          </w:p>
        </w:tc>
        <w:tc>
          <w:tcPr>
            <w:tcW w:w="0" w:type="auto"/>
            <w:shd w:val="clear" w:color="auto" w:fill="CCEEFF"/>
            <w:tcMar>
              <w:top w:w="40" w:type="dxa"/>
              <w:left w:w="20" w:type="dxa"/>
              <w:bottom w:w="40" w:type="dxa"/>
              <w:right w:w="0" w:type="dxa"/>
            </w:tcMar>
            <w:vAlign w:val="bottom"/>
          </w:tcPr>
          <w:p w14:paraId="07DD164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64C" w14:textId="77777777" w:rsidR="00AE727E" w:rsidRDefault="008433E0">
            <w:pPr>
              <w:jc w:val="right"/>
              <w:textAlignment w:val="bottom"/>
            </w:pPr>
            <w:r>
              <w:rPr>
                <w:rFonts w:ascii="Times New Roman" w:eastAsia="宋体" w:hAnsi="Times New Roman"/>
                <w:color w:val="000000"/>
                <w:sz w:val="20"/>
                <w:szCs w:val="20"/>
              </w:rPr>
              <w:t>(687)</w:t>
            </w:r>
          </w:p>
        </w:tc>
        <w:tc>
          <w:tcPr>
            <w:tcW w:w="0" w:type="auto"/>
            <w:shd w:val="clear" w:color="auto" w:fill="CCEEFF"/>
            <w:tcMar>
              <w:top w:w="40" w:type="dxa"/>
              <w:left w:w="0" w:type="dxa"/>
              <w:bottom w:w="40" w:type="dxa"/>
              <w:right w:w="20" w:type="dxa"/>
            </w:tcMar>
            <w:vAlign w:val="bottom"/>
          </w:tcPr>
          <w:p w14:paraId="07DD164D" w14:textId="77777777" w:rsidR="00AE727E" w:rsidRDefault="00AE727E">
            <w:pPr>
              <w:jc w:val="right"/>
              <w:rPr>
                <w:rFonts w:ascii="宋体"/>
              </w:rPr>
            </w:pPr>
          </w:p>
        </w:tc>
      </w:tr>
      <w:tr w:rsidR="00AE727E" w14:paraId="07DD1652" w14:textId="77777777">
        <w:tc>
          <w:tcPr>
            <w:tcW w:w="0" w:type="auto"/>
            <w:gridSpan w:val="3"/>
            <w:shd w:val="clear" w:color="auto" w:fill="FFFFFF"/>
            <w:tcMar>
              <w:top w:w="40" w:type="dxa"/>
              <w:left w:w="140" w:type="dxa"/>
              <w:bottom w:w="40" w:type="dxa"/>
              <w:right w:w="20" w:type="dxa"/>
            </w:tcMar>
            <w:vAlign w:val="bottom"/>
          </w:tcPr>
          <w:p w14:paraId="07DD164F" w14:textId="77777777" w:rsidR="00AE727E" w:rsidRDefault="008433E0">
            <w:pPr>
              <w:textAlignment w:val="bottom"/>
            </w:pPr>
            <w:r>
              <w:rPr>
                <w:rFonts w:ascii="Times New Roman" w:eastAsia="宋体" w:hAnsi="Times New Roman"/>
                <w:color w:val="000000"/>
                <w:sz w:val="20"/>
                <w:szCs w:val="20"/>
              </w:rPr>
              <w:t>Interest and other, net</w:t>
            </w:r>
          </w:p>
        </w:tc>
        <w:tc>
          <w:tcPr>
            <w:tcW w:w="0" w:type="auto"/>
            <w:gridSpan w:val="2"/>
            <w:shd w:val="clear" w:color="auto" w:fill="FFFFFF"/>
            <w:tcMar>
              <w:top w:w="40" w:type="dxa"/>
              <w:left w:w="20" w:type="dxa"/>
              <w:bottom w:w="40" w:type="dxa"/>
              <w:right w:w="0" w:type="dxa"/>
            </w:tcMar>
            <w:vAlign w:val="bottom"/>
          </w:tcPr>
          <w:p w14:paraId="07DD1650" w14:textId="77777777" w:rsidR="00AE727E" w:rsidRDefault="008433E0">
            <w:pPr>
              <w:jc w:val="right"/>
              <w:textAlignment w:val="bottom"/>
            </w:pPr>
            <w:r>
              <w:rPr>
                <w:rFonts w:ascii="Times New Roman" w:eastAsia="宋体" w:hAnsi="Times New Roman"/>
                <w:color w:val="000000"/>
                <w:sz w:val="20"/>
                <w:szCs w:val="20"/>
              </w:rPr>
              <w:t>2,936 </w:t>
            </w:r>
          </w:p>
        </w:tc>
        <w:tc>
          <w:tcPr>
            <w:tcW w:w="0" w:type="auto"/>
            <w:shd w:val="clear" w:color="auto" w:fill="FFFFFF"/>
            <w:tcMar>
              <w:top w:w="40" w:type="dxa"/>
              <w:left w:w="0" w:type="dxa"/>
              <w:bottom w:w="40" w:type="dxa"/>
              <w:right w:w="20" w:type="dxa"/>
            </w:tcMar>
            <w:vAlign w:val="bottom"/>
          </w:tcPr>
          <w:p w14:paraId="07DD1651" w14:textId="77777777" w:rsidR="00AE727E" w:rsidRDefault="00AE727E">
            <w:pPr>
              <w:jc w:val="right"/>
              <w:rPr>
                <w:rFonts w:ascii="宋体"/>
              </w:rPr>
            </w:pPr>
          </w:p>
        </w:tc>
      </w:tr>
      <w:tr w:rsidR="00AE727E" w14:paraId="07DD1657" w14:textId="77777777">
        <w:tc>
          <w:tcPr>
            <w:tcW w:w="0" w:type="auto"/>
            <w:gridSpan w:val="3"/>
            <w:shd w:val="clear" w:color="auto" w:fill="CCEEFF"/>
            <w:tcMar>
              <w:top w:w="40" w:type="dxa"/>
              <w:left w:w="20" w:type="dxa"/>
              <w:bottom w:w="40" w:type="dxa"/>
              <w:right w:w="20" w:type="dxa"/>
            </w:tcMar>
            <w:vAlign w:val="bottom"/>
          </w:tcPr>
          <w:p w14:paraId="07DD1653" w14:textId="77777777" w:rsidR="00AE727E" w:rsidRDefault="008433E0">
            <w:pPr>
              <w:textAlignment w:val="bottom"/>
            </w:pPr>
            <w:r>
              <w:rPr>
                <w:rFonts w:ascii="Times New Roman" w:eastAsia="宋体" w:hAnsi="Times New Roman"/>
                <w:color w:val="000000"/>
                <w:sz w:val="20"/>
                <w:szCs w:val="20"/>
              </w:rPr>
              <w:t>Income before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07DD1654"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DD1655" w14:textId="77777777" w:rsidR="00AE727E" w:rsidRDefault="008433E0">
            <w:pPr>
              <w:jc w:val="right"/>
              <w:textAlignment w:val="bottom"/>
            </w:pPr>
            <w:r>
              <w:rPr>
                <w:rFonts w:ascii="Times New Roman" w:eastAsia="宋体" w:hAnsi="Times New Roman"/>
                <w:color w:val="000000"/>
                <w:sz w:val="20"/>
                <w:szCs w:val="20"/>
              </w:rPr>
              <w:t>2,249 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DD1656" w14:textId="77777777" w:rsidR="00AE727E" w:rsidRDefault="00AE727E">
            <w:pPr>
              <w:jc w:val="right"/>
              <w:rPr>
                <w:rFonts w:ascii="宋体"/>
              </w:rPr>
            </w:pPr>
          </w:p>
        </w:tc>
      </w:tr>
      <w:tr w:rsidR="00AE727E" w14:paraId="07DD165C" w14:textId="77777777">
        <w:tc>
          <w:tcPr>
            <w:tcW w:w="0" w:type="auto"/>
            <w:gridSpan w:val="3"/>
            <w:shd w:val="clear" w:color="auto" w:fill="FFFFFF"/>
            <w:tcMar>
              <w:top w:w="40" w:type="dxa"/>
              <w:left w:w="20" w:type="dxa"/>
              <w:bottom w:w="40" w:type="dxa"/>
              <w:right w:w="20" w:type="dxa"/>
            </w:tcMar>
            <w:vAlign w:val="bottom"/>
          </w:tcPr>
          <w:p w14:paraId="07DD1658" w14:textId="77777777" w:rsidR="00AE727E" w:rsidRDefault="008433E0">
            <w:pPr>
              <w:textAlignment w:val="bottom"/>
            </w:pPr>
            <w:r>
              <w:rPr>
                <w:rFonts w:ascii="Times New Roman" w:eastAsia="宋体" w:hAnsi="Times New Roman"/>
                <w:color w:val="000000"/>
                <w:sz w:val="20"/>
                <w:szCs w:val="20"/>
              </w:rPr>
              <w:t xml:space="preserve">Net income </w:t>
            </w:r>
            <w:r>
              <w:rPr>
                <w:rFonts w:ascii="Times New Roman" w:eastAsia="宋体" w:hAnsi="Times New Roman"/>
                <w:color w:val="000000"/>
                <w:sz w:val="20"/>
                <w:szCs w:val="20"/>
              </w:rPr>
              <w:t>attributable to Obligor Group</w:t>
            </w:r>
          </w:p>
        </w:tc>
        <w:tc>
          <w:tcPr>
            <w:tcW w:w="0" w:type="auto"/>
            <w:shd w:val="clear" w:color="auto" w:fill="FFFFFF"/>
            <w:tcMar>
              <w:top w:w="40" w:type="dxa"/>
              <w:left w:w="20" w:type="dxa"/>
              <w:bottom w:w="40" w:type="dxa"/>
              <w:right w:w="0" w:type="dxa"/>
            </w:tcMar>
            <w:vAlign w:val="bottom"/>
          </w:tcPr>
          <w:p w14:paraId="07DD165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5A" w14:textId="77777777" w:rsidR="00AE727E" w:rsidRDefault="008433E0">
            <w:pPr>
              <w:jc w:val="right"/>
              <w:textAlignment w:val="bottom"/>
            </w:pPr>
            <w:r>
              <w:rPr>
                <w:rFonts w:ascii="Times New Roman" w:eastAsia="宋体" w:hAnsi="Times New Roman"/>
                <w:color w:val="000000"/>
                <w:sz w:val="20"/>
                <w:szCs w:val="20"/>
              </w:rPr>
              <w:t>1,801 </w:t>
            </w:r>
          </w:p>
        </w:tc>
        <w:tc>
          <w:tcPr>
            <w:tcW w:w="0" w:type="auto"/>
            <w:shd w:val="clear" w:color="auto" w:fill="FFFFFF"/>
            <w:tcMar>
              <w:top w:w="40" w:type="dxa"/>
              <w:left w:w="0" w:type="dxa"/>
              <w:bottom w:w="40" w:type="dxa"/>
              <w:right w:w="20" w:type="dxa"/>
            </w:tcMar>
            <w:vAlign w:val="bottom"/>
          </w:tcPr>
          <w:p w14:paraId="07DD165B" w14:textId="77777777" w:rsidR="00AE727E" w:rsidRDefault="00AE727E">
            <w:pPr>
              <w:jc w:val="right"/>
              <w:rPr>
                <w:rFonts w:ascii="宋体"/>
              </w:rPr>
            </w:pPr>
          </w:p>
        </w:tc>
      </w:tr>
    </w:tbl>
    <w:p w14:paraId="07DD165D" w14:textId="77777777" w:rsidR="00AE727E" w:rsidRDefault="008433E0">
      <w:r>
        <w:rPr>
          <w:rFonts w:ascii="Times New Roman" w:eastAsia="宋体" w:hAnsi="Times New Roman"/>
          <w:color w:val="000000"/>
          <w:sz w:val="20"/>
          <w:szCs w:val="20"/>
        </w:rPr>
        <w:t>____________________</w:t>
      </w:r>
    </w:p>
    <w:p w14:paraId="07DD165E" w14:textId="77777777" w:rsidR="00AE727E" w:rsidRDefault="008433E0">
      <w:pPr>
        <w:ind w:hanging="360"/>
      </w:pPr>
      <w:r>
        <w:rPr>
          <w:rFonts w:ascii="Times New Roman" w:eastAsia="宋体" w:hAnsi="Times New Roman"/>
          <w:color w:val="000000"/>
          <w:sz w:val="20"/>
          <w:szCs w:val="20"/>
        </w:rPr>
        <w:t>(a) Includes net revenue from services provided and product sales to Non-Guarantor Subsidiaries of $2,069 million and $122 million, respectively.</w:t>
      </w:r>
    </w:p>
    <w:p w14:paraId="07DD165F" w14:textId="77777777" w:rsidR="00AE727E" w:rsidRDefault="008433E0">
      <w:pPr>
        <w:ind w:hanging="360"/>
      </w:pPr>
      <w:r>
        <w:rPr>
          <w:rFonts w:ascii="Times New Roman" w:eastAsia="宋体" w:hAnsi="Times New Roman"/>
          <w:color w:val="000000"/>
          <w:sz w:val="20"/>
          <w:szCs w:val="20"/>
        </w:rPr>
        <w:t xml:space="preserve">(b) Includes cost of net revenue from </w:t>
      </w:r>
      <w:r>
        <w:rPr>
          <w:rFonts w:ascii="Times New Roman" w:eastAsia="宋体" w:hAnsi="Times New Roman"/>
          <w:color w:val="000000"/>
          <w:sz w:val="20"/>
          <w:szCs w:val="20"/>
        </w:rPr>
        <w:t>resale of solutions purchased from Non-Guarantor Subsidiaries of $1,837 million.</w:t>
      </w:r>
    </w:p>
    <w:p w14:paraId="07DD1660" w14:textId="77777777" w:rsidR="00AE727E" w:rsidRDefault="008433E0">
      <w:pPr>
        <w:ind w:hanging="360"/>
      </w:pPr>
      <w:r>
        <w:rPr>
          <w:rFonts w:ascii="Times New Roman" w:eastAsia="宋体" w:hAnsi="Times New Roman"/>
          <w:color w:val="000000"/>
          <w:sz w:val="20"/>
          <w:szCs w:val="20"/>
        </w:rPr>
        <w:t>(c) Includes operating expenses from shared services provided by Non-Guarantor Subsidiaries of $59 million.</w:t>
      </w:r>
    </w:p>
    <w:p w14:paraId="07DD1661" w14:textId="77777777" w:rsidR="00AE727E" w:rsidRDefault="00AE727E">
      <w:pPr>
        <w:ind w:hanging="360"/>
      </w:pPr>
    </w:p>
    <w:p w14:paraId="07DD1662" w14:textId="77777777" w:rsidR="00AE727E" w:rsidRDefault="00AE727E">
      <w:pPr>
        <w:jc w:val="center"/>
      </w:pPr>
    </w:p>
    <w:p w14:paraId="07DD1663" w14:textId="77777777" w:rsidR="00AE727E" w:rsidRDefault="008433E0">
      <w:pPr>
        <w:jc w:val="center"/>
      </w:pPr>
      <w:r>
        <w:rPr>
          <w:rFonts w:ascii="Times New Roman" w:eastAsia="宋体" w:hAnsi="Times New Roman"/>
          <w:color w:val="000000"/>
          <w:sz w:val="20"/>
          <w:szCs w:val="20"/>
        </w:rPr>
        <w:t>91</w:t>
      </w:r>
    </w:p>
    <w:p w14:paraId="07DD1664" w14:textId="77777777" w:rsidR="00AE727E" w:rsidRDefault="00AE727E">
      <w:pPr>
        <w:jc w:val="center"/>
      </w:pPr>
    </w:p>
    <w:p w14:paraId="07DD1665" w14:textId="77777777" w:rsidR="00AE727E" w:rsidRDefault="008433E0">
      <w:r>
        <w:pict w14:anchorId="07DD192B">
          <v:rect id="_x0000_i1115" style="width:415.3pt;height:1.5pt" o:hralign="center" o:hrstd="t" o:hr="t" fillcolor="#a0a0a0" stroked="f"/>
        </w:pict>
      </w:r>
    </w:p>
    <w:p w14:paraId="07DD1666" w14:textId="77777777" w:rsidR="00AE727E" w:rsidRDefault="008433E0">
      <w:hyperlink r:id="rId216" w:anchor="i1c8279be622a460ea19600488436f115_10" w:history="1">
        <w:r>
          <w:rPr>
            <w:rStyle w:val="a5"/>
            <w:rFonts w:ascii="Times New Roman" w:eastAsia="宋体" w:hAnsi="Times New Roman"/>
            <w:sz w:val="20"/>
            <w:szCs w:val="20"/>
          </w:rPr>
          <w:t>Table of Contents</w:t>
        </w:r>
      </w:hyperlink>
    </w:p>
    <w:p w14:paraId="07DD1667" w14:textId="77777777" w:rsidR="00AE727E" w:rsidRDefault="008433E0">
      <w:r>
        <w:rPr>
          <w:rFonts w:ascii="Times New Roman" w:eastAsia="宋体" w:hAnsi="Times New Roman"/>
          <w:color w:val="000000"/>
          <w:sz w:val="20"/>
          <w:szCs w:val="20"/>
        </w:rPr>
        <w:t>The following table presents summarized balance sheet information for the Obligor Group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AE727E" w14:paraId="07DD1674" w14:textId="77777777">
        <w:tc>
          <w:tcPr>
            <w:tcW w:w="50" w:type="pct"/>
            <w:shd w:val="clear" w:color="auto" w:fill="auto"/>
            <w:vAlign w:val="bottom"/>
          </w:tcPr>
          <w:p w14:paraId="07DD1668" w14:textId="77777777" w:rsidR="00AE727E" w:rsidRDefault="00AE727E">
            <w:pPr>
              <w:rPr>
                <w:rFonts w:ascii="宋体"/>
              </w:rPr>
            </w:pPr>
          </w:p>
        </w:tc>
        <w:tc>
          <w:tcPr>
            <w:tcW w:w="2971" w:type="pct"/>
            <w:shd w:val="clear" w:color="auto" w:fill="auto"/>
            <w:vAlign w:val="bottom"/>
          </w:tcPr>
          <w:p w14:paraId="07DD1669" w14:textId="77777777" w:rsidR="00AE727E" w:rsidRDefault="00AE727E">
            <w:pPr>
              <w:rPr>
                <w:rFonts w:ascii="宋体"/>
              </w:rPr>
            </w:pPr>
          </w:p>
        </w:tc>
        <w:tc>
          <w:tcPr>
            <w:tcW w:w="5" w:type="pct"/>
            <w:shd w:val="clear" w:color="auto" w:fill="auto"/>
            <w:vAlign w:val="bottom"/>
          </w:tcPr>
          <w:p w14:paraId="07DD166A" w14:textId="77777777" w:rsidR="00AE727E" w:rsidRDefault="00AE727E">
            <w:pPr>
              <w:rPr>
                <w:rFonts w:ascii="宋体"/>
              </w:rPr>
            </w:pPr>
          </w:p>
        </w:tc>
        <w:tc>
          <w:tcPr>
            <w:tcW w:w="50" w:type="pct"/>
            <w:shd w:val="clear" w:color="auto" w:fill="auto"/>
            <w:vAlign w:val="bottom"/>
          </w:tcPr>
          <w:p w14:paraId="07DD166B" w14:textId="77777777" w:rsidR="00AE727E" w:rsidRDefault="00AE727E">
            <w:pPr>
              <w:rPr>
                <w:rFonts w:ascii="宋体"/>
              </w:rPr>
            </w:pPr>
          </w:p>
        </w:tc>
        <w:tc>
          <w:tcPr>
            <w:tcW w:w="917" w:type="pct"/>
            <w:shd w:val="clear" w:color="auto" w:fill="auto"/>
            <w:vAlign w:val="bottom"/>
          </w:tcPr>
          <w:p w14:paraId="07DD166C" w14:textId="77777777" w:rsidR="00AE727E" w:rsidRDefault="00AE727E">
            <w:pPr>
              <w:rPr>
                <w:rFonts w:ascii="宋体"/>
              </w:rPr>
            </w:pPr>
          </w:p>
        </w:tc>
        <w:tc>
          <w:tcPr>
            <w:tcW w:w="5" w:type="pct"/>
            <w:shd w:val="clear" w:color="auto" w:fill="auto"/>
            <w:vAlign w:val="bottom"/>
          </w:tcPr>
          <w:p w14:paraId="07DD166D" w14:textId="77777777" w:rsidR="00AE727E" w:rsidRDefault="00AE727E">
            <w:pPr>
              <w:rPr>
                <w:rFonts w:ascii="宋体"/>
              </w:rPr>
            </w:pPr>
          </w:p>
        </w:tc>
        <w:tc>
          <w:tcPr>
            <w:tcW w:w="5" w:type="pct"/>
            <w:shd w:val="clear" w:color="auto" w:fill="auto"/>
            <w:vAlign w:val="bottom"/>
          </w:tcPr>
          <w:p w14:paraId="07DD166E" w14:textId="77777777" w:rsidR="00AE727E" w:rsidRDefault="00AE727E">
            <w:pPr>
              <w:rPr>
                <w:rFonts w:ascii="宋体"/>
              </w:rPr>
            </w:pPr>
          </w:p>
        </w:tc>
        <w:tc>
          <w:tcPr>
            <w:tcW w:w="19" w:type="pct"/>
            <w:shd w:val="clear" w:color="auto" w:fill="auto"/>
            <w:vAlign w:val="bottom"/>
          </w:tcPr>
          <w:p w14:paraId="07DD166F" w14:textId="77777777" w:rsidR="00AE727E" w:rsidRDefault="00AE727E">
            <w:pPr>
              <w:rPr>
                <w:rFonts w:ascii="宋体"/>
              </w:rPr>
            </w:pPr>
          </w:p>
        </w:tc>
        <w:tc>
          <w:tcPr>
            <w:tcW w:w="5" w:type="pct"/>
            <w:shd w:val="clear" w:color="auto" w:fill="auto"/>
            <w:vAlign w:val="bottom"/>
          </w:tcPr>
          <w:p w14:paraId="07DD1670" w14:textId="77777777" w:rsidR="00AE727E" w:rsidRDefault="00AE727E">
            <w:pPr>
              <w:rPr>
                <w:rFonts w:ascii="宋体"/>
              </w:rPr>
            </w:pPr>
          </w:p>
        </w:tc>
        <w:tc>
          <w:tcPr>
            <w:tcW w:w="50" w:type="pct"/>
            <w:shd w:val="clear" w:color="auto" w:fill="auto"/>
            <w:vAlign w:val="bottom"/>
          </w:tcPr>
          <w:p w14:paraId="07DD1671" w14:textId="77777777" w:rsidR="00AE727E" w:rsidRDefault="00AE727E">
            <w:pPr>
              <w:rPr>
                <w:rFonts w:ascii="宋体"/>
              </w:rPr>
            </w:pPr>
          </w:p>
        </w:tc>
        <w:tc>
          <w:tcPr>
            <w:tcW w:w="917" w:type="pct"/>
            <w:shd w:val="clear" w:color="auto" w:fill="auto"/>
            <w:vAlign w:val="bottom"/>
          </w:tcPr>
          <w:p w14:paraId="07DD1672" w14:textId="77777777" w:rsidR="00AE727E" w:rsidRDefault="00AE727E">
            <w:pPr>
              <w:rPr>
                <w:rFonts w:ascii="宋体"/>
              </w:rPr>
            </w:pPr>
          </w:p>
        </w:tc>
        <w:tc>
          <w:tcPr>
            <w:tcW w:w="5" w:type="pct"/>
            <w:shd w:val="clear" w:color="auto" w:fill="auto"/>
            <w:vAlign w:val="bottom"/>
          </w:tcPr>
          <w:p w14:paraId="07DD1673" w14:textId="77777777" w:rsidR="00AE727E" w:rsidRDefault="00AE727E">
            <w:pPr>
              <w:rPr>
                <w:rFonts w:ascii="宋体"/>
              </w:rPr>
            </w:pPr>
          </w:p>
        </w:tc>
      </w:tr>
      <w:tr w:rsidR="00AE727E" w14:paraId="07DD1679" w14:textId="77777777">
        <w:tc>
          <w:tcPr>
            <w:tcW w:w="0" w:type="auto"/>
            <w:gridSpan w:val="3"/>
            <w:shd w:val="clear" w:color="auto" w:fill="auto"/>
            <w:tcMar>
              <w:top w:w="0" w:type="dxa"/>
              <w:left w:w="20" w:type="dxa"/>
              <w:bottom w:w="0" w:type="dxa"/>
              <w:right w:w="20" w:type="dxa"/>
            </w:tcMar>
            <w:vAlign w:val="bottom"/>
          </w:tcPr>
          <w:p w14:paraId="07DD1675"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676" w14:textId="77777777" w:rsidR="00AE727E" w:rsidRDefault="008433E0">
            <w:pPr>
              <w:jc w:val="center"/>
              <w:textAlignment w:val="bottom"/>
            </w:pPr>
            <w:r>
              <w:rPr>
                <w:rFonts w:ascii="Times New Roman" w:eastAsia="宋体" w:hAnsi="Times New Roman"/>
                <w:b/>
                <w:bCs/>
                <w:color w:val="000000"/>
                <w:sz w:val="20"/>
                <w:szCs w:val="20"/>
              </w:rPr>
              <w:t xml:space="preserve">October 29, </w:t>
            </w:r>
            <w:r>
              <w:rPr>
                <w:rFonts w:ascii="Times New Roman" w:eastAsia="宋体" w:hAnsi="Times New Roman"/>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07DD1677"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678" w14:textId="77777777" w:rsidR="00AE727E" w:rsidRDefault="008433E0">
            <w:pPr>
              <w:jc w:val="center"/>
              <w:textAlignment w:val="bottom"/>
            </w:pPr>
            <w:r>
              <w:rPr>
                <w:rFonts w:ascii="Times New Roman" w:eastAsia="宋体" w:hAnsi="Times New Roman"/>
                <w:b/>
                <w:bCs/>
                <w:color w:val="000000"/>
                <w:sz w:val="20"/>
                <w:szCs w:val="20"/>
              </w:rPr>
              <w:t xml:space="preserve">January 29, 2021 </w:t>
            </w:r>
            <w:r>
              <w:rPr>
                <w:rFonts w:ascii="Times New Roman" w:eastAsia="宋体" w:hAnsi="Times New Roman"/>
                <w:b/>
                <w:bCs/>
                <w:color w:val="000000"/>
                <w:sz w:val="13"/>
                <w:szCs w:val="13"/>
              </w:rPr>
              <w:t>(a)</w:t>
            </w:r>
          </w:p>
        </w:tc>
      </w:tr>
      <w:tr w:rsidR="00AE727E" w14:paraId="07DD167C" w14:textId="77777777">
        <w:tc>
          <w:tcPr>
            <w:tcW w:w="0" w:type="auto"/>
            <w:gridSpan w:val="3"/>
            <w:shd w:val="clear" w:color="auto" w:fill="auto"/>
            <w:tcMar>
              <w:top w:w="0" w:type="dxa"/>
              <w:left w:w="20" w:type="dxa"/>
              <w:bottom w:w="0" w:type="dxa"/>
              <w:right w:w="20" w:type="dxa"/>
            </w:tcMar>
            <w:vAlign w:val="bottom"/>
          </w:tcPr>
          <w:p w14:paraId="07DD167A" w14:textId="77777777" w:rsidR="00AE727E" w:rsidRDefault="00AE727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D167B" w14:textId="77777777" w:rsidR="00AE727E" w:rsidRDefault="008433E0">
            <w:pPr>
              <w:jc w:val="center"/>
              <w:textAlignment w:val="bottom"/>
            </w:pPr>
            <w:r>
              <w:rPr>
                <w:rFonts w:ascii="Times New Roman" w:eastAsia="宋体" w:hAnsi="Times New Roman"/>
                <w:color w:val="000000"/>
                <w:sz w:val="20"/>
                <w:szCs w:val="20"/>
              </w:rPr>
              <w:t>(in millions)</w:t>
            </w:r>
          </w:p>
        </w:tc>
      </w:tr>
      <w:tr w:rsidR="00AE727E" w14:paraId="07DD167E" w14:textId="77777777">
        <w:tc>
          <w:tcPr>
            <w:tcW w:w="0" w:type="auto"/>
            <w:gridSpan w:val="12"/>
            <w:shd w:val="clear" w:color="auto" w:fill="CCEEFF"/>
            <w:tcMar>
              <w:top w:w="40" w:type="dxa"/>
              <w:left w:w="20" w:type="dxa"/>
              <w:bottom w:w="40" w:type="dxa"/>
              <w:right w:w="20" w:type="dxa"/>
            </w:tcMar>
            <w:vAlign w:val="bottom"/>
          </w:tcPr>
          <w:p w14:paraId="07DD167D" w14:textId="77777777" w:rsidR="00AE727E" w:rsidRDefault="008433E0">
            <w:pPr>
              <w:jc w:val="center"/>
              <w:textAlignment w:val="bottom"/>
            </w:pPr>
            <w:r>
              <w:rPr>
                <w:rFonts w:ascii="Times New Roman" w:eastAsia="宋体" w:hAnsi="Times New Roman"/>
                <w:b/>
                <w:bCs/>
                <w:color w:val="000000"/>
                <w:sz w:val="20"/>
                <w:szCs w:val="20"/>
              </w:rPr>
              <w:t>ASSETS</w:t>
            </w:r>
          </w:p>
        </w:tc>
      </w:tr>
      <w:tr w:rsidR="00AE727E" w14:paraId="07DD1687" w14:textId="77777777">
        <w:tc>
          <w:tcPr>
            <w:tcW w:w="0" w:type="auto"/>
            <w:gridSpan w:val="3"/>
            <w:shd w:val="clear" w:color="auto" w:fill="FFFFFF"/>
            <w:tcMar>
              <w:top w:w="40" w:type="dxa"/>
              <w:left w:w="20" w:type="dxa"/>
              <w:bottom w:w="40" w:type="dxa"/>
              <w:right w:w="20" w:type="dxa"/>
            </w:tcMar>
            <w:vAlign w:val="bottom"/>
          </w:tcPr>
          <w:p w14:paraId="07DD167F" w14:textId="77777777" w:rsidR="00AE727E" w:rsidRDefault="008433E0">
            <w:pPr>
              <w:textAlignment w:val="bottom"/>
            </w:pPr>
            <w:r>
              <w:rPr>
                <w:rFonts w:ascii="Times New Roman" w:eastAsia="宋体" w:hAnsi="Times New Roman"/>
                <w:color w:val="000000"/>
                <w:sz w:val="20"/>
                <w:szCs w:val="20"/>
              </w:rPr>
              <w:t>Current assets</w:t>
            </w:r>
          </w:p>
        </w:tc>
        <w:tc>
          <w:tcPr>
            <w:tcW w:w="0" w:type="auto"/>
            <w:shd w:val="clear" w:color="auto" w:fill="FFFFFF"/>
            <w:tcMar>
              <w:top w:w="40" w:type="dxa"/>
              <w:left w:w="20" w:type="dxa"/>
              <w:bottom w:w="40" w:type="dxa"/>
              <w:right w:w="0" w:type="dxa"/>
            </w:tcMar>
            <w:vAlign w:val="bottom"/>
          </w:tcPr>
          <w:p w14:paraId="07DD1680"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81" w14:textId="77777777" w:rsidR="00AE727E" w:rsidRDefault="008433E0">
            <w:pPr>
              <w:jc w:val="right"/>
              <w:textAlignment w:val="bottom"/>
            </w:pPr>
            <w:r>
              <w:rPr>
                <w:rFonts w:ascii="Times New Roman" w:eastAsia="宋体" w:hAnsi="Times New Roman"/>
                <w:color w:val="000000"/>
                <w:sz w:val="20"/>
                <w:szCs w:val="20"/>
              </w:rPr>
              <w:t>16,429 </w:t>
            </w:r>
          </w:p>
        </w:tc>
        <w:tc>
          <w:tcPr>
            <w:tcW w:w="0" w:type="auto"/>
            <w:shd w:val="clear" w:color="auto" w:fill="FFFFFF"/>
            <w:tcMar>
              <w:top w:w="40" w:type="dxa"/>
              <w:left w:w="0" w:type="dxa"/>
              <w:bottom w:w="40" w:type="dxa"/>
              <w:right w:w="20" w:type="dxa"/>
            </w:tcMar>
            <w:vAlign w:val="bottom"/>
          </w:tcPr>
          <w:p w14:paraId="07DD168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83"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684"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85" w14:textId="77777777" w:rsidR="00AE727E" w:rsidRDefault="008433E0">
            <w:pPr>
              <w:jc w:val="right"/>
              <w:textAlignment w:val="bottom"/>
            </w:pPr>
            <w:r>
              <w:rPr>
                <w:rFonts w:ascii="Times New Roman" w:eastAsia="宋体" w:hAnsi="Times New Roman"/>
                <w:color w:val="000000"/>
                <w:sz w:val="20"/>
                <w:szCs w:val="20"/>
              </w:rPr>
              <w:t>12,160 </w:t>
            </w:r>
          </w:p>
        </w:tc>
        <w:tc>
          <w:tcPr>
            <w:tcW w:w="0" w:type="auto"/>
            <w:shd w:val="clear" w:color="auto" w:fill="FFFFFF"/>
            <w:tcMar>
              <w:top w:w="40" w:type="dxa"/>
              <w:left w:w="0" w:type="dxa"/>
              <w:bottom w:w="40" w:type="dxa"/>
              <w:right w:w="20" w:type="dxa"/>
            </w:tcMar>
            <w:vAlign w:val="bottom"/>
          </w:tcPr>
          <w:p w14:paraId="07DD1686" w14:textId="77777777" w:rsidR="00AE727E" w:rsidRDefault="00AE727E">
            <w:pPr>
              <w:jc w:val="right"/>
              <w:rPr>
                <w:rFonts w:ascii="宋体"/>
              </w:rPr>
            </w:pPr>
          </w:p>
        </w:tc>
      </w:tr>
      <w:tr w:rsidR="00AE727E" w14:paraId="07DD168D" w14:textId="77777777">
        <w:tc>
          <w:tcPr>
            <w:tcW w:w="0" w:type="auto"/>
            <w:gridSpan w:val="3"/>
            <w:shd w:val="clear" w:color="auto" w:fill="CCEEFF"/>
            <w:tcMar>
              <w:top w:w="40" w:type="dxa"/>
              <w:left w:w="20" w:type="dxa"/>
              <w:bottom w:w="40" w:type="dxa"/>
              <w:right w:w="20" w:type="dxa"/>
            </w:tcMar>
            <w:vAlign w:val="bottom"/>
          </w:tcPr>
          <w:p w14:paraId="07DD1688" w14:textId="77777777" w:rsidR="00AE727E" w:rsidRDefault="008433E0">
            <w:pPr>
              <w:textAlignment w:val="bottom"/>
            </w:pPr>
            <w:r>
              <w:rPr>
                <w:rFonts w:ascii="Times New Roman" w:eastAsia="宋体" w:hAnsi="Times New Roman"/>
                <w:color w:val="000000"/>
                <w:sz w:val="20"/>
                <w:szCs w:val="20"/>
              </w:rPr>
              <w:t>Short-term intercompany loan receivables</w:t>
            </w:r>
          </w:p>
        </w:tc>
        <w:tc>
          <w:tcPr>
            <w:tcW w:w="0" w:type="auto"/>
            <w:gridSpan w:val="2"/>
            <w:shd w:val="clear" w:color="auto" w:fill="CCEEFF"/>
            <w:tcMar>
              <w:top w:w="40" w:type="dxa"/>
              <w:left w:w="20" w:type="dxa"/>
              <w:bottom w:w="40" w:type="dxa"/>
              <w:right w:w="0" w:type="dxa"/>
            </w:tcMar>
            <w:vAlign w:val="bottom"/>
          </w:tcPr>
          <w:p w14:paraId="07DD1689" w14:textId="77777777" w:rsidR="00AE727E" w:rsidRDefault="008433E0">
            <w:pPr>
              <w:jc w:val="right"/>
              <w:textAlignment w:val="bottom"/>
            </w:pPr>
            <w:r>
              <w:rPr>
                <w:rFonts w:ascii="Times New Roman" w:eastAsia="宋体" w:hAnsi="Times New Roman"/>
                <w:color w:val="000000"/>
                <w:sz w:val="20"/>
                <w:szCs w:val="20"/>
              </w:rPr>
              <w:t>2,379 </w:t>
            </w:r>
          </w:p>
        </w:tc>
        <w:tc>
          <w:tcPr>
            <w:tcW w:w="0" w:type="auto"/>
            <w:shd w:val="clear" w:color="auto" w:fill="CCEEFF"/>
            <w:tcMar>
              <w:top w:w="40" w:type="dxa"/>
              <w:left w:w="0" w:type="dxa"/>
              <w:bottom w:w="40" w:type="dxa"/>
              <w:right w:w="20" w:type="dxa"/>
            </w:tcMar>
            <w:vAlign w:val="bottom"/>
          </w:tcPr>
          <w:p w14:paraId="07DD168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8B" w14:textId="77777777" w:rsidR="00AE727E" w:rsidRDefault="00AE727E">
            <w:pPr>
              <w:rPr>
                <w:rFonts w:ascii="宋体"/>
              </w:rPr>
            </w:pPr>
          </w:p>
        </w:tc>
        <w:tc>
          <w:tcPr>
            <w:tcW w:w="0" w:type="auto"/>
            <w:gridSpan w:val="3"/>
            <w:shd w:val="clear" w:color="auto" w:fill="CCEEFF"/>
            <w:tcMar>
              <w:top w:w="40" w:type="dxa"/>
              <w:left w:w="20" w:type="dxa"/>
              <w:bottom w:w="40" w:type="dxa"/>
              <w:right w:w="140" w:type="dxa"/>
            </w:tcMar>
            <w:vAlign w:val="bottom"/>
          </w:tcPr>
          <w:p w14:paraId="07DD168C" w14:textId="77777777" w:rsidR="00AE727E" w:rsidRDefault="008433E0">
            <w:pPr>
              <w:jc w:val="right"/>
              <w:textAlignment w:val="bottom"/>
            </w:pPr>
            <w:r>
              <w:rPr>
                <w:rFonts w:ascii="Times New Roman" w:eastAsia="宋体" w:hAnsi="Times New Roman"/>
                <w:color w:val="000000"/>
                <w:sz w:val="20"/>
                <w:szCs w:val="20"/>
              </w:rPr>
              <w:t>—</w:t>
            </w:r>
          </w:p>
        </w:tc>
      </w:tr>
      <w:tr w:rsidR="00AE727E" w14:paraId="07DD1693" w14:textId="77777777">
        <w:tc>
          <w:tcPr>
            <w:tcW w:w="0" w:type="auto"/>
            <w:gridSpan w:val="3"/>
            <w:shd w:val="clear" w:color="auto" w:fill="FFFFFF"/>
            <w:tcMar>
              <w:top w:w="40" w:type="dxa"/>
              <w:left w:w="140" w:type="dxa"/>
              <w:bottom w:w="40" w:type="dxa"/>
              <w:right w:w="20" w:type="dxa"/>
            </w:tcMar>
            <w:vAlign w:val="bottom"/>
          </w:tcPr>
          <w:p w14:paraId="07DD168E" w14:textId="77777777" w:rsidR="00AE727E" w:rsidRDefault="008433E0">
            <w:pPr>
              <w:textAlignment w:val="bottom"/>
            </w:pPr>
            <w:r>
              <w:rPr>
                <w:rFonts w:ascii="Times New Roman" w:eastAsia="宋体" w:hAnsi="Times New Roman"/>
                <w:color w:val="000000"/>
                <w:sz w:val="20"/>
                <w:szCs w:val="20"/>
              </w:rPr>
              <w:t>Total current assets</w:t>
            </w:r>
          </w:p>
        </w:tc>
        <w:tc>
          <w:tcPr>
            <w:tcW w:w="0" w:type="auto"/>
            <w:gridSpan w:val="2"/>
            <w:shd w:val="clear" w:color="auto" w:fill="FFFFFF"/>
            <w:tcMar>
              <w:top w:w="40" w:type="dxa"/>
              <w:left w:w="20" w:type="dxa"/>
              <w:bottom w:w="40" w:type="dxa"/>
              <w:right w:w="0" w:type="dxa"/>
            </w:tcMar>
            <w:vAlign w:val="bottom"/>
          </w:tcPr>
          <w:p w14:paraId="07DD168F" w14:textId="77777777" w:rsidR="00AE727E" w:rsidRDefault="008433E0">
            <w:pPr>
              <w:jc w:val="right"/>
              <w:textAlignment w:val="bottom"/>
            </w:pPr>
            <w:r>
              <w:rPr>
                <w:rFonts w:ascii="Times New Roman" w:eastAsia="宋体" w:hAnsi="Times New Roman"/>
                <w:color w:val="000000"/>
                <w:sz w:val="20"/>
                <w:szCs w:val="20"/>
              </w:rPr>
              <w:t>18,808 </w:t>
            </w:r>
          </w:p>
        </w:tc>
        <w:tc>
          <w:tcPr>
            <w:tcW w:w="0" w:type="auto"/>
            <w:shd w:val="clear" w:color="auto" w:fill="FFFFFF"/>
            <w:tcMar>
              <w:top w:w="40" w:type="dxa"/>
              <w:left w:w="0" w:type="dxa"/>
              <w:bottom w:w="40" w:type="dxa"/>
              <w:right w:w="20" w:type="dxa"/>
            </w:tcMar>
            <w:vAlign w:val="bottom"/>
          </w:tcPr>
          <w:p w14:paraId="07DD169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91" w14:textId="77777777" w:rsidR="00AE727E" w:rsidRDefault="00AE727E">
            <w:pPr>
              <w:rPr>
                <w:rFonts w:ascii="宋体"/>
              </w:rPr>
            </w:pPr>
          </w:p>
        </w:tc>
        <w:tc>
          <w:tcPr>
            <w:tcW w:w="0" w:type="auto"/>
            <w:gridSpan w:val="3"/>
            <w:shd w:val="clear" w:color="auto" w:fill="FFFFFF"/>
            <w:tcMar>
              <w:top w:w="40" w:type="dxa"/>
              <w:left w:w="20" w:type="dxa"/>
              <w:bottom w:w="40" w:type="dxa"/>
              <w:right w:w="140" w:type="dxa"/>
            </w:tcMar>
            <w:vAlign w:val="bottom"/>
          </w:tcPr>
          <w:p w14:paraId="07DD1692" w14:textId="77777777" w:rsidR="00AE727E" w:rsidRDefault="008433E0">
            <w:pPr>
              <w:jc w:val="right"/>
              <w:textAlignment w:val="bottom"/>
            </w:pPr>
            <w:r>
              <w:rPr>
                <w:rFonts w:ascii="Times New Roman" w:eastAsia="宋体" w:hAnsi="Times New Roman"/>
                <w:color w:val="000000"/>
                <w:sz w:val="20"/>
                <w:szCs w:val="20"/>
              </w:rPr>
              <w:t>12,160</w:t>
            </w:r>
          </w:p>
        </w:tc>
      </w:tr>
      <w:tr w:rsidR="00AE727E" w14:paraId="07DD169A" w14:textId="77777777">
        <w:tc>
          <w:tcPr>
            <w:tcW w:w="0" w:type="auto"/>
            <w:gridSpan w:val="3"/>
            <w:shd w:val="clear" w:color="auto" w:fill="CCEEFF"/>
            <w:tcMar>
              <w:top w:w="40" w:type="dxa"/>
              <w:left w:w="20" w:type="dxa"/>
              <w:bottom w:w="40" w:type="dxa"/>
              <w:right w:w="20" w:type="dxa"/>
            </w:tcMar>
            <w:vAlign w:val="bottom"/>
          </w:tcPr>
          <w:p w14:paraId="07DD1694" w14:textId="77777777" w:rsidR="00AE727E" w:rsidRDefault="008433E0">
            <w:pPr>
              <w:textAlignment w:val="bottom"/>
            </w:pPr>
            <w:r>
              <w:rPr>
                <w:rFonts w:ascii="Times New Roman" w:eastAsia="宋体" w:hAnsi="Times New Roman"/>
                <w:color w:val="000000"/>
                <w:sz w:val="20"/>
                <w:szCs w:val="20"/>
              </w:rPr>
              <w:t>Goodwill and intangible assets</w:t>
            </w:r>
          </w:p>
        </w:tc>
        <w:tc>
          <w:tcPr>
            <w:tcW w:w="0" w:type="auto"/>
            <w:gridSpan w:val="2"/>
            <w:shd w:val="clear" w:color="auto" w:fill="CCEEFF"/>
            <w:tcMar>
              <w:top w:w="40" w:type="dxa"/>
              <w:left w:w="20" w:type="dxa"/>
              <w:bottom w:w="40" w:type="dxa"/>
              <w:right w:w="0" w:type="dxa"/>
            </w:tcMar>
            <w:vAlign w:val="bottom"/>
          </w:tcPr>
          <w:p w14:paraId="07DD1695" w14:textId="77777777" w:rsidR="00AE727E" w:rsidRDefault="008433E0">
            <w:pPr>
              <w:jc w:val="right"/>
              <w:textAlignment w:val="bottom"/>
            </w:pPr>
            <w:r>
              <w:rPr>
                <w:rFonts w:ascii="Times New Roman" w:eastAsia="宋体" w:hAnsi="Times New Roman"/>
                <w:color w:val="000000"/>
                <w:sz w:val="20"/>
                <w:szCs w:val="20"/>
              </w:rPr>
              <w:t>15,592 </w:t>
            </w:r>
          </w:p>
        </w:tc>
        <w:tc>
          <w:tcPr>
            <w:tcW w:w="0" w:type="auto"/>
            <w:shd w:val="clear" w:color="auto" w:fill="CCEEFF"/>
            <w:tcMar>
              <w:top w:w="40" w:type="dxa"/>
              <w:left w:w="0" w:type="dxa"/>
              <w:bottom w:w="40" w:type="dxa"/>
              <w:right w:w="20" w:type="dxa"/>
            </w:tcMar>
            <w:vAlign w:val="bottom"/>
          </w:tcPr>
          <w:p w14:paraId="07DD169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97"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698" w14:textId="77777777" w:rsidR="00AE727E" w:rsidRDefault="008433E0">
            <w:pPr>
              <w:jc w:val="right"/>
              <w:textAlignment w:val="bottom"/>
            </w:pPr>
            <w:r>
              <w:rPr>
                <w:rFonts w:ascii="Times New Roman" w:eastAsia="宋体" w:hAnsi="Times New Roman"/>
                <w:color w:val="000000"/>
                <w:sz w:val="20"/>
                <w:szCs w:val="20"/>
              </w:rPr>
              <w:t>16,229 </w:t>
            </w:r>
          </w:p>
        </w:tc>
        <w:tc>
          <w:tcPr>
            <w:tcW w:w="0" w:type="auto"/>
            <w:shd w:val="clear" w:color="auto" w:fill="CCEEFF"/>
            <w:tcMar>
              <w:top w:w="40" w:type="dxa"/>
              <w:left w:w="0" w:type="dxa"/>
              <w:bottom w:w="40" w:type="dxa"/>
              <w:right w:w="20" w:type="dxa"/>
            </w:tcMar>
            <w:vAlign w:val="bottom"/>
          </w:tcPr>
          <w:p w14:paraId="07DD1699" w14:textId="77777777" w:rsidR="00AE727E" w:rsidRDefault="00AE727E">
            <w:pPr>
              <w:jc w:val="right"/>
              <w:rPr>
                <w:rFonts w:ascii="宋体"/>
              </w:rPr>
            </w:pPr>
          </w:p>
        </w:tc>
      </w:tr>
      <w:tr w:rsidR="00AE727E" w14:paraId="07DD16A1" w14:textId="77777777">
        <w:tc>
          <w:tcPr>
            <w:tcW w:w="0" w:type="auto"/>
            <w:gridSpan w:val="3"/>
            <w:shd w:val="clear" w:color="auto" w:fill="FFFFFF"/>
            <w:tcMar>
              <w:top w:w="40" w:type="dxa"/>
              <w:left w:w="20" w:type="dxa"/>
              <w:bottom w:w="40" w:type="dxa"/>
              <w:right w:w="20" w:type="dxa"/>
            </w:tcMar>
            <w:vAlign w:val="bottom"/>
          </w:tcPr>
          <w:p w14:paraId="07DD169B" w14:textId="77777777" w:rsidR="00AE727E" w:rsidRDefault="008433E0">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non-current assets</w:t>
            </w:r>
          </w:p>
        </w:tc>
        <w:tc>
          <w:tcPr>
            <w:tcW w:w="0" w:type="auto"/>
            <w:gridSpan w:val="2"/>
            <w:shd w:val="clear" w:color="auto" w:fill="FFFFFF"/>
            <w:tcMar>
              <w:top w:w="40" w:type="dxa"/>
              <w:left w:w="20" w:type="dxa"/>
              <w:bottom w:w="40" w:type="dxa"/>
              <w:right w:w="0" w:type="dxa"/>
            </w:tcMar>
            <w:vAlign w:val="bottom"/>
          </w:tcPr>
          <w:p w14:paraId="07DD169C" w14:textId="77777777" w:rsidR="00AE727E" w:rsidRDefault="008433E0">
            <w:pPr>
              <w:jc w:val="right"/>
              <w:textAlignment w:val="bottom"/>
            </w:pPr>
            <w:r>
              <w:rPr>
                <w:rFonts w:ascii="Times New Roman" w:eastAsia="宋体" w:hAnsi="Times New Roman"/>
                <w:color w:val="000000"/>
                <w:sz w:val="20"/>
                <w:szCs w:val="20"/>
              </w:rPr>
              <w:t>6,910 </w:t>
            </w:r>
          </w:p>
        </w:tc>
        <w:tc>
          <w:tcPr>
            <w:tcW w:w="0" w:type="auto"/>
            <w:shd w:val="clear" w:color="auto" w:fill="FFFFFF"/>
            <w:tcMar>
              <w:top w:w="40" w:type="dxa"/>
              <w:left w:w="0" w:type="dxa"/>
              <w:bottom w:w="40" w:type="dxa"/>
              <w:right w:w="20" w:type="dxa"/>
            </w:tcMar>
            <w:vAlign w:val="bottom"/>
          </w:tcPr>
          <w:p w14:paraId="07DD169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9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69F" w14:textId="77777777" w:rsidR="00AE727E" w:rsidRDefault="008433E0">
            <w:pPr>
              <w:jc w:val="right"/>
              <w:textAlignment w:val="bottom"/>
            </w:pPr>
            <w:r>
              <w:rPr>
                <w:rFonts w:ascii="Times New Roman" w:eastAsia="宋体" w:hAnsi="Times New Roman"/>
                <w:color w:val="000000"/>
                <w:sz w:val="20"/>
                <w:szCs w:val="20"/>
              </w:rPr>
              <w:t>6,185 </w:t>
            </w:r>
          </w:p>
        </w:tc>
        <w:tc>
          <w:tcPr>
            <w:tcW w:w="0" w:type="auto"/>
            <w:shd w:val="clear" w:color="auto" w:fill="FFFFFF"/>
            <w:tcMar>
              <w:top w:w="40" w:type="dxa"/>
              <w:left w:w="0" w:type="dxa"/>
              <w:bottom w:w="40" w:type="dxa"/>
              <w:right w:w="20" w:type="dxa"/>
            </w:tcMar>
            <w:vAlign w:val="bottom"/>
          </w:tcPr>
          <w:p w14:paraId="07DD16A0" w14:textId="77777777" w:rsidR="00AE727E" w:rsidRDefault="00AE727E">
            <w:pPr>
              <w:jc w:val="right"/>
              <w:rPr>
                <w:rFonts w:ascii="宋体"/>
              </w:rPr>
            </w:pPr>
          </w:p>
        </w:tc>
      </w:tr>
      <w:tr w:rsidR="00AE727E" w14:paraId="07DD16A8" w14:textId="77777777">
        <w:tc>
          <w:tcPr>
            <w:tcW w:w="0" w:type="auto"/>
            <w:gridSpan w:val="3"/>
            <w:shd w:val="clear" w:color="auto" w:fill="CCEEFF"/>
            <w:tcMar>
              <w:top w:w="40" w:type="dxa"/>
              <w:left w:w="20" w:type="dxa"/>
              <w:bottom w:w="40" w:type="dxa"/>
              <w:right w:w="20" w:type="dxa"/>
            </w:tcMar>
            <w:vAlign w:val="bottom"/>
          </w:tcPr>
          <w:p w14:paraId="07DD16A2" w14:textId="77777777" w:rsidR="00AE727E" w:rsidRDefault="008433E0">
            <w:pPr>
              <w:textAlignment w:val="bottom"/>
            </w:pPr>
            <w:r>
              <w:rPr>
                <w:rFonts w:ascii="Times New Roman" w:eastAsia="宋体" w:hAnsi="Times New Roman"/>
                <w:color w:val="000000"/>
                <w:sz w:val="20"/>
                <w:szCs w:val="20"/>
              </w:rPr>
              <w:t>Long-term intercompany loan receivables</w:t>
            </w:r>
          </w:p>
        </w:tc>
        <w:tc>
          <w:tcPr>
            <w:tcW w:w="0" w:type="auto"/>
            <w:gridSpan w:val="2"/>
            <w:shd w:val="clear" w:color="auto" w:fill="CCEEFF"/>
            <w:tcMar>
              <w:top w:w="40" w:type="dxa"/>
              <w:left w:w="20" w:type="dxa"/>
              <w:bottom w:w="40" w:type="dxa"/>
              <w:right w:w="0" w:type="dxa"/>
            </w:tcMar>
            <w:vAlign w:val="bottom"/>
          </w:tcPr>
          <w:p w14:paraId="07DD16A3" w14:textId="77777777" w:rsidR="00AE727E" w:rsidRDefault="008433E0">
            <w:pPr>
              <w:jc w:val="right"/>
              <w:textAlignment w:val="bottom"/>
            </w:pPr>
            <w:r>
              <w:rPr>
                <w:rFonts w:ascii="Times New Roman" w:eastAsia="宋体" w:hAnsi="Times New Roman"/>
                <w:color w:val="000000"/>
                <w:sz w:val="20"/>
                <w:szCs w:val="20"/>
              </w:rPr>
              <w:t>2,236 </w:t>
            </w:r>
          </w:p>
        </w:tc>
        <w:tc>
          <w:tcPr>
            <w:tcW w:w="0" w:type="auto"/>
            <w:shd w:val="clear" w:color="auto" w:fill="CCEEFF"/>
            <w:tcMar>
              <w:top w:w="40" w:type="dxa"/>
              <w:left w:w="0" w:type="dxa"/>
              <w:bottom w:w="40" w:type="dxa"/>
              <w:right w:w="20" w:type="dxa"/>
            </w:tcMar>
            <w:vAlign w:val="bottom"/>
          </w:tcPr>
          <w:p w14:paraId="07DD16A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A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6A6" w14:textId="77777777" w:rsidR="00AE727E" w:rsidRDefault="008433E0">
            <w:pPr>
              <w:jc w:val="right"/>
              <w:textAlignment w:val="bottom"/>
            </w:pPr>
            <w:r>
              <w:rPr>
                <w:rFonts w:ascii="Times New Roman" w:eastAsia="宋体" w:hAnsi="Times New Roman"/>
                <w:color w:val="000000"/>
                <w:sz w:val="20"/>
                <w:szCs w:val="20"/>
              </w:rPr>
              <w:t>4,714 </w:t>
            </w:r>
          </w:p>
        </w:tc>
        <w:tc>
          <w:tcPr>
            <w:tcW w:w="0" w:type="auto"/>
            <w:shd w:val="clear" w:color="auto" w:fill="CCEEFF"/>
            <w:tcMar>
              <w:top w:w="40" w:type="dxa"/>
              <w:left w:w="0" w:type="dxa"/>
              <w:bottom w:w="40" w:type="dxa"/>
              <w:right w:w="20" w:type="dxa"/>
            </w:tcMar>
            <w:vAlign w:val="bottom"/>
          </w:tcPr>
          <w:p w14:paraId="07DD16A7" w14:textId="77777777" w:rsidR="00AE727E" w:rsidRDefault="00AE727E">
            <w:pPr>
              <w:jc w:val="right"/>
              <w:rPr>
                <w:rFonts w:ascii="宋体"/>
              </w:rPr>
            </w:pPr>
          </w:p>
        </w:tc>
      </w:tr>
      <w:tr w:rsidR="00AE727E" w14:paraId="07DD16B1" w14:textId="77777777">
        <w:tc>
          <w:tcPr>
            <w:tcW w:w="0" w:type="auto"/>
            <w:gridSpan w:val="3"/>
            <w:shd w:val="clear" w:color="auto" w:fill="FFFFFF"/>
            <w:tcMar>
              <w:top w:w="40" w:type="dxa"/>
              <w:left w:w="260" w:type="dxa"/>
              <w:bottom w:w="40" w:type="dxa"/>
              <w:right w:w="20" w:type="dxa"/>
            </w:tcMar>
            <w:vAlign w:val="bottom"/>
          </w:tcPr>
          <w:p w14:paraId="07DD16A9" w14:textId="77777777" w:rsidR="00AE727E" w:rsidRDefault="008433E0">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6A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6AB" w14:textId="77777777" w:rsidR="00AE727E" w:rsidRDefault="008433E0">
            <w:pPr>
              <w:jc w:val="right"/>
              <w:textAlignment w:val="bottom"/>
            </w:pPr>
            <w:r>
              <w:rPr>
                <w:rFonts w:ascii="Times New Roman" w:eastAsia="宋体" w:hAnsi="Times New Roman"/>
                <w:color w:val="000000"/>
                <w:sz w:val="20"/>
                <w:szCs w:val="20"/>
              </w:rPr>
              <w:t>43,546 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6AC"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AD"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6A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6AF" w14:textId="77777777" w:rsidR="00AE727E" w:rsidRDefault="008433E0">
            <w:pPr>
              <w:jc w:val="right"/>
              <w:textAlignment w:val="bottom"/>
            </w:pPr>
            <w:r>
              <w:rPr>
                <w:rFonts w:ascii="Times New Roman" w:eastAsia="宋体" w:hAnsi="Times New Roman"/>
                <w:color w:val="000000"/>
                <w:sz w:val="20"/>
                <w:szCs w:val="20"/>
              </w:rPr>
              <w:t>39,288 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6B0" w14:textId="77777777" w:rsidR="00AE727E" w:rsidRDefault="00AE727E">
            <w:pPr>
              <w:jc w:val="right"/>
              <w:rPr>
                <w:rFonts w:ascii="宋体"/>
              </w:rPr>
            </w:pPr>
          </w:p>
        </w:tc>
      </w:tr>
      <w:tr w:rsidR="00AE727E" w14:paraId="07DD16B3" w14:textId="77777777">
        <w:tc>
          <w:tcPr>
            <w:tcW w:w="0" w:type="auto"/>
            <w:gridSpan w:val="12"/>
            <w:shd w:val="clear" w:color="auto" w:fill="CCEEFF"/>
            <w:tcMar>
              <w:top w:w="40" w:type="dxa"/>
              <w:left w:w="20" w:type="dxa"/>
              <w:bottom w:w="40" w:type="dxa"/>
              <w:right w:w="20" w:type="dxa"/>
            </w:tcMar>
            <w:vAlign w:val="bottom"/>
          </w:tcPr>
          <w:p w14:paraId="07DD16B2" w14:textId="77777777" w:rsidR="00AE727E" w:rsidRDefault="008433E0">
            <w:pPr>
              <w:jc w:val="center"/>
              <w:textAlignment w:val="bottom"/>
            </w:pPr>
            <w:r>
              <w:rPr>
                <w:rFonts w:ascii="Times New Roman" w:eastAsia="宋体" w:hAnsi="Times New Roman"/>
                <w:b/>
                <w:bCs/>
                <w:color w:val="000000"/>
                <w:sz w:val="20"/>
                <w:szCs w:val="20"/>
              </w:rPr>
              <w:t>LIABILITIES</w:t>
            </w:r>
          </w:p>
        </w:tc>
      </w:tr>
      <w:tr w:rsidR="00AE727E" w14:paraId="07DD16BC" w14:textId="77777777">
        <w:tc>
          <w:tcPr>
            <w:tcW w:w="0" w:type="auto"/>
            <w:gridSpan w:val="3"/>
            <w:shd w:val="clear" w:color="auto" w:fill="FFFFFF"/>
            <w:tcMar>
              <w:top w:w="40" w:type="dxa"/>
              <w:left w:w="20" w:type="dxa"/>
              <w:bottom w:w="40" w:type="dxa"/>
              <w:right w:w="20" w:type="dxa"/>
            </w:tcMar>
            <w:vAlign w:val="bottom"/>
          </w:tcPr>
          <w:p w14:paraId="07DD16B4" w14:textId="77777777" w:rsidR="00AE727E" w:rsidRDefault="008433E0">
            <w:pPr>
              <w:textAlignment w:val="bottom"/>
            </w:pPr>
            <w:r>
              <w:rPr>
                <w:rFonts w:ascii="Times New Roman" w:eastAsia="宋体" w:hAnsi="Times New Roman"/>
                <w:color w:val="000000"/>
                <w:sz w:val="20"/>
                <w:szCs w:val="20"/>
              </w:rPr>
              <w:t>Current liabilities</w:t>
            </w:r>
          </w:p>
        </w:tc>
        <w:tc>
          <w:tcPr>
            <w:tcW w:w="0" w:type="auto"/>
            <w:shd w:val="clear" w:color="auto" w:fill="FFFFFF"/>
            <w:tcMar>
              <w:top w:w="40" w:type="dxa"/>
              <w:left w:w="20" w:type="dxa"/>
              <w:bottom w:w="40" w:type="dxa"/>
              <w:right w:w="0" w:type="dxa"/>
            </w:tcMar>
            <w:vAlign w:val="bottom"/>
          </w:tcPr>
          <w:p w14:paraId="07DD16B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B6" w14:textId="77777777" w:rsidR="00AE727E" w:rsidRDefault="008433E0">
            <w:pPr>
              <w:jc w:val="right"/>
              <w:textAlignment w:val="bottom"/>
            </w:pPr>
            <w:r>
              <w:rPr>
                <w:rFonts w:ascii="Times New Roman" w:eastAsia="宋体" w:hAnsi="Times New Roman"/>
                <w:color w:val="000000"/>
                <w:sz w:val="20"/>
                <w:szCs w:val="20"/>
              </w:rPr>
              <w:t>26,552 </w:t>
            </w:r>
          </w:p>
        </w:tc>
        <w:tc>
          <w:tcPr>
            <w:tcW w:w="0" w:type="auto"/>
            <w:shd w:val="clear" w:color="auto" w:fill="FFFFFF"/>
            <w:tcMar>
              <w:top w:w="40" w:type="dxa"/>
              <w:left w:w="0" w:type="dxa"/>
              <w:bottom w:w="40" w:type="dxa"/>
              <w:right w:w="20" w:type="dxa"/>
            </w:tcMar>
            <w:vAlign w:val="bottom"/>
          </w:tcPr>
          <w:p w14:paraId="07DD16B7"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B8"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6B9"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6BA" w14:textId="77777777" w:rsidR="00AE727E" w:rsidRDefault="008433E0">
            <w:pPr>
              <w:jc w:val="right"/>
              <w:textAlignment w:val="bottom"/>
            </w:pPr>
            <w:r>
              <w:rPr>
                <w:rFonts w:ascii="Times New Roman" w:eastAsia="宋体" w:hAnsi="Times New Roman"/>
                <w:color w:val="000000"/>
                <w:sz w:val="20"/>
                <w:szCs w:val="20"/>
              </w:rPr>
              <w:t>15,761 </w:t>
            </w:r>
          </w:p>
        </w:tc>
        <w:tc>
          <w:tcPr>
            <w:tcW w:w="0" w:type="auto"/>
            <w:shd w:val="clear" w:color="auto" w:fill="FFFFFF"/>
            <w:tcMar>
              <w:top w:w="40" w:type="dxa"/>
              <w:left w:w="0" w:type="dxa"/>
              <w:bottom w:w="40" w:type="dxa"/>
              <w:right w:w="20" w:type="dxa"/>
            </w:tcMar>
            <w:vAlign w:val="bottom"/>
          </w:tcPr>
          <w:p w14:paraId="07DD16BB" w14:textId="77777777" w:rsidR="00AE727E" w:rsidRDefault="00AE727E">
            <w:pPr>
              <w:jc w:val="right"/>
              <w:rPr>
                <w:rFonts w:ascii="宋体"/>
              </w:rPr>
            </w:pPr>
          </w:p>
        </w:tc>
      </w:tr>
      <w:tr w:rsidR="00AE727E" w14:paraId="07DD16C3" w14:textId="77777777">
        <w:tc>
          <w:tcPr>
            <w:tcW w:w="0" w:type="auto"/>
            <w:gridSpan w:val="3"/>
            <w:shd w:val="clear" w:color="auto" w:fill="CCEEFF"/>
            <w:tcMar>
              <w:top w:w="40" w:type="dxa"/>
              <w:left w:w="20" w:type="dxa"/>
              <w:bottom w:w="40" w:type="dxa"/>
              <w:right w:w="20" w:type="dxa"/>
            </w:tcMar>
            <w:vAlign w:val="bottom"/>
          </w:tcPr>
          <w:p w14:paraId="07DD16BD" w14:textId="77777777" w:rsidR="00AE727E" w:rsidRDefault="008433E0">
            <w:pPr>
              <w:textAlignment w:val="bottom"/>
            </w:pPr>
            <w:r>
              <w:rPr>
                <w:rFonts w:ascii="Times New Roman" w:eastAsia="宋体" w:hAnsi="Times New Roman"/>
                <w:color w:val="000000"/>
                <w:sz w:val="20"/>
                <w:szCs w:val="20"/>
              </w:rPr>
              <w:t>Intercompany payables</w:t>
            </w:r>
          </w:p>
        </w:tc>
        <w:tc>
          <w:tcPr>
            <w:tcW w:w="0" w:type="auto"/>
            <w:gridSpan w:val="2"/>
            <w:shd w:val="clear" w:color="auto" w:fill="CCEEFF"/>
            <w:tcMar>
              <w:top w:w="40" w:type="dxa"/>
              <w:left w:w="20" w:type="dxa"/>
              <w:bottom w:w="40" w:type="dxa"/>
              <w:right w:w="0" w:type="dxa"/>
            </w:tcMar>
            <w:vAlign w:val="bottom"/>
          </w:tcPr>
          <w:p w14:paraId="07DD16BE" w14:textId="77777777" w:rsidR="00AE727E" w:rsidRDefault="008433E0">
            <w:pPr>
              <w:jc w:val="right"/>
              <w:textAlignment w:val="bottom"/>
            </w:pPr>
            <w:r>
              <w:rPr>
                <w:rFonts w:ascii="Times New Roman" w:eastAsia="宋体" w:hAnsi="Times New Roman"/>
                <w:color w:val="000000"/>
                <w:sz w:val="20"/>
                <w:szCs w:val="20"/>
              </w:rPr>
              <w:t>5,574 </w:t>
            </w:r>
          </w:p>
        </w:tc>
        <w:tc>
          <w:tcPr>
            <w:tcW w:w="0" w:type="auto"/>
            <w:shd w:val="clear" w:color="auto" w:fill="CCEEFF"/>
            <w:tcMar>
              <w:top w:w="40" w:type="dxa"/>
              <w:left w:w="0" w:type="dxa"/>
              <w:bottom w:w="40" w:type="dxa"/>
              <w:right w:w="20" w:type="dxa"/>
            </w:tcMar>
            <w:vAlign w:val="bottom"/>
          </w:tcPr>
          <w:p w14:paraId="07DD16BF"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C0"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6C1" w14:textId="77777777" w:rsidR="00AE727E" w:rsidRDefault="008433E0">
            <w:pPr>
              <w:jc w:val="right"/>
              <w:textAlignment w:val="bottom"/>
            </w:pPr>
            <w:r>
              <w:rPr>
                <w:rFonts w:ascii="Times New Roman" w:eastAsia="宋体" w:hAnsi="Times New Roman"/>
                <w:color w:val="000000"/>
                <w:sz w:val="20"/>
                <w:szCs w:val="20"/>
              </w:rPr>
              <w:t>5,527 </w:t>
            </w:r>
          </w:p>
        </w:tc>
        <w:tc>
          <w:tcPr>
            <w:tcW w:w="0" w:type="auto"/>
            <w:shd w:val="clear" w:color="auto" w:fill="CCEEFF"/>
            <w:tcMar>
              <w:top w:w="40" w:type="dxa"/>
              <w:left w:w="0" w:type="dxa"/>
              <w:bottom w:w="40" w:type="dxa"/>
              <w:right w:w="20" w:type="dxa"/>
            </w:tcMar>
            <w:vAlign w:val="bottom"/>
          </w:tcPr>
          <w:p w14:paraId="07DD16C2" w14:textId="77777777" w:rsidR="00AE727E" w:rsidRDefault="00AE727E">
            <w:pPr>
              <w:jc w:val="right"/>
              <w:rPr>
                <w:rFonts w:ascii="宋体"/>
              </w:rPr>
            </w:pPr>
          </w:p>
        </w:tc>
      </w:tr>
      <w:tr w:rsidR="00AE727E" w14:paraId="07DD16CA" w14:textId="77777777">
        <w:tc>
          <w:tcPr>
            <w:tcW w:w="0" w:type="auto"/>
            <w:gridSpan w:val="3"/>
            <w:shd w:val="clear" w:color="auto" w:fill="FFFFFF"/>
            <w:tcMar>
              <w:top w:w="40" w:type="dxa"/>
              <w:left w:w="140" w:type="dxa"/>
              <w:bottom w:w="40" w:type="dxa"/>
              <w:right w:w="20" w:type="dxa"/>
            </w:tcMar>
            <w:vAlign w:val="bottom"/>
          </w:tcPr>
          <w:p w14:paraId="07DD16C4" w14:textId="77777777" w:rsidR="00AE727E" w:rsidRDefault="008433E0">
            <w:pPr>
              <w:textAlignment w:val="bottom"/>
            </w:pPr>
            <w:r>
              <w:rPr>
                <w:rFonts w:ascii="Times New Roman" w:eastAsia="宋体" w:hAnsi="Times New Roman"/>
                <w:color w:val="000000"/>
                <w:sz w:val="20"/>
                <w:szCs w:val="20"/>
              </w:rPr>
              <w:t xml:space="preserve">Total current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16C5" w14:textId="77777777" w:rsidR="00AE727E" w:rsidRDefault="008433E0">
            <w:pPr>
              <w:jc w:val="right"/>
              <w:textAlignment w:val="bottom"/>
            </w:pPr>
            <w:r>
              <w:rPr>
                <w:rFonts w:ascii="Times New Roman" w:eastAsia="宋体" w:hAnsi="Times New Roman"/>
                <w:color w:val="000000"/>
                <w:sz w:val="20"/>
                <w:szCs w:val="20"/>
              </w:rPr>
              <w:t>32,126 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6C6"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C7" w14:textId="77777777" w:rsidR="00AE727E" w:rsidRDefault="00AE727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D16C8" w14:textId="77777777" w:rsidR="00AE727E" w:rsidRDefault="008433E0">
            <w:pPr>
              <w:jc w:val="right"/>
              <w:textAlignment w:val="bottom"/>
            </w:pPr>
            <w:r>
              <w:rPr>
                <w:rFonts w:ascii="Times New Roman" w:eastAsia="宋体" w:hAnsi="Times New Roman"/>
                <w:color w:val="000000"/>
                <w:sz w:val="20"/>
                <w:szCs w:val="20"/>
              </w:rPr>
              <w:t>21,288 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D16C9" w14:textId="77777777" w:rsidR="00AE727E" w:rsidRDefault="00AE727E">
            <w:pPr>
              <w:jc w:val="right"/>
              <w:rPr>
                <w:rFonts w:ascii="宋体"/>
              </w:rPr>
            </w:pPr>
          </w:p>
        </w:tc>
      </w:tr>
      <w:tr w:rsidR="00AE727E" w14:paraId="07DD16D1" w14:textId="77777777">
        <w:tc>
          <w:tcPr>
            <w:tcW w:w="0" w:type="auto"/>
            <w:gridSpan w:val="3"/>
            <w:shd w:val="clear" w:color="auto" w:fill="CCEEFF"/>
            <w:tcMar>
              <w:top w:w="40" w:type="dxa"/>
              <w:left w:w="20" w:type="dxa"/>
              <w:bottom w:w="40" w:type="dxa"/>
              <w:right w:w="20" w:type="dxa"/>
            </w:tcMar>
            <w:vAlign w:val="bottom"/>
          </w:tcPr>
          <w:p w14:paraId="07DD16CB" w14:textId="77777777" w:rsidR="00AE727E" w:rsidRDefault="008433E0">
            <w:pPr>
              <w:textAlignment w:val="bottom"/>
            </w:pPr>
            <w:r>
              <w:rPr>
                <w:rFonts w:ascii="Times New Roman" w:eastAsia="宋体" w:hAnsi="Times New Roman"/>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07DD16CC" w14:textId="77777777" w:rsidR="00AE727E" w:rsidRDefault="008433E0">
            <w:pPr>
              <w:jc w:val="right"/>
              <w:textAlignment w:val="bottom"/>
            </w:pPr>
            <w:r>
              <w:rPr>
                <w:rFonts w:ascii="Times New Roman" w:eastAsia="宋体" w:hAnsi="Times New Roman"/>
                <w:color w:val="000000"/>
                <w:sz w:val="20"/>
                <w:szCs w:val="20"/>
              </w:rPr>
              <w:t>17,749 </w:t>
            </w:r>
          </w:p>
        </w:tc>
        <w:tc>
          <w:tcPr>
            <w:tcW w:w="0" w:type="auto"/>
            <w:shd w:val="clear" w:color="auto" w:fill="CCEEFF"/>
            <w:tcMar>
              <w:top w:w="40" w:type="dxa"/>
              <w:left w:w="0" w:type="dxa"/>
              <w:bottom w:w="40" w:type="dxa"/>
              <w:right w:w="20" w:type="dxa"/>
            </w:tcMar>
            <w:vAlign w:val="bottom"/>
          </w:tcPr>
          <w:p w14:paraId="07DD16C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CE"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6CF" w14:textId="77777777" w:rsidR="00AE727E" w:rsidRDefault="008433E0">
            <w:pPr>
              <w:jc w:val="right"/>
              <w:textAlignment w:val="bottom"/>
            </w:pPr>
            <w:r>
              <w:rPr>
                <w:rFonts w:ascii="Times New Roman" w:eastAsia="宋体" w:hAnsi="Times New Roman"/>
                <w:color w:val="000000"/>
                <w:sz w:val="20"/>
                <w:szCs w:val="20"/>
              </w:rPr>
              <w:t>27,951 </w:t>
            </w:r>
          </w:p>
        </w:tc>
        <w:tc>
          <w:tcPr>
            <w:tcW w:w="0" w:type="auto"/>
            <w:shd w:val="clear" w:color="auto" w:fill="CCEEFF"/>
            <w:tcMar>
              <w:top w:w="40" w:type="dxa"/>
              <w:left w:w="0" w:type="dxa"/>
              <w:bottom w:w="40" w:type="dxa"/>
              <w:right w:w="20" w:type="dxa"/>
            </w:tcMar>
            <w:vAlign w:val="bottom"/>
          </w:tcPr>
          <w:p w14:paraId="07DD16D0" w14:textId="77777777" w:rsidR="00AE727E" w:rsidRDefault="00AE727E">
            <w:pPr>
              <w:jc w:val="right"/>
              <w:rPr>
                <w:rFonts w:ascii="宋体"/>
              </w:rPr>
            </w:pPr>
          </w:p>
        </w:tc>
      </w:tr>
      <w:tr w:rsidR="00AE727E" w14:paraId="07DD16D8" w14:textId="77777777">
        <w:tc>
          <w:tcPr>
            <w:tcW w:w="0" w:type="auto"/>
            <w:gridSpan w:val="3"/>
            <w:shd w:val="clear" w:color="auto" w:fill="FFFFFF"/>
            <w:tcMar>
              <w:top w:w="40" w:type="dxa"/>
              <w:left w:w="20" w:type="dxa"/>
              <w:bottom w:w="40" w:type="dxa"/>
              <w:right w:w="20" w:type="dxa"/>
            </w:tcMar>
            <w:vAlign w:val="bottom"/>
          </w:tcPr>
          <w:p w14:paraId="07DD16D2" w14:textId="77777777" w:rsidR="00AE727E" w:rsidRDefault="008433E0">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07DD16D3" w14:textId="77777777" w:rsidR="00AE727E" w:rsidRDefault="008433E0">
            <w:pPr>
              <w:jc w:val="right"/>
              <w:textAlignment w:val="bottom"/>
            </w:pPr>
            <w:r>
              <w:rPr>
                <w:rFonts w:ascii="Times New Roman" w:eastAsia="宋体" w:hAnsi="Times New Roman"/>
                <w:color w:val="000000"/>
                <w:sz w:val="20"/>
                <w:szCs w:val="20"/>
              </w:rPr>
              <w:t>9,248 </w:t>
            </w:r>
          </w:p>
        </w:tc>
        <w:tc>
          <w:tcPr>
            <w:tcW w:w="0" w:type="auto"/>
            <w:shd w:val="clear" w:color="auto" w:fill="FFFFFF"/>
            <w:tcMar>
              <w:top w:w="40" w:type="dxa"/>
              <w:left w:w="0" w:type="dxa"/>
              <w:bottom w:w="40" w:type="dxa"/>
              <w:right w:w="20" w:type="dxa"/>
            </w:tcMar>
            <w:vAlign w:val="bottom"/>
          </w:tcPr>
          <w:p w14:paraId="07DD16D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6D5"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6D6" w14:textId="77777777" w:rsidR="00AE727E" w:rsidRDefault="008433E0">
            <w:pPr>
              <w:jc w:val="right"/>
              <w:textAlignment w:val="bottom"/>
            </w:pPr>
            <w:r>
              <w:rPr>
                <w:rFonts w:ascii="Times New Roman" w:eastAsia="宋体" w:hAnsi="Times New Roman"/>
                <w:color w:val="000000"/>
                <w:sz w:val="20"/>
                <w:szCs w:val="20"/>
              </w:rPr>
              <w:t>7,549 </w:t>
            </w:r>
          </w:p>
        </w:tc>
        <w:tc>
          <w:tcPr>
            <w:tcW w:w="0" w:type="auto"/>
            <w:shd w:val="clear" w:color="auto" w:fill="FFFFFF"/>
            <w:tcMar>
              <w:top w:w="40" w:type="dxa"/>
              <w:left w:w="0" w:type="dxa"/>
              <w:bottom w:w="40" w:type="dxa"/>
              <w:right w:w="20" w:type="dxa"/>
            </w:tcMar>
            <w:vAlign w:val="bottom"/>
          </w:tcPr>
          <w:p w14:paraId="07DD16D7" w14:textId="77777777" w:rsidR="00AE727E" w:rsidRDefault="00AE727E">
            <w:pPr>
              <w:jc w:val="right"/>
              <w:rPr>
                <w:rFonts w:ascii="宋体"/>
              </w:rPr>
            </w:pPr>
          </w:p>
        </w:tc>
      </w:tr>
      <w:tr w:rsidR="00AE727E" w14:paraId="07DD16E1" w14:textId="77777777">
        <w:tc>
          <w:tcPr>
            <w:tcW w:w="0" w:type="auto"/>
            <w:gridSpan w:val="3"/>
            <w:shd w:val="clear" w:color="auto" w:fill="CCEEFF"/>
            <w:tcMar>
              <w:top w:w="40" w:type="dxa"/>
              <w:left w:w="260" w:type="dxa"/>
              <w:bottom w:w="40" w:type="dxa"/>
              <w:right w:w="20" w:type="dxa"/>
            </w:tcMar>
            <w:vAlign w:val="bottom"/>
          </w:tcPr>
          <w:p w14:paraId="07DD16D9" w14:textId="77777777" w:rsidR="00AE727E" w:rsidRDefault="008433E0">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16DA"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16DB" w14:textId="77777777" w:rsidR="00AE727E" w:rsidRDefault="008433E0">
            <w:pPr>
              <w:jc w:val="right"/>
              <w:textAlignment w:val="bottom"/>
            </w:pPr>
            <w:r>
              <w:rPr>
                <w:rFonts w:ascii="Times New Roman" w:eastAsia="宋体" w:hAnsi="Times New Roman"/>
                <w:color w:val="000000"/>
                <w:sz w:val="20"/>
                <w:szCs w:val="20"/>
              </w:rPr>
              <w:t>59,123 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16D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6DD" w14:textId="77777777" w:rsidR="00AE727E" w:rsidRDefault="00AE727E">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DD16DE"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DD16DF" w14:textId="77777777" w:rsidR="00AE727E" w:rsidRDefault="008433E0">
            <w:pPr>
              <w:jc w:val="right"/>
              <w:textAlignment w:val="bottom"/>
            </w:pPr>
            <w:r>
              <w:rPr>
                <w:rFonts w:ascii="Times New Roman" w:eastAsia="宋体" w:hAnsi="Times New Roman"/>
                <w:color w:val="000000"/>
                <w:sz w:val="20"/>
                <w:szCs w:val="20"/>
              </w:rPr>
              <w:t>56,788 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DD16E0" w14:textId="77777777" w:rsidR="00AE727E" w:rsidRDefault="00AE727E">
            <w:pPr>
              <w:jc w:val="right"/>
              <w:rPr>
                <w:rFonts w:ascii="宋体"/>
              </w:rPr>
            </w:pPr>
          </w:p>
        </w:tc>
      </w:tr>
    </w:tbl>
    <w:p w14:paraId="07DD16E2" w14:textId="77777777" w:rsidR="00AE727E" w:rsidRDefault="008433E0">
      <w:r>
        <w:rPr>
          <w:rFonts w:ascii="Times New Roman" w:eastAsia="宋体" w:hAnsi="Times New Roman"/>
          <w:color w:val="000000"/>
          <w:sz w:val="20"/>
          <w:szCs w:val="20"/>
        </w:rPr>
        <w:t>____________________</w:t>
      </w:r>
    </w:p>
    <w:p w14:paraId="07DD16E3" w14:textId="77777777" w:rsidR="00AE727E" w:rsidRDefault="008433E0">
      <w:pPr>
        <w:ind w:hanging="270"/>
      </w:pPr>
      <w:r>
        <w:rPr>
          <w:rFonts w:ascii="Times New Roman" w:eastAsia="宋体" w:hAnsi="Times New Roman"/>
          <w:color w:val="000000"/>
          <w:sz w:val="20"/>
          <w:szCs w:val="20"/>
        </w:rPr>
        <w:t xml:space="preserve">(a) During the three months ended October 29, 2021, two </w:t>
      </w:r>
      <w:r>
        <w:rPr>
          <w:rFonts w:ascii="Times New Roman" w:eastAsia="宋体" w:hAnsi="Times New Roman"/>
          <w:color w:val="000000"/>
          <w:sz w:val="20"/>
          <w:szCs w:val="20"/>
        </w:rPr>
        <w:t>Non-Guarantor Subsidiaries transferred their respective businesses to the Guarantors. Prior period balances have been reclassified to conform to current period presentation.</w:t>
      </w:r>
    </w:p>
    <w:p w14:paraId="07DD16E4" w14:textId="77777777" w:rsidR="00AE727E" w:rsidRDefault="00AE727E">
      <w:pPr>
        <w:ind w:hanging="360"/>
      </w:pPr>
    </w:p>
    <w:p w14:paraId="07DD16E5" w14:textId="77777777" w:rsidR="00AE727E" w:rsidRDefault="008433E0">
      <w:pPr>
        <w:ind w:hanging="360"/>
      </w:pPr>
      <w:r>
        <w:rPr>
          <w:rFonts w:ascii="Times New Roman" w:eastAsia="宋体" w:hAnsi="Times New Roman"/>
          <w:b/>
          <w:bCs/>
          <w:color w:val="000000"/>
          <w:sz w:val="20"/>
          <w:szCs w:val="20"/>
        </w:rPr>
        <w:t>Summarized Affiliate Financial Information</w:t>
      </w:r>
    </w:p>
    <w:p w14:paraId="07DD16E6" w14:textId="77777777" w:rsidR="00AE727E" w:rsidRDefault="00AE727E">
      <w:pPr>
        <w:ind w:hanging="360"/>
      </w:pPr>
    </w:p>
    <w:p w14:paraId="07DD16E7" w14:textId="77777777" w:rsidR="00AE727E" w:rsidRDefault="008433E0">
      <w:r>
        <w:rPr>
          <w:rFonts w:ascii="Times New Roman" w:eastAsia="宋体" w:hAnsi="Times New Roman"/>
          <w:color w:val="000000"/>
          <w:sz w:val="20"/>
          <w:szCs w:val="20"/>
        </w:rPr>
        <w:t>The equity interests of various affil</w:t>
      </w:r>
      <w:r>
        <w:rPr>
          <w:rFonts w:ascii="Times New Roman" w:eastAsia="宋体" w:hAnsi="Times New Roman"/>
          <w:color w:val="000000"/>
          <w:sz w:val="20"/>
          <w:szCs w:val="20"/>
        </w:rPr>
        <w:t>iates within Dell Technologies’ consolidated group have been pledged as collateral for the Exchange Notes. Dell Technologies is therefore subject to Rule 13-02 of the SEC’s Regulation S-X, which requires that summarized financial information for the affili</w:t>
      </w:r>
      <w:r>
        <w:rPr>
          <w:rFonts w:ascii="Times New Roman" w:eastAsia="宋体" w:hAnsi="Times New Roman"/>
          <w:color w:val="000000"/>
          <w:sz w:val="20"/>
          <w:szCs w:val="20"/>
        </w:rPr>
        <w:t>ates whose securities are pledged as collateral (collectively, the “Affiliate Group”) be provided on a combined basis to the extent such information is material and materially different than the corresponding amounts presented in the Consolidated Financial</w:t>
      </w:r>
      <w:r>
        <w:rPr>
          <w:rFonts w:ascii="Times New Roman" w:eastAsia="宋体" w:hAnsi="Times New Roman"/>
          <w:color w:val="000000"/>
          <w:sz w:val="20"/>
          <w:szCs w:val="20"/>
        </w:rPr>
        <w:t xml:space="preserve"> Statements of Dell Technologies. The summarized financial information for the Affiliate Group would produce results materially consistent with information presented in Dell Technologies’ Consolidated Financial Statements and we have therefore not included</w:t>
      </w:r>
      <w:r>
        <w:rPr>
          <w:rFonts w:ascii="Times New Roman" w:eastAsia="宋体" w:hAnsi="Times New Roman"/>
          <w:color w:val="000000"/>
          <w:sz w:val="20"/>
          <w:szCs w:val="20"/>
        </w:rPr>
        <w:t xml:space="preserve"> such information in this report. In particular, the assets, liabilities, and results of operations of the Affiliate Group are not materially different than the corresponding amounts presented in the Consolidated Financial Statements of Dell Technologies, </w:t>
      </w:r>
      <w:r>
        <w:rPr>
          <w:rFonts w:ascii="Times New Roman" w:eastAsia="宋体" w:hAnsi="Times New Roman"/>
          <w:color w:val="000000"/>
          <w:sz w:val="20"/>
          <w:szCs w:val="20"/>
        </w:rPr>
        <w:t>except with respect to the redeemable shares as of January 29, 2021. The redeemable shares balance was $472 million as reflected on the Condensed Consolidated Statements of Financial Position included in this report, as compared to no redeemable shares ref</w:t>
      </w:r>
      <w:r>
        <w:rPr>
          <w:rFonts w:ascii="Times New Roman" w:eastAsia="宋体" w:hAnsi="Times New Roman"/>
          <w:color w:val="000000"/>
          <w:sz w:val="20"/>
          <w:szCs w:val="20"/>
        </w:rPr>
        <w:t>lected on the Affiliate Group balance sheet as of the respective dates.</w:t>
      </w:r>
    </w:p>
    <w:p w14:paraId="07DD16E8" w14:textId="77777777" w:rsidR="00AE727E" w:rsidRDefault="00AE727E"/>
    <w:p w14:paraId="07DD16E9" w14:textId="77777777" w:rsidR="00AE727E" w:rsidRDefault="008433E0">
      <w:r>
        <w:rPr>
          <w:rFonts w:ascii="Times New Roman" w:eastAsia="宋体" w:hAnsi="Times New Roman"/>
          <w:i/>
          <w:iCs/>
          <w:color w:val="000000"/>
          <w:sz w:val="20"/>
          <w:szCs w:val="20"/>
        </w:rPr>
        <w:t>Collateral Arrangement</w:t>
      </w:r>
      <w:r>
        <w:rPr>
          <w:rFonts w:ascii="Times New Roman" w:eastAsia="宋体" w:hAnsi="Times New Roman"/>
          <w:color w:val="000000"/>
          <w:sz w:val="20"/>
          <w:szCs w:val="20"/>
        </w:rPr>
        <w:t xml:space="preserve"> — The collateral (“Collateral”) securing the Exchange Notes generally consists of the following, whether now owned or hereafter acquired:</w:t>
      </w:r>
    </w:p>
    <w:p w14:paraId="07DD16EA" w14:textId="77777777" w:rsidR="00AE727E" w:rsidRDefault="00AE727E"/>
    <w:p w14:paraId="07DD16EB" w14:textId="77777777" w:rsidR="00AE727E" w:rsidRDefault="008433E0">
      <w:pPr>
        <w:ind w:hanging="360"/>
      </w:pPr>
      <w:r>
        <w:rPr>
          <w:rFonts w:ascii="Times New Roman" w:eastAsia="宋体" w:hAnsi="Times New Roman"/>
          <w:color w:val="000000"/>
          <w:sz w:val="20"/>
          <w:szCs w:val="20"/>
        </w:rPr>
        <w:t>•100% of the equity i</w:t>
      </w:r>
      <w:r>
        <w:rPr>
          <w:rFonts w:ascii="Times New Roman" w:eastAsia="宋体" w:hAnsi="Times New Roman"/>
          <w:color w:val="000000"/>
          <w:sz w:val="20"/>
          <w:szCs w:val="20"/>
        </w:rPr>
        <w:t xml:space="preserve">nterests of the Issuers, Dell and each Material Subsidiary (as defined in the applicable indenture) that is a wholly-owned subsidiary of the Issuers and the Guarantors (which pledge, in the case of capital stock of any Foreign Subsidiary or FSHCO (each as </w:t>
      </w:r>
      <w:r>
        <w:rPr>
          <w:rFonts w:ascii="Times New Roman" w:eastAsia="宋体" w:hAnsi="Times New Roman"/>
          <w:color w:val="000000"/>
          <w:sz w:val="20"/>
          <w:szCs w:val="20"/>
        </w:rPr>
        <w:t>defined in the applicable indenture), is limited to 65% of the voting capital stock and 100% of the non-voting capital stock of such Foreign Subsidiary or FSHCO); and</w:t>
      </w:r>
    </w:p>
    <w:p w14:paraId="07DD16EC" w14:textId="77777777" w:rsidR="00AE727E" w:rsidRDefault="00AE727E"/>
    <w:p w14:paraId="07DD16ED" w14:textId="77777777" w:rsidR="00AE727E" w:rsidRDefault="008433E0">
      <w:pPr>
        <w:ind w:hanging="360"/>
      </w:pPr>
      <w:r>
        <w:rPr>
          <w:rFonts w:ascii="Times New Roman" w:eastAsia="宋体" w:hAnsi="Times New Roman"/>
          <w:color w:val="000000"/>
          <w:sz w:val="20"/>
          <w:szCs w:val="20"/>
        </w:rPr>
        <w:t xml:space="preserve">•substantially all tangible and intangible personal property and material </w:t>
      </w:r>
      <w:r>
        <w:rPr>
          <w:rFonts w:ascii="Times New Roman" w:eastAsia="宋体" w:hAnsi="Times New Roman"/>
          <w:color w:val="000000"/>
          <w:sz w:val="20"/>
          <w:szCs w:val="20"/>
        </w:rPr>
        <w:t xml:space="preserve">fee-owned real property of the Issuers and Guarantors (other than Dell Technologies) including but not limited to, accounts receivable, inventory, equipment, general intangibles (including contract rights), investment property, intellectual property, real </w:t>
      </w:r>
      <w:r>
        <w:rPr>
          <w:rFonts w:ascii="Times New Roman" w:eastAsia="宋体" w:hAnsi="Times New Roman"/>
          <w:color w:val="000000"/>
          <w:sz w:val="20"/>
          <w:szCs w:val="20"/>
        </w:rPr>
        <w:t>property, intercompany notes, instruments, chattel paper and documents, letter of credit rights, commercial tort claims, and proceeds of the foregoing.</w:t>
      </w:r>
    </w:p>
    <w:p w14:paraId="07DD16EE" w14:textId="77777777" w:rsidR="00AE727E" w:rsidRDefault="00AE727E"/>
    <w:p w14:paraId="07DD16EF" w14:textId="77777777" w:rsidR="00AE727E" w:rsidRDefault="008433E0">
      <w:r>
        <w:rPr>
          <w:rFonts w:ascii="Times New Roman" w:eastAsia="宋体" w:hAnsi="Times New Roman"/>
          <w:color w:val="000000"/>
          <w:sz w:val="20"/>
          <w:szCs w:val="20"/>
        </w:rPr>
        <w:t>See Exhibit 22.1 filed with this report for a list of each affiliate of Dell Technologies whose securit</w:t>
      </w:r>
      <w:r>
        <w:rPr>
          <w:rFonts w:ascii="Times New Roman" w:eastAsia="宋体" w:hAnsi="Times New Roman"/>
          <w:color w:val="000000"/>
          <w:sz w:val="20"/>
          <w:szCs w:val="20"/>
        </w:rPr>
        <w:t>y is pledged as collateral to secure the Exchange Notes. There is no trading market for the applicable affiliates’ securities pledged as collateral.</w:t>
      </w:r>
    </w:p>
    <w:p w14:paraId="07DD16F0" w14:textId="77777777" w:rsidR="00AE727E" w:rsidRDefault="00AE727E">
      <w:pPr>
        <w:jc w:val="center"/>
      </w:pPr>
    </w:p>
    <w:p w14:paraId="07DD16F1" w14:textId="77777777" w:rsidR="00AE727E" w:rsidRDefault="008433E0">
      <w:pPr>
        <w:jc w:val="center"/>
      </w:pPr>
      <w:r>
        <w:rPr>
          <w:rFonts w:ascii="Times New Roman" w:eastAsia="宋体" w:hAnsi="Times New Roman"/>
          <w:color w:val="000000"/>
          <w:sz w:val="20"/>
          <w:szCs w:val="20"/>
        </w:rPr>
        <w:t>92</w:t>
      </w:r>
    </w:p>
    <w:p w14:paraId="07DD16F2" w14:textId="77777777" w:rsidR="00AE727E" w:rsidRDefault="00AE727E">
      <w:pPr>
        <w:jc w:val="center"/>
      </w:pPr>
    </w:p>
    <w:p w14:paraId="07DD16F3" w14:textId="77777777" w:rsidR="00AE727E" w:rsidRDefault="008433E0">
      <w:r>
        <w:pict w14:anchorId="07DD192C">
          <v:rect id="_x0000_i1116" style="width:415.3pt;height:1.5pt" o:hralign="center" o:hrstd="t" o:hr="t" fillcolor="#a0a0a0" stroked="f"/>
        </w:pict>
      </w:r>
    </w:p>
    <w:p w14:paraId="07DD16F4" w14:textId="77777777" w:rsidR="00AE727E" w:rsidRDefault="008433E0">
      <w:hyperlink r:id="rId217" w:anchor="i1c8279be622a460ea19600488436f115_10" w:history="1">
        <w:r>
          <w:rPr>
            <w:rStyle w:val="a5"/>
            <w:rFonts w:ascii="Times New Roman" w:eastAsia="宋体" w:hAnsi="Times New Roman"/>
            <w:sz w:val="20"/>
            <w:szCs w:val="20"/>
          </w:rPr>
          <w:t>Table of Contents</w:t>
        </w:r>
      </w:hyperlink>
    </w:p>
    <w:p w14:paraId="07DD16F5" w14:textId="77777777" w:rsidR="00AE727E" w:rsidRDefault="00AE727E"/>
    <w:p w14:paraId="07DD16F6" w14:textId="77777777" w:rsidR="00AE727E" w:rsidRDefault="008433E0">
      <w:r>
        <w:rPr>
          <w:rFonts w:ascii="Times New Roman" w:eastAsia="宋体" w:hAnsi="Times New Roman"/>
          <w:color w:val="000000"/>
          <w:sz w:val="20"/>
          <w:szCs w:val="20"/>
        </w:rPr>
        <w:t>Delivery of the Collateral securing the Exchange Notes would be required in certain customary events of default, including failure to make required payments, failure to comply with co</w:t>
      </w:r>
      <w:r>
        <w:rPr>
          <w:rFonts w:ascii="Times New Roman" w:eastAsia="宋体" w:hAnsi="Times New Roman"/>
          <w:color w:val="000000"/>
          <w:sz w:val="20"/>
          <w:szCs w:val="20"/>
        </w:rPr>
        <w:t>venants, and the occurrence of certain events of bankruptcy and insolvency.</w:t>
      </w:r>
    </w:p>
    <w:p w14:paraId="07DD16F7" w14:textId="77777777" w:rsidR="00AE727E" w:rsidRDefault="00AE727E"/>
    <w:p w14:paraId="07DD16F8" w14:textId="77777777" w:rsidR="00AE727E" w:rsidRDefault="008433E0">
      <w:r>
        <w:rPr>
          <w:rFonts w:ascii="Times New Roman" w:eastAsia="宋体" w:hAnsi="Times New Roman"/>
          <w:color w:val="000000"/>
          <w:sz w:val="20"/>
          <w:szCs w:val="20"/>
        </w:rPr>
        <w:t>The Collateral may be released in certain circumstances, including, (1) to enable the sale, transfer or other disposition of such property or assets, (2) upon the release of the g</w:t>
      </w:r>
      <w:r>
        <w:rPr>
          <w:rFonts w:ascii="Times New Roman" w:eastAsia="宋体" w:hAnsi="Times New Roman"/>
          <w:color w:val="000000"/>
          <w:sz w:val="20"/>
          <w:szCs w:val="20"/>
        </w:rPr>
        <w:t>uarantee of a Guarantor, (3) upon such property or asset becoming an “excluded asset” as defined in the indentures governing the Exchange Notes, (4) upon the achievement of investment grade ratings with respect to the Issuers and the Exchange Notes, and (5</w:t>
      </w:r>
      <w:r>
        <w:rPr>
          <w:rFonts w:ascii="Times New Roman" w:eastAsia="宋体" w:hAnsi="Times New Roman"/>
          <w:color w:val="000000"/>
          <w:sz w:val="20"/>
          <w:szCs w:val="20"/>
        </w:rPr>
        <w:t>) to the extent the liens on the Collateral securing the Senior Credit Facility obligations are released (other than in connection with the payment in full of the Senior Credit Facility).</w:t>
      </w:r>
    </w:p>
    <w:p w14:paraId="07DD16F9" w14:textId="77777777" w:rsidR="00AE727E" w:rsidRDefault="00AE727E"/>
    <w:p w14:paraId="07DD16FA" w14:textId="77777777" w:rsidR="00AE727E" w:rsidRDefault="008433E0">
      <w:r>
        <w:rPr>
          <w:rFonts w:ascii="Times New Roman" w:eastAsia="宋体" w:hAnsi="Times New Roman"/>
          <w:color w:val="000000"/>
          <w:sz w:val="20"/>
          <w:szCs w:val="20"/>
        </w:rPr>
        <w:t xml:space="preserve">The Collateral does not include, and will not include, among other </w:t>
      </w:r>
      <w:r>
        <w:rPr>
          <w:rFonts w:ascii="Times New Roman" w:eastAsia="宋体" w:hAnsi="Times New Roman"/>
          <w:color w:val="000000"/>
          <w:sz w:val="20"/>
          <w:szCs w:val="20"/>
        </w:rPr>
        <w:t xml:space="preserve">things, (1) a pledge of the assets or equity interests of certain subsidiaries, including the Unrestricted Subsidiaries and their respective subsidiaries, (2) any fee-owned real property with a book value of less than $150 million, (3) any commercial tort </w:t>
      </w:r>
      <w:r>
        <w:rPr>
          <w:rFonts w:ascii="Times New Roman" w:eastAsia="宋体" w:hAnsi="Times New Roman"/>
          <w:color w:val="000000"/>
          <w:sz w:val="20"/>
          <w:szCs w:val="20"/>
        </w:rPr>
        <w:t>claims or letter of credit rights with an individual value of less than $50 million, (4) any “principal property” as defined in the indentures governing the Unsecured Notes and Debentures of Dell and the EMC Notes, and capital stock of any subsidiary holdi</w:t>
      </w:r>
      <w:r>
        <w:rPr>
          <w:rFonts w:ascii="Times New Roman" w:eastAsia="宋体" w:hAnsi="Times New Roman"/>
          <w:color w:val="000000"/>
          <w:sz w:val="20"/>
          <w:szCs w:val="20"/>
        </w:rPr>
        <w:t>ng “principal property” as defined in the indenture governing the Unsecured Notes and Debentures of Dell, or (5) certain excluded assets.</w:t>
      </w:r>
    </w:p>
    <w:p w14:paraId="07DD16FB" w14:textId="77777777" w:rsidR="00AE727E" w:rsidRDefault="00AE727E"/>
    <w:p w14:paraId="07DD16FC" w14:textId="77777777" w:rsidR="00AE727E" w:rsidRDefault="00AE727E"/>
    <w:p w14:paraId="07DD16FD" w14:textId="77777777" w:rsidR="00AE727E" w:rsidRDefault="00AE727E">
      <w:pPr>
        <w:jc w:val="center"/>
      </w:pPr>
    </w:p>
    <w:p w14:paraId="07DD16FE" w14:textId="77777777" w:rsidR="00AE727E" w:rsidRDefault="008433E0">
      <w:pPr>
        <w:jc w:val="center"/>
      </w:pPr>
      <w:r>
        <w:rPr>
          <w:rFonts w:ascii="Times New Roman" w:eastAsia="宋体" w:hAnsi="Times New Roman"/>
          <w:color w:val="000000"/>
          <w:sz w:val="20"/>
          <w:szCs w:val="20"/>
        </w:rPr>
        <w:t>93</w:t>
      </w:r>
    </w:p>
    <w:p w14:paraId="07DD16FF" w14:textId="77777777" w:rsidR="00AE727E" w:rsidRDefault="00AE727E">
      <w:pPr>
        <w:jc w:val="center"/>
      </w:pPr>
    </w:p>
    <w:p w14:paraId="07DD1700" w14:textId="77777777" w:rsidR="00AE727E" w:rsidRDefault="008433E0">
      <w:r>
        <w:pict w14:anchorId="07DD192D">
          <v:rect id="_x0000_i1117" style="width:415.3pt;height:1.5pt" o:hralign="center" o:hrstd="t" o:hr="t" fillcolor="#a0a0a0" stroked="f"/>
        </w:pict>
      </w:r>
    </w:p>
    <w:p w14:paraId="07DD1701" w14:textId="77777777" w:rsidR="00AE727E" w:rsidRDefault="008433E0">
      <w:hyperlink r:id="rId218" w:anchor="i1c8279be622a460ea19600488436f115_10" w:history="1">
        <w:r>
          <w:rPr>
            <w:rStyle w:val="a5"/>
            <w:rFonts w:ascii="Times New Roman" w:eastAsia="宋体" w:hAnsi="Times New Roman"/>
            <w:sz w:val="20"/>
            <w:szCs w:val="20"/>
          </w:rPr>
          <w:t>Table of Contents</w:t>
        </w:r>
      </w:hyperlink>
    </w:p>
    <w:p w14:paraId="07DD1702" w14:textId="77777777" w:rsidR="00AE727E" w:rsidRDefault="008433E0">
      <w:r>
        <w:rPr>
          <w:rFonts w:ascii="Times New Roman" w:eastAsia="宋体" w:hAnsi="Times New Roman"/>
          <w:b/>
          <w:bCs/>
          <w:color w:val="000000"/>
          <w:sz w:val="20"/>
          <w:szCs w:val="20"/>
        </w:rPr>
        <w:t>ITEM 3 — QUANTITATIVE AND QUALITATIVE DISCLOSURES ABOUT MARKET RISK</w:t>
      </w:r>
    </w:p>
    <w:p w14:paraId="07DD1703" w14:textId="77777777" w:rsidR="00AE727E" w:rsidRDefault="00AE727E"/>
    <w:p w14:paraId="07DD1704" w14:textId="77777777" w:rsidR="00AE727E" w:rsidRDefault="008433E0">
      <w:r>
        <w:rPr>
          <w:rFonts w:ascii="Times New Roman" w:eastAsia="宋体" w:hAnsi="Times New Roman"/>
          <w:color w:val="000000"/>
          <w:sz w:val="20"/>
          <w:szCs w:val="20"/>
        </w:rPr>
        <w:t>For quantitativ</w:t>
      </w:r>
      <w:r>
        <w:rPr>
          <w:rFonts w:ascii="Times New Roman" w:eastAsia="宋体" w:hAnsi="Times New Roman"/>
          <w:color w:val="000000"/>
          <w:sz w:val="20"/>
          <w:szCs w:val="20"/>
        </w:rPr>
        <w:t>e and qualitative disclosures about market risk affecting us, see “Part II — Item 7A — Quantitative and Qualitative Disclosures About Market Risk” in our Annual Report on Form 10-K for the fiscal year ended January 29, 2021. Our exposure to market risks ha</w:t>
      </w:r>
      <w:r>
        <w:rPr>
          <w:rFonts w:ascii="Times New Roman" w:eastAsia="宋体" w:hAnsi="Times New Roman"/>
          <w:color w:val="000000"/>
          <w:sz w:val="20"/>
          <w:szCs w:val="20"/>
        </w:rPr>
        <w:t>s not changed materially from that set forth in our Annual Report.</w:t>
      </w:r>
    </w:p>
    <w:p w14:paraId="07DD1705" w14:textId="77777777" w:rsidR="00AE727E" w:rsidRDefault="00AE727E"/>
    <w:p w14:paraId="07DD1706" w14:textId="77777777" w:rsidR="00AE727E" w:rsidRDefault="008433E0">
      <w:r>
        <w:rPr>
          <w:rFonts w:ascii="Times New Roman" w:eastAsia="宋体" w:hAnsi="Times New Roman"/>
          <w:b/>
          <w:bCs/>
          <w:color w:val="000000"/>
          <w:sz w:val="20"/>
          <w:szCs w:val="20"/>
        </w:rPr>
        <w:t>ITEM 4 — CONTROLS AND PROCEDURES</w:t>
      </w:r>
    </w:p>
    <w:p w14:paraId="07DD1707" w14:textId="77777777" w:rsidR="00AE727E" w:rsidRDefault="00AE727E"/>
    <w:p w14:paraId="07DD1708" w14:textId="77777777" w:rsidR="00AE727E" w:rsidRDefault="008433E0">
      <w:r>
        <w:rPr>
          <w:rFonts w:ascii="Times New Roman" w:eastAsia="宋体" w:hAnsi="Times New Roman"/>
          <w:color w:val="000000"/>
          <w:sz w:val="20"/>
          <w:szCs w:val="20"/>
        </w:rPr>
        <w:t>This report includes the certifications of our Chief Executive Officer and Chief Financial Officer required by Rule 13a-14 under the Securities Exchange A</w:t>
      </w:r>
      <w:r>
        <w:rPr>
          <w:rFonts w:ascii="Times New Roman" w:eastAsia="宋体" w:hAnsi="Times New Roman"/>
          <w:color w:val="000000"/>
          <w:sz w:val="20"/>
          <w:szCs w:val="20"/>
        </w:rPr>
        <w:t>ct of 1934 (the “Exchange Act”). See Exhibits 31.1 and 31.2 filed with this report. This Item 4 includes information concerning the controls and control evaluations referred to in those certifications.</w:t>
      </w:r>
    </w:p>
    <w:p w14:paraId="07DD1709" w14:textId="77777777" w:rsidR="00AE727E" w:rsidRDefault="00AE727E"/>
    <w:p w14:paraId="07DD170A" w14:textId="77777777" w:rsidR="00AE727E" w:rsidRDefault="008433E0">
      <w:r>
        <w:rPr>
          <w:rFonts w:ascii="Times New Roman" w:eastAsia="宋体" w:hAnsi="Times New Roman"/>
          <w:b/>
          <w:bCs/>
          <w:color w:val="000000"/>
          <w:sz w:val="20"/>
          <w:szCs w:val="20"/>
        </w:rPr>
        <w:t>Evaluation of Disclosure Controls and Procedures</w:t>
      </w:r>
    </w:p>
    <w:p w14:paraId="07DD170B" w14:textId="77777777" w:rsidR="00AE727E" w:rsidRDefault="00AE727E"/>
    <w:p w14:paraId="07DD170C" w14:textId="77777777" w:rsidR="00AE727E" w:rsidRDefault="008433E0">
      <w:r>
        <w:rPr>
          <w:rFonts w:ascii="Times New Roman" w:eastAsia="宋体" w:hAnsi="Times New Roman"/>
          <w:color w:val="000000"/>
          <w:sz w:val="20"/>
          <w:szCs w:val="20"/>
        </w:rPr>
        <w:t>Dis</w:t>
      </w:r>
      <w:r>
        <w:rPr>
          <w:rFonts w:ascii="Times New Roman" w:eastAsia="宋体" w:hAnsi="Times New Roman"/>
          <w:color w:val="000000"/>
          <w:sz w:val="20"/>
          <w:szCs w:val="20"/>
        </w:rPr>
        <w:t>closure controls and procedures (as defined in Rules 13a-15(e) and 15d-15(e) under the Exchange Act) are designed to provide reasonable assurance that information required to be disclosed in reports filed or submitted under the Exchange Act is recorded, pr</w:t>
      </w:r>
      <w:r>
        <w:rPr>
          <w:rFonts w:ascii="Times New Roman" w:eastAsia="宋体" w:hAnsi="Times New Roman"/>
          <w:color w:val="000000"/>
          <w:sz w:val="20"/>
          <w:szCs w:val="20"/>
        </w:rPr>
        <w:t>ocessed, summarized, and reported within the time periods specified in SEC rules and forms and that such information is accumulated and communicated to management, including the Chief Executive Officer and the Chief Financial Officer, as appropriate to all</w:t>
      </w:r>
      <w:r>
        <w:rPr>
          <w:rFonts w:ascii="Times New Roman" w:eastAsia="宋体" w:hAnsi="Times New Roman"/>
          <w:color w:val="000000"/>
          <w:sz w:val="20"/>
          <w:szCs w:val="20"/>
        </w:rPr>
        <w:t>ow timely decisions regarding required disclosures.</w:t>
      </w:r>
    </w:p>
    <w:p w14:paraId="07DD170D" w14:textId="77777777" w:rsidR="00AE727E" w:rsidRDefault="00AE727E"/>
    <w:p w14:paraId="07DD170E" w14:textId="77777777" w:rsidR="00AE727E" w:rsidRDefault="008433E0">
      <w:r>
        <w:rPr>
          <w:rFonts w:ascii="Times New Roman" w:eastAsia="宋体" w:hAnsi="Times New Roman"/>
          <w:color w:val="000000"/>
          <w:sz w:val="20"/>
          <w:szCs w:val="20"/>
        </w:rPr>
        <w:t xml:space="preserve">In connection with the preparation of this report, our management, under the supervision and with the participation of our Chief Executive Officer and Chief Financial Officer, conducted an evaluation of </w:t>
      </w:r>
      <w:r>
        <w:rPr>
          <w:rFonts w:ascii="Times New Roman" w:eastAsia="宋体" w:hAnsi="Times New Roman"/>
          <w:color w:val="000000"/>
          <w:sz w:val="20"/>
          <w:szCs w:val="20"/>
        </w:rPr>
        <w:t>the effectiveness of the design and operation of our disclosure controls and procedures as of October 29, 2021. Based on that evaluation, our Chief Executive Officer and Chief Financial Officer have concluded that our disclosure controls and procedures wer</w:t>
      </w:r>
      <w:r>
        <w:rPr>
          <w:rFonts w:ascii="Times New Roman" w:eastAsia="宋体" w:hAnsi="Times New Roman"/>
          <w:color w:val="000000"/>
          <w:sz w:val="20"/>
          <w:szCs w:val="20"/>
        </w:rPr>
        <w:t>e effective at the reasonable assurance level as of October 29, 2021.</w:t>
      </w:r>
    </w:p>
    <w:p w14:paraId="07DD170F" w14:textId="77777777" w:rsidR="00AE727E" w:rsidRDefault="00AE727E"/>
    <w:p w14:paraId="07DD1710" w14:textId="77777777" w:rsidR="00AE727E" w:rsidRDefault="008433E0">
      <w:r>
        <w:rPr>
          <w:rFonts w:ascii="Times New Roman" w:eastAsia="宋体" w:hAnsi="Times New Roman"/>
          <w:b/>
          <w:bCs/>
          <w:color w:val="000000"/>
          <w:sz w:val="20"/>
          <w:szCs w:val="20"/>
        </w:rPr>
        <w:t>Changes in Internal Control Over Financial Reporting</w:t>
      </w:r>
    </w:p>
    <w:p w14:paraId="07DD1711" w14:textId="77777777" w:rsidR="00AE727E" w:rsidRDefault="00AE727E"/>
    <w:p w14:paraId="07DD1712" w14:textId="77777777" w:rsidR="00AE727E" w:rsidRDefault="008433E0">
      <w:r>
        <w:rPr>
          <w:rFonts w:ascii="Times New Roman" w:eastAsia="宋体" w:hAnsi="Times New Roman"/>
          <w:color w:val="000000"/>
          <w:sz w:val="20"/>
          <w:szCs w:val="20"/>
        </w:rPr>
        <w:t>There were no changes in our internal control over financial reporting during the fiscal quarter ended October 29, 2021 that have m</w:t>
      </w:r>
      <w:r>
        <w:rPr>
          <w:rFonts w:ascii="Times New Roman" w:eastAsia="宋体" w:hAnsi="Times New Roman"/>
          <w:color w:val="000000"/>
          <w:sz w:val="20"/>
          <w:szCs w:val="20"/>
        </w:rPr>
        <w:t>aterially affected, or are reasonably likely to materially affect, our internal control over financial reporting.</w:t>
      </w:r>
    </w:p>
    <w:p w14:paraId="07DD1713" w14:textId="77777777" w:rsidR="00AE727E" w:rsidRDefault="00AE727E">
      <w:pPr>
        <w:jc w:val="center"/>
      </w:pPr>
    </w:p>
    <w:p w14:paraId="07DD1714" w14:textId="77777777" w:rsidR="00AE727E" w:rsidRDefault="008433E0">
      <w:pPr>
        <w:jc w:val="center"/>
      </w:pPr>
      <w:r>
        <w:rPr>
          <w:rFonts w:ascii="Times New Roman" w:eastAsia="宋体" w:hAnsi="Times New Roman"/>
          <w:color w:val="000000"/>
          <w:sz w:val="20"/>
          <w:szCs w:val="20"/>
        </w:rPr>
        <w:t>94</w:t>
      </w:r>
    </w:p>
    <w:p w14:paraId="07DD1715" w14:textId="77777777" w:rsidR="00AE727E" w:rsidRDefault="00AE727E">
      <w:pPr>
        <w:jc w:val="center"/>
      </w:pPr>
    </w:p>
    <w:p w14:paraId="07DD1716" w14:textId="77777777" w:rsidR="00AE727E" w:rsidRDefault="008433E0">
      <w:r>
        <w:pict w14:anchorId="07DD192E">
          <v:rect id="_x0000_i1118" style="width:415.3pt;height:1.5pt" o:hralign="center" o:hrstd="t" o:hr="t" fillcolor="#a0a0a0" stroked="f"/>
        </w:pict>
      </w:r>
    </w:p>
    <w:p w14:paraId="07DD1717" w14:textId="77777777" w:rsidR="00AE727E" w:rsidRDefault="008433E0">
      <w:hyperlink r:id="rId219" w:anchor="i1c8279be622a460ea19600488436f115_10" w:history="1">
        <w:r>
          <w:rPr>
            <w:rStyle w:val="a5"/>
            <w:rFonts w:ascii="Times New Roman" w:eastAsia="宋体" w:hAnsi="Times New Roman"/>
            <w:sz w:val="20"/>
            <w:szCs w:val="20"/>
          </w:rPr>
          <w:t>Table of Contents</w:t>
        </w:r>
      </w:hyperlink>
    </w:p>
    <w:p w14:paraId="07DD1718" w14:textId="77777777" w:rsidR="00AE727E" w:rsidRDefault="008433E0">
      <w:pPr>
        <w:jc w:val="center"/>
      </w:pPr>
      <w:r>
        <w:rPr>
          <w:rFonts w:ascii="Times New Roman" w:eastAsia="宋体" w:hAnsi="Times New Roman"/>
          <w:b/>
          <w:bCs/>
          <w:color w:val="000000"/>
          <w:sz w:val="20"/>
          <w:szCs w:val="20"/>
        </w:rPr>
        <w:t>PART II — OTHER INFORMATION</w:t>
      </w:r>
    </w:p>
    <w:p w14:paraId="07DD1719" w14:textId="77777777" w:rsidR="00AE727E" w:rsidRDefault="00AE727E">
      <w:pPr>
        <w:jc w:val="center"/>
      </w:pPr>
    </w:p>
    <w:p w14:paraId="07DD171A" w14:textId="77777777" w:rsidR="00AE727E" w:rsidRDefault="008433E0">
      <w:r>
        <w:rPr>
          <w:rFonts w:ascii="Times New Roman" w:eastAsia="宋体" w:hAnsi="Times New Roman"/>
          <w:b/>
          <w:bCs/>
          <w:color w:val="000000"/>
          <w:sz w:val="20"/>
          <w:szCs w:val="20"/>
        </w:rPr>
        <w:t>ITEM 1 — LEGAL PROCEEDINGS</w:t>
      </w:r>
    </w:p>
    <w:p w14:paraId="07DD171B" w14:textId="77777777" w:rsidR="00AE727E" w:rsidRDefault="00AE727E"/>
    <w:p w14:paraId="07DD171C" w14:textId="77777777" w:rsidR="00AE727E" w:rsidRDefault="008433E0">
      <w:r>
        <w:rPr>
          <w:rFonts w:ascii="Times New Roman" w:eastAsia="宋体" w:hAnsi="Times New Roman"/>
          <w:color w:val="000000"/>
          <w:sz w:val="20"/>
          <w:szCs w:val="20"/>
          <w:shd w:val="clear" w:color="auto" w:fill="FFFFFF"/>
        </w:rPr>
        <w:t xml:space="preserve">The information required by this item is incorporated herein by reference to the information set forth under the caption “Legal Matters” in Note 9 of the </w:t>
      </w:r>
      <w:r>
        <w:rPr>
          <w:rFonts w:ascii="Times New Roman" w:eastAsia="宋体" w:hAnsi="Times New Roman"/>
          <w:color w:val="000000"/>
          <w:sz w:val="20"/>
          <w:szCs w:val="20"/>
        </w:rPr>
        <w:t>Notes to the Condensed Consolidated Financial Statements</w:t>
      </w:r>
      <w:r>
        <w:rPr>
          <w:rFonts w:ascii="Times New Roman" w:eastAsia="宋体" w:hAnsi="Times New Roman"/>
          <w:color w:val="000000"/>
          <w:sz w:val="20"/>
          <w:szCs w:val="20"/>
          <w:shd w:val="clear" w:color="auto" w:fill="FFFFFF"/>
        </w:rPr>
        <w:t xml:space="preserve"> included in Part I of this report.</w:t>
      </w:r>
    </w:p>
    <w:p w14:paraId="07DD171D" w14:textId="77777777" w:rsidR="00AE727E" w:rsidRDefault="00AE727E"/>
    <w:p w14:paraId="07DD171E" w14:textId="77777777" w:rsidR="00AE727E" w:rsidRDefault="008433E0">
      <w:r>
        <w:rPr>
          <w:rFonts w:ascii="Times New Roman" w:eastAsia="宋体" w:hAnsi="Times New Roman"/>
          <w:b/>
          <w:bCs/>
          <w:color w:val="000000"/>
          <w:sz w:val="20"/>
          <w:szCs w:val="20"/>
        </w:rPr>
        <w:t>ITEM 1A —</w:t>
      </w:r>
      <w:r>
        <w:rPr>
          <w:rFonts w:ascii="Times New Roman" w:eastAsia="宋体" w:hAnsi="Times New Roman"/>
          <w:b/>
          <w:bCs/>
          <w:color w:val="000000"/>
          <w:sz w:val="20"/>
          <w:szCs w:val="20"/>
        </w:rPr>
        <w:t xml:space="preserve"> RISK FACTORS</w:t>
      </w:r>
    </w:p>
    <w:p w14:paraId="07DD171F" w14:textId="77777777" w:rsidR="00AE727E" w:rsidRDefault="00AE727E"/>
    <w:p w14:paraId="07DD1720" w14:textId="77777777" w:rsidR="00AE727E" w:rsidRDefault="008433E0">
      <w:r>
        <w:rPr>
          <w:rFonts w:ascii="Times New Roman" w:eastAsia="宋体" w:hAnsi="Times New Roman"/>
          <w:color w:val="000000"/>
          <w:sz w:val="20"/>
          <w:szCs w:val="20"/>
        </w:rPr>
        <w:t>In addition to the other information set forth in this report, the risks discussed in “Part I — Item 1A — Risk Factors” in our Annual Report on Form 10-K for the fiscal year ended January 29, 2021 could materially affect our business, operat</w:t>
      </w:r>
      <w:r>
        <w:rPr>
          <w:rFonts w:ascii="Times New Roman" w:eastAsia="宋体" w:hAnsi="Times New Roman"/>
          <w:color w:val="000000"/>
          <w:sz w:val="20"/>
          <w:szCs w:val="20"/>
        </w:rPr>
        <w:t>ing results, financial condition, or prospects. Further, as a result of the completion of the VMware Spin-off on November 1, 2021, we are subject to the following additional risks:</w:t>
      </w:r>
    </w:p>
    <w:p w14:paraId="07DD1721" w14:textId="77777777" w:rsidR="00AE727E" w:rsidRDefault="00AE727E"/>
    <w:p w14:paraId="07DD1722" w14:textId="77777777" w:rsidR="00AE727E" w:rsidRDefault="008433E0">
      <w:r>
        <w:rPr>
          <w:rFonts w:ascii="Times New Roman" w:eastAsia="宋体" w:hAnsi="Times New Roman"/>
          <w:b/>
          <w:bCs/>
          <w:color w:val="000000"/>
          <w:sz w:val="20"/>
          <w:szCs w:val="20"/>
        </w:rPr>
        <w:t>Risks Related to the Spin-Off of VMware, Inc.</w:t>
      </w:r>
    </w:p>
    <w:p w14:paraId="07DD1723" w14:textId="77777777" w:rsidR="00AE727E" w:rsidRDefault="00AE727E"/>
    <w:p w14:paraId="07DD1724" w14:textId="77777777" w:rsidR="00AE727E" w:rsidRDefault="008433E0">
      <w:r>
        <w:rPr>
          <w:rFonts w:ascii="Times New Roman" w:eastAsia="宋体" w:hAnsi="Times New Roman"/>
          <w:b/>
          <w:bCs/>
          <w:color w:val="000000"/>
          <w:sz w:val="20"/>
          <w:szCs w:val="20"/>
        </w:rPr>
        <w:t>Our spin-off of VMware, Inc</w:t>
      </w:r>
      <w:r>
        <w:rPr>
          <w:rFonts w:ascii="Times New Roman" w:eastAsia="宋体" w:hAnsi="Times New Roman"/>
          <w:b/>
          <w:bCs/>
          <w:color w:val="000000"/>
          <w:sz w:val="20"/>
          <w:szCs w:val="20"/>
        </w:rPr>
        <w:t>. may not achieve the intended benefits.</w:t>
      </w:r>
    </w:p>
    <w:p w14:paraId="07DD1725" w14:textId="77777777" w:rsidR="00AE727E" w:rsidRDefault="00AE727E"/>
    <w:p w14:paraId="07DD1726" w14:textId="77777777" w:rsidR="00AE727E" w:rsidRDefault="008433E0">
      <w:r>
        <w:rPr>
          <w:rFonts w:ascii="Times New Roman" w:eastAsia="宋体" w:hAnsi="Times New Roman"/>
          <w:color w:val="000000"/>
          <w:sz w:val="20"/>
          <w:szCs w:val="20"/>
        </w:rPr>
        <w:t xml:space="preserve">On November 1, 2021, as described in this report, VMware, Inc. distributed to its stockholders, including us, a special one-time cash dividend, and we distributed all of the issued and outstanding shares of VMware </w:t>
      </w:r>
      <w:r>
        <w:rPr>
          <w:rFonts w:ascii="Times New Roman" w:eastAsia="宋体" w:hAnsi="Times New Roman"/>
          <w:color w:val="000000"/>
          <w:sz w:val="20"/>
          <w:szCs w:val="20"/>
        </w:rPr>
        <w:t>common stock then owned by us to the holders of record of shares of Dell Technologies as of the distribution record date (the “VMware Spin-off”). Upon completion of the VMware Spin-off, the businesses of VMware, Inc. were separated from our remaining busin</w:t>
      </w:r>
      <w:r>
        <w:rPr>
          <w:rFonts w:ascii="Times New Roman" w:eastAsia="宋体" w:hAnsi="Times New Roman"/>
          <w:color w:val="000000"/>
          <w:sz w:val="20"/>
          <w:szCs w:val="20"/>
        </w:rPr>
        <w:t>esses, and we and VMware, Inc. entered into various agreements that will govern our future relationship. Among those agreements, a commercial framework agreement provides a framework under which we and VMware, Inc. will continue our strategic relationship,</w:t>
      </w:r>
      <w:r>
        <w:rPr>
          <w:rFonts w:ascii="Times New Roman" w:eastAsia="宋体" w:hAnsi="Times New Roman"/>
          <w:color w:val="000000"/>
          <w:sz w:val="20"/>
          <w:szCs w:val="20"/>
        </w:rPr>
        <w:t xml:space="preserve"> particularly with respect to projects we and VMware, Inc. believe have the potential to accelerate the growth of the industry, product, service, or platform that may provide one or both of our companies with a strategic market opportunity. The VMware Spin</w:t>
      </w:r>
      <w:r>
        <w:rPr>
          <w:rFonts w:ascii="Times New Roman" w:eastAsia="宋体" w:hAnsi="Times New Roman"/>
          <w:color w:val="000000"/>
          <w:sz w:val="20"/>
          <w:szCs w:val="20"/>
        </w:rPr>
        <w:t>-off may not provide the benefits that we intend, including the benefits we seek from a continuation of our strategic relationship with VMware, Inc. under the commercial framework and other arrangements.</w:t>
      </w:r>
    </w:p>
    <w:p w14:paraId="07DD1727" w14:textId="77777777" w:rsidR="00AE727E" w:rsidRDefault="00AE727E"/>
    <w:p w14:paraId="07DD1728" w14:textId="77777777" w:rsidR="00AE727E" w:rsidRDefault="008433E0">
      <w:r>
        <w:rPr>
          <w:rFonts w:ascii="Times New Roman" w:eastAsia="宋体" w:hAnsi="Times New Roman"/>
          <w:color w:val="000000"/>
          <w:sz w:val="20"/>
          <w:szCs w:val="20"/>
        </w:rPr>
        <w:t xml:space="preserve">There is the potential for business disruption and </w:t>
      </w:r>
      <w:r>
        <w:rPr>
          <w:rFonts w:ascii="Times New Roman" w:eastAsia="宋体" w:hAnsi="Times New Roman"/>
          <w:color w:val="000000"/>
          <w:sz w:val="20"/>
          <w:szCs w:val="20"/>
        </w:rPr>
        <w:t>significant separation costs. Planning and executing the VMware Spin-off has required significant additional time, effort, and expense. The VMware Spin-off could cause our customers to delay or defer decisions to purchase products or renew contracts, or to</w:t>
      </w:r>
      <w:r>
        <w:rPr>
          <w:rFonts w:ascii="Times New Roman" w:eastAsia="宋体" w:hAnsi="Times New Roman"/>
          <w:color w:val="000000"/>
          <w:sz w:val="20"/>
          <w:szCs w:val="20"/>
        </w:rPr>
        <w:t xml:space="preserve"> end their relationships. Any of these factors could have a material adverse effect on our business, financial condition, results of operations, cash flows or the price of our Class C Common Stock. In addition, the combined value of the common stock of the</w:t>
      </w:r>
      <w:r>
        <w:rPr>
          <w:rFonts w:ascii="Times New Roman" w:eastAsia="宋体" w:hAnsi="Times New Roman"/>
          <w:color w:val="000000"/>
          <w:sz w:val="20"/>
          <w:szCs w:val="20"/>
        </w:rPr>
        <w:t xml:space="preserve"> two companies held by our stockholders may not be equal to or greater than what the value of our common stock alone would have been had the proposed VMware Spin-off not occurred. </w:t>
      </w:r>
    </w:p>
    <w:p w14:paraId="07DD1729" w14:textId="77777777" w:rsidR="00AE727E" w:rsidRDefault="00AE727E"/>
    <w:p w14:paraId="07DD172A" w14:textId="77777777" w:rsidR="00AE727E" w:rsidRDefault="008433E0">
      <w:r>
        <w:rPr>
          <w:rFonts w:ascii="Times New Roman" w:eastAsia="宋体" w:hAnsi="Times New Roman"/>
          <w:color w:val="000000"/>
          <w:sz w:val="20"/>
          <w:szCs w:val="20"/>
        </w:rPr>
        <w:t xml:space="preserve">The risks described in our Annual Report on Form 10-K, our subsequent SEC </w:t>
      </w:r>
      <w:r>
        <w:rPr>
          <w:rFonts w:ascii="Times New Roman" w:eastAsia="宋体" w:hAnsi="Times New Roman"/>
          <w:color w:val="000000"/>
          <w:sz w:val="20"/>
          <w:szCs w:val="20"/>
        </w:rPr>
        <w:t>reports, and other risks described above are not the only risks facing us. There are additional risks and uncertainties not currently known to us or that we currently deem to be immaterial that also may materially adversely affect our business, operating r</w:t>
      </w:r>
      <w:r>
        <w:rPr>
          <w:rFonts w:ascii="Times New Roman" w:eastAsia="宋体" w:hAnsi="Times New Roman"/>
          <w:color w:val="000000"/>
          <w:sz w:val="20"/>
          <w:szCs w:val="20"/>
        </w:rPr>
        <w:t xml:space="preserve">esults, financial condition, or prospects. </w:t>
      </w:r>
    </w:p>
    <w:p w14:paraId="07DD172B" w14:textId="77777777" w:rsidR="00AE727E" w:rsidRDefault="00AE727E"/>
    <w:p w14:paraId="07DD172C" w14:textId="77777777" w:rsidR="00AE727E" w:rsidRDefault="00AE727E">
      <w:pPr>
        <w:jc w:val="center"/>
      </w:pPr>
    </w:p>
    <w:p w14:paraId="07DD172D" w14:textId="77777777" w:rsidR="00AE727E" w:rsidRDefault="008433E0">
      <w:pPr>
        <w:jc w:val="center"/>
      </w:pPr>
      <w:r>
        <w:rPr>
          <w:rFonts w:ascii="Times New Roman" w:eastAsia="宋体" w:hAnsi="Times New Roman"/>
          <w:color w:val="000000"/>
          <w:sz w:val="20"/>
          <w:szCs w:val="20"/>
        </w:rPr>
        <w:t>95</w:t>
      </w:r>
    </w:p>
    <w:p w14:paraId="07DD172E" w14:textId="77777777" w:rsidR="00AE727E" w:rsidRDefault="00AE727E">
      <w:pPr>
        <w:jc w:val="center"/>
      </w:pPr>
    </w:p>
    <w:p w14:paraId="07DD172F" w14:textId="77777777" w:rsidR="00AE727E" w:rsidRDefault="008433E0">
      <w:r>
        <w:pict w14:anchorId="07DD192F">
          <v:rect id="_x0000_i1119" style="width:415.3pt;height:1.5pt" o:hralign="center" o:hrstd="t" o:hr="t" fillcolor="#a0a0a0" stroked="f"/>
        </w:pict>
      </w:r>
    </w:p>
    <w:p w14:paraId="07DD1730" w14:textId="77777777" w:rsidR="00AE727E" w:rsidRDefault="008433E0">
      <w:hyperlink r:id="rId220" w:anchor="i1c8279be622a460ea19600488436f115_10" w:history="1">
        <w:r>
          <w:rPr>
            <w:rStyle w:val="a5"/>
            <w:rFonts w:ascii="Times New Roman" w:eastAsia="宋体" w:hAnsi="Times New Roman"/>
            <w:sz w:val="20"/>
            <w:szCs w:val="20"/>
          </w:rPr>
          <w:t>Table of Contents</w:t>
        </w:r>
      </w:hyperlink>
    </w:p>
    <w:p w14:paraId="07DD1731" w14:textId="77777777" w:rsidR="00AE727E" w:rsidRDefault="008433E0">
      <w:r>
        <w:rPr>
          <w:rFonts w:ascii="Times New Roman" w:eastAsia="宋体" w:hAnsi="Times New Roman"/>
          <w:b/>
          <w:bCs/>
          <w:color w:val="000000"/>
          <w:sz w:val="20"/>
          <w:szCs w:val="20"/>
          <w:shd w:val="clear" w:color="auto" w:fill="FFFFFF"/>
        </w:rPr>
        <w:t>ITEM 2 — UNREGISTERED SALES OF E</w:t>
      </w:r>
      <w:r>
        <w:rPr>
          <w:rFonts w:ascii="Times New Roman" w:eastAsia="宋体" w:hAnsi="Times New Roman"/>
          <w:b/>
          <w:bCs/>
          <w:color w:val="000000"/>
          <w:sz w:val="20"/>
          <w:szCs w:val="20"/>
          <w:shd w:val="clear" w:color="auto" w:fill="FFFFFF"/>
        </w:rPr>
        <w:t>QUITY SECURITIES AND USE OF PROCEEDS</w:t>
      </w:r>
    </w:p>
    <w:p w14:paraId="07DD1732" w14:textId="77777777" w:rsidR="00AE727E" w:rsidRDefault="00AE727E"/>
    <w:p w14:paraId="07DD1733" w14:textId="77777777" w:rsidR="00AE727E" w:rsidRDefault="008433E0">
      <w:r>
        <w:rPr>
          <w:rFonts w:ascii="Times New Roman" w:eastAsia="宋体" w:hAnsi="Times New Roman"/>
          <w:b/>
          <w:bCs/>
          <w:color w:val="000000"/>
          <w:sz w:val="20"/>
          <w:szCs w:val="20"/>
        </w:rPr>
        <w:t>Sales of Unregistered Securities</w:t>
      </w:r>
    </w:p>
    <w:p w14:paraId="07DD1734" w14:textId="77777777" w:rsidR="00AE727E" w:rsidRDefault="00AE727E"/>
    <w:p w14:paraId="07DD1735" w14:textId="77777777" w:rsidR="00AE727E" w:rsidRDefault="008433E0">
      <w:r>
        <w:rPr>
          <w:rFonts w:ascii="Times New Roman" w:eastAsia="宋体" w:hAnsi="Times New Roman"/>
          <w:color w:val="000000"/>
          <w:sz w:val="20"/>
          <w:szCs w:val="20"/>
        </w:rPr>
        <w:t xml:space="preserve">During the third quarter of Fiscal 2022, we issued to employees an aggregate of 2,019 shares of the Class C Common Stock for an immaterial amount pursuant to exercises of stock </w:t>
      </w:r>
      <w:r>
        <w:rPr>
          <w:rFonts w:ascii="Times New Roman" w:eastAsia="宋体" w:hAnsi="Times New Roman"/>
          <w:color w:val="000000"/>
          <w:sz w:val="20"/>
          <w:szCs w:val="20"/>
        </w:rPr>
        <w:t>options granted under the Dell Inc. Amended and Restated 2002 Long-Term Incentive Plan. The foregoing transactions were affected without registration in reliance on the exemption from registration under the Securities Act of 1933 afforded by Rule 701 there</w:t>
      </w:r>
      <w:r>
        <w:rPr>
          <w:rFonts w:ascii="Times New Roman" w:eastAsia="宋体" w:hAnsi="Times New Roman"/>
          <w:color w:val="000000"/>
          <w:sz w:val="20"/>
          <w:szCs w:val="20"/>
        </w:rPr>
        <w:t>under as transactions pursuant to compensatory benefit plans or contracts relating to compensation as provided under such rule.</w:t>
      </w:r>
    </w:p>
    <w:p w14:paraId="07DD1736" w14:textId="77777777" w:rsidR="00AE727E" w:rsidRDefault="00AE727E"/>
    <w:p w14:paraId="07DD1737" w14:textId="77777777" w:rsidR="00AE727E" w:rsidRDefault="008433E0">
      <w:r>
        <w:rPr>
          <w:rFonts w:ascii="Times New Roman" w:eastAsia="宋体" w:hAnsi="Times New Roman"/>
          <w:color w:val="000000"/>
          <w:sz w:val="20"/>
          <w:szCs w:val="20"/>
        </w:rPr>
        <w:t>During October 2021, we issued 363,636 shares of Class C Common Stock to a stockholder upon the conversion of the same number of shares of our Class A Common Stock held by such stockholder. The issuance of the Class C Common Stock in this transaction was m</w:t>
      </w:r>
      <w:r>
        <w:rPr>
          <w:rFonts w:ascii="Times New Roman" w:eastAsia="宋体" w:hAnsi="Times New Roman"/>
          <w:color w:val="000000"/>
          <w:sz w:val="20"/>
          <w:szCs w:val="20"/>
        </w:rPr>
        <w:t xml:space="preserve">ade in reliance on the exemption from registration under the Securities Act of 1933 afforded by Section 3(a)(9) thereof. No commission or other remuneration was paid or given directly or indirectly for soliciting the exchange of these securities. </w:t>
      </w:r>
    </w:p>
    <w:p w14:paraId="07DD1738" w14:textId="77777777" w:rsidR="00AE727E" w:rsidRDefault="00AE727E"/>
    <w:p w14:paraId="07DD1739" w14:textId="77777777" w:rsidR="00AE727E" w:rsidRDefault="008433E0">
      <w:r>
        <w:rPr>
          <w:rFonts w:ascii="Times New Roman" w:eastAsia="宋体" w:hAnsi="Times New Roman"/>
          <w:b/>
          <w:bCs/>
          <w:color w:val="000000"/>
          <w:sz w:val="20"/>
          <w:szCs w:val="20"/>
        </w:rPr>
        <w:t>Purchas</w:t>
      </w:r>
      <w:r>
        <w:rPr>
          <w:rFonts w:ascii="Times New Roman" w:eastAsia="宋体" w:hAnsi="Times New Roman"/>
          <w:b/>
          <w:bCs/>
          <w:color w:val="000000"/>
          <w:sz w:val="20"/>
          <w:szCs w:val="20"/>
        </w:rPr>
        <w:t>es of Equity Securities</w:t>
      </w:r>
    </w:p>
    <w:p w14:paraId="07DD173A" w14:textId="77777777" w:rsidR="00AE727E" w:rsidRDefault="00AE727E"/>
    <w:p w14:paraId="07DD173B" w14:textId="77777777" w:rsidR="00AE727E" w:rsidRDefault="008433E0">
      <w:r>
        <w:rPr>
          <w:rFonts w:ascii="Times New Roman" w:eastAsia="宋体" w:hAnsi="Times New Roman"/>
          <w:color w:val="000000"/>
          <w:sz w:val="20"/>
          <w:szCs w:val="20"/>
        </w:rPr>
        <w:t>The following table presents information with respect to our purchases of Class C Common Stock during the third quarter of Fiscal 2022.</w:t>
      </w:r>
    </w:p>
    <w:tbl>
      <w:tblPr>
        <w:tblW w:w="5000" w:type="pct"/>
        <w:tblCellMar>
          <w:top w:w="15" w:type="dxa"/>
          <w:left w:w="15" w:type="dxa"/>
          <w:bottom w:w="15" w:type="dxa"/>
          <w:right w:w="15" w:type="dxa"/>
        </w:tblCellMar>
        <w:tblLook w:val="04A0" w:firstRow="1" w:lastRow="0" w:firstColumn="1" w:lastColumn="0" w:noHBand="0" w:noVBand="1"/>
      </w:tblPr>
      <w:tblGrid>
        <w:gridCol w:w="48"/>
        <w:gridCol w:w="2764"/>
        <w:gridCol w:w="38"/>
        <w:gridCol w:w="56"/>
        <w:gridCol w:w="1279"/>
        <w:gridCol w:w="36"/>
        <w:gridCol w:w="36"/>
        <w:gridCol w:w="36"/>
        <w:gridCol w:w="36"/>
        <w:gridCol w:w="121"/>
        <w:gridCol w:w="821"/>
        <w:gridCol w:w="36"/>
        <w:gridCol w:w="36"/>
        <w:gridCol w:w="36"/>
        <w:gridCol w:w="36"/>
        <w:gridCol w:w="61"/>
        <w:gridCol w:w="1249"/>
        <w:gridCol w:w="36"/>
        <w:gridCol w:w="36"/>
        <w:gridCol w:w="36"/>
        <w:gridCol w:w="36"/>
        <w:gridCol w:w="120"/>
        <w:gridCol w:w="1311"/>
        <w:gridCol w:w="36"/>
      </w:tblGrid>
      <w:tr w:rsidR="00AE727E" w14:paraId="07DD1754" w14:textId="77777777">
        <w:tc>
          <w:tcPr>
            <w:tcW w:w="50" w:type="pct"/>
            <w:shd w:val="clear" w:color="auto" w:fill="auto"/>
            <w:vAlign w:val="bottom"/>
          </w:tcPr>
          <w:p w14:paraId="07DD173C" w14:textId="77777777" w:rsidR="00AE727E" w:rsidRDefault="00AE727E">
            <w:pPr>
              <w:rPr>
                <w:rFonts w:ascii="宋体"/>
              </w:rPr>
            </w:pPr>
          </w:p>
        </w:tc>
        <w:tc>
          <w:tcPr>
            <w:tcW w:w="1677" w:type="pct"/>
            <w:shd w:val="clear" w:color="auto" w:fill="auto"/>
            <w:vAlign w:val="bottom"/>
          </w:tcPr>
          <w:p w14:paraId="07DD173D" w14:textId="77777777" w:rsidR="00AE727E" w:rsidRDefault="00AE727E">
            <w:pPr>
              <w:rPr>
                <w:rFonts w:ascii="宋体"/>
              </w:rPr>
            </w:pPr>
          </w:p>
        </w:tc>
        <w:tc>
          <w:tcPr>
            <w:tcW w:w="5" w:type="pct"/>
            <w:shd w:val="clear" w:color="auto" w:fill="auto"/>
            <w:vAlign w:val="bottom"/>
          </w:tcPr>
          <w:p w14:paraId="07DD173E" w14:textId="77777777" w:rsidR="00AE727E" w:rsidRDefault="00AE727E">
            <w:pPr>
              <w:rPr>
                <w:rFonts w:ascii="宋体"/>
              </w:rPr>
            </w:pPr>
          </w:p>
        </w:tc>
        <w:tc>
          <w:tcPr>
            <w:tcW w:w="50" w:type="pct"/>
            <w:shd w:val="clear" w:color="auto" w:fill="auto"/>
            <w:vAlign w:val="bottom"/>
          </w:tcPr>
          <w:p w14:paraId="07DD173F" w14:textId="77777777" w:rsidR="00AE727E" w:rsidRDefault="00AE727E">
            <w:pPr>
              <w:rPr>
                <w:rFonts w:ascii="宋体"/>
              </w:rPr>
            </w:pPr>
          </w:p>
        </w:tc>
        <w:tc>
          <w:tcPr>
            <w:tcW w:w="792" w:type="pct"/>
            <w:shd w:val="clear" w:color="auto" w:fill="auto"/>
            <w:vAlign w:val="bottom"/>
          </w:tcPr>
          <w:p w14:paraId="07DD1740" w14:textId="77777777" w:rsidR="00AE727E" w:rsidRDefault="00AE727E">
            <w:pPr>
              <w:rPr>
                <w:rFonts w:ascii="宋体"/>
              </w:rPr>
            </w:pPr>
          </w:p>
        </w:tc>
        <w:tc>
          <w:tcPr>
            <w:tcW w:w="5" w:type="pct"/>
            <w:shd w:val="clear" w:color="auto" w:fill="auto"/>
            <w:vAlign w:val="bottom"/>
          </w:tcPr>
          <w:p w14:paraId="07DD1741" w14:textId="77777777" w:rsidR="00AE727E" w:rsidRDefault="00AE727E">
            <w:pPr>
              <w:rPr>
                <w:rFonts w:ascii="宋体"/>
              </w:rPr>
            </w:pPr>
          </w:p>
        </w:tc>
        <w:tc>
          <w:tcPr>
            <w:tcW w:w="5" w:type="pct"/>
            <w:shd w:val="clear" w:color="auto" w:fill="auto"/>
            <w:vAlign w:val="bottom"/>
          </w:tcPr>
          <w:p w14:paraId="07DD1742" w14:textId="77777777" w:rsidR="00AE727E" w:rsidRDefault="00AE727E">
            <w:pPr>
              <w:rPr>
                <w:rFonts w:ascii="宋体"/>
              </w:rPr>
            </w:pPr>
          </w:p>
        </w:tc>
        <w:tc>
          <w:tcPr>
            <w:tcW w:w="26" w:type="pct"/>
            <w:shd w:val="clear" w:color="auto" w:fill="auto"/>
            <w:vAlign w:val="bottom"/>
          </w:tcPr>
          <w:p w14:paraId="07DD1743" w14:textId="77777777" w:rsidR="00AE727E" w:rsidRDefault="00AE727E">
            <w:pPr>
              <w:rPr>
                <w:rFonts w:ascii="宋体"/>
              </w:rPr>
            </w:pPr>
          </w:p>
        </w:tc>
        <w:tc>
          <w:tcPr>
            <w:tcW w:w="5" w:type="pct"/>
            <w:shd w:val="clear" w:color="auto" w:fill="auto"/>
            <w:vAlign w:val="bottom"/>
          </w:tcPr>
          <w:p w14:paraId="07DD1744" w14:textId="77777777" w:rsidR="00AE727E" w:rsidRDefault="00AE727E">
            <w:pPr>
              <w:rPr>
                <w:rFonts w:ascii="宋体"/>
              </w:rPr>
            </w:pPr>
          </w:p>
        </w:tc>
        <w:tc>
          <w:tcPr>
            <w:tcW w:w="50" w:type="pct"/>
            <w:shd w:val="clear" w:color="auto" w:fill="auto"/>
            <w:vAlign w:val="bottom"/>
          </w:tcPr>
          <w:p w14:paraId="07DD1745" w14:textId="77777777" w:rsidR="00AE727E" w:rsidRDefault="00AE727E">
            <w:pPr>
              <w:rPr>
                <w:rFonts w:ascii="宋体"/>
              </w:rPr>
            </w:pPr>
          </w:p>
        </w:tc>
        <w:tc>
          <w:tcPr>
            <w:tcW w:w="529" w:type="pct"/>
            <w:shd w:val="clear" w:color="auto" w:fill="auto"/>
            <w:vAlign w:val="bottom"/>
          </w:tcPr>
          <w:p w14:paraId="07DD1746" w14:textId="77777777" w:rsidR="00AE727E" w:rsidRDefault="00AE727E">
            <w:pPr>
              <w:rPr>
                <w:rFonts w:ascii="宋体"/>
              </w:rPr>
            </w:pPr>
          </w:p>
        </w:tc>
        <w:tc>
          <w:tcPr>
            <w:tcW w:w="5" w:type="pct"/>
            <w:shd w:val="clear" w:color="auto" w:fill="auto"/>
            <w:vAlign w:val="bottom"/>
          </w:tcPr>
          <w:p w14:paraId="07DD1747" w14:textId="77777777" w:rsidR="00AE727E" w:rsidRDefault="00AE727E">
            <w:pPr>
              <w:rPr>
                <w:rFonts w:ascii="宋体"/>
              </w:rPr>
            </w:pPr>
          </w:p>
        </w:tc>
        <w:tc>
          <w:tcPr>
            <w:tcW w:w="5" w:type="pct"/>
            <w:shd w:val="clear" w:color="auto" w:fill="auto"/>
            <w:vAlign w:val="bottom"/>
          </w:tcPr>
          <w:p w14:paraId="07DD1748" w14:textId="77777777" w:rsidR="00AE727E" w:rsidRDefault="00AE727E">
            <w:pPr>
              <w:rPr>
                <w:rFonts w:ascii="宋体"/>
              </w:rPr>
            </w:pPr>
          </w:p>
        </w:tc>
        <w:tc>
          <w:tcPr>
            <w:tcW w:w="26" w:type="pct"/>
            <w:shd w:val="clear" w:color="auto" w:fill="auto"/>
            <w:vAlign w:val="bottom"/>
          </w:tcPr>
          <w:p w14:paraId="07DD1749" w14:textId="77777777" w:rsidR="00AE727E" w:rsidRDefault="00AE727E">
            <w:pPr>
              <w:rPr>
                <w:rFonts w:ascii="宋体"/>
              </w:rPr>
            </w:pPr>
          </w:p>
        </w:tc>
        <w:tc>
          <w:tcPr>
            <w:tcW w:w="5" w:type="pct"/>
            <w:shd w:val="clear" w:color="auto" w:fill="auto"/>
            <w:vAlign w:val="bottom"/>
          </w:tcPr>
          <w:p w14:paraId="07DD174A" w14:textId="77777777" w:rsidR="00AE727E" w:rsidRDefault="00AE727E">
            <w:pPr>
              <w:rPr>
                <w:rFonts w:ascii="宋体"/>
              </w:rPr>
            </w:pPr>
          </w:p>
        </w:tc>
        <w:tc>
          <w:tcPr>
            <w:tcW w:w="50" w:type="pct"/>
            <w:shd w:val="clear" w:color="auto" w:fill="auto"/>
            <w:vAlign w:val="bottom"/>
          </w:tcPr>
          <w:p w14:paraId="07DD174B" w14:textId="77777777" w:rsidR="00AE727E" w:rsidRDefault="00AE727E">
            <w:pPr>
              <w:rPr>
                <w:rFonts w:ascii="宋体"/>
              </w:rPr>
            </w:pPr>
          </w:p>
        </w:tc>
        <w:tc>
          <w:tcPr>
            <w:tcW w:w="792" w:type="pct"/>
            <w:shd w:val="clear" w:color="auto" w:fill="auto"/>
            <w:vAlign w:val="bottom"/>
          </w:tcPr>
          <w:p w14:paraId="07DD174C" w14:textId="77777777" w:rsidR="00AE727E" w:rsidRDefault="00AE727E">
            <w:pPr>
              <w:rPr>
                <w:rFonts w:ascii="宋体"/>
              </w:rPr>
            </w:pPr>
          </w:p>
        </w:tc>
        <w:tc>
          <w:tcPr>
            <w:tcW w:w="5" w:type="pct"/>
            <w:shd w:val="clear" w:color="auto" w:fill="auto"/>
            <w:vAlign w:val="bottom"/>
          </w:tcPr>
          <w:p w14:paraId="07DD174D" w14:textId="77777777" w:rsidR="00AE727E" w:rsidRDefault="00AE727E">
            <w:pPr>
              <w:rPr>
                <w:rFonts w:ascii="宋体"/>
              </w:rPr>
            </w:pPr>
          </w:p>
        </w:tc>
        <w:tc>
          <w:tcPr>
            <w:tcW w:w="5" w:type="pct"/>
            <w:shd w:val="clear" w:color="auto" w:fill="auto"/>
            <w:vAlign w:val="bottom"/>
          </w:tcPr>
          <w:p w14:paraId="07DD174E" w14:textId="77777777" w:rsidR="00AE727E" w:rsidRDefault="00AE727E">
            <w:pPr>
              <w:rPr>
                <w:rFonts w:ascii="宋体"/>
              </w:rPr>
            </w:pPr>
          </w:p>
        </w:tc>
        <w:tc>
          <w:tcPr>
            <w:tcW w:w="26" w:type="pct"/>
            <w:shd w:val="clear" w:color="auto" w:fill="auto"/>
            <w:vAlign w:val="bottom"/>
          </w:tcPr>
          <w:p w14:paraId="07DD174F" w14:textId="77777777" w:rsidR="00AE727E" w:rsidRDefault="00AE727E">
            <w:pPr>
              <w:rPr>
                <w:rFonts w:ascii="宋体"/>
              </w:rPr>
            </w:pPr>
          </w:p>
        </w:tc>
        <w:tc>
          <w:tcPr>
            <w:tcW w:w="5" w:type="pct"/>
            <w:shd w:val="clear" w:color="auto" w:fill="auto"/>
            <w:vAlign w:val="bottom"/>
          </w:tcPr>
          <w:p w14:paraId="07DD1750" w14:textId="77777777" w:rsidR="00AE727E" w:rsidRDefault="00AE727E">
            <w:pPr>
              <w:rPr>
                <w:rFonts w:ascii="宋体"/>
              </w:rPr>
            </w:pPr>
          </w:p>
        </w:tc>
        <w:tc>
          <w:tcPr>
            <w:tcW w:w="50" w:type="pct"/>
            <w:shd w:val="clear" w:color="auto" w:fill="auto"/>
            <w:vAlign w:val="bottom"/>
          </w:tcPr>
          <w:p w14:paraId="07DD1751" w14:textId="77777777" w:rsidR="00AE727E" w:rsidRDefault="00AE727E">
            <w:pPr>
              <w:rPr>
                <w:rFonts w:ascii="宋体"/>
              </w:rPr>
            </w:pPr>
          </w:p>
        </w:tc>
        <w:tc>
          <w:tcPr>
            <w:tcW w:w="822" w:type="pct"/>
            <w:shd w:val="clear" w:color="auto" w:fill="auto"/>
            <w:vAlign w:val="bottom"/>
          </w:tcPr>
          <w:p w14:paraId="07DD1752" w14:textId="77777777" w:rsidR="00AE727E" w:rsidRDefault="00AE727E">
            <w:pPr>
              <w:rPr>
                <w:rFonts w:ascii="宋体"/>
              </w:rPr>
            </w:pPr>
          </w:p>
        </w:tc>
        <w:tc>
          <w:tcPr>
            <w:tcW w:w="5" w:type="pct"/>
            <w:shd w:val="clear" w:color="auto" w:fill="auto"/>
            <w:vAlign w:val="bottom"/>
          </w:tcPr>
          <w:p w14:paraId="07DD1753" w14:textId="77777777" w:rsidR="00AE727E" w:rsidRDefault="00AE727E">
            <w:pPr>
              <w:rPr>
                <w:rFonts w:ascii="宋体"/>
              </w:rPr>
            </w:pPr>
          </w:p>
        </w:tc>
      </w:tr>
      <w:tr w:rsidR="00AE727E" w14:paraId="07DD175D" w14:textId="77777777">
        <w:tc>
          <w:tcPr>
            <w:tcW w:w="0" w:type="auto"/>
            <w:gridSpan w:val="3"/>
            <w:shd w:val="clear" w:color="auto" w:fill="auto"/>
            <w:tcMar>
              <w:top w:w="40" w:type="dxa"/>
              <w:left w:w="20" w:type="dxa"/>
              <w:bottom w:w="40" w:type="dxa"/>
              <w:right w:w="20" w:type="dxa"/>
            </w:tcMar>
            <w:vAlign w:val="bottom"/>
          </w:tcPr>
          <w:p w14:paraId="07DD1755" w14:textId="77777777" w:rsidR="00AE727E" w:rsidRDefault="008433E0">
            <w:pPr>
              <w:textAlignment w:val="bottom"/>
            </w:pPr>
            <w:r>
              <w:rPr>
                <w:rFonts w:ascii="Times New Roman" w:eastAsia="宋体" w:hAnsi="Times New Roman"/>
                <w:b/>
                <w:bCs/>
                <w:color w:val="000000"/>
                <w:sz w:val="20"/>
                <w:szCs w:val="20"/>
              </w:rPr>
              <w:t>Period</w:t>
            </w:r>
          </w:p>
        </w:tc>
        <w:tc>
          <w:tcPr>
            <w:tcW w:w="0" w:type="auto"/>
            <w:gridSpan w:val="3"/>
            <w:shd w:val="clear" w:color="auto" w:fill="auto"/>
            <w:tcMar>
              <w:top w:w="40" w:type="dxa"/>
              <w:left w:w="20" w:type="dxa"/>
              <w:bottom w:w="40" w:type="dxa"/>
              <w:right w:w="20" w:type="dxa"/>
            </w:tcMar>
            <w:vAlign w:val="bottom"/>
          </w:tcPr>
          <w:p w14:paraId="07DD1756" w14:textId="77777777" w:rsidR="00AE727E" w:rsidRDefault="008433E0">
            <w:pPr>
              <w:jc w:val="center"/>
              <w:textAlignment w:val="bottom"/>
            </w:pPr>
            <w:r>
              <w:rPr>
                <w:rFonts w:ascii="Times New Roman" w:eastAsia="宋体" w:hAnsi="Times New Roman"/>
                <w:b/>
                <w:bCs/>
                <w:color w:val="000000"/>
                <w:sz w:val="20"/>
                <w:szCs w:val="20"/>
              </w:rPr>
              <w:t>Total Number of Shares Purchased</w:t>
            </w:r>
          </w:p>
        </w:tc>
        <w:tc>
          <w:tcPr>
            <w:tcW w:w="0" w:type="auto"/>
            <w:gridSpan w:val="3"/>
            <w:shd w:val="clear" w:color="auto" w:fill="auto"/>
            <w:tcMar>
              <w:top w:w="0" w:type="dxa"/>
              <w:left w:w="20" w:type="dxa"/>
              <w:bottom w:w="0" w:type="dxa"/>
              <w:right w:w="20" w:type="dxa"/>
            </w:tcMar>
            <w:vAlign w:val="bottom"/>
          </w:tcPr>
          <w:p w14:paraId="07DD1757"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758" w14:textId="77777777" w:rsidR="00AE727E" w:rsidRDefault="008433E0">
            <w:pPr>
              <w:jc w:val="center"/>
              <w:textAlignment w:val="bottom"/>
            </w:pPr>
            <w:r>
              <w:rPr>
                <w:rFonts w:ascii="Times New Roman" w:eastAsia="宋体" w:hAnsi="Times New Roman"/>
                <w:b/>
                <w:bCs/>
                <w:color w:val="000000"/>
                <w:sz w:val="20"/>
                <w:szCs w:val="20"/>
              </w:rPr>
              <w:t>Weighted Average Price Paid per Share</w:t>
            </w:r>
          </w:p>
        </w:tc>
        <w:tc>
          <w:tcPr>
            <w:tcW w:w="0" w:type="auto"/>
            <w:gridSpan w:val="3"/>
            <w:shd w:val="clear" w:color="auto" w:fill="auto"/>
            <w:tcMar>
              <w:top w:w="0" w:type="dxa"/>
              <w:left w:w="20" w:type="dxa"/>
              <w:bottom w:w="0" w:type="dxa"/>
              <w:right w:w="20" w:type="dxa"/>
            </w:tcMar>
            <w:vAlign w:val="bottom"/>
          </w:tcPr>
          <w:p w14:paraId="07DD1759"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75A" w14:textId="77777777" w:rsidR="00AE727E" w:rsidRDefault="008433E0">
            <w:pPr>
              <w:jc w:val="center"/>
              <w:textAlignment w:val="bottom"/>
            </w:pPr>
            <w:r>
              <w:rPr>
                <w:rFonts w:ascii="Times New Roman" w:eastAsia="宋体" w:hAnsi="Times New Roman"/>
                <w:b/>
                <w:bCs/>
                <w:color w:val="000000"/>
                <w:sz w:val="20"/>
                <w:szCs w:val="20"/>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07DD175B"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75C" w14:textId="77777777" w:rsidR="00AE727E" w:rsidRDefault="008433E0">
            <w:pPr>
              <w:jc w:val="center"/>
              <w:textAlignment w:val="bottom"/>
            </w:pPr>
            <w:r>
              <w:rPr>
                <w:rFonts w:ascii="Times New Roman" w:eastAsia="宋体" w:hAnsi="Times New Roman"/>
                <w:b/>
                <w:bCs/>
                <w:color w:val="000000"/>
                <w:sz w:val="20"/>
                <w:szCs w:val="20"/>
              </w:rPr>
              <w:t>Approximate Dollar Value of Shares that May Yet Be Purchased Under the Prog</w:t>
            </w:r>
            <w:r>
              <w:rPr>
                <w:rFonts w:ascii="Times New Roman" w:eastAsia="宋体" w:hAnsi="Times New Roman"/>
                <w:b/>
                <w:bCs/>
                <w:color w:val="000000"/>
                <w:sz w:val="20"/>
                <w:szCs w:val="20"/>
              </w:rPr>
              <w:t>rams</w:t>
            </w:r>
          </w:p>
        </w:tc>
      </w:tr>
      <w:tr w:rsidR="00AE727E" w14:paraId="07DD176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DD175E" w14:textId="77777777" w:rsidR="00AE727E" w:rsidRDefault="008433E0">
            <w:pPr>
              <w:textAlignment w:val="bottom"/>
            </w:pPr>
            <w:r>
              <w:rPr>
                <w:rFonts w:ascii="Times New Roman" w:eastAsia="宋体" w:hAnsi="Times New Roman"/>
                <w:color w:val="000000"/>
                <w:sz w:val="20"/>
                <w:szCs w:val="20"/>
              </w:rPr>
              <w:t>Repurchases from July 31, 2021 through August 27, 2021</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75F"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60"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761"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62"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763"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64" w14:textId="77777777" w:rsidR="00AE727E" w:rsidRDefault="00AE727E">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DD1765" w14:textId="77777777" w:rsidR="00AE727E" w:rsidRDefault="00AE727E">
            <w:pPr>
              <w:rPr>
                <w:rFonts w:ascii="宋体"/>
              </w:rPr>
            </w:pPr>
          </w:p>
        </w:tc>
      </w:tr>
      <w:tr w:rsidR="00AE727E" w14:paraId="07DD1773" w14:textId="77777777">
        <w:tc>
          <w:tcPr>
            <w:tcW w:w="0" w:type="auto"/>
            <w:gridSpan w:val="3"/>
            <w:shd w:val="clear" w:color="auto" w:fill="FFFFFF"/>
            <w:tcMar>
              <w:top w:w="40" w:type="dxa"/>
              <w:left w:w="260" w:type="dxa"/>
              <w:bottom w:w="40" w:type="dxa"/>
              <w:right w:w="20" w:type="dxa"/>
            </w:tcMar>
            <w:vAlign w:val="center"/>
          </w:tcPr>
          <w:p w14:paraId="07DD1767" w14:textId="77777777" w:rsidR="00AE727E" w:rsidRDefault="008433E0">
            <w:pPr>
              <w:textAlignment w:val="center"/>
            </w:pPr>
            <w:r>
              <w:rPr>
                <w:rFonts w:ascii="Times New Roman" w:eastAsia="宋体" w:hAnsi="Times New Roman"/>
                <w:color w:val="000000"/>
                <w:sz w:val="20"/>
                <w:szCs w:val="20"/>
              </w:rPr>
              <w:t>Share repurchase program</w:t>
            </w:r>
          </w:p>
        </w:tc>
        <w:tc>
          <w:tcPr>
            <w:tcW w:w="0" w:type="auto"/>
            <w:gridSpan w:val="2"/>
            <w:shd w:val="clear" w:color="auto" w:fill="FFFFFF"/>
            <w:tcMar>
              <w:top w:w="40" w:type="dxa"/>
              <w:left w:w="20" w:type="dxa"/>
              <w:bottom w:w="40" w:type="dxa"/>
              <w:right w:w="0" w:type="dxa"/>
            </w:tcMar>
            <w:vAlign w:val="bottom"/>
          </w:tcPr>
          <w:p w14:paraId="07DD1768"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69"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6A"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76B"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76C"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6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6E"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76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70"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71"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D1772" w14:textId="77777777" w:rsidR="00AE727E" w:rsidRDefault="008433E0">
            <w:pPr>
              <w:jc w:val="right"/>
              <w:textAlignment w:val="bottom"/>
            </w:pPr>
            <w:r>
              <w:rPr>
                <w:rFonts w:ascii="Times New Roman" w:eastAsia="宋体" w:hAnsi="Times New Roman"/>
                <w:color w:val="000000"/>
                <w:sz w:val="20"/>
                <w:szCs w:val="20"/>
              </w:rPr>
              <w:t>NA</w:t>
            </w:r>
          </w:p>
        </w:tc>
      </w:tr>
      <w:tr w:rsidR="00AE727E" w14:paraId="07DD1780" w14:textId="77777777">
        <w:tc>
          <w:tcPr>
            <w:tcW w:w="0" w:type="auto"/>
            <w:gridSpan w:val="3"/>
            <w:shd w:val="clear" w:color="auto" w:fill="CCEEFF"/>
            <w:tcMar>
              <w:top w:w="40" w:type="dxa"/>
              <w:left w:w="260" w:type="dxa"/>
              <w:bottom w:w="40" w:type="dxa"/>
              <w:right w:w="20" w:type="dxa"/>
            </w:tcMar>
            <w:vAlign w:val="center"/>
          </w:tcPr>
          <w:p w14:paraId="07DD1774" w14:textId="77777777" w:rsidR="00AE727E" w:rsidRDefault="008433E0">
            <w:pPr>
              <w:textAlignment w:val="center"/>
            </w:pPr>
            <w:r>
              <w:rPr>
                <w:rFonts w:ascii="Times New Roman" w:eastAsia="宋体" w:hAnsi="Times New Roman"/>
                <w:color w:val="000000"/>
                <w:sz w:val="20"/>
                <w:szCs w:val="20"/>
              </w:rPr>
              <w:t>Employee transactions</w:t>
            </w:r>
          </w:p>
        </w:tc>
        <w:tc>
          <w:tcPr>
            <w:tcW w:w="0" w:type="auto"/>
            <w:gridSpan w:val="2"/>
            <w:shd w:val="clear" w:color="auto" w:fill="CCEEFF"/>
            <w:tcMar>
              <w:top w:w="40" w:type="dxa"/>
              <w:left w:w="20" w:type="dxa"/>
              <w:bottom w:w="40" w:type="dxa"/>
              <w:right w:w="0" w:type="dxa"/>
            </w:tcMar>
            <w:vAlign w:val="bottom"/>
          </w:tcPr>
          <w:p w14:paraId="07DD1775"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76"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77"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778"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779"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7A"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7B"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77C"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7D"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7E"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177F" w14:textId="77777777" w:rsidR="00AE727E" w:rsidRDefault="008433E0">
            <w:pPr>
              <w:jc w:val="right"/>
              <w:textAlignment w:val="bottom"/>
            </w:pPr>
            <w:r>
              <w:rPr>
                <w:rFonts w:ascii="Times New Roman" w:eastAsia="宋体" w:hAnsi="Times New Roman"/>
                <w:color w:val="000000"/>
                <w:sz w:val="20"/>
                <w:szCs w:val="20"/>
              </w:rPr>
              <w:t>NA</w:t>
            </w:r>
          </w:p>
        </w:tc>
      </w:tr>
      <w:tr w:rsidR="00AE727E" w14:paraId="07DD1789" w14:textId="77777777">
        <w:tc>
          <w:tcPr>
            <w:tcW w:w="0" w:type="auto"/>
            <w:gridSpan w:val="3"/>
            <w:shd w:val="clear" w:color="auto" w:fill="FFFFFF"/>
            <w:tcMar>
              <w:top w:w="40" w:type="dxa"/>
              <w:left w:w="20" w:type="dxa"/>
              <w:bottom w:w="40" w:type="dxa"/>
              <w:right w:w="20" w:type="dxa"/>
            </w:tcMar>
            <w:vAlign w:val="bottom"/>
          </w:tcPr>
          <w:p w14:paraId="07DD1781" w14:textId="77777777" w:rsidR="00AE727E" w:rsidRDefault="008433E0">
            <w:pPr>
              <w:textAlignment w:val="bottom"/>
            </w:pPr>
            <w:r>
              <w:rPr>
                <w:rFonts w:ascii="Times New Roman" w:eastAsia="宋体" w:hAnsi="Times New Roman"/>
                <w:color w:val="000000"/>
                <w:sz w:val="20"/>
                <w:szCs w:val="20"/>
              </w:rPr>
              <w:t>Repurchases from August 28, 2021 through September 24, 2021</w:t>
            </w:r>
          </w:p>
        </w:tc>
        <w:tc>
          <w:tcPr>
            <w:tcW w:w="0" w:type="auto"/>
            <w:gridSpan w:val="3"/>
            <w:shd w:val="clear" w:color="auto" w:fill="FFFFFF"/>
            <w:tcMar>
              <w:top w:w="0" w:type="dxa"/>
              <w:left w:w="20" w:type="dxa"/>
              <w:bottom w:w="0" w:type="dxa"/>
              <w:right w:w="20" w:type="dxa"/>
            </w:tcMar>
            <w:vAlign w:val="bottom"/>
          </w:tcPr>
          <w:p w14:paraId="07DD1782"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3"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4"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5"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6"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7" w14:textId="77777777" w:rsidR="00AE727E" w:rsidRDefault="00AE727E">
            <w:pPr>
              <w:rPr>
                <w:rFonts w:ascii="宋体"/>
              </w:rPr>
            </w:pPr>
          </w:p>
        </w:tc>
        <w:tc>
          <w:tcPr>
            <w:tcW w:w="0" w:type="auto"/>
            <w:gridSpan w:val="3"/>
            <w:shd w:val="clear" w:color="auto" w:fill="FFFFFF"/>
            <w:tcMar>
              <w:top w:w="0" w:type="dxa"/>
              <w:left w:w="20" w:type="dxa"/>
              <w:bottom w:w="0" w:type="dxa"/>
              <w:right w:w="20" w:type="dxa"/>
            </w:tcMar>
            <w:vAlign w:val="bottom"/>
          </w:tcPr>
          <w:p w14:paraId="07DD1788" w14:textId="77777777" w:rsidR="00AE727E" w:rsidRDefault="00AE727E">
            <w:pPr>
              <w:rPr>
                <w:rFonts w:ascii="宋体"/>
              </w:rPr>
            </w:pPr>
          </w:p>
        </w:tc>
      </w:tr>
      <w:tr w:rsidR="00AE727E" w14:paraId="07DD1798" w14:textId="77777777">
        <w:tc>
          <w:tcPr>
            <w:tcW w:w="0" w:type="auto"/>
            <w:gridSpan w:val="3"/>
            <w:shd w:val="clear" w:color="auto" w:fill="CCEEFF"/>
            <w:tcMar>
              <w:top w:w="40" w:type="dxa"/>
              <w:left w:w="20" w:type="dxa"/>
              <w:bottom w:w="40" w:type="dxa"/>
              <w:right w:w="20" w:type="dxa"/>
            </w:tcMar>
            <w:vAlign w:val="center"/>
          </w:tcPr>
          <w:p w14:paraId="07DD178A" w14:textId="77777777" w:rsidR="00AE727E" w:rsidRDefault="008433E0">
            <w:pPr>
              <w:textAlignment w:val="center"/>
            </w:pPr>
            <w:r>
              <w:rPr>
                <w:rFonts w:ascii="Times New Roman" w:eastAsia="宋体" w:hAnsi="Times New Roman"/>
                <w:color w:val="000000"/>
                <w:sz w:val="20"/>
                <w:szCs w:val="20"/>
              </w:rPr>
              <w:t>Share repurchase program</w:t>
            </w:r>
            <w:r>
              <w:rPr>
                <w:rFonts w:ascii="Times New Roman" w:eastAsia="宋体" w:hAnsi="Times New Roman"/>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7DD178B"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8C"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8D"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78E"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78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9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91"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792"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93"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94"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795"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796" w14:textId="77777777" w:rsidR="00AE727E" w:rsidRDefault="008433E0">
            <w:pPr>
              <w:jc w:val="right"/>
              <w:textAlignment w:val="bottom"/>
            </w:pPr>
            <w:r>
              <w:rPr>
                <w:rFonts w:ascii="Times New Roman" w:eastAsia="宋体" w:hAnsi="Times New Roman"/>
                <w:color w:val="000000"/>
                <w:sz w:val="20"/>
                <w:szCs w:val="20"/>
              </w:rPr>
              <w:t>5,000,000,000 </w:t>
            </w:r>
          </w:p>
        </w:tc>
        <w:tc>
          <w:tcPr>
            <w:tcW w:w="0" w:type="auto"/>
            <w:shd w:val="clear" w:color="auto" w:fill="CCEEFF"/>
            <w:tcMar>
              <w:top w:w="40" w:type="dxa"/>
              <w:left w:w="0" w:type="dxa"/>
              <w:bottom w:w="40" w:type="dxa"/>
              <w:right w:w="20" w:type="dxa"/>
            </w:tcMar>
            <w:vAlign w:val="bottom"/>
          </w:tcPr>
          <w:p w14:paraId="07DD1797" w14:textId="77777777" w:rsidR="00AE727E" w:rsidRDefault="00AE727E">
            <w:pPr>
              <w:jc w:val="right"/>
              <w:rPr>
                <w:rFonts w:ascii="宋体"/>
              </w:rPr>
            </w:pPr>
          </w:p>
        </w:tc>
      </w:tr>
      <w:tr w:rsidR="00AE727E" w14:paraId="07DD17A5" w14:textId="77777777">
        <w:tc>
          <w:tcPr>
            <w:tcW w:w="0" w:type="auto"/>
            <w:gridSpan w:val="3"/>
            <w:shd w:val="clear" w:color="auto" w:fill="FFFFFF"/>
            <w:tcMar>
              <w:top w:w="40" w:type="dxa"/>
              <w:left w:w="20" w:type="dxa"/>
              <w:bottom w:w="40" w:type="dxa"/>
              <w:right w:w="20" w:type="dxa"/>
            </w:tcMar>
            <w:vAlign w:val="center"/>
          </w:tcPr>
          <w:p w14:paraId="07DD1799" w14:textId="77777777" w:rsidR="00AE727E" w:rsidRDefault="008433E0">
            <w:pPr>
              <w:textAlignment w:val="center"/>
            </w:pPr>
            <w:r>
              <w:rPr>
                <w:rFonts w:ascii="Times New Roman" w:eastAsia="宋体" w:hAnsi="Times New Roman"/>
                <w:color w:val="000000"/>
                <w:sz w:val="20"/>
                <w:szCs w:val="20"/>
              </w:rPr>
              <w:t xml:space="preserve">Employee transactions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7DD179A" w14:textId="77777777" w:rsidR="00AE727E" w:rsidRDefault="008433E0">
            <w:pPr>
              <w:jc w:val="right"/>
              <w:textAlignment w:val="bottom"/>
            </w:pPr>
            <w:r>
              <w:rPr>
                <w:rFonts w:ascii="Times New Roman" w:eastAsia="宋体" w:hAnsi="Times New Roman"/>
                <w:color w:val="000000"/>
                <w:sz w:val="20"/>
                <w:szCs w:val="20"/>
              </w:rPr>
              <w:t>178,530 </w:t>
            </w:r>
          </w:p>
        </w:tc>
        <w:tc>
          <w:tcPr>
            <w:tcW w:w="0" w:type="auto"/>
            <w:shd w:val="clear" w:color="auto" w:fill="FFFFFF"/>
            <w:tcMar>
              <w:top w:w="40" w:type="dxa"/>
              <w:left w:w="0" w:type="dxa"/>
              <w:bottom w:w="40" w:type="dxa"/>
              <w:right w:w="20" w:type="dxa"/>
            </w:tcMar>
            <w:vAlign w:val="bottom"/>
          </w:tcPr>
          <w:p w14:paraId="07DD179B"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9C"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79D"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79E" w14:textId="77777777" w:rsidR="00AE727E" w:rsidRDefault="008433E0">
            <w:pPr>
              <w:jc w:val="right"/>
              <w:textAlignment w:val="bottom"/>
            </w:pPr>
            <w:r>
              <w:rPr>
                <w:rFonts w:ascii="Times New Roman" w:eastAsia="宋体" w:hAnsi="Times New Roman"/>
                <w:color w:val="000000"/>
                <w:sz w:val="20"/>
                <w:szCs w:val="20"/>
              </w:rPr>
              <w:t>97.14 </w:t>
            </w:r>
          </w:p>
        </w:tc>
        <w:tc>
          <w:tcPr>
            <w:tcW w:w="0" w:type="auto"/>
            <w:shd w:val="clear" w:color="auto" w:fill="FFFFFF"/>
            <w:tcMar>
              <w:top w:w="40" w:type="dxa"/>
              <w:left w:w="0" w:type="dxa"/>
              <w:bottom w:w="40" w:type="dxa"/>
              <w:right w:w="20" w:type="dxa"/>
            </w:tcMar>
            <w:vAlign w:val="bottom"/>
          </w:tcPr>
          <w:p w14:paraId="07DD179F"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A0"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7A1"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A2"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A3" w14:textId="77777777" w:rsidR="00AE727E" w:rsidRDefault="00AE727E">
            <w:pPr>
              <w:rPr>
                <w:rFonts w:ascii="宋体"/>
              </w:rPr>
            </w:pPr>
          </w:p>
        </w:tc>
        <w:tc>
          <w:tcPr>
            <w:tcW w:w="0" w:type="auto"/>
            <w:gridSpan w:val="3"/>
            <w:shd w:val="clear" w:color="auto" w:fill="FFFFFF"/>
            <w:tcMar>
              <w:top w:w="40" w:type="dxa"/>
              <w:left w:w="20" w:type="dxa"/>
              <w:bottom w:w="40" w:type="dxa"/>
              <w:right w:w="20" w:type="dxa"/>
            </w:tcMar>
            <w:vAlign w:val="bottom"/>
          </w:tcPr>
          <w:p w14:paraId="07DD17A4" w14:textId="77777777" w:rsidR="00AE727E" w:rsidRDefault="008433E0">
            <w:pPr>
              <w:jc w:val="right"/>
              <w:textAlignment w:val="bottom"/>
            </w:pPr>
            <w:r>
              <w:rPr>
                <w:rFonts w:ascii="Times New Roman" w:eastAsia="宋体" w:hAnsi="Times New Roman"/>
                <w:color w:val="000000"/>
                <w:sz w:val="20"/>
                <w:szCs w:val="20"/>
              </w:rPr>
              <w:t>NA</w:t>
            </w:r>
          </w:p>
        </w:tc>
      </w:tr>
      <w:tr w:rsidR="00AE727E" w14:paraId="07DD17AE" w14:textId="77777777">
        <w:tc>
          <w:tcPr>
            <w:tcW w:w="0" w:type="auto"/>
            <w:gridSpan w:val="3"/>
            <w:shd w:val="clear" w:color="auto" w:fill="CCEEFF"/>
            <w:tcMar>
              <w:top w:w="40" w:type="dxa"/>
              <w:left w:w="20" w:type="dxa"/>
              <w:bottom w:w="40" w:type="dxa"/>
              <w:right w:w="20" w:type="dxa"/>
            </w:tcMar>
            <w:vAlign w:val="bottom"/>
          </w:tcPr>
          <w:p w14:paraId="07DD17A6" w14:textId="77777777" w:rsidR="00AE727E" w:rsidRDefault="008433E0">
            <w:pPr>
              <w:textAlignment w:val="bottom"/>
            </w:pPr>
            <w:r>
              <w:rPr>
                <w:rFonts w:ascii="Times New Roman" w:eastAsia="宋体" w:hAnsi="Times New Roman"/>
                <w:color w:val="000000"/>
                <w:sz w:val="20"/>
                <w:szCs w:val="20"/>
              </w:rPr>
              <w:t>Repurchases from September 25, 2021 through October 29, 2021</w:t>
            </w:r>
          </w:p>
        </w:tc>
        <w:tc>
          <w:tcPr>
            <w:tcW w:w="0" w:type="auto"/>
            <w:gridSpan w:val="3"/>
            <w:shd w:val="clear" w:color="auto" w:fill="CCEEFF"/>
            <w:tcMar>
              <w:top w:w="0" w:type="dxa"/>
              <w:left w:w="20" w:type="dxa"/>
              <w:bottom w:w="0" w:type="dxa"/>
              <w:right w:w="20" w:type="dxa"/>
            </w:tcMar>
            <w:vAlign w:val="bottom"/>
          </w:tcPr>
          <w:p w14:paraId="07DD17A7"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8"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9"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A"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B"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C" w14:textId="77777777" w:rsidR="00AE727E" w:rsidRDefault="00AE727E">
            <w:pPr>
              <w:rPr>
                <w:rFonts w:ascii="宋体"/>
              </w:rPr>
            </w:pPr>
          </w:p>
        </w:tc>
        <w:tc>
          <w:tcPr>
            <w:tcW w:w="0" w:type="auto"/>
            <w:gridSpan w:val="3"/>
            <w:shd w:val="clear" w:color="auto" w:fill="CCEEFF"/>
            <w:tcMar>
              <w:top w:w="0" w:type="dxa"/>
              <w:left w:w="20" w:type="dxa"/>
              <w:bottom w:w="0" w:type="dxa"/>
              <w:right w:w="20" w:type="dxa"/>
            </w:tcMar>
            <w:vAlign w:val="bottom"/>
          </w:tcPr>
          <w:p w14:paraId="07DD17AD" w14:textId="77777777" w:rsidR="00AE727E" w:rsidRDefault="00AE727E">
            <w:pPr>
              <w:rPr>
                <w:rFonts w:ascii="宋体"/>
              </w:rPr>
            </w:pPr>
          </w:p>
        </w:tc>
      </w:tr>
      <w:tr w:rsidR="00AE727E" w14:paraId="07DD17BD" w14:textId="77777777">
        <w:tc>
          <w:tcPr>
            <w:tcW w:w="0" w:type="auto"/>
            <w:gridSpan w:val="3"/>
            <w:shd w:val="clear" w:color="auto" w:fill="FFFFFF"/>
            <w:tcMar>
              <w:top w:w="40" w:type="dxa"/>
              <w:left w:w="260" w:type="dxa"/>
              <w:bottom w:w="40" w:type="dxa"/>
              <w:right w:w="20" w:type="dxa"/>
            </w:tcMar>
            <w:vAlign w:val="bottom"/>
          </w:tcPr>
          <w:p w14:paraId="07DD17AF" w14:textId="77777777" w:rsidR="00AE727E" w:rsidRDefault="008433E0">
            <w:pPr>
              <w:textAlignment w:val="bottom"/>
            </w:pPr>
            <w:r>
              <w:rPr>
                <w:rFonts w:ascii="Times New Roman" w:eastAsia="宋体" w:hAnsi="Times New Roman"/>
                <w:color w:val="000000"/>
                <w:sz w:val="20"/>
                <w:szCs w:val="20"/>
              </w:rPr>
              <w:t>Share repurchase program</w:t>
            </w:r>
          </w:p>
        </w:tc>
        <w:tc>
          <w:tcPr>
            <w:tcW w:w="0" w:type="auto"/>
            <w:gridSpan w:val="2"/>
            <w:shd w:val="clear" w:color="auto" w:fill="FFFFFF"/>
            <w:tcMar>
              <w:top w:w="40" w:type="dxa"/>
              <w:left w:w="20" w:type="dxa"/>
              <w:bottom w:w="40" w:type="dxa"/>
              <w:right w:w="0" w:type="dxa"/>
            </w:tcMar>
            <w:vAlign w:val="bottom"/>
          </w:tcPr>
          <w:p w14:paraId="07DD17B0"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B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B2"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7B3"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7B4"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B5"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B6" w14:textId="77777777" w:rsidR="00AE727E" w:rsidRDefault="00AE727E">
            <w:pPr>
              <w:rPr>
                <w:rFonts w:ascii="宋体"/>
              </w:rPr>
            </w:pPr>
          </w:p>
        </w:tc>
        <w:tc>
          <w:tcPr>
            <w:tcW w:w="0" w:type="auto"/>
            <w:gridSpan w:val="2"/>
            <w:shd w:val="clear" w:color="auto" w:fill="FFFFFF"/>
            <w:tcMar>
              <w:top w:w="40" w:type="dxa"/>
              <w:left w:w="20" w:type="dxa"/>
              <w:bottom w:w="40" w:type="dxa"/>
              <w:right w:w="0" w:type="dxa"/>
            </w:tcMar>
            <w:vAlign w:val="bottom"/>
          </w:tcPr>
          <w:p w14:paraId="07DD17B7"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D17B8"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B9" w14:textId="77777777" w:rsidR="00AE727E" w:rsidRDefault="00AE727E">
            <w:pPr>
              <w:rPr>
                <w:rFonts w:ascii="宋体"/>
              </w:rPr>
            </w:pPr>
          </w:p>
        </w:tc>
        <w:tc>
          <w:tcPr>
            <w:tcW w:w="0" w:type="auto"/>
            <w:shd w:val="clear" w:color="auto" w:fill="FFFFFF"/>
            <w:tcMar>
              <w:top w:w="40" w:type="dxa"/>
              <w:left w:w="20" w:type="dxa"/>
              <w:bottom w:w="40" w:type="dxa"/>
              <w:right w:w="0" w:type="dxa"/>
            </w:tcMar>
            <w:vAlign w:val="bottom"/>
          </w:tcPr>
          <w:p w14:paraId="07DD17BA"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D17BB" w14:textId="77777777" w:rsidR="00AE727E" w:rsidRDefault="008433E0">
            <w:pPr>
              <w:jc w:val="right"/>
              <w:textAlignment w:val="bottom"/>
            </w:pPr>
            <w:r>
              <w:rPr>
                <w:rFonts w:ascii="Times New Roman" w:eastAsia="宋体" w:hAnsi="Times New Roman"/>
                <w:color w:val="000000"/>
                <w:sz w:val="20"/>
                <w:szCs w:val="20"/>
              </w:rPr>
              <w:t>5,000,000,000 </w:t>
            </w:r>
          </w:p>
        </w:tc>
        <w:tc>
          <w:tcPr>
            <w:tcW w:w="0" w:type="auto"/>
            <w:shd w:val="clear" w:color="auto" w:fill="FFFFFF"/>
            <w:tcMar>
              <w:top w:w="40" w:type="dxa"/>
              <w:left w:w="0" w:type="dxa"/>
              <w:bottom w:w="40" w:type="dxa"/>
              <w:right w:w="20" w:type="dxa"/>
            </w:tcMar>
            <w:vAlign w:val="bottom"/>
          </w:tcPr>
          <w:p w14:paraId="07DD17BC" w14:textId="77777777" w:rsidR="00AE727E" w:rsidRDefault="00AE727E">
            <w:pPr>
              <w:jc w:val="right"/>
              <w:rPr>
                <w:rFonts w:ascii="宋体"/>
              </w:rPr>
            </w:pPr>
          </w:p>
        </w:tc>
      </w:tr>
      <w:tr w:rsidR="00AE727E" w14:paraId="07DD17CA" w14:textId="77777777">
        <w:tc>
          <w:tcPr>
            <w:tcW w:w="0" w:type="auto"/>
            <w:gridSpan w:val="3"/>
            <w:shd w:val="clear" w:color="auto" w:fill="CCEEFF"/>
            <w:tcMar>
              <w:top w:w="40" w:type="dxa"/>
              <w:left w:w="260" w:type="dxa"/>
              <w:bottom w:w="40" w:type="dxa"/>
              <w:right w:w="20" w:type="dxa"/>
            </w:tcMar>
            <w:vAlign w:val="bottom"/>
          </w:tcPr>
          <w:p w14:paraId="07DD17BE" w14:textId="77777777" w:rsidR="00AE727E" w:rsidRDefault="008433E0">
            <w:pPr>
              <w:textAlignment w:val="bottom"/>
            </w:pPr>
            <w:r>
              <w:rPr>
                <w:rFonts w:ascii="Times New Roman" w:eastAsia="宋体" w:hAnsi="Times New Roman"/>
                <w:color w:val="000000"/>
                <w:sz w:val="20"/>
                <w:szCs w:val="20"/>
              </w:rPr>
              <w:t>Employee transactions</w:t>
            </w:r>
          </w:p>
        </w:tc>
        <w:tc>
          <w:tcPr>
            <w:tcW w:w="0" w:type="auto"/>
            <w:gridSpan w:val="2"/>
            <w:shd w:val="clear" w:color="auto" w:fill="CCEEFF"/>
            <w:tcMar>
              <w:top w:w="40" w:type="dxa"/>
              <w:left w:w="20" w:type="dxa"/>
              <w:bottom w:w="40" w:type="dxa"/>
              <w:right w:w="0" w:type="dxa"/>
            </w:tcMar>
            <w:vAlign w:val="bottom"/>
          </w:tcPr>
          <w:p w14:paraId="07DD17BF"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C0"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C1" w14:textId="77777777" w:rsidR="00AE727E" w:rsidRDefault="00AE727E">
            <w:pPr>
              <w:rPr>
                <w:rFonts w:ascii="宋体"/>
              </w:rPr>
            </w:pPr>
          </w:p>
        </w:tc>
        <w:tc>
          <w:tcPr>
            <w:tcW w:w="0" w:type="auto"/>
            <w:shd w:val="clear" w:color="auto" w:fill="CCEEFF"/>
            <w:tcMar>
              <w:top w:w="40" w:type="dxa"/>
              <w:left w:w="20" w:type="dxa"/>
              <w:bottom w:w="40" w:type="dxa"/>
              <w:right w:w="0" w:type="dxa"/>
            </w:tcMar>
            <w:vAlign w:val="bottom"/>
          </w:tcPr>
          <w:p w14:paraId="07DD17C2" w14:textId="77777777" w:rsidR="00AE727E" w:rsidRDefault="008433E0">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DD17C3"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C4"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C5" w14:textId="77777777" w:rsidR="00AE727E" w:rsidRDefault="00AE727E">
            <w:pPr>
              <w:rPr>
                <w:rFonts w:ascii="宋体"/>
              </w:rPr>
            </w:pPr>
          </w:p>
        </w:tc>
        <w:tc>
          <w:tcPr>
            <w:tcW w:w="0" w:type="auto"/>
            <w:gridSpan w:val="2"/>
            <w:shd w:val="clear" w:color="auto" w:fill="CCEEFF"/>
            <w:tcMar>
              <w:top w:w="40" w:type="dxa"/>
              <w:left w:w="20" w:type="dxa"/>
              <w:bottom w:w="40" w:type="dxa"/>
              <w:right w:w="0" w:type="dxa"/>
            </w:tcMar>
            <w:vAlign w:val="bottom"/>
          </w:tcPr>
          <w:p w14:paraId="07DD17C6" w14:textId="77777777" w:rsidR="00AE727E" w:rsidRDefault="008433E0">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DD17C7" w14:textId="77777777" w:rsidR="00AE727E" w:rsidRDefault="00AE727E">
            <w:pPr>
              <w:jc w:val="right"/>
              <w:rPr>
                <w:rFonts w:ascii="宋体"/>
              </w:rPr>
            </w:pPr>
          </w:p>
        </w:tc>
        <w:tc>
          <w:tcPr>
            <w:tcW w:w="0" w:type="auto"/>
            <w:gridSpan w:val="3"/>
            <w:shd w:val="clear" w:color="auto" w:fill="CCEEFF"/>
            <w:tcMar>
              <w:top w:w="0" w:type="dxa"/>
              <w:left w:w="20" w:type="dxa"/>
              <w:bottom w:w="0" w:type="dxa"/>
              <w:right w:w="20" w:type="dxa"/>
            </w:tcMar>
            <w:vAlign w:val="bottom"/>
          </w:tcPr>
          <w:p w14:paraId="07DD17C8" w14:textId="77777777" w:rsidR="00AE727E" w:rsidRDefault="00AE727E">
            <w:pPr>
              <w:rPr>
                <w:rFonts w:ascii="宋体"/>
              </w:rPr>
            </w:pPr>
          </w:p>
        </w:tc>
        <w:tc>
          <w:tcPr>
            <w:tcW w:w="0" w:type="auto"/>
            <w:gridSpan w:val="3"/>
            <w:shd w:val="clear" w:color="auto" w:fill="CCEEFF"/>
            <w:tcMar>
              <w:top w:w="40" w:type="dxa"/>
              <w:left w:w="20" w:type="dxa"/>
              <w:bottom w:w="40" w:type="dxa"/>
              <w:right w:w="20" w:type="dxa"/>
            </w:tcMar>
            <w:vAlign w:val="bottom"/>
          </w:tcPr>
          <w:p w14:paraId="07DD17C9" w14:textId="77777777" w:rsidR="00AE727E" w:rsidRDefault="008433E0">
            <w:pPr>
              <w:jc w:val="right"/>
              <w:textAlignment w:val="bottom"/>
            </w:pPr>
            <w:r>
              <w:rPr>
                <w:rFonts w:ascii="Times New Roman" w:eastAsia="宋体" w:hAnsi="Times New Roman"/>
                <w:color w:val="000000"/>
                <w:sz w:val="20"/>
                <w:szCs w:val="20"/>
              </w:rPr>
              <w:t>NA</w:t>
            </w:r>
          </w:p>
        </w:tc>
      </w:tr>
      <w:tr w:rsidR="00AE727E" w14:paraId="07DD17D9" w14:textId="77777777">
        <w:tc>
          <w:tcPr>
            <w:tcW w:w="0" w:type="auto"/>
            <w:gridSpan w:val="3"/>
            <w:shd w:val="clear" w:color="auto" w:fill="FFFFFF"/>
            <w:tcMar>
              <w:top w:w="40" w:type="dxa"/>
              <w:left w:w="20" w:type="dxa"/>
              <w:bottom w:w="40" w:type="dxa"/>
              <w:right w:w="20" w:type="dxa"/>
            </w:tcMar>
            <w:vAlign w:val="bottom"/>
          </w:tcPr>
          <w:p w14:paraId="07DD17CB" w14:textId="77777777" w:rsidR="00AE727E" w:rsidRDefault="008433E0">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7CC" w14:textId="77777777" w:rsidR="00AE727E" w:rsidRDefault="008433E0">
            <w:pPr>
              <w:jc w:val="right"/>
              <w:textAlignment w:val="bottom"/>
            </w:pPr>
            <w:r>
              <w:rPr>
                <w:rFonts w:ascii="Times New Roman" w:eastAsia="宋体" w:hAnsi="Times New Roman"/>
                <w:color w:val="000000"/>
                <w:sz w:val="20"/>
                <w:szCs w:val="20"/>
              </w:rPr>
              <w:t>178,530 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7CD"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CE"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7CF"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7D0" w14:textId="77777777" w:rsidR="00AE727E" w:rsidRDefault="008433E0">
            <w:pPr>
              <w:jc w:val="right"/>
              <w:textAlignment w:val="bottom"/>
            </w:pPr>
            <w:r>
              <w:rPr>
                <w:rFonts w:ascii="Times New Roman" w:eastAsia="宋体" w:hAnsi="Times New Roman"/>
                <w:color w:val="000000"/>
                <w:sz w:val="20"/>
                <w:szCs w:val="20"/>
              </w:rPr>
              <w:t>97.14 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7D1"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D2" w14:textId="77777777" w:rsidR="00AE727E" w:rsidRDefault="00AE727E">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7D3" w14:textId="77777777" w:rsidR="00AE727E" w:rsidRDefault="008433E0">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7D4" w14:textId="77777777" w:rsidR="00AE727E" w:rsidRDefault="00AE727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D17D5" w14:textId="77777777" w:rsidR="00AE727E" w:rsidRDefault="00AE727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D17D6" w14:textId="77777777" w:rsidR="00AE727E" w:rsidRDefault="008433E0">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D17D7" w14:textId="77777777" w:rsidR="00AE727E" w:rsidRDefault="008433E0">
            <w:pPr>
              <w:jc w:val="right"/>
              <w:textAlignment w:val="bottom"/>
            </w:pPr>
            <w:r>
              <w:rPr>
                <w:rFonts w:ascii="Times New Roman" w:eastAsia="宋体" w:hAnsi="Times New Roman"/>
                <w:color w:val="000000"/>
                <w:sz w:val="20"/>
                <w:szCs w:val="20"/>
              </w:rPr>
              <w:t>5,000,000,000 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D17D8" w14:textId="77777777" w:rsidR="00AE727E" w:rsidRDefault="00AE727E">
            <w:pPr>
              <w:jc w:val="right"/>
              <w:rPr>
                <w:rFonts w:ascii="宋体"/>
              </w:rPr>
            </w:pPr>
          </w:p>
        </w:tc>
      </w:tr>
    </w:tbl>
    <w:p w14:paraId="07DD17DA" w14:textId="77777777" w:rsidR="00AE727E" w:rsidRDefault="008433E0">
      <w:r>
        <w:rPr>
          <w:rFonts w:ascii="Times New Roman" w:eastAsia="宋体" w:hAnsi="Times New Roman"/>
          <w:color w:val="000000"/>
          <w:sz w:val="20"/>
          <w:szCs w:val="20"/>
        </w:rPr>
        <w:t>____________________</w:t>
      </w:r>
    </w:p>
    <w:p w14:paraId="07DD17DB" w14:textId="77777777" w:rsidR="00AE727E" w:rsidRDefault="008433E0">
      <w:pPr>
        <w:ind w:hanging="360"/>
      </w:pPr>
      <w:r>
        <w:rPr>
          <w:rFonts w:ascii="Times New Roman" w:eastAsia="宋体" w:hAnsi="Times New Roman"/>
          <w:color w:val="000000"/>
          <w:sz w:val="20"/>
          <w:szCs w:val="20"/>
        </w:rPr>
        <w:t xml:space="preserve">(1) On February 24, 2020, the Company’s board of </w:t>
      </w:r>
      <w:r>
        <w:rPr>
          <w:rFonts w:ascii="Times New Roman" w:eastAsia="宋体" w:hAnsi="Times New Roman"/>
          <w:color w:val="000000"/>
          <w:sz w:val="20"/>
          <w:szCs w:val="20"/>
        </w:rPr>
        <w:t>directors approved a stock repurchase program under which the Company is authorized to repurchase up to $1 billion of shares of the Class C Common Stock over a 24-month period expiring on February 28, 2022. During the nine months ended October 30, 2020, th</w:t>
      </w:r>
      <w:r>
        <w:rPr>
          <w:rFonts w:ascii="Times New Roman" w:eastAsia="宋体" w:hAnsi="Times New Roman"/>
          <w:color w:val="000000"/>
          <w:sz w:val="20"/>
          <w:szCs w:val="20"/>
        </w:rPr>
        <w:t>e Company suspended activity under the program. Effective as of September 23, 2021, the Company’s board of directors approved a stock repurchase program under which the Company is authorized to use assets to repurchase up to $5 billion of shares of the Com</w:t>
      </w:r>
      <w:r>
        <w:rPr>
          <w:rFonts w:ascii="Times New Roman" w:eastAsia="宋体" w:hAnsi="Times New Roman"/>
          <w:color w:val="000000"/>
          <w:sz w:val="20"/>
          <w:szCs w:val="20"/>
        </w:rPr>
        <w:t>pany’s Class C Common Stock with no established expiration date and terminated the Company’s previous stock repurchase program. The repurchase of shares is expected to commence in the fourth quarter of the Company’s fiscal year ending January 28, 2022.</w:t>
      </w:r>
    </w:p>
    <w:p w14:paraId="07DD17DC" w14:textId="77777777" w:rsidR="00AE727E" w:rsidRDefault="008433E0">
      <w:pPr>
        <w:ind w:hanging="360"/>
      </w:pPr>
      <w:r>
        <w:rPr>
          <w:rFonts w:ascii="Times New Roman" w:eastAsia="宋体" w:hAnsi="Times New Roman"/>
          <w:color w:val="000000"/>
          <w:sz w:val="20"/>
          <w:szCs w:val="20"/>
        </w:rPr>
        <w:t>(2)</w:t>
      </w:r>
      <w:r>
        <w:rPr>
          <w:rFonts w:ascii="Times New Roman" w:eastAsia="宋体" w:hAnsi="Times New Roman"/>
          <w:color w:val="000000"/>
          <w:sz w:val="20"/>
          <w:szCs w:val="20"/>
        </w:rPr>
        <w:t xml:space="preserve"> Represents previously issued shares delivered to the Company to satisfy tax withholding obligations in connection with the vesting of employee restricted stock awards.</w:t>
      </w:r>
    </w:p>
    <w:p w14:paraId="07DD17DD" w14:textId="77777777" w:rsidR="00AE727E" w:rsidRDefault="00AE727E"/>
    <w:p w14:paraId="07DD17DE" w14:textId="77777777" w:rsidR="00AE727E" w:rsidRDefault="00AE727E"/>
    <w:p w14:paraId="07DD17DF" w14:textId="77777777" w:rsidR="00AE727E" w:rsidRDefault="00AE727E"/>
    <w:p w14:paraId="07DD17E0" w14:textId="77777777" w:rsidR="00AE727E" w:rsidRDefault="00AE727E"/>
    <w:p w14:paraId="07DD17E1" w14:textId="77777777" w:rsidR="00AE727E" w:rsidRDefault="00AE727E"/>
    <w:p w14:paraId="07DD17E2" w14:textId="77777777" w:rsidR="00AE727E" w:rsidRDefault="00AE727E"/>
    <w:p w14:paraId="07DD17E3" w14:textId="77777777" w:rsidR="00AE727E" w:rsidRDefault="00AE727E"/>
    <w:p w14:paraId="07DD17E4" w14:textId="77777777" w:rsidR="00AE727E" w:rsidRDefault="00AE727E">
      <w:pPr>
        <w:jc w:val="center"/>
      </w:pPr>
    </w:p>
    <w:p w14:paraId="07DD17E5" w14:textId="77777777" w:rsidR="00AE727E" w:rsidRDefault="008433E0">
      <w:pPr>
        <w:jc w:val="center"/>
      </w:pPr>
      <w:r>
        <w:rPr>
          <w:rFonts w:ascii="Times New Roman" w:eastAsia="宋体" w:hAnsi="Times New Roman"/>
          <w:color w:val="000000"/>
          <w:sz w:val="20"/>
          <w:szCs w:val="20"/>
        </w:rPr>
        <w:t>96</w:t>
      </w:r>
    </w:p>
    <w:p w14:paraId="07DD17E6" w14:textId="77777777" w:rsidR="00AE727E" w:rsidRDefault="00AE727E">
      <w:pPr>
        <w:jc w:val="center"/>
      </w:pPr>
    </w:p>
    <w:p w14:paraId="07DD17E7" w14:textId="77777777" w:rsidR="00AE727E" w:rsidRDefault="008433E0">
      <w:r>
        <w:pict w14:anchorId="07DD1930">
          <v:rect id="_x0000_i1120" style="width:415.3pt;height:1.5pt" o:hralign="center" o:hrstd="t" o:hr="t" fillcolor="#a0a0a0" stroked="f"/>
        </w:pict>
      </w:r>
    </w:p>
    <w:p w14:paraId="07DD17E8" w14:textId="77777777" w:rsidR="00AE727E" w:rsidRDefault="008433E0">
      <w:hyperlink r:id="rId221" w:anchor="i1c8279be622a460ea19600488436f115_10" w:history="1">
        <w:r>
          <w:rPr>
            <w:rStyle w:val="a5"/>
            <w:rFonts w:ascii="Times New Roman" w:eastAsia="宋体" w:hAnsi="Times New Roman"/>
            <w:sz w:val="20"/>
            <w:szCs w:val="20"/>
          </w:rPr>
          <w:t>Table of Contents</w:t>
        </w:r>
      </w:hyperlink>
    </w:p>
    <w:p w14:paraId="07DD17E9" w14:textId="77777777" w:rsidR="00AE727E" w:rsidRDefault="008433E0">
      <w:r>
        <w:rPr>
          <w:rFonts w:ascii="Times New Roman" w:eastAsia="宋体" w:hAnsi="Times New Roman"/>
          <w:b/>
          <w:bCs/>
          <w:color w:val="000000"/>
          <w:sz w:val="20"/>
          <w:szCs w:val="20"/>
        </w:rPr>
        <w:t>ITEM 5 — OTHER INFORMATION</w:t>
      </w:r>
    </w:p>
    <w:p w14:paraId="07DD17EA" w14:textId="77777777" w:rsidR="00AE727E" w:rsidRDefault="00AE727E"/>
    <w:p w14:paraId="07DD17EB" w14:textId="77777777" w:rsidR="00AE727E" w:rsidRDefault="008433E0">
      <w:r>
        <w:rPr>
          <w:rFonts w:ascii="Times New Roman" w:eastAsia="宋体" w:hAnsi="Times New Roman"/>
          <w:b/>
          <w:bCs/>
          <w:color w:val="000000"/>
          <w:sz w:val="20"/>
          <w:szCs w:val="20"/>
        </w:rPr>
        <w:t>Iran Threat Reduction and Syria Human Rights Act of 2012</w:t>
      </w:r>
    </w:p>
    <w:p w14:paraId="07DD17EC" w14:textId="77777777" w:rsidR="00AE727E" w:rsidRDefault="00AE727E"/>
    <w:p w14:paraId="07DD17ED" w14:textId="77777777" w:rsidR="00AE727E" w:rsidRDefault="008433E0">
      <w:r>
        <w:rPr>
          <w:rFonts w:ascii="Times New Roman" w:eastAsia="宋体" w:hAnsi="Times New Roman"/>
          <w:color w:val="000000"/>
          <w:sz w:val="20"/>
          <w:szCs w:val="20"/>
        </w:rPr>
        <w:t>Set forth below is a description of matters reported by us pursuant to Section 219 of the Iran Threat Reduction and Syria Human Rights Act of 2012 and Section 13(r) of the Exchange Act. Concurrently with the filing of this quarterly report, we are filing</w:t>
      </w:r>
      <w:r>
        <w:rPr>
          <w:rFonts w:ascii="Times New Roman" w:eastAsia="宋体" w:hAnsi="Times New Roman"/>
          <w:color w:val="000000"/>
          <w:sz w:val="20"/>
          <w:szCs w:val="20"/>
        </w:rPr>
        <w:t xml:space="preserve"> a notice pursuant to Section 13(r) of the Exchange Act that such matters have been disclosed in this quarterly report.</w:t>
      </w:r>
    </w:p>
    <w:p w14:paraId="07DD17EE" w14:textId="77777777" w:rsidR="00AE727E" w:rsidRDefault="00AE727E"/>
    <w:p w14:paraId="07DD17EF" w14:textId="77777777" w:rsidR="00AE727E" w:rsidRDefault="008433E0">
      <w:r>
        <w:rPr>
          <w:rFonts w:ascii="Times New Roman" w:eastAsia="宋体" w:hAnsi="Times New Roman"/>
          <w:color w:val="000000"/>
          <w:sz w:val="20"/>
          <w:szCs w:val="20"/>
        </w:rPr>
        <w:t>On March 2, 2021, the U.S. government designated the Russian Federal Security Service (the “FSB”) as a blocked party under Executive Or</w:t>
      </w:r>
      <w:r>
        <w:rPr>
          <w:rFonts w:ascii="Times New Roman" w:eastAsia="宋体" w:hAnsi="Times New Roman"/>
          <w:color w:val="000000"/>
          <w:sz w:val="20"/>
          <w:szCs w:val="20"/>
        </w:rPr>
        <w:t>der 13382. On the same day, the U.S. Department of the Treasury’s Office of Foreign Assets Control issued General License No. 1B (the “OFAC General License”), which generally authorizes U.S. companies to engage in certain licensing, permitting, certificati</w:t>
      </w:r>
      <w:r>
        <w:rPr>
          <w:rFonts w:ascii="Times New Roman" w:eastAsia="宋体" w:hAnsi="Times New Roman"/>
          <w:color w:val="000000"/>
          <w:sz w:val="20"/>
          <w:szCs w:val="20"/>
        </w:rPr>
        <w:t>on, notification and related transactions with the FSB to the extent such activities are required for the importation, distribution, or use of information technology products in the Russian Federation.</w:t>
      </w:r>
    </w:p>
    <w:p w14:paraId="07DD17F0" w14:textId="77777777" w:rsidR="00AE727E" w:rsidRDefault="00AE727E"/>
    <w:p w14:paraId="07DD17F1" w14:textId="77777777" w:rsidR="00AE727E" w:rsidRDefault="008433E0">
      <w:r>
        <w:rPr>
          <w:rFonts w:ascii="Times New Roman" w:eastAsia="宋体" w:hAnsi="Times New Roman"/>
          <w:color w:val="000000"/>
          <w:sz w:val="20"/>
          <w:szCs w:val="20"/>
        </w:rPr>
        <w:t>As permitted under the OFAC General License, our subs</w:t>
      </w:r>
      <w:r>
        <w:rPr>
          <w:rFonts w:ascii="Times New Roman" w:eastAsia="宋体" w:hAnsi="Times New Roman"/>
          <w:color w:val="000000"/>
          <w:sz w:val="20"/>
          <w:szCs w:val="20"/>
        </w:rPr>
        <w:t>idiary Dell LLC and other subsidiaries periodically file notifications with the FSB in connection with the importation and distribution of our products in the Russian Federation. During our fiscal quarter ended October 29, 2021, Dell LLC filed notification</w:t>
      </w:r>
      <w:r>
        <w:rPr>
          <w:rFonts w:ascii="Times New Roman" w:eastAsia="宋体" w:hAnsi="Times New Roman"/>
          <w:color w:val="000000"/>
          <w:sz w:val="20"/>
          <w:szCs w:val="20"/>
        </w:rPr>
        <w:t>s with the FSB. No payments were issued or received, and no gross revenue or net profits were generated, in connection with these filing activities. Dell Technologies and its subsidiaries do not sell products or provide services to the FSB. To the extent p</w:t>
      </w:r>
      <w:r>
        <w:rPr>
          <w:rFonts w:ascii="Times New Roman" w:eastAsia="宋体" w:hAnsi="Times New Roman"/>
          <w:color w:val="000000"/>
          <w:sz w:val="20"/>
          <w:szCs w:val="20"/>
        </w:rPr>
        <w:t>ermitted by applicable law, including by the OFAC General License, we expect to continue to file notifications with the FSB to qualify our products for importation and distribution in the Russian Federation.</w:t>
      </w:r>
    </w:p>
    <w:p w14:paraId="07DD17F2" w14:textId="77777777" w:rsidR="00AE727E" w:rsidRDefault="00AE727E"/>
    <w:p w14:paraId="07DD17F3" w14:textId="77777777" w:rsidR="00AE727E" w:rsidRDefault="00AE727E">
      <w:pPr>
        <w:jc w:val="center"/>
      </w:pPr>
    </w:p>
    <w:p w14:paraId="07DD17F4" w14:textId="77777777" w:rsidR="00AE727E" w:rsidRDefault="008433E0">
      <w:pPr>
        <w:jc w:val="center"/>
      </w:pPr>
      <w:r>
        <w:rPr>
          <w:rFonts w:ascii="Times New Roman" w:eastAsia="宋体" w:hAnsi="Times New Roman"/>
          <w:color w:val="000000"/>
          <w:sz w:val="20"/>
          <w:szCs w:val="20"/>
        </w:rPr>
        <w:t>97</w:t>
      </w:r>
    </w:p>
    <w:p w14:paraId="07DD17F5" w14:textId="77777777" w:rsidR="00AE727E" w:rsidRDefault="00AE727E">
      <w:pPr>
        <w:jc w:val="center"/>
      </w:pPr>
    </w:p>
    <w:p w14:paraId="07DD17F6" w14:textId="77777777" w:rsidR="00AE727E" w:rsidRDefault="008433E0">
      <w:r>
        <w:pict w14:anchorId="07DD1931">
          <v:rect id="_x0000_i1121" style="width:415.3pt;height:1.5pt" o:hralign="center" o:hrstd="t" o:hr="t" fillcolor="#a0a0a0" stroked="f"/>
        </w:pict>
      </w:r>
    </w:p>
    <w:p w14:paraId="07DD17F7" w14:textId="77777777" w:rsidR="00AE727E" w:rsidRDefault="008433E0">
      <w:hyperlink r:id="rId222" w:anchor="i1c8279be622a460ea19600488436f115_10" w:history="1">
        <w:r>
          <w:rPr>
            <w:rStyle w:val="a5"/>
            <w:rFonts w:ascii="Times New Roman" w:eastAsia="宋体" w:hAnsi="Times New Roman"/>
            <w:sz w:val="20"/>
            <w:szCs w:val="20"/>
          </w:rPr>
          <w:t>Table of Contents</w:t>
        </w:r>
      </w:hyperlink>
    </w:p>
    <w:p w14:paraId="07DD17F8" w14:textId="77777777" w:rsidR="00AE727E" w:rsidRDefault="008433E0">
      <w:r>
        <w:rPr>
          <w:rFonts w:ascii="Times New Roman" w:eastAsia="宋体" w:hAnsi="Times New Roman"/>
          <w:b/>
          <w:bCs/>
          <w:color w:val="000000"/>
          <w:sz w:val="20"/>
          <w:szCs w:val="20"/>
        </w:rPr>
        <w:t>ITEM 6 — EXHIBITS</w:t>
      </w:r>
    </w:p>
    <w:p w14:paraId="07DD17F9" w14:textId="77777777" w:rsidR="00AE727E" w:rsidRDefault="00AE727E"/>
    <w:p w14:paraId="07DD17FA" w14:textId="77777777" w:rsidR="00AE727E" w:rsidRDefault="008433E0">
      <w:r>
        <w:rPr>
          <w:rFonts w:ascii="Times New Roman" w:eastAsia="宋体" w:hAnsi="Times New Roman"/>
          <w:color w:val="000000"/>
          <w:sz w:val="20"/>
          <w:szCs w:val="20"/>
        </w:rPr>
        <w:t>The Company hereby files or furnishes the exhibits listed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76"/>
        <w:gridCol w:w="38"/>
        <w:gridCol w:w="36"/>
        <w:gridCol w:w="36"/>
        <w:gridCol w:w="36"/>
        <w:gridCol w:w="46"/>
        <w:gridCol w:w="7054"/>
        <w:gridCol w:w="36"/>
      </w:tblGrid>
      <w:tr w:rsidR="00AE727E" w14:paraId="07DD1804" w14:textId="77777777">
        <w:trPr>
          <w:jc w:val="center"/>
        </w:trPr>
        <w:tc>
          <w:tcPr>
            <w:tcW w:w="50" w:type="pct"/>
            <w:shd w:val="clear" w:color="auto" w:fill="auto"/>
            <w:vAlign w:val="bottom"/>
          </w:tcPr>
          <w:p w14:paraId="07DD17FB" w14:textId="77777777" w:rsidR="00AE727E" w:rsidRDefault="00AE727E">
            <w:pPr>
              <w:rPr>
                <w:rFonts w:ascii="宋体"/>
              </w:rPr>
            </w:pPr>
          </w:p>
        </w:tc>
        <w:tc>
          <w:tcPr>
            <w:tcW w:w="610" w:type="pct"/>
            <w:shd w:val="clear" w:color="auto" w:fill="auto"/>
            <w:vAlign w:val="bottom"/>
          </w:tcPr>
          <w:p w14:paraId="07DD17FC" w14:textId="77777777" w:rsidR="00AE727E" w:rsidRDefault="00AE727E">
            <w:pPr>
              <w:rPr>
                <w:rFonts w:ascii="宋体"/>
              </w:rPr>
            </w:pPr>
          </w:p>
        </w:tc>
        <w:tc>
          <w:tcPr>
            <w:tcW w:w="5" w:type="pct"/>
            <w:shd w:val="clear" w:color="auto" w:fill="auto"/>
            <w:vAlign w:val="bottom"/>
          </w:tcPr>
          <w:p w14:paraId="07DD17FD" w14:textId="77777777" w:rsidR="00AE727E" w:rsidRDefault="00AE727E">
            <w:pPr>
              <w:rPr>
                <w:rFonts w:ascii="宋体"/>
              </w:rPr>
            </w:pPr>
          </w:p>
        </w:tc>
        <w:tc>
          <w:tcPr>
            <w:tcW w:w="5" w:type="pct"/>
            <w:shd w:val="clear" w:color="auto" w:fill="auto"/>
            <w:vAlign w:val="bottom"/>
          </w:tcPr>
          <w:p w14:paraId="07DD17FE" w14:textId="77777777" w:rsidR="00AE727E" w:rsidRDefault="00AE727E">
            <w:pPr>
              <w:rPr>
                <w:rFonts w:ascii="宋体"/>
              </w:rPr>
            </w:pPr>
          </w:p>
        </w:tc>
        <w:tc>
          <w:tcPr>
            <w:tcW w:w="26" w:type="pct"/>
            <w:shd w:val="clear" w:color="auto" w:fill="auto"/>
            <w:vAlign w:val="bottom"/>
          </w:tcPr>
          <w:p w14:paraId="07DD17FF" w14:textId="77777777" w:rsidR="00AE727E" w:rsidRDefault="00AE727E">
            <w:pPr>
              <w:rPr>
                <w:rFonts w:ascii="宋体"/>
              </w:rPr>
            </w:pPr>
          </w:p>
        </w:tc>
        <w:tc>
          <w:tcPr>
            <w:tcW w:w="5" w:type="pct"/>
            <w:shd w:val="clear" w:color="auto" w:fill="auto"/>
            <w:vAlign w:val="bottom"/>
          </w:tcPr>
          <w:p w14:paraId="07DD1800" w14:textId="77777777" w:rsidR="00AE727E" w:rsidRDefault="00AE727E">
            <w:pPr>
              <w:rPr>
                <w:rFonts w:ascii="宋体"/>
              </w:rPr>
            </w:pPr>
          </w:p>
        </w:tc>
        <w:tc>
          <w:tcPr>
            <w:tcW w:w="50" w:type="pct"/>
            <w:shd w:val="clear" w:color="auto" w:fill="auto"/>
            <w:vAlign w:val="bottom"/>
          </w:tcPr>
          <w:p w14:paraId="07DD1801" w14:textId="77777777" w:rsidR="00AE727E" w:rsidRDefault="00AE727E">
            <w:pPr>
              <w:rPr>
                <w:rFonts w:ascii="宋体"/>
              </w:rPr>
            </w:pPr>
          </w:p>
        </w:tc>
        <w:tc>
          <w:tcPr>
            <w:tcW w:w="4243" w:type="pct"/>
            <w:shd w:val="clear" w:color="auto" w:fill="auto"/>
            <w:vAlign w:val="bottom"/>
          </w:tcPr>
          <w:p w14:paraId="07DD1802" w14:textId="77777777" w:rsidR="00AE727E" w:rsidRDefault="00AE727E">
            <w:pPr>
              <w:rPr>
                <w:rFonts w:ascii="宋体"/>
              </w:rPr>
            </w:pPr>
          </w:p>
        </w:tc>
        <w:tc>
          <w:tcPr>
            <w:tcW w:w="5" w:type="pct"/>
            <w:shd w:val="clear" w:color="auto" w:fill="auto"/>
            <w:vAlign w:val="bottom"/>
          </w:tcPr>
          <w:p w14:paraId="07DD1803" w14:textId="77777777" w:rsidR="00AE727E" w:rsidRDefault="00AE727E">
            <w:pPr>
              <w:rPr>
                <w:rFonts w:ascii="宋体"/>
              </w:rPr>
            </w:pPr>
          </w:p>
        </w:tc>
      </w:tr>
      <w:tr w:rsidR="00AE727E" w14:paraId="07DD1808" w14:textId="77777777">
        <w:trPr>
          <w:jc w:val="center"/>
        </w:trPr>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805" w14:textId="77777777" w:rsidR="00AE727E" w:rsidRDefault="008433E0">
            <w:pPr>
              <w:jc w:val="center"/>
              <w:textAlignment w:val="bottom"/>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vAlign w:val="bottom"/>
          </w:tcPr>
          <w:p w14:paraId="07DD1806" w14:textId="77777777" w:rsidR="00AE727E" w:rsidRDefault="00AE727E">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DD1807" w14:textId="77777777" w:rsidR="00AE727E" w:rsidRDefault="008433E0">
            <w:pPr>
              <w:jc w:val="center"/>
              <w:textAlignment w:val="bottom"/>
            </w:pPr>
            <w:r>
              <w:rPr>
                <w:rFonts w:ascii="Times New Roman" w:eastAsia="宋体" w:hAnsi="Times New Roman"/>
                <w:b/>
                <w:bCs/>
                <w:color w:val="000000"/>
                <w:sz w:val="20"/>
                <w:szCs w:val="20"/>
              </w:rPr>
              <w:t>Description</w:t>
            </w:r>
          </w:p>
        </w:tc>
      </w:tr>
      <w:tr w:rsidR="00AE727E" w14:paraId="07DD180C"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7DD1809" w14:textId="77777777" w:rsidR="00AE727E" w:rsidRDefault="008433E0">
            <w:pPr>
              <w:jc w:val="right"/>
              <w:textAlignment w:val="top"/>
            </w:pPr>
            <w:hyperlink r:id="rId223" w:history="1">
              <w:r>
                <w:rPr>
                  <w:rStyle w:val="a5"/>
                  <w:rFonts w:ascii="Times New Roman" w:eastAsia="宋体" w:hAnsi="Times New Roman"/>
                  <w:sz w:val="20"/>
                  <w:szCs w:val="20"/>
                </w:rPr>
                <w:t>2.1</w:t>
              </w:r>
            </w:hyperlink>
          </w:p>
        </w:tc>
        <w:tc>
          <w:tcPr>
            <w:tcW w:w="0" w:type="auto"/>
            <w:gridSpan w:val="3"/>
            <w:shd w:val="clear" w:color="auto" w:fill="auto"/>
            <w:tcMar>
              <w:top w:w="0" w:type="dxa"/>
              <w:left w:w="20" w:type="dxa"/>
              <w:bottom w:w="0" w:type="dxa"/>
              <w:right w:w="20" w:type="dxa"/>
            </w:tcMar>
            <w:vAlign w:val="bottom"/>
          </w:tcPr>
          <w:p w14:paraId="07DD180A"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7DD180B" w14:textId="77777777" w:rsidR="00AE727E" w:rsidRDefault="008433E0">
            <w:pPr>
              <w:textAlignment w:val="top"/>
            </w:pPr>
            <w:hyperlink r:id="rId224" w:history="1">
              <w:r>
                <w:rPr>
                  <w:rStyle w:val="a5"/>
                  <w:rFonts w:ascii="Times New Roman" w:eastAsia="宋体" w:hAnsi="Times New Roman"/>
                  <w:sz w:val="20"/>
                  <w:szCs w:val="20"/>
                </w:rPr>
                <w:t>Letter Agreement, dated as of October 7, 2021, between Dell Technologies Inc. (the “Company”) and VMware, Inc. (incorporated by reference to Exhibit 2.1 to the</w:t>
              </w:r>
              <w:r>
                <w:rPr>
                  <w:rStyle w:val="a5"/>
                  <w:rFonts w:ascii="Times New Roman" w:eastAsia="宋体" w:hAnsi="Times New Roman"/>
                  <w:sz w:val="20"/>
                  <w:szCs w:val="20"/>
                </w:rPr>
                <w:t xml:space="preserve"> Company’s Current Report on Form 8-K filed with the Securities and Exchange Commission (the “Commission”) on October 7, 2021) (Commission File No. 001-37867)</w:t>
              </w:r>
            </w:hyperlink>
          </w:p>
        </w:tc>
      </w:tr>
      <w:tr w:rsidR="00AE727E" w14:paraId="07DD1810" w14:textId="77777777">
        <w:trPr>
          <w:jc w:val="center"/>
        </w:trPr>
        <w:tc>
          <w:tcPr>
            <w:tcW w:w="0" w:type="auto"/>
            <w:gridSpan w:val="3"/>
            <w:shd w:val="clear" w:color="auto" w:fill="auto"/>
            <w:tcMar>
              <w:top w:w="40" w:type="dxa"/>
              <w:left w:w="20" w:type="dxa"/>
              <w:bottom w:w="40" w:type="dxa"/>
              <w:right w:w="20" w:type="dxa"/>
            </w:tcMar>
          </w:tcPr>
          <w:p w14:paraId="07DD180D" w14:textId="77777777" w:rsidR="00AE727E" w:rsidRDefault="008433E0">
            <w:pPr>
              <w:jc w:val="right"/>
              <w:textAlignment w:val="top"/>
            </w:pPr>
            <w:hyperlink r:id="rId225" w:history="1">
              <w:r>
                <w:rPr>
                  <w:rStyle w:val="a5"/>
                  <w:rFonts w:ascii="Times New Roman" w:eastAsia="宋体" w:hAnsi="Times New Roman"/>
                  <w:sz w:val="20"/>
                  <w:szCs w:val="20"/>
                </w:rPr>
                <w:t>4.1††</w:t>
              </w:r>
            </w:hyperlink>
          </w:p>
        </w:tc>
        <w:tc>
          <w:tcPr>
            <w:tcW w:w="0" w:type="auto"/>
            <w:gridSpan w:val="3"/>
            <w:shd w:val="clear" w:color="auto" w:fill="auto"/>
            <w:tcMar>
              <w:top w:w="0" w:type="dxa"/>
              <w:left w:w="20" w:type="dxa"/>
              <w:bottom w:w="0" w:type="dxa"/>
              <w:right w:w="20" w:type="dxa"/>
            </w:tcMar>
            <w:vAlign w:val="bottom"/>
          </w:tcPr>
          <w:p w14:paraId="07DD180E"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0F" w14:textId="77777777" w:rsidR="00AE727E" w:rsidRDefault="008433E0">
            <w:pPr>
              <w:textAlignment w:val="top"/>
            </w:pPr>
            <w:hyperlink r:id="rId226" w:history="1">
              <w:r>
                <w:rPr>
                  <w:rStyle w:val="a5"/>
                  <w:rFonts w:ascii="Times New Roman" w:eastAsia="宋体" w:hAnsi="Times New Roman"/>
                  <w:sz w:val="20"/>
                  <w:szCs w:val="20"/>
                </w:rPr>
                <w:t>Consent to the Extension of Registration</w:t>
              </w:r>
              <w:r>
                <w:rPr>
                  <w:rStyle w:val="a5"/>
                  <w:rFonts w:ascii="Times New Roman" w:eastAsia="宋体" w:hAnsi="Times New Roman"/>
                  <w:sz w:val="20"/>
                  <w:szCs w:val="20"/>
                </w:rPr>
                <w:t xml:space="preserve"> Rights Under the Second Amended and Restated Registration Rights Agreement, dated September 30, 2021, among Dell Technologies Inc. (the “Company”) and SL SPV-2 L.P., Silver Lake Partners IV, L.P., Silver Lake Technology Investors IV, L.P., Silver Lake Par</w:t>
              </w:r>
              <w:r>
                <w:rPr>
                  <w:rStyle w:val="a5"/>
                  <w:rFonts w:ascii="Times New Roman" w:eastAsia="宋体" w:hAnsi="Times New Roman"/>
                  <w:sz w:val="20"/>
                  <w:szCs w:val="20"/>
                </w:rPr>
                <w:t>tners V DE (AIV), L.P., Silver Lake Technology Investors V, L.P.</w:t>
              </w:r>
            </w:hyperlink>
          </w:p>
        </w:tc>
      </w:tr>
      <w:tr w:rsidR="00AE727E" w14:paraId="07DD1814" w14:textId="77777777">
        <w:trPr>
          <w:jc w:val="center"/>
        </w:trPr>
        <w:tc>
          <w:tcPr>
            <w:tcW w:w="0" w:type="auto"/>
            <w:gridSpan w:val="3"/>
            <w:shd w:val="clear" w:color="auto" w:fill="auto"/>
            <w:tcMar>
              <w:top w:w="40" w:type="dxa"/>
              <w:left w:w="20" w:type="dxa"/>
              <w:bottom w:w="40" w:type="dxa"/>
              <w:right w:w="20" w:type="dxa"/>
            </w:tcMar>
          </w:tcPr>
          <w:p w14:paraId="07DD1811" w14:textId="77777777" w:rsidR="00AE727E" w:rsidRDefault="008433E0">
            <w:pPr>
              <w:jc w:val="right"/>
              <w:textAlignment w:val="top"/>
            </w:pPr>
            <w:hyperlink r:id="rId227" w:history="1">
              <w:r>
                <w:rPr>
                  <w:rStyle w:val="a5"/>
                  <w:rFonts w:ascii="Times New Roman" w:eastAsia="宋体" w:hAnsi="Times New Roman"/>
                  <w:sz w:val="20"/>
                  <w:szCs w:val="20"/>
                </w:rPr>
                <w:t>22.1</w:t>
              </w:r>
            </w:hyperlink>
            <w:hyperlink r:id="rId228"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07DD1812"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13" w14:textId="77777777" w:rsidR="00AE727E" w:rsidRDefault="008433E0">
            <w:pPr>
              <w:textAlignment w:val="top"/>
            </w:pPr>
            <w:hyperlink r:id="rId229" w:history="1">
              <w:r>
                <w:rPr>
                  <w:rStyle w:val="a5"/>
                  <w:rFonts w:ascii="Times New Roman" w:eastAsia="宋体" w:hAnsi="Times New Roman"/>
                  <w:sz w:val="20"/>
                  <w:szCs w:val="20"/>
                </w:rPr>
                <w:t>List of Guarantor Subsidiaries and Issuers of Guaranteed Securities and Affiliates Whose Securities Collateralize Securities of Dell Technologies Inc.</w:t>
              </w:r>
            </w:hyperlink>
          </w:p>
        </w:tc>
      </w:tr>
      <w:tr w:rsidR="00AE727E" w14:paraId="07DD1818" w14:textId="77777777">
        <w:trPr>
          <w:jc w:val="center"/>
        </w:trPr>
        <w:tc>
          <w:tcPr>
            <w:tcW w:w="0" w:type="auto"/>
            <w:gridSpan w:val="3"/>
            <w:shd w:val="clear" w:color="auto" w:fill="auto"/>
            <w:tcMar>
              <w:top w:w="40" w:type="dxa"/>
              <w:left w:w="20" w:type="dxa"/>
              <w:bottom w:w="40" w:type="dxa"/>
              <w:right w:w="20" w:type="dxa"/>
            </w:tcMar>
          </w:tcPr>
          <w:p w14:paraId="07DD1815" w14:textId="77777777" w:rsidR="00AE727E" w:rsidRDefault="008433E0">
            <w:pPr>
              <w:jc w:val="right"/>
              <w:textAlignment w:val="top"/>
            </w:pPr>
            <w:hyperlink r:id="rId230"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vAlign w:val="bottom"/>
          </w:tcPr>
          <w:p w14:paraId="07DD1816"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17" w14:textId="77777777" w:rsidR="00AE727E" w:rsidRDefault="008433E0">
            <w:pPr>
              <w:textAlignment w:val="top"/>
            </w:pPr>
            <w:hyperlink r:id="rId231" w:history="1">
              <w:r>
                <w:rPr>
                  <w:rStyle w:val="a5"/>
                  <w:rFonts w:ascii="Times New Roman" w:eastAsia="宋体" w:hAnsi="Times New Roman"/>
                  <w:sz w:val="20"/>
                  <w:szCs w:val="20"/>
                </w:rPr>
                <w:t>Certification of Michael S. Dell, Chairman and Chief Executive Offic</w:t>
              </w:r>
              <w:r>
                <w:rPr>
                  <w:rStyle w:val="a5"/>
                  <w:rFonts w:ascii="Times New Roman" w:eastAsia="宋体" w:hAnsi="Times New Roman"/>
                  <w:sz w:val="20"/>
                  <w:szCs w:val="20"/>
                </w:rPr>
                <w:t>er, pursuant to Rule 13a-14(a) or Rule 15d-14(a) under the Securities Exchange Act of 1934, as adopted pursuant to Section 302 of the Sarbanes-Oxley Act of 2002.</w:t>
              </w:r>
            </w:hyperlink>
          </w:p>
        </w:tc>
      </w:tr>
      <w:tr w:rsidR="00AE727E" w14:paraId="07DD181C" w14:textId="77777777">
        <w:trPr>
          <w:jc w:val="center"/>
        </w:trPr>
        <w:tc>
          <w:tcPr>
            <w:tcW w:w="0" w:type="auto"/>
            <w:gridSpan w:val="3"/>
            <w:shd w:val="clear" w:color="auto" w:fill="auto"/>
            <w:tcMar>
              <w:top w:w="40" w:type="dxa"/>
              <w:left w:w="20" w:type="dxa"/>
              <w:bottom w:w="40" w:type="dxa"/>
              <w:right w:w="20" w:type="dxa"/>
            </w:tcMar>
          </w:tcPr>
          <w:p w14:paraId="07DD1819" w14:textId="77777777" w:rsidR="00AE727E" w:rsidRDefault="008433E0">
            <w:pPr>
              <w:jc w:val="right"/>
              <w:textAlignment w:val="top"/>
            </w:pPr>
            <w:hyperlink r:id="rId232"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vAlign w:val="bottom"/>
          </w:tcPr>
          <w:p w14:paraId="07DD181A"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1B" w14:textId="77777777" w:rsidR="00AE727E" w:rsidRDefault="008433E0">
            <w:pPr>
              <w:textAlignment w:val="top"/>
            </w:pPr>
            <w:hyperlink r:id="rId233" w:history="1">
              <w:r>
                <w:rPr>
                  <w:rStyle w:val="a5"/>
                  <w:rFonts w:ascii="Times New Roman" w:eastAsia="宋体" w:hAnsi="Times New Roman"/>
                  <w:sz w:val="20"/>
                  <w:szCs w:val="20"/>
                </w:rPr>
                <w:t>Certification of Thomas W. Sweet, Executive Vice President and Chief Financial Officer, pursuant to Rule 13a-14(a) or Rule 15d-</w:t>
              </w:r>
              <w:r>
                <w:rPr>
                  <w:rStyle w:val="a5"/>
                  <w:rFonts w:ascii="Times New Roman" w:eastAsia="宋体" w:hAnsi="Times New Roman"/>
                  <w:sz w:val="20"/>
                  <w:szCs w:val="20"/>
                </w:rPr>
                <w:t>14(a) under the Securities Exchange Act of 1934, as adopted pursuant to Section 302 of the Sarbanes-Oxley Act of 2002.</w:t>
              </w:r>
            </w:hyperlink>
          </w:p>
        </w:tc>
      </w:tr>
      <w:tr w:rsidR="00AE727E" w14:paraId="07DD1820" w14:textId="77777777">
        <w:trPr>
          <w:jc w:val="center"/>
        </w:trPr>
        <w:tc>
          <w:tcPr>
            <w:tcW w:w="0" w:type="auto"/>
            <w:gridSpan w:val="3"/>
            <w:shd w:val="clear" w:color="auto" w:fill="auto"/>
            <w:tcMar>
              <w:top w:w="40" w:type="dxa"/>
              <w:left w:w="20" w:type="dxa"/>
              <w:bottom w:w="40" w:type="dxa"/>
              <w:right w:w="20" w:type="dxa"/>
            </w:tcMar>
          </w:tcPr>
          <w:p w14:paraId="07DD181D" w14:textId="77777777" w:rsidR="00AE727E" w:rsidRDefault="008433E0">
            <w:pPr>
              <w:jc w:val="right"/>
              <w:textAlignment w:val="top"/>
            </w:pPr>
            <w:hyperlink r:id="rId234"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vAlign w:val="bottom"/>
          </w:tcPr>
          <w:p w14:paraId="07DD181E"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1F" w14:textId="77777777" w:rsidR="00AE727E" w:rsidRDefault="008433E0">
            <w:pPr>
              <w:textAlignment w:val="top"/>
            </w:pPr>
            <w:hyperlink r:id="rId235" w:history="1">
              <w:r>
                <w:rPr>
                  <w:rStyle w:val="a5"/>
                  <w:rFonts w:ascii="Times New Roman" w:eastAsia="宋体" w:hAnsi="Times New Roman"/>
                  <w:sz w:val="20"/>
                  <w:szCs w:val="20"/>
                </w:rPr>
                <w:t>Certifications of Michael S. Dell, Chairman and Chief Executive Officer, and Thomas W. Sweet, Executive Vice President and Chief Financial Officer, purs</w:t>
              </w:r>
              <w:r>
                <w:rPr>
                  <w:rStyle w:val="a5"/>
                  <w:rFonts w:ascii="Times New Roman" w:eastAsia="宋体" w:hAnsi="Times New Roman"/>
                  <w:sz w:val="20"/>
                  <w:szCs w:val="20"/>
                </w:rPr>
                <w:t>uant to Rule 13a-14(b) or Rule 15d-14(b) under the Securities Exchange Act of 1934 and 18 U.S.C. Section 1350, as adopted pursuant to Section 906 of the Sarbanes-Oxley Act of 2002.</w:t>
              </w:r>
            </w:hyperlink>
          </w:p>
        </w:tc>
      </w:tr>
      <w:tr w:rsidR="00AE727E" w14:paraId="07DD1824" w14:textId="77777777">
        <w:trPr>
          <w:jc w:val="center"/>
        </w:trPr>
        <w:tc>
          <w:tcPr>
            <w:tcW w:w="0" w:type="auto"/>
            <w:gridSpan w:val="3"/>
            <w:shd w:val="clear" w:color="auto" w:fill="auto"/>
            <w:tcMar>
              <w:top w:w="40" w:type="dxa"/>
              <w:left w:w="20" w:type="dxa"/>
              <w:bottom w:w="40" w:type="dxa"/>
              <w:right w:w="20" w:type="dxa"/>
            </w:tcMar>
          </w:tcPr>
          <w:p w14:paraId="07DD1821" w14:textId="77777777" w:rsidR="00AE727E" w:rsidRDefault="008433E0">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vAlign w:val="bottom"/>
          </w:tcPr>
          <w:p w14:paraId="07DD1822"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23" w14:textId="77777777" w:rsidR="00AE727E" w:rsidRDefault="008433E0">
            <w:pPr>
              <w:textAlignment w:val="top"/>
            </w:pPr>
            <w:r>
              <w:rPr>
                <w:rFonts w:ascii="Times New Roman" w:eastAsia="宋体" w:hAnsi="Times New Roman"/>
                <w:color w:val="000000"/>
                <w:sz w:val="20"/>
                <w:szCs w:val="20"/>
              </w:rPr>
              <w:t>XBRL Instance Document - the instance document does not app</w:t>
            </w:r>
            <w:r>
              <w:rPr>
                <w:rFonts w:ascii="Times New Roman" w:eastAsia="宋体" w:hAnsi="Times New Roman"/>
                <w:color w:val="000000"/>
                <w:sz w:val="20"/>
                <w:szCs w:val="20"/>
              </w:rPr>
              <w:t>ear in the Interactive Data File because its XBRL tags are embedded within the Inline XBRL document.</w:t>
            </w:r>
          </w:p>
        </w:tc>
      </w:tr>
      <w:tr w:rsidR="00AE727E" w14:paraId="07DD1828" w14:textId="77777777">
        <w:trPr>
          <w:jc w:val="center"/>
        </w:trPr>
        <w:tc>
          <w:tcPr>
            <w:tcW w:w="0" w:type="auto"/>
            <w:gridSpan w:val="3"/>
            <w:shd w:val="clear" w:color="auto" w:fill="auto"/>
            <w:tcMar>
              <w:top w:w="40" w:type="dxa"/>
              <w:left w:w="20" w:type="dxa"/>
              <w:bottom w:w="40" w:type="dxa"/>
              <w:right w:w="20" w:type="dxa"/>
            </w:tcMar>
          </w:tcPr>
          <w:p w14:paraId="07DD1825" w14:textId="77777777" w:rsidR="00AE727E" w:rsidRDefault="008433E0">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vAlign w:val="bottom"/>
          </w:tcPr>
          <w:p w14:paraId="07DD1826"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27" w14:textId="77777777" w:rsidR="00AE727E" w:rsidRDefault="008433E0">
            <w:pPr>
              <w:textAlignment w:val="top"/>
            </w:pPr>
            <w:r>
              <w:rPr>
                <w:rFonts w:ascii="Times New Roman" w:eastAsia="宋体" w:hAnsi="Times New Roman"/>
                <w:color w:val="000000"/>
                <w:sz w:val="20"/>
                <w:szCs w:val="20"/>
              </w:rPr>
              <w:t>Inline XBRL Taxonomy Extension Schema Document.</w:t>
            </w:r>
          </w:p>
        </w:tc>
      </w:tr>
      <w:tr w:rsidR="00AE727E" w14:paraId="07DD182C" w14:textId="77777777">
        <w:trPr>
          <w:jc w:val="center"/>
        </w:trPr>
        <w:tc>
          <w:tcPr>
            <w:tcW w:w="0" w:type="auto"/>
            <w:gridSpan w:val="3"/>
            <w:shd w:val="clear" w:color="auto" w:fill="auto"/>
            <w:tcMar>
              <w:top w:w="40" w:type="dxa"/>
              <w:left w:w="20" w:type="dxa"/>
              <w:bottom w:w="40" w:type="dxa"/>
              <w:right w:w="20" w:type="dxa"/>
            </w:tcMar>
          </w:tcPr>
          <w:p w14:paraId="07DD1829" w14:textId="77777777" w:rsidR="00AE727E" w:rsidRDefault="008433E0">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vAlign w:val="bottom"/>
          </w:tcPr>
          <w:p w14:paraId="07DD182A"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2B" w14:textId="77777777" w:rsidR="00AE727E" w:rsidRDefault="008433E0">
            <w:pPr>
              <w:textAlignment w:val="top"/>
            </w:pPr>
            <w:r>
              <w:rPr>
                <w:rFonts w:ascii="Times New Roman" w:eastAsia="宋体" w:hAnsi="Times New Roman"/>
                <w:color w:val="000000"/>
                <w:sz w:val="20"/>
                <w:szCs w:val="20"/>
              </w:rPr>
              <w:t>Inline XBRL Taxonomy Extension Calculation Linkbase Document.</w:t>
            </w:r>
          </w:p>
        </w:tc>
      </w:tr>
      <w:tr w:rsidR="00AE727E" w14:paraId="07DD1830" w14:textId="77777777">
        <w:trPr>
          <w:jc w:val="center"/>
        </w:trPr>
        <w:tc>
          <w:tcPr>
            <w:tcW w:w="0" w:type="auto"/>
            <w:gridSpan w:val="3"/>
            <w:shd w:val="clear" w:color="auto" w:fill="auto"/>
            <w:tcMar>
              <w:top w:w="40" w:type="dxa"/>
              <w:left w:w="20" w:type="dxa"/>
              <w:bottom w:w="40" w:type="dxa"/>
              <w:right w:w="20" w:type="dxa"/>
            </w:tcMar>
          </w:tcPr>
          <w:p w14:paraId="07DD182D" w14:textId="77777777" w:rsidR="00AE727E" w:rsidRDefault="008433E0">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vAlign w:val="bottom"/>
          </w:tcPr>
          <w:p w14:paraId="07DD182E"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2F" w14:textId="77777777" w:rsidR="00AE727E" w:rsidRDefault="008433E0">
            <w:pPr>
              <w:textAlignment w:val="top"/>
            </w:pPr>
            <w:r>
              <w:rPr>
                <w:rFonts w:ascii="Times New Roman" w:eastAsia="宋体" w:hAnsi="Times New Roman"/>
                <w:color w:val="000000"/>
                <w:sz w:val="20"/>
                <w:szCs w:val="20"/>
              </w:rPr>
              <w:t>Inline XBRL Taxonomy Extension Definition Linkbase Document.</w:t>
            </w:r>
          </w:p>
        </w:tc>
      </w:tr>
      <w:tr w:rsidR="00AE727E" w14:paraId="07DD1834" w14:textId="77777777">
        <w:trPr>
          <w:jc w:val="center"/>
        </w:trPr>
        <w:tc>
          <w:tcPr>
            <w:tcW w:w="0" w:type="auto"/>
            <w:gridSpan w:val="3"/>
            <w:shd w:val="clear" w:color="auto" w:fill="auto"/>
            <w:tcMar>
              <w:top w:w="40" w:type="dxa"/>
              <w:left w:w="20" w:type="dxa"/>
              <w:bottom w:w="40" w:type="dxa"/>
              <w:right w:w="20" w:type="dxa"/>
            </w:tcMar>
          </w:tcPr>
          <w:p w14:paraId="07DD1831" w14:textId="77777777" w:rsidR="00AE727E" w:rsidRDefault="008433E0">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vAlign w:val="bottom"/>
          </w:tcPr>
          <w:p w14:paraId="07DD1832"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33" w14:textId="77777777" w:rsidR="00AE727E" w:rsidRDefault="008433E0">
            <w:pPr>
              <w:textAlignment w:val="top"/>
            </w:pPr>
            <w:r>
              <w:rPr>
                <w:rFonts w:ascii="Times New Roman" w:eastAsia="宋体" w:hAnsi="Times New Roman"/>
                <w:color w:val="000000"/>
                <w:sz w:val="20"/>
                <w:szCs w:val="20"/>
              </w:rPr>
              <w:t>Inline XBRL Taxonomy Extension Label Linkbase Document.</w:t>
            </w:r>
          </w:p>
        </w:tc>
      </w:tr>
      <w:tr w:rsidR="00AE727E" w14:paraId="07DD1838" w14:textId="77777777">
        <w:trPr>
          <w:jc w:val="center"/>
        </w:trPr>
        <w:tc>
          <w:tcPr>
            <w:tcW w:w="0" w:type="auto"/>
            <w:gridSpan w:val="3"/>
            <w:shd w:val="clear" w:color="auto" w:fill="auto"/>
            <w:tcMar>
              <w:top w:w="40" w:type="dxa"/>
              <w:left w:w="20" w:type="dxa"/>
              <w:bottom w:w="40" w:type="dxa"/>
              <w:right w:w="20" w:type="dxa"/>
            </w:tcMar>
          </w:tcPr>
          <w:p w14:paraId="07DD1835" w14:textId="77777777" w:rsidR="00AE727E" w:rsidRDefault="008433E0">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vAlign w:val="bottom"/>
          </w:tcPr>
          <w:p w14:paraId="07DD1836"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37" w14:textId="77777777" w:rsidR="00AE727E" w:rsidRDefault="008433E0">
            <w:pPr>
              <w:textAlignment w:val="top"/>
            </w:pPr>
            <w:r>
              <w:rPr>
                <w:rFonts w:ascii="Times New Roman" w:eastAsia="宋体" w:hAnsi="Times New Roman"/>
                <w:color w:val="000000"/>
                <w:sz w:val="20"/>
                <w:szCs w:val="20"/>
              </w:rPr>
              <w:t>Inline XBRL Taxonomy Extension Presentation Linkbase Document.</w:t>
            </w:r>
          </w:p>
        </w:tc>
      </w:tr>
      <w:tr w:rsidR="00AE727E" w14:paraId="07DD183C" w14:textId="77777777">
        <w:trPr>
          <w:jc w:val="center"/>
        </w:trPr>
        <w:tc>
          <w:tcPr>
            <w:tcW w:w="0" w:type="auto"/>
            <w:gridSpan w:val="3"/>
            <w:shd w:val="clear" w:color="auto" w:fill="auto"/>
            <w:tcMar>
              <w:top w:w="40" w:type="dxa"/>
              <w:left w:w="20" w:type="dxa"/>
              <w:bottom w:w="40" w:type="dxa"/>
              <w:right w:w="20" w:type="dxa"/>
            </w:tcMar>
          </w:tcPr>
          <w:p w14:paraId="07DD1839" w14:textId="77777777" w:rsidR="00AE727E" w:rsidRDefault="008433E0">
            <w:pPr>
              <w:jc w:val="right"/>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07DD183A"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3B" w14:textId="77777777" w:rsidR="00AE727E" w:rsidRDefault="008433E0">
            <w:pPr>
              <w:textAlignment w:val="top"/>
            </w:pPr>
            <w:r>
              <w:rPr>
                <w:rFonts w:ascii="Times New Roman" w:eastAsia="宋体" w:hAnsi="Times New Roman"/>
                <w:color w:val="000000"/>
                <w:sz w:val="20"/>
                <w:szCs w:val="20"/>
              </w:rPr>
              <w:t xml:space="preserve">Cover Page Interactive Data File - the </w:t>
            </w:r>
            <w:r>
              <w:rPr>
                <w:rFonts w:ascii="Times New Roman" w:eastAsia="宋体" w:hAnsi="Times New Roman"/>
                <w:color w:val="000000"/>
                <w:sz w:val="20"/>
                <w:szCs w:val="20"/>
              </w:rPr>
              <w:t>cover page XBRL tags are embedded within the Inline XBRL document (included in Exhibit 101).</w:t>
            </w:r>
          </w:p>
        </w:tc>
      </w:tr>
    </w:tbl>
    <w:p w14:paraId="07DD183D" w14:textId="77777777" w:rsidR="00AE727E" w:rsidRDefault="00AE727E">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995"/>
        <w:gridCol w:w="36"/>
        <w:gridCol w:w="36"/>
        <w:gridCol w:w="36"/>
        <w:gridCol w:w="36"/>
        <w:gridCol w:w="46"/>
        <w:gridCol w:w="7054"/>
        <w:gridCol w:w="37"/>
      </w:tblGrid>
      <w:tr w:rsidR="00AE727E" w14:paraId="07DD1847" w14:textId="77777777">
        <w:trPr>
          <w:jc w:val="center"/>
        </w:trPr>
        <w:tc>
          <w:tcPr>
            <w:tcW w:w="50" w:type="pct"/>
            <w:shd w:val="clear" w:color="auto" w:fill="auto"/>
            <w:vAlign w:val="bottom"/>
          </w:tcPr>
          <w:p w14:paraId="07DD183E" w14:textId="77777777" w:rsidR="00AE727E" w:rsidRDefault="00AE727E">
            <w:pPr>
              <w:rPr>
                <w:rFonts w:ascii="宋体"/>
              </w:rPr>
            </w:pPr>
          </w:p>
        </w:tc>
        <w:tc>
          <w:tcPr>
            <w:tcW w:w="610" w:type="pct"/>
            <w:shd w:val="clear" w:color="auto" w:fill="auto"/>
            <w:vAlign w:val="bottom"/>
          </w:tcPr>
          <w:p w14:paraId="07DD183F" w14:textId="77777777" w:rsidR="00AE727E" w:rsidRDefault="00AE727E">
            <w:pPr>
              <w:rPr>
                <w:rFonts w:ascii="宋体"/>
              </w:rPr>
            </w:pPr>
          </w:p>
        </w:tc>
        <w:tc>
          <w:tcPr>
            <w:tcW w:w="5" w:type="pct"/>
            <w:shd w:val="clear" w:color="auto" w:fill="auto"/>
            <w:vAlign w:val="bottom"/>
          </w:tcPr>
          <w:p w14:paraId="07DD1840" w14:textId="77777777" w:rsidR="00AE727E" w:rsidRDefault="00AE727E">
            <w:pPr>
              <w:rPr>
                <w:rFonts w:ascii="宋体"/>
              </w:rPr>
            </w:pPr>
          </w:p>
        </w:tc>
        <w:tc>
          <w:tcPr>
            <w:tcW w:w="5" w:type="pct"/>
            <w:shd w:val="clear" w:color="auto" w:fill="auto"/>
            <w:vAlign w:val="bottom"/>
          </w:tcPr>
          <w:p w14:paraId="07DD1841" w14:textId="77777777" w:rsidR="00AE727E" w:rsidRDefault="00AE727E">
            <w:pPr>
              <w:rPr>
                <w:rFonts w:ascii="宋体"/>
              </w:rPr>
            </w:pPr>
          </w:p>
        </w:tc>
        <w:tc>
          <w:tcPr>
            <w:tcW w:w="26" w:type="pct"/>
            <w:shd w:val="clear" w:color="auto" w:fill="auto"/>
            <w:vAlign w:val="bottom"/>
          </w:tcPr>
          <w:p w14:paraId="07DD1842" w14:textId="77777777" w:rsidR="00AE727E" w:rsidRDefault="00AE727E">
            <w:pPr>
              <w:rPr>
                <w:rFonts w:ascii="宋体"/>
              </w:rPr>
            </w:pPr>
          </w:p>
        </w:tc>
        <w:tc>
          <w:tcPr>
            <w:tcW w:w="5" w:type="pct"/>
            <w:shd w:val="clear" w:color="auto" w:fill="auto"/>
            <w:vAlign w:val="bottom"/>
          </w:tcPr>
          <w:p w14:paraId="07DD1843" w14:textId="77777777" w:rsidR="00AE727E" w:rsidRDefault="00AE727E">
            <w:pPr>
              <w:rPr>
                <w:rFonts w:ascii="宋体"/>
              </w:rPr>
            </w:pPr>
          </w:p>
        </w:tc>
        <w:tc>
          <w:tcPr>
            <w:tcW w:w="50" w:type="pct"/>
            <w:shd w:val="clear" w:color="auto" w:fill="auto"/>
            <w:vAlign w:val="bottom"/>
          </w:tcPr>
          <w:p w14:paraId="07DD1844" w14:textId="77777777" w:rsidR="00AE727E" w:rsidRDefault="00AE727E">
            <w:pPr>
              <w:rPr>
                <w:rFonts w:ascii="宋体"/>
              </w:rPr>
            </w:pPr>
          </w:p>
        </w:tc>
        <w:tc>
          <w:tcPr>
            <w:tcW w:w="4243" w:type="pct"/>
            <w:shd w:val="clear" w:color="auto" w:fill="auto"/>
            <w:vAlign w:val="bottom"/>
          </w:tcPr>
          <w:p w14:paraId="07DD1845" w14:textId="77777777" w:rsidR="00AE727E" w:rsidRDefault="00AE727E">
            <w:pPr>
              <w:rPr>
                <w:rFonts w:ascii="宋体"/>
              </w:rPr>
            </w:pPr>
          </w:p>
        </w:tc>
        <w:tc>
          <w:tcPr>
            <w:tcW w:w="5" w:type="pct"/>
            <w:shd w:val="clear" w:color="auto" w:fill="auto"/>
            <w:vAlign w:val="bottom"/>
          </w:tcPr>
          <w:p w14:paraId="07DD1846" w14:textId="77777777" w:rsidR="00AE727E" w:rsidRDefault="00AE727E">
            <w:pPr>
              <w:rPr>
                <w:rFonts w:ascii="宋体"/>
              </w:rPr>
            </w:pPr>
          </w:p>
        </w:tc>
      </w:tr>
      <w:tr w:rsidR="00AE727E" w14:paraId="07DD184B" w14:textId="77777777">
        <w:trPr>
          <w:jc w:val="center"/>
          <w:hidden/>
        </w:trPr>
        <w:tc>
          <w:tcPr>
            <w:tcW w:w="0" w:type="auto"/>
            <w:gridSpan w:val="3"/>
            <w:shd w:val="clear" w:color="auto" w:fill="auto"/>
            <w:vAlign w:val="bottom"/>
          </w:tcPr>
          <w:p w14:paraId="07DD1848" w14:textId="77777777" w:rsidR="00AE727E" w:rsidRDefault="00AE727E">
            <w:pPr>
              <w:rPr>
                <w:rFonts w:ascii="宋体"/>
                <w:vanish/>
              </w:rPr>
            </w:pPr>
          </w:p>
        </w:tc>
        <w:tc>
          <w:tcPr>
            <w:tcW w:w="0" w:type="auto"/>
            <w:gridSpan w:val="3"/>
            <w:shd w:val="clear" w:color="auto" w:fill="auto"/>
            <w:vAlign w:val="bottom"/>
          </w:tcPr>
          <w:p w14:paraId="07DD1849" w14:textId="77777777" w:rsidR="00AE727E" w:rsidRDefault="00AE727E">
            <w:pPr>
              <w:rPr>
                <w:rFonts w:ascii="宋体"/>
                <w:vanish/>
              </w:rPr>
            </w:pPr>
          </w:p>
        </w:tc>
        <w:tc>
          <w:tcPr>
            <w:tcW w:w="0" w:type="auto"/>
            <w:gridSpan w:val="3"/>
            <w:shd w:val="clear" w:color="auto" w:fill="auto"/>
            <w:vAlign w:val="bottom"/>
          </w:tcPr>
          <w:p w14:paraId="07DD184A" w14:textId="77777777" w:rsidR="00AE727E" w:rsidRDefault="00AE727E">
            <w:pPr>
              <w:rPr>
                <w:rFonts w:ascii="宋体"/>
                <w:vanish/>
              </w:rPr>
            </w:pPr>
          </w:p>
        </w:tc>
      </w:tr>
      <w:tr w:rsidR="00AE727E" w14:paraId="07DD184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7DD184C" w14:textId="77777777" w:rsidR="00AE727E" w:rsidRDefault="008433E0">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DD184D"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4E" w14:textId="77777777" w:rsidR="00AE727E" w:rsidRDefault="008433E0">
            <w:pPr>
              <w:textAlignment w:val="top"/>
            </w:pPr>
            <w:r>
              <w:rPr>
                <w:rFonts w:ascii="Times New Roman" w:eastAsia="宋体" w:hAnsi="Times New Roman"/>
                <w:color w:val="000000"/>
                <w:sz w:val="20"/>
                <w:szCs w:val="20"/>
              </w:rPr>
              <w:t>Filed with this report.</w:t>
            </w:r>
          </w:p>
        </w:tc>
      </w:tr>
      <w:tr w:rsidR="00AE727E" w14:paraId="07DD1853" w14:textId="77777777">
        <w:trPr>
          <w:jc w:val="center"/>
        </w:trPr>
        <w:tc>
          <w:tcPr>
            <w:tcW w:w="0" w:type="auto"/>
            <w:gridSpan w:val="3"/>
            <w:shd w:val="clear" w:color="auto" w:fill="auto"/>
            <w:tcMar>
              <w:top w:w="40" w:type="dxa"/>
              <w:left w:w="20" w:type="dxa"/>
              <w:bottom w:w="40" w:type="dxa"/>
              <w:right w:w="20" w:type="dxa"/>
            </w:tcMar>
          </w:tcPr>
          <w:p w14:paraId="07DD1850" w14:textId="77777777" w:rsidR="00AE727E" w:rsidRDefault="008433E0">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DD1851"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tcPr>
          <w:p w14:paraId="07DD1852" w14:textId="77777777" w:rsidR="00AE727E" w:rsidRDefault="008433E0">
            <w:pPr>
              <w:textAlignment w:val="top"/>
            </w:pPr>
            <w:r>
              <w:rPr>
                <w:rFonts w:ascii="Times New Roman" w:eastAsia="宋体" w:hAnsi="Times New Roman"/>
                <w:color w:val="000000"/>
                <w:sz w:val="20"/>
                <w:szCs w:val="20"/>
              </w:rPr>
              <w:t>Furnished with this report.</w:t>
            </w:r>
          </w:p>
        </w:tc>
      </w:tr>
      <w:tr w:rsidR="00AE727E" w14:paraId="07DD1857" w14:textId="77777777">
        <w:trPr>
          <w:jc w:val="center"/>
          <w:hidden/>
        </w:trPr>
        <w:tc>
          <w:tcPr>
            <w:tcW w:w="0" w:type="auto"/>
            <w:gridSpan w:val="3"/>
            <w:shd w:val="clear" w:color="auto" w:fill="auto"/>
            <w:vAlign w:val="bottom"/>
          </w:tcPr>
          <w:p w14:paraId="07DD1854" w14:textId="77777777" w:rsidR="00AE727E" w:rsidRDefault="00AE727E">
            <w:pPr>
              <w:rPr>
                <w:rFonts w:ascii="宋体"/>
                <w:vanish/>
              </w:rPr>
            </w:pPr>
          </w:p>
        </w:tc>
        <w:tc>
          <w:tcPr>
            <w:tcW w:w="0" w:type="auto"/>
            <w:gridSpan w:val="3"/>
            <w:shd w:val="clear" w:color="auto" w:fill="auto"/>
            <w:vAlign w:val="bottom"/>
          </w:tcPr>
          <w:p w14:paraId="07DD1855" w14:textId="77777777" w:rsidR="00AE727E" w:rsidRDefault="00AE727E">
            <w:pPr>
              <w:rPr>
                <w:rFonts w:ascii="宋体"/>
                <w:vanish/>
              </w:rPr>
            </w:pPr>
          </w:p>
        </w:tc>
        <w:tc>
          <w:tcPr>
            <w:tcW w:w="0" w:type="auto"/>
            <w:gridSpan w:val="3"/>
            <w:shd w:val="clear" w:color="auto" w:fill="auto"/>
            <w:vAlign w:val="bottom"/>
          </w:tcPr>
          <w:p w14:paraId="07DD1856" w14:textId="77777777" w:rsidR="00AE727E" w:rsidRDefault="00AE727E">
            <w:pPr>
              <w:rPr>
                <w:rFonts w:ascii="宋体"/>
                <w:vanish/>
              </w:rPr>
            </w:pPr>
          </w:p>
        </w:tc>
      </w:tr>
    </w:tbl>
    <w:p w14:paraId="07DD1858" w14:textId="77777777" w:rsidR="00AE727E" w:rsidRDefault="00AE727E"/>
    <w:p w14:paraId="07DD1859" w14:textId="77777777" w:rsidR="00AE727E" w:rsidRDefault="00AE727E">
      <w:pPr>
        <w:jc w:val="center"/>
      </w:pPr>
    </w:p>
    <w:p w14:paraId="07DD185A" w14:textId="77777777" w:rsidR="00AE727E" w:rsidRDefault="008433E0">
      <w:pPr>
        <w:jc w:val="center"/>
      </w:pPr>
      <w:r>
        <w:rPr>
          <w:rFonts w:ascii="Times New Roman" w:eastAsia="宋体" w:hAnsi="Times New Roman"/>
          <w:color w:val="000000"/>
          <w:sz w:val="20"/>
          <w:szCs w:val="20"/>
        </w:rPr>
        <w:t>98</w:t>
      </w:r>
    </w:p>
    <w:p w14:paraId="07DD185B" w14:textId="77777777" w:rsidR="00AE727E" w:rsidRDefault="00AE727E">
      <w:pPr>
        <w:jc w:val="center"/>
      </w:pPr>
    </w:p>
    <w:p w14:paraId="07DD185C" w14:textId="77777777" w:rsidR="00AE727E" w:rsidRDefault="008433E0">
      <w:r>
        <w:pict w14:anchorId="07DD1932">
          <v:rect id="_x0000_i1122" style="width:415.3pt;height:1.5pt" o:hralign="center" o:hrstd="t" o:hr="t" fillcolor="#a0a0a0" stroked="f"/>
        </w:pict>
      </w:r>
    </w:p>
    <w:p w14:paraId="07DD185D" w14:textId="77777777" w:rsidR="00AE727E" w:rsidRDefault="008433E0">
      <w:hyperlink r:id="rId236" w:anchor="i1c8279be622a460ea19600488436f115_10" w:history="1">
        <w:r>
          <w:rPr>
            <w:rStyle w:val="a5"/>
            <w:rFonts w:ascii="Times New Roman" w:eastAsia="宋体" w:hAnsi="Times New Roman"/>
            <w:sz w:val="20"/>
            <w:szCs w:val="20"/>
          </w:rPr>
          <w:t>Table of Contents</w:t>
        </w:r>
      </w:hyperlink>
    </w:p>
    <w:p w14:paraId="07DD185E" w14:textId="77777777" w:rsidR="00AE727E" w:rsidRDefault="008433E0">
      <w:pPr>
        <w:jc w:val="center"/>
      </w:pPr>
      <w:r>
        <w:rPr>
          <w:rFonts w:ascii="Times New Roman" w:eastAsia="宋体" w:hAnsi="Times New Roman"/>
          <w:b/>
          <w:bCs/>
          <w:color w:val="000000"/>
          <w:sz w:val="20"/>
          <w:szCs w:val="20"/>
        </w:rPr>
        <w:t>SIGNATURES</w:t>
      </w:r>
    </w:p>
    <w:p w14:paraId="07DD185F" w14:textId="77777777" w:rsidR="00AE727E" w:rsidRDefault="00AE727E">
      <w:pPr>
        <w:jc w:val="center"/>
      </w:pPr>
    </w:p>
    <w:p w14:paraId="07DD1860" w14:textId="77777777" w:rsidR="00AE727E" w:rsidRDefault="008433E0">
      <w:r>
        <w:rPr>
          <w:rFonts w:ascii="Times New Roman" w:eastAsia="宋体" w:hAnsi="Times New Roman"/>
          <w:color w:val="000000"/>
          <w:sz w:val="20"/>
          <w:szCs w:val="20"/>
          <w:shd w:val="clear" w:color="auto" w:fill="FFFFFF"/>
        </w:rPr>
        <w:t>Pursuant to the requirements of the Securities Exchange Act of 1934, the</w:t>
      </w:r>
      <w:r>
        <w:rPr>
          <w:rFonts w:ascii="Times New Roman" w:eastAsia="宋体" w:hAnsi="Times New Roman"/>
          <w:color w:val="000000"/>
          <w:sz w:val="20"/>
          <w:szCs w:val="20"/>
          <w:shd w:val="clear" w:color="auto" w:fill="FFFFFF"/>
        </w:rPr>
        <w:t xml:space="preserve"> registrant has duly caused this report to be signed on its behalf by the undersigned, thereunto duly authorized.</w:t>
      </w:r>
    </w:p>
    <w:p w14:paraId="07DD1861" w14:textId="77777777" w:rsidR="00AE727E" w:rsidRDefault="008433E0">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49"/>
        <w:gridCol w:w="3280"/>
        <w:gridCol w:w="36"/>
        <w:gridCol w:w="89"/>
        <w:gridCol w:w="282"/>
        <w:gridCol w:w="37"/>
        <w:gridCol w:w="49"/>
        <w:gridCol w:w="4136"/>
        <w:gridCol w:w="36"/>
      </w:tblGrid>
      <w:tr w:rsidR="00AE727E" w14:paraId="07DD186B" w14:textId="77777777">
        <w:tc>
          <w:tcPr>
            <w:tcW w:w="50" w:type="pct"/>
            <w:shd w:val="clear" w:color="auto" w:fill="auto"/>
            <w:vAlign w:val="bottom"/>
          </w:tcPr>
          <w:p w14:paraId="07DD1862" w14:textId="77777777" w:rsidR="00AE727E" w:rsidRDefault="00AE727E">
            <w:pPr>
              <w:rPr>
                <w:rFonts w:ascii="宋体"/>
              </w:rPr>
            </w:pPr>
          </w:p>
        </w:tc>
        <w:tc>
          <w:tcPr>
            <w:tcW w:w="2071" w:type="pct"/>
            <w:shd w:val="clear" w:color="auto" w:fill="auto"/>
            <w:vAlign w:val="bottom"/>
          </w:tcPr>
          <w:p w14:paraId="07DD1863" w14:textId="77777777" w:rsidR="00AE727E" w:rsidRDefault="00AE727E">
            <w:pPr>
              <w:rPr>
                <w:rFonts w:ascii="宋体"/>
              </w:rPr>
            </w:pPr>
          </w:p>
        </w:tc>
        <w:tc>
          <w:tcPr>
            <w:tcW w:w="5" w:type="pct"/>
            <w:shd w:val="clear" w:color="auto" w:fill="auto"/>
            <w:vAlign w:val="bottom"/>
          </w:tcPr>
          <w:p w14:paraId="07DD1864" w14:textId="77777777" w:rsidR="00AE727E" w:rsidRDefault="00AE727E">
            <w:pPr>
              <w:rPr>
                <w:rFonts w:ascii="宋体"/>
              </w:rPr>
            </w:pPr>
          </w:p>
        </w:tc>
        <w:tc>
          <w:tcPr>
            <w:tcW w:w="50" w:type="pct"/>
            <w:shd w:val="clear" w:color="auto" w:fill="auto"/>
            <w:vAlign w:val="bottom"/>
          </w:tcPr>
          <w:p w14:paraId="07DD1865" w14:textId="77777777" w:rsidR="00AE727E" w:rsidRDefault="00AE727E">
            <w:pPr>
              <w:rPr>
                <w:rFonts w:ascii="宋体"/>
              </w:rPr>
            </w:pPr>
          </w:p>
        </w:tc>
        <w:tc>
          <w:tcPr>
            <w:tcW w:w="158" w:type="pct"/>
            <w:shd w:val="clear" w:color="auto" w:fill="auto"/>
            <w:vAlign w:val="bottom"/>
          </w:tcPr>
          <w:p w14:paraId="07DD1866" w14:textId="77777777" w:rsidR="00AE727E" w:rsidRDefault="00AE727E">
            <w:pPr>
              <w:rPr>
                <w:rFonts w:ascii="宋体"/>
              </w:rPr>
            </w:pPr>
          </w:p>
        </w:tc>
        <w:tc>
          <w:tcPr>
            <w:tcW w:w="5" w:type="pct"/>
            <w:shd w:val="clear" w:color="auto" w:fill="auto"/>
            <w:vAlign w:val="bottom"/>
          </w:tcPr>
          <w:p w14:paraId="07DD1867" w14:textId="77777777" w:rsidR="00AE727E" w:rsidRDefault="00AE727E">
            <w:pPr>
              <w:rPr>
                <w:rFonts w:ascii="宋体"/>
              </w:rPr>
            </w:pPr>
          </w:p>
        </w:tc>
        <w:tc>
          <w:tcPr>
            <w:tcW w:w="50" w:type="pct"/>
            <w:shd w:val="clear" w:color="auto" w:fill="auto"/>
            <w:vAlign w:val="bottom"/>
          </w:tcPr>
          <w:p w14:paraId="07DD1868" w14:textId="77777777" w:rsidR="00AE727E" w:rsidRDefault="00AE727E">
            <w:pPr>
              <w:rPr>
                <w:rFonts w:ascii="宋体"/>
              </w:rPr>
            </w:pPr>
          </w:p>
        </w:tc>
        <w:tc>
          <w:tcPr>
            <w:tcW w:w="2605" w:type="pct"/>
            <w:shd w:val="clear" w:color="auto" w:fill="auto"/>
            <w:vAlign w:val="bottom"/>
          </w:tcPr>
          <w:p w14:paraId="07DD1869" w14:textId="77777777" w:rsidR="00AE727E" w:rsidRDefault="00AE727E">
            <w:pPr>
              <w:rPr>
                <w:rFonts w:ascii="宋体"/>
              </w:rPr>
            </w:pPr>
          </w:p>
        </w:tc>
        <w:tc>
          <w:tcPr>
            <w:tcW w:w="5" w:type="pct"/>
            <w:shd w:val="clear" w:color="auto" w:fill="auto"/>
            <w:vAlign w:val="bottom"/>
          </w:tcPr>
          <w:p w14:paraId="07DD186A" w14:textId="77777777" w:rsidR="00AE727E" w:rsidRDefault="00AE727E">
            <w:pPr>
              <w:rPr>
                <w:rFonts w:ascii="宋体"/>
              </w:rPr>
            </w:pPr>
          </w:p>
        </w:tc>
      </w:tr>
      <w:tr w:rsidR="00AE727E" w14:paraId="07DD186E" w14:textId="77777777">
        <w:tc>
          <w:tcPr>
            <w:tcW w:w="0" w:type="auto"/>
            <w:gridSpan w:val="3"/>
            <w:shd w:val="clear" w:color="auto" w:fill="auto"/>
            <w:tcMar>
              <w:top w:w="0" w:type="dxa"/>
              <w:left w:w="20" w:type="dxa"/>
              <w:bottom w:w="0" w:type="dxa"/>
              <w:right w:w="20" w:type="dxa"/>
            </w:tcMar>
            <w:vAlign w:val="bottom"/>
          </w:tcPr>
          <w:p w14:paraId="07DD186C" w14:textId="77777777" w:rsidR="00AE727E" w:rsidRDefault="00AE727E">
            <w:pPr>
              <w:rPr>
                <w:rFonts w:ascii="宋体"/>
              </w:rPr>
            </w:pPr>
          </w:p>
        </w:tc>
        <w:tc>
          <w:tcPr>
            <w:tcW w:w="0" w:type="auto"/>
            <w:gridSpan w:val="6"/>
            <w:shd w:val="clear" w:color="auto" w:fill="auto"/>
            <w:tcMar>
              <w:top w:w="40" w:type="dxa"/>
              <w:left w:w="20" w:type="dxa"/>
              <w:bottom w:w="40" w:type="dxa"/>
              <w:right w:w="20" w:type="dxa"/>
            </w:tcMar>
            <w:vAlign w:val="bottom"/>
          </w:tcPr>
          <w:p w14:paraId="07DD186D" w14:textId="77777777" w:rsidR="00AE727E" w:rsidRDefault="008433E0">
            <w:pPr>
              <w:textAlignment w:val="bottom"/>
            </w:pPr>
            <w:r>
              <w:rPr>
                <w:rFonts w:ascii="Times New Roman" w:eastAsia="宋体" w:hAnsi="Times New Roman"/>
                <w:color w:val="000000"/>
                <w:sz w:val="20"/>
                <w:szCs w:val="20"/>
              </w:rPr>
              <w:t>DELL TECHNOLOGIES INC.</w:t>
            </w:r>
          </w:p>
        </w:tc>
      </w:tr>
      <w:tr w:rsidR="00AE727E" w14:paraId="07DD1872" w14:textId="77777777">
        <w:trPr>
          <w:trHeight w:val="300"/>
        </w:trPr>
        <w:tc>
          <w:tcPr>
            <w:tcW w:w="0" w:type="auto"/>
            <w:gridSpan w:val="3"/>
            <w:shd w:val="clear" w:color="auto" w:fill="auto"/>
            <w:tcMar>
              <w:top w:w="0" w:type="dxa"/>
              <w:left w:w="20" w:type="dxa"/>
              <w:bottom w:w="0" w:type="dxa"/>
              <w:right w:w="20" w:type="dxa"/>
            </w:tcMar>
            <w:vAlign w:val="bottom"/>
          </w:tcPr>
          <w:p w14:paraId="07DD186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70"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71" w14:textId="77777777" w:rsidR="00AE727E" w:rsidRDefault="00AE727E">
            <w:pPr>
              <w:rPr>
                <w:rFonts w:ascii="宋体"/>
              </w:rPr>
            </w:pPr>
          </w:p>
        </w:tc>
      </w:tr>
      <w:tr w:rsidR="00AE727E" w14:paraId="07DD1876" w14:textId="77777777">
        <w:tc>
          <w:tcPr>
            <w:tcW w:w="0" w:type="auto"/>
            <w:gridSpan w:val="3"/>
            <w:shd w:val="clear" w:color="auto" w:fill="auto"/>
            <w:tcMar>
              <w:top w:w="40" w:type="dxa"/>
              <w:left w:w="20" w:type="dxa"/>
              <w:bottom w:w="40" w:type="dxa"/>
              <w:right w:w="20" w:type="dxa"/>
            </w:tcMar>
          </w:tcPr>
          <w:p w14:paraId="07DD1873" w14:textId="77777777" w:rsidR="00AE727E" w:rsidRDefault="008433E0">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07DD1874" w14:textId="77777777" w:rsidR="00AE727E" w:rsidRDefault="008433E0">
            <w:pPr>
              <w:textAlignment w:val="top"/>
            </w:pPr>
            <w:r>
              <w:rPr>
                <w:rFonts w:ascii="Times New Roman" w:eastAsia="宋体" w:hAnsi="Times New Roman"/>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07DD1875" w14:textId="77777777" w:rsidR="00AE727E" w:rsidRDefault="008433E0">
            <w:pPr>
              <w:jc w:val="center"/>
              <w:textAlignment w:val="bottom"/>
            </w:pPr>
            <w:r>
              <w:rPr>
                <w:rFonts w:ascii="Times New Roman" w:eastAsia="宋体" w:hAnsi="Times New Roman"/>
                <w:color w:val="000000"/>
                <w:sz w:val="20"/>
                <w:szCs w:val="20"/>
              </w:rPr>
              <w:t>/s/ BRUNILDA RIOS</w:t>
            </w:r>
          </w:p>
        </w:tc>
      </w:tr>
      <w:tr w:rsidR="00AE727E" w14:paraId="07DD187A" w14:textId="77777777">
        <w:tc>
          <w:tcPr>
            <w:tcW w:w="0" w:type="auto"/>
            <w:gridSpan w:val="3"/>
            <w:shd w:val="clear" w:color="auto" w:fill="auto"/>
            <w:tcMar>
              <w:top w:w="0" w:type="dxa"/>
              <w:left w:w="20" w:type="dxa"/>
              <w:bottom w:w="0" w:type="dxa"/>
              <w:right w:w="20" w:type="dxa"/>
            </w:tcMar>
            <w:vAlign w:val="bottom"/>
          </w:tcPr>
          <w:p w14:paraId="07DD1877"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78" w14:textId="77777777" w:rsidR="00AE727E" w:rsidRDefault="00AE727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D1879" w14:textId="77777777" w:rsidR="00AE727E" w:rsidRDefault="008433E0">
            <w:pPr>
              <w:jc w:val="center"/>
              <w:textAlignment w:val="bottom"/>
            </w:pPr>
            <w:r>
              <w:rPr>
                <w:rFonts w:ascii="Times New Roman" w:eastAsia="宋体" w:hAnsi="Times New Roman"/>
                <w:color w:val="000000"/>
                <w:sz w:val="20"/>
                <w:szCs w:val="20"/>
              </w:rPr>
              <w:t>Brunilda Rios</w:t>
            </w:r>
          </w:p>
        </w:tc>
      </w:tr>
      <w:tr w:rsidR="00AE727E" w14:paraId="07DD187E" w14:textId="77777777">
        <w:tc>
          <w:tcPr>
            <w:tcW w:w="0" w:type="auto"/>
            <w:gridSpan w:val="3"/>
            <w:shd w:val="clear" w:color="auto" w:fill="auto"/>
            <w:tcMar>
              <w:top w:w="0" w:type="dxa"/>
              <w:left w:w="20" w:type="dxa"/>
              <w:bottom w:w="0" w:type="dxa"/>
              <w:right w:w="20" w:type="dxa"/>
            </w:tcMar>
            <w:vAlign w:val="bottom"/>
          </w:tcPr>
          <w:p w14:paraId="07DD187B"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7C"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87D" w14:textId="77777777" w:rsidR="00AE727E" w:rsidRDefault="008433E0">
            <w:pPr>
              <w:jc w:val="center"/>
              <w:textAlignment w:val="bottom"/>
            </w:pPr>
            <w:r>
              <w:rPr>
                <w:rFonts w:ascii="Times New Roman" w:eastAsia="宋体" w:hAnsi="Times New Roman"/>
                <w:i/>
                <w:iCs/>
                <w:color w:val="000000"/>
                <w:sz w:val="20"/>
                <w:szCs w:val="20"/>
              </w:rPr>
              <w:t>Senior Vice President, Corporate Finance and</w:t>
            </w:r>
          </w:p>
        </w:tc>
      </w:tr>
      <w:tr w:rsidR="00AE727E" w14:paraId="07DD1882" w14:textId="77777777">
        <w:tc>
          <w:tcPr>
            <w:tcW w:w="0" w:type="auto"/>
            <w:gridSpan w:val="3"/>
            <w:shd w:val="clear" w:color="auto" w:fill="auto"/>
            <w:tcMar>
              <w:top w:w="0" w:type="dxa"/>
              <w:left w:w="20" w:type="dxa"/>
              <w:bottom w:w="0" w:type="dxa"/>
              <w:right w:w="20" w:type="dxa"/>
            </w:tcMar>
            <w:vAlign w:val="bottom"/>
          </w:tcPr>
          <w:p w14:paraId="07DD187F"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80"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881" w14:textId="77777777" w:rsidR="00AE727E" w:rsidRDefault="008433E0">
            <w:pPr>
              <w:jc w:val="center"/>
              <w:textAlignment w:val="bottom"/>
            </w:pPr>
            <w:r>
              <w:rPr>
                <w:rFonts w:ascii="Times New Roman" w:eastAsia="宋体" w:hAnsi="Times New Roman"/>
                <w:i/>
                <w:iCs/>
                <w:color w:val="000000"/>
                <w:sz w:val="20"/>
                <w:szCs w:val="20"/>
              </w:rPr>
              <w:t>Chief Accounting Officer</w:t>
            </w:r>
          </w:p>
        </w:tc>
      </w:tr>
      <w:tr w:rsidR="00AE727E" w14:paraId="07DD1886" w14:textId="77777777">
        <w:tc>
          <w:tcPr>
            <w:tcW w:w="0" w:type="auto"/>
            <w:gridSpan w:val="3"/>
            <w:shd w:val="clear" w:color="auto" w:fill="auto"/>
            <w:tcMar>
              <w:top w:w="0" w:type="dxa"/>
              <w:left w:w="20" w:type="dxa"/>
              <w:bottom w:w="0" w:type="dxa"/>
              <w:right w:w="20" w:type="dxa"/>
            </w:tcMar>
            <w:vAlign w:val="bottom"/>
          </w:tcPr>
          <w:p w14:paraId="07DD1883" w14:textId="77777777" w:rsidR="00AE727E" w:rsidRDefault="00AE727E">
            <w:pPr>
              <w:rPr>
                <w:rFonts w:ascii="宋体"/>
              </w:rPr>
            </w:pPr>
          </w:p>
        </w:tc>
        <w:tc>
          <w:tcPr>
            <w:tcW w:w="0" w:type="auto"/>
            <w:gridSpan w:val="3"/>
            <w:shd w:val="clear" w:color="auto" w:fill="auto"/>
            <w:tcMar>
              <w:top w:w="0" w:type="dxa"/>
              <w:left w:w="20" w:type="dxa"/>
              <w:bottom w:w="0" w:type="dxa"/>
              <w:right w:w="20" w:type="dxa"/>
            </w:tcMar>
            <w:vAlign w:val="bottom"/>
          </w:tcPr>
          <w:p w14:paraId="07DD1884" w14:textId="77777777" w:rsidR="00AE727E" w:rsidRDefault="00AE727E">
            <w:pPr>
              <w:rPr>
                <w:rFonts w:ascii="宋体"/>
              </w:rPr>
            </w:pPr>
          </w:p>
        </w:tc>
        <w:tc>
          <w:tcPr>
            <w:tcW w:w="0" w:type="auto"/>
            <w:gridSpan w:val="3"/>
            <w:shd w:val="clear" w:color="auto" w:fill="auto"/>
            <w:tcMar>
              <w:top w:w="40" w:type="dxa"/>
              <w:left w:w="20" w:type="dxa"/>
              <w:bottom w:w="40" w:type="dxa"/>
              <w:right w:w="20" w:type="dxa"/>
            </w:tcMar>
            <w:vAlign w:val="bottom"/>
          </w:tcPr>
          <w:p w14:paraId="07DD1885" w14:textId="77777777" w:rsidR="00AE727E" w:rsidRDefault="008433E0">
            <w:pPr>
              <w:jc w:val="center"/>
              <w:textAlignment w:val="bottom"/>
            </w:pPr>
            <w:r>
              <w:rPr>
                <w:rFonts w:ascii="Times New Roman" w:eastAsia="宋体" w:hAnsi="Times New Roman"/>
                <w:color w:val="000000"/>
                <w:sz w:val="20"/>
                <w:szCs w:val="20"/>
              </w:rPr>
              <w:t>(On behalf of registrant and as principal accounting officer)</w:t>
            </w:r>
          </w:p>
        </w:tc>
      </w:tr>
    </w:tbl>
    <w:p w14:paraId="07DD1887" w14:textId="77777777" w:rsidR="00AE727E" w:rsidRDefault="00AE727E"/>
    <w:p w14:paraId="07DD1888" w14:textId="77777777" w:rsidR="00AE727E" w:rsidRDefault="008433E0">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December 3, 2021 </w:t>
      </w:r>
    </w:p>
    <w:p w14:paraId="07DD1889" w14:textId="77777777" w:rsidR="00AE727E" w:rsidRDefault="00AE727E"/>
    <w:p w14:paraId="07DD188A" w14:textId="77777777" w:rsidR="00AE727E" w:rsidRDefault="00AE727E"/>
    <w:p w14:paraId="07DD188B" w14:textId="77777777" w:rsidR="00AE727E" w:rsidRDefault="00AE727E">
      <w:pPr>
        <w:jc w:val="center"/>
      </w:pPr>
    </w:p>
    <w:p w14:paraId="07DD188C" w14:textId="77777777" w:rsidR="00AE727E" w:rsidRDefault="008433E0">
      <w:pPr>
        <w:jc w:val="center"/>
      </w:pPr>
      <w:r>
        <w:rPr>
          <w:rFonts w:ascii="Times New Roman" w:eastAsia="宋体" w:hAnsi="Times New Roman"/>
          <w:color w:val="000000"/>
          <w:sz w:val="20"/>
          <w:szCs w:val="20"/>
        </w:rPr>
        <w:t>99</w:t>
      </w:r>
    </w:p>
    <w:p w14:paraId="07DD188D" w14:textId="77777777" w:rsidR="00AE727E" w:rsidRDefault="00AE727E">
      <w:pPr>
        <w:jc w:val="center"/>
      </w:pPr>
    </w:p>
    <w:p w14:paraId="07DD188E" w14:textId="77777777" w:rsidR="00AE727E" w:rsidRDefault="008433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D1933" wp14:editId="07DD1934">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90" w14:textId="77777777">
        <w:trPr>
          <w:tblCellSpacing w:w="15" w:type="dxa"/>
        </w:trPr>
        <w:tc>
          <w:tcPr>
            <w:tcW w:w="0" w:type="auto"/>
            <w:shd w:val="clear" w:color="auto" w:fill="auto"/>
            <w:vAlign w:val="center"/>
          </w:tcPr>
          <w:p w14:paraId="07DD188F" w14:textId="77777777" w:rsidR="00AE727E" w:rsidRDefault="00AE727E">
            <w:pPr>
              <w:rPr>
                <w:rFonts w:ascii="宋体"/>
              </w:rPr>
            </w:pPr>
          </w:p>
        </w:tc>
      </w:tr>
    </w:tbl>
    <w:p w14:paraId="07DD1891"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93" w14:textId="77777777">
        <w:trPr>
          <w:tblCellSpacing w:w="15" w:type="dxa"/>
        </w:trPr>
        <w:tc>
          <w:tcPr>
            <w:tcW w:w="0" w:type="auto"/>
            <w:shd w:val="clear" w:color="auto" w:fill="auto"/>
            <w:vAlign w:val="center"/>
          </w:tcPr>
          <w:p w14:paraId="07DD1892" w14:textId="77777777" w:rsidR="00AE727E" w:rsidRDefault="00AE727E">
            <w:pPr>
              <w:rPr>
                <w:rFonts w:ascii="宋体"/>
              </w:rPr>
            </w:pPr>
          </w:p>
        </w:tc>
      </w:tr>
    </w:tbl>
    <w:p w14:paraId="07DD1894"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96" w14:textId="77777777">
        <w:trPr>
          <w:tblCellSpacing w:w="15" w:type="dxa"/>
        </w:trPr>
        <w:tc>
          <w:tcPr>
            <w:tcW w:w="0" w:type="auto"/>
            <w:shd w:val="clear" w:color="auto" w:fill="auto"/>
            <w:vAlign w:val="center"/>
          </w:tcPr>
          <w:p w14:paraId="07DD1895" w14:textId="77777777" w:rsidR="00AE727E" w:rsidRDefault="00AE727E">
            <w:pPr>
              <w:rPr>
                <w:rFonts w:ascii="宋体"/>
              </w:rPr>
            </w:pPr>
          </w:p>
        </w:tc>
      </w:tr>
    </w:tbl>
    <w:p w14:paraId="07DD1897"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99" w14:textId="77777777">
        <w:trPr>
          <w:tblCellSpacing w:w="15" w:type="dxa"/>
        </w:trPr>
        <w:tc>
          <w:tcPr>
            <w:tcW w:w="0" w:type="auto"/>
            <w:shd w:val="clear" w:color="auto" w:fill="auto"/>
            <w:vAlign w:val="center"/>
          </w:tcPr>
          <w:p w14:paraId="07DD1898" w14:textId="77777777" w:rsidR="00AE727E" w:rsidRDefault="00AE727E">
            <w:pPr>
              <w:rPr>
                <w:rFonts w:ascii="宋体"/>
              </w:rPr>
            </w:pPr>
          </w:p>
        </w:tc>
      </w:tr>
    </w:tbl>
    <w:p w14:paraId="07DD189A" w14:textId="77777777" w:rsidR="00AE727E" w:rsidRDefault="008433E0">
      <w:r>
        <w:rPr>
          <w:rFonts w:ascii="宋体" w:eastAsia="宋体" w:hAnsi="宋体" w:cs="宋体"/>
        </w:rPr>
        <w:t xml:space="preserve">Previous Next </w:t>
      </w:r>
    </w:p>
    <w:p w14:paraId="07DD189B" w14:textId="77777777" w:rsidR="00AE727E" w:rsidRDefault="008433E0">
      <w:pPr>
        <w:pStyle w:val="a3"/>
      </w:pPr>
      <w:r>
        <w:t>Settings</w:t>
      </w:r>
    </w:p>
    <w:p w14:paraId="07DD189C" w14:textId="77777777" w:rsidR="00AE727E" w:rsidRDefault="008433E0">
      <w:pPr>
        <w:pStyle w:val="Style4"/>
      </w:pPr>
      <w:r>
        <w:t>窗体顶端</w:t>
      </w:r>
    </w:p>
    <w:p w14:paraId="07DD189D" w14:textId="77777777" w:rsidR="00AE727E" w:rsidRDefault="008433E0">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7DD1935" wp14:editId="07DD1936">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7DD189E" w14:textId="77777777" w:rsidR="00AE727E" w:rsidRDefault="008433E0">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7DD1937" wp14:editId="07DD1938">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07DD189F" w14:textId="77777777" w:rsidR="00AE727E" w:rsidRDefault="008433E0">
      <w:r>
        <w:pict w14:anchorId="07DD1939">
          <v:rect id="_x0000_i1123" style="width:415.3pt;height:1.5pt" o:hralign="center" o:hrstd="t" o:hr="t" fillcolor="#a0a0a0" stroked="f"/>
        </w:pict>
      </w:r>
    </w:p>
    <w:p w14:paraId="07DD18A0" w14:textId="77777777" w:rsidR="00AE727E" w:rsidRDefault="008433E0">
      <w:r>
        <w:rPr>
          <w:rFonts w:ascii="宋体" w:eastAsia="宋体" w:hAnsi="宋体" w:cs="宋体"/>
        </w:rPr>
        <w:t xml:space="preserve">Tagged Data </w:t>
      </w:r>
    </w:p>
    <w:p w14:paraId="07DD18A1" w14:textId="77777777" w:rsidR="00AE727E" w:rsidRDefault="008433E0">
      <w:r>
        <w:rPr>
          <w:rFonts w:ascii="monospace" w:eastAsia="monospace" w:hAnsi="monospace" w:cs="monospace"/>
          <w:noProof/>
        </w:rPr>
        <mc:AlternateContent>
          <mc:Choice Requires="wps">
            <w:drawing>
              <wp:inline distT="0" distB="0" distL="114300" distR="114300" wp14:anchorId="07DD193A" wp14:editId="07DD193B">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7DD18A2" w14:textId="77777777" w:rsidR="00AE727E" w:rsidRDefault="008433E0">
      <w:r>
        <w:rPr>
          <w:rFonts w:ascii="宋体" w:eastAsia="宋体" w:hAnsi="宋体" w:cs="宋体"/>
        </w:rPr>
        <w:t>Save</w:t>
      </w:r>
    </w:p>
    <w:p w14:paraId="07DD18A3" w14:textId="77777777" w:rsidR="00AE727E" w:rsidRDefault="008433E0">
      <w:r>
        <w:rPr>
          <w:rFonts w:ascii="宋体" w:eastAsia="宋体" w:hAnsi="宋体" w:cs="宋体"/>
        </w:rPr>
        <w:t>Reset</w:t>
      </w:r>
    </w:p>
    <w:p w14:paraId="07DD18A4" w14:textId="77777777" w:rsidR="00AE727E" w:rsidRDefault="008433E0">
      <w:r>
        <w:pict w14:anchorId="07DD193C">
          <v:rect id="_x0000_i1124" style="width:415.3pt;height:1.5pt" o:hralign="center" o:hrstd="t" o:hr="t" fillcolor="#a0a0a0" stroked="f"/>
        </w:pict>
      </w:r>
    </w:p>
    <w:p w14:paraId="07DD18A5" w14:textId="77777777" w:rsidR="00AE727E" w:rsidRDefault="008433E0">
      <w:r>
        <w:rPr>
          <w:rFonts w:ascii="宋体" w:eastAsia="宋体" w:hAnsi="宋体" w:cs="宋体"/>
        </w:rPr>
        <w:t xml:space="preserve">Search Results </w:t>
      </w:r>
    </w:p>
    <w:p w14:paraId="07DD18A6" w14:textId="77777777" w:rsidR="00AE727E" w:rsidRDefault="008433E0">
      <w:r>
        <w:rPr>
          <w:rFonts w:ascii="monospace" w:eastAsia="monospace" w:hAnsi="monospace" w:cs="monospace"/>
          <w:noProof/>
        </w:rPr>
        <mc:AlternateContent>
          <mc:Choice Requires="wps">
            <w:drawing>
              <wp:inline distT="0" distB="0" distL="114300" distR="114300" wp14:anchorId="07DD193D" wp14:editId="07DD193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7DD18A7" w14:textId="77777777" w:rsidR="00AE727E" w:rsidRDefault="008433E0">
      <w:r>
        <w:rPr>
          <w:rFonts w:ascii="宋体" w:eastAsia="宋体" w:hAnsi="宋体" w:cs="宋体"/>
        </w:rPr>
        <w:t>Save</w:t>
      </w:r>
    </w:p>
    <w:p w14:paraId="07DD18A8" w14:textId="77777777" w:rsidR="00AE727E" w:rsidRDefault="008433E0">
      <w:r>
        <w:rPr>
          <w:rFonts w:ascii="宋体" w:eastAsia="宋体" w:hAnsi="宋体" w:cs="宋体"/>
        </w:rPr>
        <w:t>Reset</w:t>
      </w:r>
    </w:p>
    <w:p w14:paraId="07DD18A9" w14:textId="77777777" w:rsidR="00AE727E" w:rsidRDefault="008433E0">
      <w:r>
        <w:pict w14:anchorId="07DD193F">
          <v:rect id="_x0000_i1125" style="width:415.3pt;height:1.5pt" o:hralign="center" o:hrstd="t" o:hr="t" fillcolor="#a0a0a0" stroked="f"/>
        </w:pict>
      </w:r>
    </w:p>
    <w:p w14:paraId="07DD18AA" w14:textId="77777777" w:rsidR="00AE727E" w:rsidRDefault="008433E0">
      <w:r>
        <w:rPr>
          <w:rFonts w:ascii="宋体" w:eastAsia="宋体" w:hAnsi="宋体" w:cs="宋体"/>
        </w:rPr>
        <w:t xml:space="preserve">Selected Fact </w:t>
      </w:r>
    </w:p>
    <w:p w14:paraId="07DD18AB" w14:textId="77777777" w:rsidR="00AE727E" w:rsidRDefault="008433E0">
      <w:r>
        <w:rPr>
          <w:rFonts w:ascii="monospace" w:eastAsia="monospace" w:hAnsi="monospace" w:cs="monospace"/>
          <w:noProof/>
        </w:rPr>
        <mc:AlternateContent>
          <mc:Choice Requires="wps">
            <w:drawing>
              <wp:inline distT="0" distB="0" distL="114300" distR="114300" wp14:anchorId="07DD1940" wp14:editId="07DD1941">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7DD18AC" w14:textId="77777777" w:rsidR="00AE727E" w:rsidRDefault="008433E0">
      <w:r>
        <w:rPr>
          <w:rFonts w:ascii="宋体" w:eastAsia="宋体" w:hAnsi="宋体" w:cs="宋体"/>
        </w:rPr>
        <w:t>Save</w:t>
      </w:r>
    </w:p>
    <w:p w14:paraId="07DD18AD" w14:textId="77777777" w:rsidR="00AE727E" w:rsidRDefault="008433E0">
      <w:r>
        <w:rPr>
          <w:rFonts w:ascii="宋体" w:eastAsia="宋体" w:hAnsi="宋体" w:cs="宋体"/>
        </w:rPr>
        <w:t>Reset</w:t>
      </w:r>
    </w:p>
    <w:p w14:paraId="07DD18AE" w14:textId="77777777" w:rsidR="00AE727E" w:rsidRDefault="008433E0">
      <w:r>
        <w:pict w14:anchorId="07DD1942">
          <v:rect id="_x0000_i1126" style="width:415.3pt;height:1.5pt" o:hralign="center" o:hrstd="t" o:hr="t" fillcolor="#a0a0a0" stroked="f"/>
        </w:pict>
      </w:r>
    </w:p>
    <w:p w14:paraId="07DD18AF" w14:textId="77777777" w:rsidR="00AE727E" w:rsidRDefault="008433E0">
      <w:r>
        <w:rPr>
          <w:rFonts w:ascii="宋体" w:eastAsia="宋体" w:hAnsi="宋体" w:cs="宋体"/>
        </w:rPr>
        <w:t xml:space="preserve">Tag Shading (hover) </w:t>
      </w:r>
    </w:p>
    <w:p w14:paraId="07DD18B0" w14:textId="77777777" w:rsidR="00AE727E" w:rsidRDefault="008433E0">
      <w:r>
        <w:rPr>
          <w:rFonts w:ascii="monospace" w:eastAsia="monospace" w:hAnsi="monospace" w:cs="monospace"/>
          <w:noProof/>
        </w:rPr>
        <mc:AlternateContent>
          <mc:Choice Requires="wps">
            <w:drawing>
              <wp:inline distT="0" distB="0" distL="114300" distR="114300" wp14:anchorId="07DD1943" wp14:editId="07DD1944">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7DD18B1" w14:textId="77777777" w:rsidR="00AE727E" w:rsidRDefault="008433E0">
      <w:r>
        <w:rPr>
          <w:rFonts w:ascii="宋体" w:eastAsia="宋体" w:hAnsi="宋体" w:cs="宋体"/>
        </w:rPr>
        <w:t>Save</w:t>
      </w:r>
    </w:p>
    <w:p w14:paraId="07DD18B2" w14:textId="77777777" w:rsidR="00AE727E" w:rsidRDefault="008433E0">
      <w:r>
        <w:rPr>
          <w:rFonts w:ascii="宋体" w:eastAsia="宋体" w:hAnsi="宋体" w:cs="宋体"/>
        </w:rPr>
        <w:t>Reset</w:t>
      </w:r>
    </w:p>
    <w:p w14:paraId="07DD18B3" w14:textId="77777777" w:rsidR="00AE727E" w:rsidRDefault="008433E0">
      <w:pPr>
        <w:pStyle w:val="Style5"/>
      </w:pPr>
      <w:r>
        <w:t>窗体底端</w:t>
      </w:r>
    </w:p>
    <w:p w14:paraId="07DD18B4" w14:textId="77777777" w:rsidR="00AE727E" w:rsidRDefault="008433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D1945" wp14:editId="07DD1946">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B6" w14:textId="77777777">
        <w:trPr>
          <w:tblCellSpacing w:w="15" w:type="dxa"/>
        </w:trPr>
        <w:tc>
          <w:tcPr>
            <w:tcW w:w="0" w:type="auto"/>
            <w:shd w:val="clear" w:color="auto" w:fill="auto"/>
            <w:vAlign w:val="center"/>
          </w:tcPr>
          <w:p w14:paraId="07DD18B5" w14:textId="77777777" w:rsidR="00AE727E" w:rsidRDefault="00AE727E">
            <w:pPr>
              <w:rPr>
                <w:rFonts w:ascii="宋体"/>
              </w:rPr>
            </w:pPr>
          </w:p>
        </w:tc>
      </w:tr>
    </w:tbl>
    <w:p w14:paraId="07DD18B7"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B9" w14:textId="77777777">
        <w:trPr>
          <w:tblCellSpacing w:w="15" w:type="dxa"/>
        </w:trPr>
        <w:tc>
          <w:tcPr>
            <w:tcW w:w="0" w:type="auto"/>
            <w:shd w:val="clear" w:color="auto" w:fill="auto"/>
            <w:vAlign w:val="center"/>
          </w:tcPr>
          <w:p w14:paraId="07DD18B8" w14:textId="77777777" w:rsidR="00AE727E" w:rsidRDefault="00AE727E">
            <w:pPr>
              <w:rPr>
                <w:rFonts w:ascii="宋体"/>
              </w:rPr>
            </w:pPr>
          </w:p>
        </w:tc>
      </w:tr>
    </w:tbl>
    <w:p w14:paraId="07DD18BA"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BC" w14:textId="77777777">
        <w:trPr>
          <w:tblCellSpacing w:w="15" w:type="dxa"/>
        </w:trPr>
        <w:tc>
          <w:tcPr>
            <w:tcW w:w="0" w:type="auto"/>
            <w:shd w:val="clear" w:color="auto" w:fill="auto"/>
            <w:vAlign w:val="center"/>
          </w:tcPr>
          <w:p w14:paraId="07DD18BB" w14:textId="77777777" w:rsidR="00AE727E" w:rsidRDefault="00AE727E">
            <w:pPr>
              <w:rPr>
                <w:rFonts w:ascii="宋体"/>
              </w:rPr>
            </w:pPr>
          </w:p>
        </w:tc>
      </w:tr>
    </w:tbl>
    <w:p w14:paraId="07DD18BD"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BF" w14:textId="77777777">
        <w:trPr>
          <w:tblCellSpacing w:w="15" w:type="dxa"/>
        </w:trPr>
        <w:tc>
          <w:tcPr>
            <w:tcW w:w="0" w:type="auto"/>
            <w:shd w:val="clear" w:color="auto" w:fill="auto"/>
            <w:vAlign w:val="center"/>
          </w:tcPr>
          <w:p w14:paraId="07DD18BE" w14:textId="77777777" w:rsidR="00AE727E" w:rsidRDefault="00AE727E">
            <w:pPr>
              <w:rPr>
                <w:rFonts w:ascii="宋体"/>
              </w:rPr>
            </w:pPr>
          </w:p>
        </w:tc>
      </w:tr>
    </w:tbl>
    <w:p w14:paraId="07DD18C0" w14:textId="77777777" w:rsidR="00AE727E" w:rsidRDefault="008433E0">
      <w:r>
        <w:rPr>
          <w:rFonts w:ascii="宋体" w:eastAsia="宋体" w:hAnsi="宋体" w:cs="宋体"/>
        </w:rPr>
        <w:t xml:space="preserve">Previous Next </w:t>
      </w:r>
    </w:p>
    <w:p w14:paraId="07DD18C1" w14:textId="77777777" w:rsidR="00AE727E" w:rsidRDefault="008433E0">
      <w:pPr>
        <w:pStyle w:val="a3"/>
      </w:pPr>
      <w:r>
        <w:t xml:space="preserve">Nested Facts / </w:t>
      </w:r>
    </w:p>
    <w:p w14:paraId="07DD18C2" w14:textId="77777777" w:rsidR="00AE727E" w:rsidRDefault="008433E0">
      <w:r>
        <w:rPr>
          <w:rFonts w:ascii="宋体" w:eastAsia="宋体" w:hAnsi="宋体" w:cs="宋体"/>
        </w:rPr>
        <w:t xml:space="preserve">Previous Next </w:t>
      </w:r>
    </w:p>
    <w:p w14:paraId="07DD18C3" w14:textId="77777777" w:rsidR="00AE727E" w:rsidRDefault="008433E0">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D1947" wp14:editId="07DD1948">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C5" w14:textId="77777777">
        <w:trPr>
          <w:tblCellSpacing w:w="15" w:type="dxa"/>
        </w:trPr>
        <w:tc>
          <w:tcPr>
            <w:tcW w:w="0" w:type="auto"/>
            <w:shd w:val="clear" w:color="auto" w:fill="auto"/>
            <w:vAlign w:val="center"/>
          </w:tcPr>
          <w:p w14:paraId="07DD18C4" w14:textId="77777777" w:rsidR="00AE727E" w:rsidRDefault="00AE727E">
            <w:pPr>
              <w:rPr>
                <w:rFonts w:ascii="宋体"/>
              </w:rPr>
            </w:pPr>
          </w:p>
        </w:tc>
      </w:tr>
    </w:tbl>
    <w:p w14:paraId="07DD18C6"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C8" w14:textId="77777777">
        <w:trPr>
          <w:tblCellSpacing w:w="15" w:type="dxa"/>
        </w:trPr>
        <w:tc>
          <w:tcPr>
            <w:tcW w:w="0" w:type="auto"/>
            <w:shd w:val="clear" w:color="auto" w:fill="auto"/>
            <w:vAlign w:val="center"/>
          </w:tcPr>
          <w:p w14:paraId="07DD18C7" w14:textId="77777777" w:rsidR="00AE727E" w:rsidRDefault="00AE727E">
            <w:pPr>
              <w:rPr>
                <w:rFonts w:ascii="宋体"/>
              </w:rPr>
            </w:pPr>
          </w:p>
        </w:tc>
      </w:tr>
    </w:tbl>
    <w:p w14:paraId="07DD18C9"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CB" w14:textId="77777777">
        <w:trPr>
          <w:tblCellSpacing w:w="15" w:type="dxa"/>
        </w:trPr>
        <w:tc>
          <w:tcPr>
            <w:tcW w:w="0" w:type="auto"/>
            <w:shd w:val="clear" w:color="auto" w:fill="auto"/>
            <w:vAlign w:val="center"/>
          </w:tcPr>
          <w:p w14:paraId="07DD18CA" w14:textId="77777777" w:rsidR="00AE727E" w:rsidRDefault="00AE727E">
            <w:pPr>
              <w:rPr>
                <w:rFonts w:ascii="宋体"/>
              </w:rPr>
            </w:pPr>
          </w:p>
        </w:tc>
      </w:tr>
    </w:tbl>
    <w:p w14:paraId="07DD18CC" w14:textId="77777777" w:rsidR="00AE727E" w:rsidRDefault="00AE727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27E" w14:paraId="07DD18CE" w14:textId="77777777">
        <w:trPr>
          <w:tblCellSpacing w:w="15" w:type="dxa"/>
        </w:trPr>
        <w:tc>
          <w:tcPr>
            <w:tcW w:w="0" w:type="auto"/>
            <w:shd w:val="clear" w:color="auto" w:fill="auto"/>
            <w:vAlign w:val="center"/>
          </w:tcPr>
          <w:p w14:paraId="07DD18CD" w14:textId="77777777" w:rsidR="00AE727E" w:rsidRDefault="00AE727E">
            <w:pPr>
              <w:rPr>
                <w:rFonts w:ascii="宋体"/>
              </w:rPr>
            </w:pPr>
          </w:p>
        </w:tc>
      </w:tr>
    </w:tbl>
    <w:p w14:paraId="07DD18CF" w14:textId="77777777" w:rsidR="00AE727E" w:rsidRDefault="008433E0">
      <w:r>
        <w:rPr>
          <w:rFonts w:ascii="宋体" w:eastAsia="宋体" w:hAnsi="宋体" w:cs="宋体"/>
        </w:rPr>
        <w:t xml:space="preserve">Previous Next </w:t>
      </w:r>
    </w:p>
    <w:p w14:paraId="07DD18D0" w14:textId="77777777" w:rsidR="00AE727E" w:rsidRDefault="00AE727E"/>
    <w:sectPr w:rsidR="00AE727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7F58" w14:textId="77777777" w:rsidR="008433E0" w:rsidRDefault="008433E0" w:rsidP="008433E0">
      <w:r>
        <w:separator/>
      </w:r>
    </w:p>
  </w:endnote>
  <w:endnote w:type="continuationSeparator" w:id="0">
    <w:p w14:paraId="08BAE0A0" w14:textId="77777777" w:rsidR="008433E0" w:rsidRDefault="008433E0" w:rsidP="00843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35D2" w14:textId="77777777" w:rsidR="008433E0" w:rsidRDefault="008433E0" w:rsidP="008433E0">
      <w:r>
        <w:separator/>
      </w:r>
    </w:p>
  </w:footnote>
  <w:footnote w:type="continuationSeparator" w:id="0">
    <w:p w14:paraId="18299576" w14:textId="77777777" w:rsidR="008433E0" w:rsidRDefault="008433E0" w:rsidP="008433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DFE482"/>
    <w:rsid w:val="008433E0"/>
    <w:rsid w:val="00AE727E"/>
    <w:rsid w:val="2ADFE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CD39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433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433E0"/>
    <w:rPr>
      <w:rFonts w:asciiTheme="minorEastAsia" w:hAnsiTheme="minorEastAsia" w:cs="Times New Roman"/>
      <w:sz w:val="18"/>
      <w:szCs w:val="18"/>
    </w:rPr>
  </w:style>
  <w:style w:type="paragraph" w:styleId="a8">
    <w:name w:val="footer"/>
    <w:basedOn w:val="a"/>
    <w:link w:val="a9"/>
    <w:rsid w:val="008433E0"/>
    <w:pPr>
      <w:tabs>
        <w:tab w:val="center" w:pos="4153"/>
        <w:tab w:val="right" w:pos="8306"/>
      </w:tabs>
      <w:snapToGrid w:val="0"/>
    </w:pPr>
    <w:rPr>
      <w:sz w:val="18"/>
      <w:szCs w:val="18"/>
    </w:rPr>
  </w:style>
  <w:style w:type="character" w:customStyle="1" w:styleId="a9">
    <w:name w:val="页脚 字符"/>
    <w:basedOn w:val="a0"/>
    <w:link w:val="a8"/>
    <w:rsid w:val="008433E0"/>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1000063/dell-20211029.htm" TargetMode="External"/><Relationship Id="rId21" Type="http://schemas.openxmlformats.org/officeDocument/2006/relationships/hyperlink" Target="https://www.sec.gov/ix?doc=/Archives/edgar/data/0001571996/000157199621000063/dell-20211029.htm" TargetMode="External"/><Relationship Id="rId42" Type="http://schemas.openxmlformats.org/officeDocument/2006/relationships/hyperlink" Target="https://www.sec.gov/ix?doc=/Archives/edgar/data/0001571996/000157199621000063/dell-20211029.htm" TargetMode="External"/><Relationship Id="rId63" Type="http://schemas.openxmlformats.org/officeDocument/2006/relationships/hyperlink" Target="https://www.sec.gov/ix?doc=/Archives/edgar/data/0001571996/000157199621000063/dell-20211029.htm" TargetMode="External"/><Relationship Id="rId84" Type="http://schemas.openxmlformats.org/officeDocument/2006/relationships/hyperlink" Target="https://www.sec.gov/ix?doc=/Archives/edgar/data/0001571996/000157199621000063/dell-20211029.htm" TargetMode="External"/><Relationship Id="rId138" Type="http://schemas.openxmlformats.org/officeDocument/2006/relationships/hyperlink" Target="https://www.sec.gov/ix?doc=/Archives/edgar/data/0001571996/000157199621000063/dell-20211029.htm" TargetMode="External"/><Relationship Id="rId159" Type="http://schemas.openxmlformats.org/officeDocument/2006/relationships/hyperlink" Target="https://www.sec.gov/ix?doc=/Archives/edgar/data/0001571996/000157199621000063/dell-20211029.htm" TargetMode="External"/><Relationship Id="rId170" Type="http://schemas.openxmlformats.org/officeDocument/2006/relationships/hyperlink" Target="https://www.sec.gov/ix?doc=/Archives/edgar/data/0001571996/000157199621000063/dell-20211029.htm" TargetMode="External"/><Relationship Id="rId191" Type="http://schemas.openxmlformats.org/officeDocument/2006/relationships/hyperlink" Target="https://www.sec.gov/ix?doc=/Archives/edgar/data/0001571996/000157199621000063/dell-20211029.htm" TargetMode="External"/><Relationship Id="rId205" Type="http://schemas.openxmlformats.org/officeDocument/2006/relationships/hyperlink" Target="https://www.sec.gov/ix?doc=/Archives/edgar/data/0001571996/000157199621000063/dell-20211029.htm" TargetMode="External"/><Relationship Id="rId226" Type="http://schemas.openxmlformats.org/officeDocument/2006/relationships/hyperlink" Target="https://www.sec.gov/Archives/edgar/data/0001571996/000157199621000063/exhibit41q3fy22.htm" TargetMode="External"/><Relationship Id="rId107" Type="http://schemas.openxmlformats.org/officeDocument/2006/relationships/hyperlink" Target="https://www.sec.gov/ix?doc=/Archives/edgar/data/0001571996/000157199621000063/dell-20211029.htm" TargetMode="External"/><Relationship Id="rId11" Type="http://schemas.openxmlformats.org/officeDocument/2006/relationships/hyperlink" Target="https://www.sec.gov/ix?doc=/Archives/edgar/data/0001571996/000157199621000063/dell-20211029.htm" TargetMode="External"/><Relationship Id="rId32" Type="http://schemas.openxmlformats.org/officeDocument/2006/relationships/hyperlink" Target="https://www.sec.gov/ix?doc=/Archives/edgar/data/0001571996/000157199621000063/dell-20211029.htm" TargetMode="External"/><Relationship Id="rId53" Type="http://schemas.openxmlformats.org/officeDocument/2006/relationships/hyperlink" Target="https://www.sec.gov/ix?doc=/Archives/edgar/data/0001571996/000157199621000063/dell-20211029.htm" TargetMode="External"/><Relationship Id="rId74" Type="http://schemas.openxmlformats.org/officeDocument/2006/relationships/hyperlink" Target="https://www.sec.gov/ix?doc=/Archives/edgar/data/0001571996/000157199621000063/dell-20211029.htm" TargetMode="External"/><Relationship Id="rId128" Type="http://schemas.openxmlformats.org/officeDocument/2006/relationships/hyperlink" Target="https://www.sec.gov/ix?doc=/Archives/edgar/data/0001571996/000157199621000063/dell-20211029.htm" TargetMode="External"/><Relationship Id="rId149" Type="http://schemas.openxmlformats.org/officeDocument/2006/relationships/hyperlink" Target="https://www.sec.gov/ix?doc=/Archives/edgar/data/0001571996/000157199621000063/dell-20211029.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1000063/dell-20211029.htm" TargetMode="External"/><Relationship Id="rId160" Type="http://schemas.openxmlformats.org/officeDocument/2006/relationships/hyperlink" Target="https://www.sec.gov/ix?doc=/Archives/edgar/data/0001571996/000157199621000063/dell-20211029.htm" TargetMode="External"/><Relationship Id="rId181" Type="http://schemas.openxmlformats.org/officeDocument/2006/relationships/hyperlink" Target="https://www.sec.gov/ix?doc=/Archives/edgar/data/0001571996/000157199621000063/dell-20211029.htm" TargetMode="External"/><Relationship Id="rId216" Type="http://schemas.openxmlformats.org/officeDocument/2006/relationships/hyperlink" Target="https://www.sec.gov/ix?doc=/Archives/edgar/data/0001571996/000157199621000063/dell-20211029.htm" TargetMode="External"/><Relationship Id="rId237" Type="http://schemas.openxmlformats.org/officeDocument/2006/relationships/fontTable" Target="fontTable.xml"/><Relationship Id="rId22" Type="http://schemas.openxmlformats.org/officeDocument/2006/relationships/hyperlink" Target="https://www.sec.gov/ix?doc=/Archives/edgar/data/0001571996/000157199621000063/dell-20211029.htm" TargetMode="External"/><Relationship Id="rId43" Type="http://schemas.openxmlformats.org/officeDocument/2006/relationships/hyperlink" Target="https://www.sec.gov/ix?doc=/Archives/edgar/data/0001571996/000157199621000063/dell-20211029.htm" TargetMode="External"/><Relationship Id="rId64" Type="http://schemas.openxmlformats.org/officeDocument/2006/relationships/hyperlink" Target="https://www.sec.gov/ix?doc=/Archives/edgar/data/0001571996/000157199621000063/dell-20211029.htm" TargetMode="External"/><Relationship Id="rId118" Type="http://schemas.openxmlformats.org/officeDocument/2006/relationships/hyperlink" Target="https://www.sec.gov/ix?doc=/Archives/edgar/data/0001571996/000157199621000063/dell-20211029.htm" TargetMode="External"/><Relationship Id="rId139" Type="http://schemas.openxmlformats.org/officeDocument/2006/relationships/hyperlink" Target="https://www.sec.gov/ix?doc=/Archives/edgar/data/0001571996/000157199621000063/dell-20211029.htm" TargetMode="External"/><Relationship Id="rId85" Type="http://schemas.openxmlformats.org/officeDocument/2006/relationships/hyperlink" Target="https://www.sec.gov/ix?doc=/Archives/edgar/data/0001571996/000157199621000063/dell-20211029.htm" TargetMode="External"/><Relationship Id="rId150" Type="http://schemas.openxmlformats.org/officeDocument/2006/relationships/hyperlink" Target="https://www.sec.gov/ix?doc=/Archives/edgar/data/0001571996/000157199621000063/dell-20211029.htm" TargetMode="External"/><Relationship Id="rId171" Type="http://schemas.openxmlformats.org/officeDocument/2006/relationships/hyperlink" Target="https://www.sec.gov/ix?doc=/Archives/edgar/data/0001571996/000157199621000063/dell-20211029.htm" TargetMode="External"/><Relationship Id="rId192" Type="http://schemas.openxmlformats.org/officeDocument/2006/relationships/hyperlink" Target="https://www.sec.gov/ix?doc=/Archives/edgar/data/0001571996/000157199621000063/dell-20211029.htm" TargetMode="External"/><Relationship Id="rId206" Type="http://schemas.openxmlformats.org/officeDocument/2006/relationships/hyperlink" Target="https://www.sec.gov/ix?doc=/Archives/edgar/data/0001571996/000157199621000063/dell-20211029.htm" TargetMode="External"/><Relationship Id="rId227" Type="http://schemas.openxmlformats.org/officeDocument/2006/relationships/hyperlink" Target="https://www.sec.gov/Archives/edgar/data/0001571996/000157199621000063/exhibit221q3fy22.htm" TargetMode="External"/><Relationship Id="rId12" Type="http://schemas.openxmlformats.org/officeDocument/2006/relationships/hyperlink" Target="https://www.sec.gov/ix?doc=/Archives/edgar/data/0001571996/000157199621000063/dell-20211029.htm" TargetMode="External"/><Relationship Id="rId33" Type="http://schemas.openxmlformats.org/officeDocument/2006/relationships/hyperlink" Target="https://www.sec.gov/ix?doc=/Archives/edgar/data/0001571996/000157199621000063/dell-20211029.htm" TargetMode="External"/><Relationship Id="rId108" Type="http://schemas.openxmlformats.org/officeDocument/2006/relationships/hyperlink" Target="https://www.sec.gov/ix?doc=/Archives/edgar/data/0001571996/000157199621000063/dell-20211029.htm" TargetMode="External"/><Relationship Id="rId129" Type="http://schemas.openxmlformats.org/officeDocument/2006/relationships/hyperlink" Target="https://www.sec.gov/ix?doc=/Archives/edgar/data/0001571996/000157199621000063/dell-20211029.htm" TargetMode="External"/><Relationship Id="rId54" Type="http://schemas.openxmlformats.org/officeDocument/2006/relationships/hyperlink" Target="https://www.sec.gov/ix?doc=/Archives/edgar/data/0001571996/000157199621000063/dell-20211029.htm" TargetMode="External"/><Relationship Id="rId75" Type="http://schemas.openxmlformats.org/officeDocument/2006/relationships/hyperlink" Target="https://www.sec.gov/ix?doc=/Archives/edgar/data/0001571996/000157199621000063/dell-20211029.htm" TargetMode="External"/><Relationship Id="rId96" Type="http://schemas.openxmlformats.org/officeDocument/2006/relationships/hyperlink" Target="https://www.sec.gov/ix?doc=/Archives/edgar/data/0001571996/000157199621000063/dell-20211029.htm" TargetMode="External"/><Relationship Id="rId140" Type="http://schemas.openxmlformats.org/officeDocument/2006/relationships/hyperlink" Target="https://www.sec.gov/ix?doc=/Archives/edgar/data/0001571996/000157199621000063/dell-20211029.htm" TargetMode="External"/><Relationship Id="rId161" Type="http://schemas.openxmlformats.org/officeDocument/2006/relationships/hyperlink" Target="https://www.sec.gov/ix?doc=/Archives/edgar/data/0001571996/000157199621000063/dell-20211029.htm" TargetMode="External"/><Relationship Id="rId182" Type="http://schemas.openxmlformats.org/officeDocument/2006/relationships/hyperlink" Target="https://www.sec.gov/ix?doc=/Archives/edgar/data/0001571996/000157199621000063/dell-20211029.htm" TargetMode="External"/><Relationship Id="rId217" Type="http://schemas.openxmlformats.org/officeDocument/2006/relationships/hyperlink" Target="https://www.sec.gov/ix?doc=/Archives/edgar/data/0001571996/000157199621000063/dell-20211029.htm" TargetMode="External"/><Relationship Id="rId6" Type="http://schemas.openxmlformats.org/officeDocument/2006/relationships/hyperlink" Target="https://www.sec.gov/ix?doc=/Archives/edgar/data/0001571996/000157199621000063/dell-20211029.htm" TargetMode="External"/><Relationship Id="rId238" Type="http://schemas.openxmlformats.org/officeDocument/2006/relationships/theme" Target="theme/theme1.xml"/><Relationship Id="rId23" Type="http://schemas.openxmlformats.org/officeDocument/2006/relationships/hyperlink" Target="https://www.sec.gov/ix?doc=/Archives/edgar/data/0001571996/000157199621000063/dell-20211029.htm" TargetMode="External"/><Relationship Id="rId119" Type="http://schemas.openxmlformats.org/officeDocument/2006/relationships/hyperlink" Target="https://www.sec.gov/ix?doc=/Archives/edgar/data/0001571996/000157199621000063/dell-20211029.htm" TargetMode="External"/><Relationship Id="rId44" Type="http://schemas.openxmlformats.org/officeDocument/2006/relationships/hyperlink" Target="https://www.sec.gov/ix?doc=/Archives/edgar/data/0001571996/000157199621000063/dell-20211029.htm" TargetMode="External"/><Relationship Id="rId65" Type="http://schemas.openxmlformats.org/officeDocument/2006/relationships/hyperlink" Target="https://www.sec.gov/ix?doc=/Archives/edgar/data/0001571996/000157199621000063/dell-20211029.htm" TargetMode="External"/><Relationship Id="rId86" Type="http://schemas.openxmlformats.org/officeDocument/2006/relationships/hyperlink" Target="https://www.sec.gov/ix?doc=/Archives/edgar/data/0001571996/000157199621000063/dell-20211029.htm" TargetMode="External"/><Relationship Id="rId130" Type="http://schemas.openxmlformats.org/officeDocument/2006/relationships/hyperlink" Target="https://www.sec.gov/ix?doc=/Archives/edgar/data/0001571996/000157199621000063/dell-20211029.htm" TargetMode="External"/><Relationship Id="rId151" Type="http://schemas.openxmlformats.org/officeDocument/2006/relationships/hyperlink" Target="https://www.sec.gov/ix?doc=/Archives/edgar/data/0001571996/000157199621000063/dell-20211029.htm" TargetMode="External"/><Relationship Id="rId172" Type="http://schemas.openxmlformats.org/officeDocument/2006/relationships/hyperlink" Target="https://www.sec.gov/ix?doc=/Archives/edgar/data/0001571996/000157199621000063/dell-20211029.htm" TargetMode="External"/><Relationship Id="rId193" Type="http://schemas.openxmlformats.org/officeDocument/2006/relationships/hyperlink" Target="https://www.sec.gov/ix?doc=/Archives/edgar/data/0001571996/000157199621000063/dell-20211029.htm" TargetMode="External"/><Relationship Id="rId207" Type="http://schemas.openxmlformats.org/officeDocument/2006/relationships/hyperlink" Target="https://www.sec.gov/ix?doc=/Archives/edgar/data/0001571996/000157199621000063/dell-20211029.htm" TargetMode="External"/><Relationship Id="rId228" Type="http://schemas.openxmlformats.org/officeDocument/2006/relationships/hyperlink" Target="https://www.sec.gov/Archives/edgar/data/0001571996/000157199621000063/exhibit221q3fy22.htm" TargetMode="External"/><Relationship Id="rId13" Type="http://schemas.openxmlformats.org/officeDocument/2006/relationships/hyperlink" Target="https://www.sec.gov/ix?doc=/Archives/edgar/data/0001571996/000157199621000063/dell-20211029.htm" TargetMode="External"/><Relationship Id="rId109" Type="http://schemas.openxmlformats.org/officeDocument/2006/relationships/hyperlink" Target="https://www.sec.gov/ix?doc=/Archives/edgar/data/0001571996/000157199621000063/dell-20211029.htm" TargetMode="External"/><Relationship Id="rId34" Type="http://schemas.openxmlformats.org/officeDocument/2006/relationships/hyperlink" Target="https://www.sec.gov/ix?doc=/Archives/edgar/data/0001571996/000157199621000063/dell-20211029.htm" TargetMode="External"/><Relationship Id="rId55" Type="http://schemas.openxmlformats.org/officeDocument/2006/relationships/hyperlink" Target="https://www.sec.gov/ix?doc=/Archives/edgar/data/0001571996/000157199621000063/dell-20211029.htm" TargetMode="External"/><Relationship Id="rId76" Type="http://schemas.openxmlformats.org/officeDocument/2006/relationships/hyperlink" Target="https://www.sec.gov/ix?doc=/Archives/edgar/data/0001571996/000157199621000063/dell-20211029.htm" TargetMode="External"/><Relationship Id="rId97" Type="http://schemas.openxmlformats.org/officeDocument/2006/relationships/hyperlink" Target="https://www.sec.gov/ix?doc=/Archives/edgar/data/0001571996/000157199621000063/dell-20211029.htm" TargetMode="External"/><Relationship Id="rId120" Type="http://schemas.openxmlformats.org/officeDocument/2006/relationships/hyperlink" Target="https://www.sec.gov/ix?doc=/Archives/edgar/data/0001571996/000157199621000063/dell-20211029.htm" TargetMode="External"/><Relationship Id="rId141" Type="http://schemas.openxmlformats.org/officeDocument/2006/relationships/hyperlink" Target="https://www.sec.gov/ix?doc=/Archives/edgar/data/0001571996/000157199621000063/dell-20211029.htm" TargetMode="External"/><Relationship Id="rId7" Type="http://schemas.openxmlformats.org/officeDocument/2006/relationships/hyperlink" Target="https://www.sec.gov/ix?doc=/Archives/edgar/data/0001571996/000157199621000063/dell-20211029.htm" TargetMode="External"/><Relationship Id="rId162" Type="http://schemas.openxmlformats.org/officeDocument/2006/relationships/hyperlink" Target="https://www.sec.gov/ix?doc=/Archives/edgar/data/0001571996/000157199621000063/dell-20211029.htm" TargetMode="External"/><Relationship Id="rId183" Type="http://schemas.openxmlformats.org/officeDocument/2006/relationships/hyperlink" Target="https://www.sec.gov/ix?doc=/Archives/edgar/data/0001571996/000157199621000063/dell-20211029.htm" TargetMode="External"/><Relationship Id="rId218" Type="http://schemas.openxmlformats.org/officeDocument/2006/relationships/hyperlink" Target="https://www.sec.gov/ix?doc=/Archives/edgar/data/0001571996/000157199621000063/dell-20211029.htm" TargetMode="External"/><Relationship Id="rId24" Type="http://schemas.openxmlformats.org/officeDocument/2006/relationships/hyperlink" Target="https://www.sec.gov/ix?doc=/Archives/edgar/data/0001571996/000157199621000063/dell-20211029.htm" TargetMode="External"/><Relationship Id="rId45" Type="http://schemas.openxmlformats.org/officeDocument/2006/relationships/hyperlink" Target="https://www.sec.gov/ix?doc=/Archives/edgar/data/0001571996/000157199621000063/dell-20211029.htm" TargetMode="External"/><Relationship Id="rId66" Type="http://schemas.openxmlformats.org/officeDocument/2006/relationships/hyperlink" Target="https://www.sec.gov/ix?doc=/Archives/edgar/data/0001571996/000157199621000063/dell-20211029.htm" TargetMode="External"/><Relationship Id="rId87" Type="http://schemas.openxmlformats.org/officeDocument/2006/relationships/hyperlink" Target="https://www.sec.gov/ix?doc=/Archives/edgar/data/0001571996/000157199621000063/dell-20211029.htm" TargetMode="External"/><Relationship Id="rId110" Type="http://schemas.openxmlformats.org/officeDocument/2006/relationships/hyperlink" Target="https://www.sec.gov/ix?doc=/Archives/edgar/data/0001571996/000157199621000063/dell-20211029.htm" TargetMode="External"/><Relationship Id="rId131" Type="http://schemas.openxmlformats.org/officeDocument/2006/relationships/hyperlink" Target="https://www.sec.gov/ix?doc=/Archives/edgar/data/0001571996/000157199621000063/dell-20211029.htm" TargetMode="External"/><Relationship Id="rId152" Type="http://schemas.openxmlformats.org/officeDocument/2006/relationships/hyperlink" Target="https://www.sec.gov/ix?doc=/Archives/edgar/data/0001571996/000157199621000063/dell-20211029.htm" TargetMode="External"/><Relationship Id="rId173" Type="http://schemas.openxmlformats.org/officeDocument/2006/relationships/hyperlink" Target="https://www.sec.gov/ix?doc=/Archives/edgar/data/0001571996/000157199621000063/dell-20211029.htm" TargetMode="External"/><Relationship Id="rId194" Type="http://schemas.openxmlformats.org/officeDocument/2006/relationships/hyperlink" Target="https://www.sec.gov/ix?doc=/Archives/edgar/data/0001571996/000157199621000063/dell-20211029.htm" TargetMode="External"/><Relationship Id="rId208" Type="http://schemas.openxmlformats.org/officeDocument/2006/relationships/hyperlink" Target="https://www.sec.gov/ix?doc=/Archives/edgar/data/0001571996/000157199621000063/dell-20211029.htm" TargetMode="External"/><Relationship Id="rId229" Type="http://schemas.openxmlformats.org/officeDocument/2006/relationships/hyperlink" Target="https://www.sec.gov/Archives/edgar/data/0001571996/000157199621000063/exhibit221q3fy22.htm" TargetMode="External"/><Relationship Id="rId14" Type="http://schemas.openxmlformats.org/officeDocument/2006/relationships/hyperlink" Target="https://www.sec.gov/ix?doc=/Archives/edgar/data/0001571996/000157199621000063/dell-20211029.htm" TargetMode="External"/><Relationship Id="rId35" Type="http://schemas.openxmlformats.org/officeDocument/2006/relationships/hyperlink" Target="https://www.sec.gov/ix?doc=/Archives/edgar/data/0001571996/000157199621000063/dell-20211029.htm" TargetMode="External"/><Relationship Id="rId56" Type="http://schemas.openxmlformats.org/officeDocument/2006/relationships/hyperlink" Target="https://www.sec.gov/ix?doc=/Archives/edgar/data/0001571996/000157199621000063/dell-20211029.htm" TargetMode="External"/><Relationship Id="rId77" Type="http://schemas.openxmlformats.org/officeDocument/2006/relationships/hyperlink" Target="https://www.sec.gov/ix?doc=/Archives/edgar/data/0001571996/000157199621000063/dell-20211029.htm" TargetMode="External"/><Relationship Id="rId100" Type="http://schemas.openxmlformats.org/officeDocument/2006/relationships/hyperlink" Target="https://www.sec.gov/ix?doc=/Archives/edgar/data/0001571996/000157199621000063/dell-20211029.htm" TargetMode="External"/><Relationship Id="rId8" Type="http://schemas.openxmlformats.org/officeDocument/2006/relationships/hyperlink" Target="https://www.sec.gov/ix?doc=/Archives/edgar/data/0001571996/000157199621000063/dell-20211029.htm" TargetMode="External"/><Relationship Id="rId98" Type="http://schemas.openxmlformats.org/officeDocument/2006/relationships/hyperlink" Target="https://www.sec.gov/ix?doc=/Archives/edgar/data/0001571996/000157199621000063/dell-20211029.htm" TargetMode="External"/><Relationship Id="rId121" Type="http://schemas.openxmlformats.org/officeDocument/2006/relationships/hyperlink" Target="https://www.sec.gov/ix?doc=/Archives/edgar/data/0001571996/000157199621000063/dell-20211029.htm" TargetMode="External"/><Relationship Id="rId142" Type="http://schemas.openxmlformats.org/officeDocument/2006/relationships/hyperlink" Target="https://www.sec.gov/ix?doc=/Archives/edgar/data/0001571996/000157199621000063/dell-20211029.htm" TargetMode="External"/><Relationship Id="rId163" Type="http://schemas.openxmlformats.org/officeDocument/2006/relationships/hyperlink" Target="https://www.sec.gov/ix?doc=/Archives/edgar/data/0001571996/000157199621000063/dell-20211029.htm" TargetMode="External"/><Relationship Id="rId184" Type="http://schemas.openxmlformats.org/officeDocument/2006/relationships/hyperlink" Target="https://www.sec.gov/ix?doc=/Archives/edgar/data/0001571996/000157199621000063/dell-20211029.htm" TargetMode="External"/><Relationship Id="rId219" Type="http://schemas.openxmlformats.org/officeDocument/2006/relationships/hyperlink" Target="https://www.sec.gov/ix?doc=/Archives/edgar/data/0001571996/000157199621000063/dell-20211029.htm" TargetMode="External"/><Relationship Id="rId230" Type="http://schemas.openxmlformats.org/officeDocument/2006/relationships/hyperlink" Target="https://www.sec.gov/Archives/edgar/data/0001571996/000157199621000063/exhibit311q3fy22.htm" TargetMode="External"/><Relationship Id="rId25" Type="http://schemas.openxmlformats.org/officeDocument/2006/relationships/hyperlink" Target="https://www.sec.gov/ix?doc=/Archives/edgar/data/0001571996/000157199621000063/dell-20211029.htm" TargetMode="External"/><Relationship Id="rId46" Type="http://schemas.openxmlformats.org/officeDocument/2006/relationships/hyperlink" Target="https://www.sec.gov/ix?doc=/Archives/edgar/data/0001571996/000157199621000063/dell-20211029.htm" TargetMode="External"/><Relationship Id="rId67" Type="http://schemas.openxmlformats.org/officeDocument/2006/relationships/hyperlink" Target="https://www.sec.gov/ix?doc=/Archives/edgar/data/0001571996/000157199621000063/dell-20211029.htm" TargetMode="External"/><Relationship Id="rId88" Type="http://schemas.openxmlformats.org/officeDocument/2006/relationships/hyperlink" Target="https://www.sec.gov/ix?doc=/Archives/edgar/data/0001571996/000157199621000063/dell-20211029.htm" TargetMode="External"/><Relationship Id="rId111" Type="http://schemas.openxmlformats.org/officeDocument/2006/relationships/hyperlink" Target="https://www.sec.gov/ix?doc=/Archives/edgar/data/0001571996/000157199621000063/dell-20211029.htm" TargetMode="External"/><Relationship Id="rId132" Type="http://schemas.openxmlformats.org/officeDocument/2006/relationships/hyperlink" Target="https://www.sec.gov/ix?doc=/Archives/edgar/data/0001571996/000157199621000063/dell-20211029.htm" TargetMode="External"/><Relationship Id="rId153" Type="http://schemas.openxmlformats.org/officeDocument/2006/relationships/hyperlink" Target="https://www.sec.gov/ix?doc=/Archives/edgar/data/0001571996/000157199621000063/dell-20211029.htm" TargetMode="External"/><Relationship Id="rId174" Type="http://schemas.openxmlformats.org/officeDocument/2006/relationships/hyperlink" Target="https://www.sec.gov/ix?doc=/Archives/edgar/data/0001571996/000157199621000063/dell-20211029.htm" TargetMode="External"/><Relationship Id="rId195" Type="http://schemas.openxmlformats.org/officeDocument/2006/relationships/hyperlink" Target="https://www.sec.gov/ix?doc=/Archives/edgar/data/0001571996/000157199621000063/dell-20211029.htm" TargetMode="External"/><Relationship Id="rId209" Type="http://schemas.openxmlformats.org/officeDocument/2006/relationships/hyperlink" Target="https://www.sec.gov/ix?doc=/Archives/edgar/data/0001571996/000157199621000063/dell-20211029.htm" TargetMode="External"/><Relationship Id="rId190" Type="http://schemas.openxmlformats.org/officeDocument/2006/relationships/hyperlink" Target="https://www.sec.gov/ix?doc=/Archives/edgar/data/0001571996/000157199621000063/dell-20211029.htm" TargetMode="External"/><Relationship Id="rId204" Type="http://schemas.openxmlformats.org/officeDocument/2006/relationships/hyperlink" Target="https://www.sec.gov/ix?doc=/Archives/edgar/data/0001571996/000157199621000063/dell-20211029.htm" TargetMode="External"/><Relationship Id="rId220" Type="http://schemas.openxmlformats.org/officeDocument/2006/relationships/hyperlink" Target="https://www.sec.gov/ix?doc=/Archives/edgar/data/0001571996/000157199621000063/dell-20211029.htm" TargetMode="External"/><Relationship Id="rId225" Type="http://schemas.openxmlformats.org/officeDocument/2006/relationships/hyperlink" Target="https://www.sec.gov/Archives/edgar/data/0001571996/000157199621000063/exhibit41q3fy22.htm" TargetMode="External"/><Relationship Id="rId15" Type="http://schemas.openxmlformats.org/officeDocument/2006/relationships/hyperlink" Target="https://www.sec.gov/ix?doc=/Archives/edgar/data/0001571996/000157199621000063/dell-20211029.htm" TargetMode="External"/><Relationship Id="rId36" Type="http://schemas.openxmlformats.org/officeDocument/2006/relationships/hyperlink" Target="https://www.sec.gov/ix?doc=/Archives/edgar/data/0001571996/000157199621000063/dell-20211029.htm" TargetMode="External"/><Relationship Id="rId57" Type="http://schemas.openxmlformats.org/officeDocument/2006/relationships/hyperlink" Target="https://www.sec.gov/ix?doc=/Archives/edgar/data/0001571996/000157199621000063/dell-20211029.htm" TargetMode="External"/><Relationship Id="rId106" Type="http://schemas.openxmlformats.org/officeDocument/2006/relationships/hyperlink" Target="https://www.sec.gov/ix?doc=/Archives/edgar/data/0001571996/000157199621000063/dell-20211029.htm" TargetMode="External"/><Relationship Id="rId127" Type="http://schemas.openxmlformats.org/officeDocument/2006/relationships/hyperlink" Target="https://www.sec.gov/ix?doc=/Archives/edgar/data/0001571996/000157199621000063/dell-20211029.htm" TargetMode="External"/><Relationship Id="rId10" Type="http://schemas.openxmlformats.org/officeDocument/2006/relationships/hyperlink" Target="https://www.sec.gov/ix?doc=/Archives/edgar/data/0001571996/000157199621000063/dell-20211029.htm" TargetMode="External"/><Relationship Id="rId31" Type="http://schemas.openxmlformats.org/officeDocument/2006/relationships/hyperlink" Target="https://www.sec.gov/ix?doc=/Archives/edgar/data/0001571996/000157199621000063/dell-20211029.htm" TargetMode="External"/><Relationship Id="rId52" Type="http://schemas.openxmlformats.org/officeDocument/2006/relationships/hyperlink" Target="https://www.sec.gov/ix?doc=/Archives/edgar/data/0001571996/000157199621000063/dell-20211029.htm" TargetMode="External"/><Relationship Id="rId73" Type="http://schemas.openxmlformats.org/officeDocument/2006/relationships/hyperlink" Target="https://www.sec.gov/ix?doc=/Archives/edgar/data/0001571996/000157199621000063/dell-20211029.htm" TargetMode="External"/><Relationship Id="rId78" Type="http://schemas.openxmlformats.org/officeDocument/2006/relationships/hyperlink" Target="https://www.sec.gov/ix?doc=/Archives/edgar/data/0001571996/000157199621000063/dell-20211029.htm" TargetMode="External"/><Relationship Id="rId94" Type="http://schemas.openxmlformats.org/officeDocument/2006/relationships/hyperlink" Target="https://www.sec.gov/ix?doc=/Archives/edgar/data/0001571996/000157199621000063/dell-20211029.htm" TargetMode="External"/><Relationship Id="rId99" Type="http://schemas.openxmlformats.org/officeDocument/2006/relationships/hyperlink" Target="https://www.sec.gov/ix?doc=/Archives/edgar/data/0001571996/000157199621000063/dell-20211029.htm" TargetMode="External"/><Relationship Id="rId101" Type="http://schemas.openxmlformats.org/officeDocument/2006/relationships/hyperlink" Target="https://www.sec.gov/ix?doc=/Archives/edgar/data/0001571996/000157199621000063/dell-20211029.htm" TargetMode="External"/><Relationship Id="rId122" Type="http://schemas.openxmlformats.org/officeDocument/2006/relationships/hyperlink" Target="https://www.sec.gov/ix?doc=/Archives/edgar/data/0001571996/000157199621000063/dell-20211029.htm" TargetMode="External"/><Relationship Id="rId143" Type="http://schemas.openxmlformats.org/officeDocument/2006/relationships/hyperlink" Target="https://www.sec.gov/ix?doc=/Archives/edgar/data/0001571996/000157199621000063/dell-20211029.htm" TargetMode="External"/><Relationship Id="rId148" Type="http://schemas.openxmlformats.org/officeDocument/2006/relationships/hyperlink" Target="https://www.sec.gov/ix?doc=/Archives/edgar/data/0001571996/000157199621000063/dell-20211029.htm" TargetMode="External"/><Relationship Id="rId164" Type="http://schemas.openxmlformats.org/officeDocument/2006/relationships/hyperlink" Target="https://www.sec.gov/ix?doc=/Archives/edgar/data/0001571996/000157199621000063/dell-20211029.htm" TargetMode="External"/><Relationship Id="rId169" Type="http://schemas.openxmlformats.org/officeDocument/2006/relationships/hyperlink" Target="https://www.sec.gov/ix?doc=/Archives/edgar/data/0001571996/000157199621000063/dell-20211029.htm" TargetMode="External"/><Relationship Id="rId185" Type="http://schemas.openxmlformats.org/officeDocument/2006/relationships/hyperlink" Target="https://www.sec.gov/ix?doc=/Archives/edgar/data/0001571996/000157199621000063/dell-20211029.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1000063/dell-20211029.htm" TargetMode="External"/><Relationship Id="rId180" Type="http://schemas.openxmlformats.org/officeDocument/2006/relationships/hyperlink" Target="https://www.sec.gov/ix?doc=/Archives/edgar/data/0001571996/000157199621000063/dell-20211029.htm" TargetMode="External"/><Relationship Id="rId210" Type="http://schemas.openxmlformats.org/officeDocument/2006/relationships/hyperlink" Target="https://www.sec.gov/ix?doc=/Archives/edgar/data/0001571996/000157199621000063/dell-20211029.htm" TargetMode="External"/><Relationship Id="rId215" Type="http://schemas.openxmlformats.org/officeDocument/2006/relationships/hyperlink" Target="https://www.sec.gov/ix?doc=/Archives/edgar/data/0001571996/000157199621000063/dell-20211029.htm" TargetMode="External"/><Relationship Id="rId236" Type="http://schemas.openxmlformats.org/officeDocument/2006/relationships/hyperlink" Target="https://www.sec.gov/ix?doc=/Archives/edgar/data/0001571996/000157199621000063/dell-20211029.htm" TargetMode="External"/><Relationship Id="rId26" Type="http://schemas.openxmlformats.org/officeDocument/2006/relationships/hyperlink" Target="https://www.sec.gov/ix?doc=/Archives/edgar/data/0001571996/000157199621000063/dell-20211029.htm" TargetMode="External"/><Relationship Id="rId231" Type="http://schemas.openxmlformats.org/officeDocument/2006/relationships/hyperlink" Target="https://www.sec.gov/Archives/edgar/data/0001571996/000157199621000063/exhibit311q3fy22.htm" TargetMode="External"/><Relationship Id="rId47" Type="http://schemas.openxmlformats.org/officeDocument/2006/relationships/hyperlink" Target="https://www.sec.gov/ix?doc=/Archives/edgar/data/0001571996/000157199621000063/dell-20211029.htm" TargetMode="External"/><Relationship Id="rId68" Type="http://schemas.openxmlformats.org/officeDocument/2006/relationships/hyperlink" Target="https://www.sec.gov/ix?doc=/Archives/edgar/data/0001571996/000157199621000063/dell-20211029.htm" TargetMode="External"/><Relationship Id="rId89" Type="http://schemas.openxmlformats.org/officeDocument/2006/relationships/hyperlink" Target="https://www.sec.gov/ix?doc=/Archives/edgar/data/0001571996/000157199621000063/dell-20211029.htm" TargetMode="External"/><Relationship Id="rId112" Type="http://schemas.openxmlformats.org/officeDocument/2006/relationships/hyperlink" Target="https://www.sec.gov/ix?doc=/Archives/edgar/data/0001571996/000157199621000063/dell-20211029.htm" TargetMode="External"/><Relationship Id="rId133" Type="http://schemas.openxmlformats.org/officeDocument/2006/relationships/hyperlink" Target="https://www.sec.gov/ix?doc=/Archives/edgar/data/0001571996/000157199621000063/dell-20211029.htm" TargetMode="External"/><Relationship Id="rId154" Type="http://schemas.openxmlformats.org/officeDocument/2006/relationships/hyperlink" Target="https://www.sec.gov/ix?doc=/Archives/edgar/data/0001571996/000157199621000063/dell-20211029.htm" TargetMode="External"/><Relationship Id="rId175" Type="http://schemas.openxmlformats.org/officeDocument/2006/relationships/hyperlink" Target="https://www.sec.gov/ix?doc=/Archives/edgar/data/0001571996/000157199621000063/dell-20211029.htm" TargetMode="External"/><Relationship Id="rId196" Type="http://schemas.openxmlformats.org/officeDocument/2006/relationships/hyperlink" Target="https://www.sec.gov/ix?doc=/Archives/edgar/data/0001571996/000157199621000063/dell-20211029.htm" TargetMode="External"/><Relationship Id="rId200" Type="http://schemas.openxmlformats.org/officeDocument/2006/relationships/hyperlink" Target="https://www.sec.gov/ix?doc=/Archives/edgar/data/0001571996/000157199621000063/dell-20211029.htm" TargetMode="External"/><Relationship Id="rId16" Type="http://schemas.openxmlformats.org/officeDocument/2006/relationships/hyperlink" Target="https://www.sec.gov/ix?doc=/Archives/edgar/data/0001571996/000157199621000063/dell-20211029.htm" TargetMode="External"/><Relationship Id="rId221" Type="http://schemas.openxmlformats.org/officeDocument/2006/relationships/hyperlink" Target="https://www.sec.gov/ix?doc=/Archives/edgar/data/0001571996/000157199621000063/dell-20211029.htm" TargetMode="External"/><Relationship Id="rId37" Type="http://schemas.openxmlformats.org/officeDocument/2006/relationships/hyperlink" Target="https://www.sec.gov/ix?doc=/Archives/edgar/data/0001571996/000157199621000063/dell-20211029.htm" TargetMode="External"/><Relationship Id="rId58" Type="http://schemas.openxmlformats.org/officeDocument/2006/relationships/hyperlink" Target="https://www.sec.gov/ix?doc=/Archives/edgar/data/0001571996/000157199621000063/dell-20211029.htm" TargetMode="External"/><Relationship Id="rId79" Type="http://schemas.openxmlformats.org/officeDocument/2006/relationships/hyperlink" Target="https://www.sec.gov/ix?doc=/Archives/edgar/data/0001571996/000157199621000063/dell-20211029.htm" TargetMode="External"/><Relationship Id="rId102" Type="http://schemas.openxmlformats.org/officeDocument/2006/relationships/hyperlink" Target="https://www.sec.gov/ix?doc=/Archives/edgar/data/0001571996/000157199621000063/dell-20211029.htm" TargetMode="External"/><Relationship Id="rId123" Type="http://schemas.openxmlformats.org/officeDocument/2006/relationships/hyperlink" Target="https://www.sec.gov/ix?doc=/Archives/edgar/data/0001571996/000157199621000063/dell-20211029.htm" TargetMode="External"/><Relationship Id="rId144" Type="http://schemas.openxmlformats.org/officeDocument/2006/relationships/hyperlink" Target="https://www.sec.gov/ix?doc=/Archives/edgar/data/0001571996/000157199621000063/dell-20211029.htm" TargetMode="External"/><Relationship Id="rId90" Type="http://schemas.openxmlformats.org/officeDocument/2006/relationships/hyperlink" Target="https://www.sec.gov/ix?doc=/Archives/edgar/data/0001571996/000157199621000063/dell-20211029.htm" TargetMode="External"/><Relationship Id="rId165" Type="http://schemas.openxmlformats.org/officeDocument/2006/relationships/hyperlink" Target="https://www.sec.gov/ix?doc=/Archives/edgar/data/0001571996/000157199621000063/dell-20211029.htm" TargetMode="External"/><Relationship Id="rId186" Type="http://schemas.openxmlformats.org/officeDocument/2006/relationships/hyperlink" Target="https://www.sec.gov/ix?doc=/Archives/edgar/data/0001571996/000157199621000063/dell-20211029.htm" TargetMode="External"/><Relationship Id="rId211" Type="http://schemas.openxmlformats.org/officeDocument/2006/relationships/hyperlink" Target="https://www.sec.gov/ix?doc=/Archives/edgar/data/0001571996/000157199621000063/dell-20211029.htm" TargetMode="External"/><Relationship Id="rId232" Type="http://schemas.openxmlformats.org/officeDocument/2006/relationships/hyperlink" Target="https://www.sec.gov/Archives/edgar/data/0001571996/000157199621000063/exhibit312q3fy22.htm" TargetMode="External"/><Relationship Id="rId27" Type="http://schemas.openxmlformats.org/officeDocument/2006/relationships/hyperlink" Target="https://www.sec.gov/ix?doc=/Archives/edgar/data/0001571996/000157199621000063/dell-20211029.htm" TargetMode="External"/><Relationship Id="rId48" Type="http://schemas.openxmlformats.org/officeDocument/2006/relationships/hyperlink" Target="https://www.sec.gov/ix?doc=/Archives/edgar/data/0001571996/000157199621000063/dell-20211029.htm" TargetMode="External"/><Relationship Id="rId69" Type="http://schemas.openxmlformats.org/officeDocument/2006/relationships/hyperlink" Target="https://www.sec.gov/ix?doc=/Archives/edgar/data/0001571996/000157199621000063/dell-20211029.htm" TargetMode="External"/><Relationship Id="rId113" Type="http://schemas.openxmlformats.org/officeDocument/2006/relationships/hyperlink" Target="https://www.sec.gov/ix?doc=/Archives/edgar/data/0001571996/000157199621000063/dell-20211029.htm" TargetMode="External"/><Relationship Id="rId134" Type="http://schemas.openxmlformats.org/officeDocument/2006/relationships/hyperlink" Target="https://www.sec.gov/ix?doc=/Archives/edgar/data/0001571996/000157199621000063/dell-20211029.htm" TargetMode="External"/><Relationship Id="rId80" Type="http://schemas.openxmlformats.org/officeDocument/2006/relationships/hyperlink" Target="https://www.sec.gov/ix?doc=/Archives/edgar/data/0001571996/000157199621000063/dell-20211029.htm" TargetMode="External"/><Relationship Id="rId155" Type="http://schemas.openxmlformats.org/officeDocument/2006/relationships/hyperlink" Target="https://www.sec.gov/ix?doc=/Archives/edgar/data/0001571996/000157199621000063/dell-20211029.htm" TargetMode="External"/><Relationship Id="rId176" Type="http://schemas.openxmlformats.org/officeDocument/2006/relationships/hyperlink" Target="https://www.sec.gov/ix?doc=/Archives/edgar/data/0001571996/000157199621000063/dell-20211029.htm" TargetMode="External"/><Relationship Id="rId197" Type="http://schemas.openxmlformats.org/officeDocument/2006/relationships/hyperlink" Target="https://www.sec.gov/ix?doc=/Archives/edgar/data/0001571996/000157199621000063/dell-20211029.htm" TargetMode="External"/><Relationship Id="rId201" Type="http://schemas.openxmlformats.org/officeDocument/2006/relationships/hyperlink" Target="https://www.sec.gov/ix?doc=/Archives/edgar/data/0001571996/000157199621000063/dell-20211029.htm" TargetMode="External"/><Relationship Id="rId222" Type="http://schemas.openxmlformats.org/officeDocument/2006/relationships/hyperlink" Target="https://www.sec.gov/ix?doc=/Archives/edgar/data/0001571996/000157199621000063/dell-20211029.htm" TargetMode="External"/><Relationship Id="rId17" Type="http://schemas.openxmlformats.org/officeDocument/2006/relationships/hyperlink" Target="https://www.sec.gov/ix?doc=/Archives/edgar/data/0001571996/000157199621000063/dell-20211029.htm" TargetMode="External"/><Relationship Id="rId38" Type="http://schemas.openxmlformats.org/officeDocument/2006/relationships/hyperlink" Target="https://www.sec.gov/ix?doc=/Archives/edgar/data/0001571996/000157199621000063/dell-20211029.htm" TargetMode="External"/><Relationship Id="rId59" Type="http://schemas.openxmlformats.org/officeDocument/2006/relationships/hyperlink" Target="https://www.sec.gov/ix?doc=/Archives/edgar/data/0001571996/000157199621000063/dell-20211029.htm" TargetMode="External"/><Relationship Id="rId103" Type="http://schemas.openxmlformats.org/officeDocument/2006/relationships/hyperlink" Target="https://www.sec.gov/ix?doc=/Archives/edgar/data/0001571996/000157199621000063/dell-20211029.htm" TargetMode="External"/><Relationship Id="rId124" Type="http://schemas.openxmlformats.org/officeDocument/2006/relationships/hyperlink" Target="https://www.sec.gov/ix?doc=/Archives/edgar/data/0001571996/000157199621000063/dell-20211029.htm" TargetMode="External"/><Relationship Id="rId70" Type="http://schemas.openxmlformats.org/officeDocument/2006/relationships/hyperlink" Target="https://www.sec.gov/ix?doc=/Archives/edgar/data/0001571996/000157199621000063/dell-20211029.htm" TargetMode="External"/><Relationship Id="rId91" Type="http://schemas.openxmlformats.org/officeDocument/2006/relationships/hyperlink" Target="https://www.sec.gov/ix?doc=/Archives/edgar/data/0001571996/000157199621000063/dell-20211029.htm" TargetMode="External"/><Relationship Id="rId145" Type="http://schemas.openxmlformats.org/officeDocument/2006/relationships/hyperlink" Target="https://www.sec.gov/ix?doc=/Archives/edgar/data/0001571996/000157199621000063/dell-20211029.htm" TargetMode="External"/><Relationship Id="rId166" Type="http://schemas.openxmlformats.org/officeDocument/2006/relationships/hyperlink" Target="https://www.sec.gov/ix?doc=/Archives/edgar/data/0001571996/000157199621000063/dell-20211029.htm" TargetMode="External"/><Relationship Id="rId187" Type="http://schemas.openxmlformats.org/officeDocument/2006/relationships/hyperlink" Target="https://www.sec.gov/ix?doc=/Archives/edgar/data/0001571996/000157199621000063/dell-20211029.htm" TargetMode="External"/><Relationship Id="rId1" Type="http://schemas.openxmlformats.org/officeDocument/2006/relationships/styles" Target="styles.xml"/><Relationship Id="rId212" Type="http://schemas.openxmlformats.org/officeDocument/2006/relationships/hyperlink" Target="https://www.sec.gov/ix?doc=/Archives/edgar/data/0001571996/000157199621000063/dell-20211029.htm" TargetMode="External"/><Relationship Id="rId233" Type="http://schemas.openxmlformats.org/officeDocument/2006/relationships/hyperlink" Target="https://www.sec.gov/Archives/edgar/data/0001571996/000157199621000063/exhibit312q3fy22.htm" TargetMode="External"/><Relationship Id="rId28" Type="http://schemas.openxmlformats.org/officeDocument/2006/relationships/hyperlink" Target="https://www.sec.gov/ix?doc=/Archives/edgar/data/0001571996/000157199621000063/dell-20211029.htm" TargetMode="External"/><Relationship Id="rId49" Type="http://schemas.openxmlformats.org/officeDocument/2006/relationships/hyperlink" Target="https://www.sec.gov/ix?doc=/Archives/edgar/data/0001571996/000157199621000063/dell-20211029.htm" TargetMode="External"/><Relationship Id="rId114" Type="http://schemas.openxmlformats.org/officeDocument/2006/relationships/hyperlink" Target="https://www.sec.gov/ix?doc=/Archives/edgar/data/0001571996/000157199621000063/dell-20211029.htm" TargetMode="External"/><Relationship Id="rId60" Type="http://schemas.openxmlformats.org/officeDocument/2006/relationships/hyperlink" Target="https://www.sec.gov/ix?doc=/Archives/edgar/data/0001571996/000157199621000063/dell-20211029.htm" TargetMode="External"/><Relationship Id="rId81" Type="http://schemas.openxmlformats.org/officeDocument/2006/relationships/hyperlink" Target="https://www.sec.gov/ix?doc=/Archives/edgar/data/0001571996/000157199621000063/dell-20211029.htm" TargetMode="External"/><Relationship Id="rId135" Type="http://schemas.openxmlformats.org/officeDocument/2006/relationships/hyperlink" Target="https://www.sec.gov/ix?doc=/Archives/edgar/data/0001571996/000157199621000063/dell-20211029.htm" TargetMode="External"/><Relationship Id="rId156" Type="http://schemas.openxmlformats.org/officeDocument/2006/relationships/hyperlink" Target="https://www.sec.gov/ix?doc=/Archives/edgar/data/0001571996/000157199621000063/dell-20211029.htm" TargetMode="External"/><Relationship Id="rId177" Type="http://schemas.openxmlformats.org/officeDocument/2006/relationships/hyperlink" Target="https://www.sec.gov/ix?doc=/Archives/edgar/data/0001571996/000157199621000063/dell-20211029.htm" TargetMode="External"/><Relationship Id="rId198" Type="http://schemas.openxmlformats.org/officeDocument/2006/relationships/hyperlink" Target="https://www.sec.gov/ix?doc=/Archives/edgar/data/0001571996/000157199621000063/dell-20211029.htm" TargetMode="External"/><Relationship Id="rId202" Type="http://schemas.openxmlformats.org/officeDocument/2006/relationships/hyperlink" Target="https://www.sec.gov/ix?doc=/Archives/edgar/data/0001571996/000157199621000063/dell-20211029.htm" TargetMode="External"/><Relationship Id="rId223" Type="http://schemas.openxmlformats.org/officeDocument/2006/relationships/hyperlink" Target="https://www.sec.gov/Archives/edgar/data/1571996/000119312521294210/d81504dex991.htm" TargetMode="External"/><Relationship Id="rId18" Type="http://schemas.openxmlformats.org/officeDocument/2006/relationships/hyperlink" Target="https://www.sec.gov/ix?doc=/Archives/edgar/data/0001571996/000157199621000063/dell-20211029.htm" TargetMode="External"/><Relationship Id="rId39" Type="http://schemas.openxmlformats.org/officeDocument/2006/relationships/hyperlink" Target="https://www.sec.gov/ix?doc=/Archives/edgar/data/0001571996/000157199621000063/dell-20211029.htm" TargetMode="External"/><Relationship Id="rId50" Type="http://schemas.openxmlformats.org/officeDocument/2006/relationships/hyperlink" Target="https://www.sec.gov/ix?doc=/Archives/edgar/data/0001571996/000157199621000063/dell-20211029.htm" TargetMode="External"/><Relationship Id="rId104" Type="http://schemas.openxmlformats.org/officeDocument/2006/relationships/hyperlink" Target="https://www.sec.gov/ix?doc=/Archives/edgar/data/0001571996/000157199621000063/dell-20211029.htm" TargetMode="External"/><Relationship Id="rId125" Type="http://schemas.openxmlformats.org/officeDocument/2006/relationships/hyperlink" Target="https://www.sec.gov/ix?doc=/Archives/edgar/data/0001571996/000157199621000063/dell-20211029.htm" TargetMode="External"/><Relationship Id="rId146" Type="http://schemas.openxmlformats.org/officeDocument/2006/relationships/hyperlink" Target="https://www.sec.gov/ix?doc=/Archives/edgar/data/0001571996/000157199621000063/dell-20211029.htm" TargetMode="External"/><Relationship Id="rId167" Type="http://schemas.openxmlformats.org/officeDocument/2006/relationships/hyperlink" Target="https://www.sec.gov/ix?doc=/Archives/edgar/data/0001571996/000157199621000063/dell-20211029.htm" TargetMode="External"/><Relationship Id="rId188" Type="http://schemas.openxmlformats.org/officeDocument/2006/relationships/hyperlink" Target="https://www.sec.gov/ix?doc=/Archives/edgar/data/0001571996/000157199621000063/dell-20211029.htm" TargetMode="External"/><Relationship Id="rId71" Type="http://schemas.openxmlformats.org/officeDocument/2006/relationships/hyperlink" Target="https://www.sec.gov/ix?doc=/Archives/edgar/data/0001571996/000157199621000063/dell-20211029.htm" TargetMode="External"/><Relationship Id="rId92" Type="http://schemas.openxmlformats.org/officeDocument/2006/relationships/hyperlink" Target="https://www.sec.gov/ix?doc=/Archives/edgar/data/0001571996/000157199621000063/dell-20211029.htm" TargetMode="External"/><Relationship Id="rId213" Type="http://schemas.openxmlformats.org/officeDocument/2006/relationships/hyperlink" Target="https://www.sec.gov/ix?doc=/Archives/edgar/data/0001571996/000157199621000063/dell-20211029.htm" TargetMode="External"/><Relationship Id="rId234" Type="http://schemas.openxmlformats.org/officeDocument/2006/relationships/hyperlink" Target="https://www.sec.gov/Archives/edgar/data/0001571996/000157199621000063/exhibit321q3fy22.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1000063/dell-20211029.htm" TargetMode="External"/><Relationship Id="rId40" Type="http://schemas.openxmlformats.org/officeDocument/2006/relationships/hyperlink" Target="https://www.sec.gov/ix?doc=/Archives/edgar/data/0001571996/000157199621000063/dell-20211029.htm" TargetMode="External"/><Relationship Id="rId115" Type="http://schemas.openxmlformats.org/officeDocument/2006/relationships/hyperlink" Target="https://www.sec.gov/ix?doc=/Archives/edgar/data/0001571996/000157199621000063/dell-20211029.htm" TargetMode="External"/><Relationship Id="rId136" Type="http://schemas.openxmlformats.org/officeDocument/2006/relationships/hyperlink" Target="https://www.sec.gov/ix?doc=/Archives/edgar/data/0001571996/000157199621000063/dell-20211029.htm" TargetMode="External"/><Relationship Id="rId157" Type="http://schemas.openxmlformats.org/officeDocument/2006/relationships/hyperlink" Target="https://www.sec.gov/ix?doc=/Archives/edgar/data/0001571996/000157199621000063/dell-20211029.htm" TargetMode="External"/><Relationship Id="rId178" Type="http://schemas.openxmlformats.org/officeDocument/2006/relationships/hyperlink" Target="https://www.sec.gov/ix?doc=/Archives/edgar/data/0001571996/000157199621000063/dell-20211029.htm" TargetMode="External"/><Relationship Id="rId61" Type="http://schemas.openxmlformats.org/officeDocument/2006/relationships/hyperlink" Target="https://www.sec.gov/ix?doc=/Archives/edgar/data/0001571996/000157199621000063/dell-20211029.htm" TargetMode="External"/><Relationship Id="rId82" Type="http://schemas.openxmlformats.org/officeDocument/2006/relationships/hyperlink" Target="https://www.sec.gov/ix?doc=/Archives/edgar/data/0001571996/000157199621000063/dell-20211029.htm" TargetMode="External"/><Relationship Id="rId199" Type="http://schemas.openxmlformats.org/officeDocument/2006/relationships/hyperlink" Target="https://www.sec.gov/ix?doc=/Archives/edgar/data/0001571996/000157199621000063/dell-20211029.htm" TargetMode="External"/><Relationship Id="rId203" Type="http://schemas.openxmlformats.org/officeDocument/2006/relationships/hyperlink" Target="https://www.sec.gov/ix?doc=/Archives/edgar/data/0001571996/000157199621000063/dell-20211029.htm" TargetMode="External"/><Relationship Id="rId19" Type="http://schemas.openxmlformats.org/officeDocument/2006/relationships/hyperlink" Target="https://www.sec.gov/ix?doc=/Archives/edgar/data/0001571996/000157199621000063/dell-20211029.htm" TargetMode="External"/><Relationship Id="rId224" Type="http://schemas.openxmlformats.org/officeDocument/2006/relationships/hyperlink" Target="https://www.sec.gov/Archives/edgar/data/1571996/000119312521294210/d81504dex991.htm" TargetMode="External"/><Relationship Id="rId30" Type="http://schemas.openxmlformats.org/officeDocument/2006/relationships/hyperlink" Target="https://www.sec.gov/ix?doc=/Archives/edgar/data/0001571996/000157199621000063/dell-20211029.htm" TargetMode="External"/><Relationship Id="rId105" Type="http://schemas.openxmlformats.org/officeDocument/2006/relationships/hyperlink" Target="https://www.sec.gov/ix?doc=/Archives/edgar/data/0001571996/000157199621000063/dell-20211029.htm" TargetMode="External"/><Relationship Id="rId126" Type="http://schemas.openxmlformats.org/officeDocument/2006/relationships/hyperlink" Target="https://www.sec.gov/ix?doc=/Archives/edgar/data/0001571996/000157199621000063/dell-20211029.htm" TargetMode="External"/><Relationship Id="rId147" Type="http://schemas.openxmlformats.org/officeDocument/2006/relationships/hyperlink" Target="https://www.sec.gov/ix?doc=/Archives/edgar/data/0001571996/000157199621000063/dell-20211029.htm" TargetMode="External"/><Relationship Id="rId168" Type="http://schemas.openxmlformats.org/officeDocument/2006/relationships/hyperlink" Target="https://www.sec.gov/ix?doc=/Archives/edgar/data/0001571996/000157199621000063/dell-20211029.htm" TargetMode="External"/><Relationship Id="rId51" Type="http://schemas.openxmlformats.org/officeDocument/2006/relationships/hyperlink" Target="https://www.sec.gov/ix?doc=/Archives/edgar/data/0001571996/000157199621000063/dell-20211029.htm" TargetMode="External"/><Relationship Id="rId72" Type="http://schemas.openxmlformats.org/officeDocument/2006/relationships/hyperlink" Target="https://www.sec.gov/ix?doc=/Archives/edgar/data/0001571996/000157199621000063/dell-20211029.htm" TargetMode="External"/><Relationship Id="rId93" Type="http://schemas.openxmlformats.org/officeDocument/2006/relationships/hyperlink" Target="https://www.sec.gov/ix?doc=/Archives/edgar/data/0001571996/000157199621000063/dell-20211029.htm" TargetMode="External"/><Relationship Id="rId189" Type="http://schemas.openxmlformats.org/officeDocument/2006/relationships/hyperlink" Target="https://www.sec.gov/ix?doc=/Archives/edgar/data/0001571996/000157199621000063/dell-20211029.htm" TargetMode="External"/><Relationship Id="rId3" Type="http://schemas.openxmlformats.org/officeDocument/2006/relationships/webSettings" Target="webSettings.xml"/><Relationship Id="rId214" Type="http://schemas.openxmlformats.org/officeDocument/2006/relationships/hyperlink" Target="https://www.sec.gov/ix?doc=/Archives/edgar/data/0001571996/000157199621000063/dell-20211029.htm" TargetMode="External"/><Relationship Id="rId235" Type="http://schemas.openxmlformats.org/officeDocument/2006/relationships/hyperlink" Target="https://www.sec.gov/Archives/edgar/data/0001571996/000157199621000063/exhibit321q3fy22.htm" TargetMode="External"/><Relationship Id="rId116" Type="http://schemas.openxmlformats.org/officeDocument/2006/relationships/hyperlink" Target="https://www.sec.gov/ix?doc=/Archives/edgar/data/0001571996/000157199621000063/dell-20211029.htm" TargetMode="External"/><Relationship Id="rId137" Type="http://schemas.openxmlformats.org/officeDocument/2006/relationships/hyperlink" Target="https://www.sec.gov/ix?doc=/Archives/edgar/data/0001571996/000157199621000063/dell-20211029.htm" TargetMode="External"/><Relationship Id="rId158" Type="http://schemas.openxmlformats.org/officeDocument/2006/relationships/hyperlink" Target="https://www.sec.gov/ix?doc=/Archives/edgar/data/0001571996/000157199621000063/dell-20211029.htm" TargetMode="External"/><Relationship Id="rId20" Type="http://schemas.openxmlformats.org/officeDocument/2006/relationships/hyperlink" Target="https://www.sec.gov/ix?doc=/Archives/edgar/data/0001571996/000157199621000063/dell-20211029.htm" TargetMode="External"/><Relationship Id="rId41" Type="http://schemas.openxmlformats.org/officeDocument/2006/relationships/hyperlink" Target="https://www.sec.gov/ix?doc=/Archives/edgar/data/0001571996/000157199621000063/dell-20211029.htm" TargetMode="External"/><Relationship Id="rId62" Type="http://schemas.openxmlformats.org/officeDocument/2006/relationships/hyperlink" Target="https://www.sec.gov/ix?doc=/Archives/edgar/data/0001571996/000157199621000063/dell-20211029.htm" TargetMode="External"/><Relationship Id="rId83" Type="http://schemas.openxmlformats.org/officeDocument/2006/relationships/hyperlink" Target="https://www.sec.gov/ix?doc=/Archives/edgar/data/0001571996/000157199621000063/dell-20211029.htm" TargetMode="External"/><Relationship Id="rId179" Type="http://schemas.openxmlformats.org/officeDocument/2006/relationships/hyperlink" Target="https://www.sec.gov/ix?doc=/Archives/edgar/data/0001571996/000157199621000063/dell-202110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51200</Words>
  <Characters>291843</Characters>
  <Application>Microsoft Office Word</Application>
  <DocSecurity>0</DocSecurity>
  <Lines>2432</Lines>
  <Paragraphs>684</Paragraphs>
  <ScaleCrop>false</ScaleCrop>
  <Company/>
  <LinksUpToDate>false</LinksUpToDate>
  <CharactersWithSpaces>342359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2023-02-11T19:09:00Z</dcterms:created>
  <dcterms:modified xsi:type="dcterms:W3CDTF">2023-02-13T13:05:00Z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E3A8E7DDF4CC247B4B77E7636E8E7974</vt:lpwstr>
  </property>
</Properties>
</file>